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بهداشت جسم و روان در سیره معصومان علیهم السلام براساس روایات کتاب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40625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040627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040629_12804478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040631_1280447820">
            <w:r>
              <w:rPr>
                <w:webHidden/>
                <w:rStyle w:val="IndexLink"/>
                <w:rtl w:val="true"/>
              </w:rPr>
              <w:t xml:space="preserve">فصل اول </w:t>
            </w:r>
            <w:r>
              <w:rPr>
                <w:rStyle w:val="IndexLink"/>
                <w:rtl w:val="true"/>
              </w:rPr>
              <w:t xml:space="preserve">: </w:t>
            </w:r>
            <w:r>
              <w:rPr>
                <w:rStyle w:val="IndexLink"/>
                <w:rtl w:val="true"/>
              </w:rPr>
              <w:t>کلیات و مفاهیم</w:t>
            </w:r>
            <w:r>
              <w:rPr>
                <w:rStyle w:val="IndexLink"/>
                <w:rtl w:val="true"/>
              </w:rPr>
              <w:tab/>
            </w:r>
            <w:r>
              <w:rPr>
                <w:rStyle w:val="IndexLink"/>
              </w:rPr>
              <w:t>13</w:t>
            </w:r>
          </w:hyperlink>
        </w:p>
        <w:p>
          <w:pPr>
            <w:pStyle w:val="Contents3"/>
            <w:tabs>
              <w:tab w:val="clear" w:pos="8459"/>
              <w:tab w:val="right" w:pos="9026" w:leader="dot"/>
            </w:tabs>
            <w:rPr/>
          </w:pPr>
          <w:hyperlink w:anchor="__RefHeading___Toc12040633_1280447820">
            <w:r>
              <w:rPr>
                <w:webHidden/>
                <w:rStyle w:val="IndexLink"/>
                <w:rtl w:val="true"/>
              </w:rPr>
              <w:t>کلیات و مفاهیم</w:t>
            </w:r>
            <w:r>
              <w:rPr>
                <w:rStyle w:val="IndexLink"/>
                <w:rtl w:val="true"/>
              </w:rPr>
              <w:tab/>
            </w:r>
            <w:r>
              <w:rPr>
                <w:rStyle w:val="IndexLink"/>
              </w:rPr>
              <w:t>13</w:t>
            </w:r>
          </w:hyperlink>
        </w:p>
        <w:p>
          <w:pPr>
            <w:pStyle w:val="Contents3"/>
            <w:tabs>
              <w:tab w:val="clear" w:pos="8459"/>
              <w:tab w:val="right" w:pos="9026" w:leader="dot"/>
            </w:tabs>
            <w:rPr/>
          </w:pPr>
          <w:hyperlink w:anchor="__RefHeading___Toc12040635_1280447820">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12040637_1280447820">
            <w:r>
              <w:rPr>
                <w:webHidden/>
                <w:rStyle w:val="IndexLink"/>
                <w:rtl w:val="true"/>
              </w:rPr>
              <w:t>مفاهیم</w:t>
            </w:r>
            <w:r>
              <w:rPr>
                <w:rStyle w:val="IndexLink"/>
                <w:rtl w:val="true"/>
              </w:rPr>
              <w:tab/>
            </w:r>
            <w:r>
              <w:rPr>
                <w:rStyle w:val="IndexLink"/>
              </w:rPr>
              <w:t>17</w:t>
            </w:r>
          </w:hyperlink>
        </w:p>
        <w:p>
          <w:pPr>
            <w:pStyle w:val="Contents4"/>
            <w:tabs>
              <w:tab w:val="clear" w:pos="8176"/>
              <w:tab w:val="right" w:pos="9026" w:leader="dot"/>
            </w:tabs>
            <w:rPr/>
          </w:pPr>
          <w:hyperlink w:anchor="__RefHeading___Toc12040639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2040641_1280447820">
            <w:r>
              <w:rPr>
                <w:webHidden/>
                <w:rStyle w:val="IndexLink"/>
                <w:rtl w:val="true"/>
              </w:rPr>
              <w:t>سیره</w:t>
            </w:r>
            <w:r>
              <w:rPr>
                <w:rStyle w:val="IndexLink"/>
                <w:rtl w:val="true"/>
              </w:rPr>
              <w:tab/>
            </w:r>
            <w:r>
              <w:rPr>
                <w:rStyle w:val="IndexLink"/>
              </w:rPr>
              <w:t>18</w:t>
            </w:r>
          </w:hyperlink>
        </w:p>
        <w:p>
          <w:pPr>
            <w:pStyle w:val="Contents4"/>
            <w:tabs>
              <w:tab w:val="clear" w:pos="8176"/>
              <w:tab w:val="right" w:pos="9026" w:leader="dot"/>
            </w:tabs>
            <w:rPr/>
          </w:pPr>
          <w:hyperlink w:anchor="__RefHeading___Toc12040643_1280447820">
            <w:r>
              <w:rPr>
                <w:webHidden/>
                <w:rStyle w:val="IndexLink"/>
                <w:rtl w:val="true"/>
              </w:rPr>
              <w:t>بهداشت جسم و روان</w:t>
            </w:r>
            <w:r>
              <w:rPr>
                <w:rStyle w:val="IndexLink"/>
                <w:rtl w:val="true"/>
              </w:rPr>
              <w:tab/>
            </w:r>
            <w:r>
              <w:rPr>
                <w:rStyle w:val="IndexLink"/>
              </w:rPr>
              <w:t>19</w:t>
            </w:r>
          </w:hyperlink>
        </w:p>
        <w:p>
          <w:pPr>
            <w:pStyle w:val="Contents4"/>
            <w:tabs>
              <w:tab w:val="clear" w:pos="8176"/>
              <w:tab w:val="right" w:pos="9026" w:leader="dot"/>
            </w:tabs>
            <w:rPr/>
          </w:pPr>
          <w:hyperlink w:anchor="__RefHeading___Toc12040645_1280447820">
            <w:r>
              <w:rPr>
                <w:webHidden/>
                <w:rStyle w:val="IndexLink"/>
                <w:rtl w:val="true"/>
              </w:rPr>
              <w:t>کتاب کافی</w:t>
            </w:r>
            <w:r>
              <w:rPr>
                <w:rStyle w:val="IndexLink"/>
                <w:rtl w:val="true"/>
              </w:rPr>
              <w:tab/>
            </w:r>
            <w:r>
              <w:rPr>
                <w:rStyle w:val="IndexLink"/>
              </w:rPr>
              <w:t>19</w:t>
            </w:r>
          </w:hyperlink>
        </w:p>
        <w:p>
          <w:pPr>
            <w:pStyle w:val="Contents5"/>
            <w:tabs>
              <w:tab w:val="clear" w:pos="7892"/>
              <w:tab w:val="right" w:pos="9026" w:leader="dot"/>
            </w:tabs>
            <w:rPr/>
          </w:pPr>
          <w:hyperlink w:anchor="__RefHeading___Toc12040647_128044782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2040649_1280447820">
            <w:r>
              <w:rPr>
                <w:webHidden/>
                <w:rStyle w:val="IndexLink"/>
                <w:rtl w:val="true"/>
              </w:rPr>
              <w:t>معرفی کافی</w:t>
            </w:r>
            <w:r>
              <w:rPr>
                <w:rStyle w:val="IndexLink"/>
                <w:rtl w:val="true"/>
              </w:rPr>
              <w:tab/>
            </w:r>
            <w:r>
              <w:rPr>
                <w:rStyle w:val="IndexLink"/>
              </w:rPr>
              <w:t>20</w:t>
            </w:r>
          </w:hyperlink>
        </w:p>
        <w:p>
          <w:pPr>
            <w:pStyle w:val="Contents4"/>
            <w:tabs>
              <w:tab w:val="clear" w:pos="8176"/>
              <w:tab w:val="right" w:pos="9026" w:leader="dot"/>
            </w:tabs>
            <w:rPr/>
          </w:pPr>
          <w:hyperlink w:anchor="__RefHeading___Toc12040651_1280447820">
            <w:r>
              <w:rPr>
                <w:webHidden/>
                <w:rStyle w:val="IndexLink"/>
                <w:rtl w:val="true"/>
              </w:rPr>
              <w:t>اعتبار روایات کافی</w:t>
            </w:r>
            <w:r>
              <w:rPr>
                <w:rStyle w:val="IndexLink"/>
                <w:rtl w:val="true"/>
              </w:rPr>
              <w:tab/>
            </w:r>
            <w:r>
              <w:rPr>
                <w:rStyle w:val="IndexLink"/>
              </w:rPr>
              <w:t>21</w:t>
            </w:r>
          </w:hyperlink>
        </w:p>
        <w:p>
          <w:pPr>
            <w:pStyle w:val="Contents2"/>
            <w:tabs>
              <w:tab w:val="clear" w:pos="8743"/>
              <w:tab w:val="right" w:pos="9026" w:leader="dot"/>
            </w:tabs>
            <w:rPr/>
          </w:pPr>
          <w:hyperlink w:anchor="__RefHeading___Toc12040653_1280447820">
            <w:r>
              <w:rPr>
                <w:webHidden/>
                <w:rStyle w:val="IndexLink"/>
                <w:rtl w:val="true"/>
              </w:rPr>
              <w:t xml:space="preserve">فصل دوم </w:t>
            </w:r>
            <w:r>
              <w:rPr>
                <w:rStyle w:val="IndexLink"/>
                <w:rtl w:val="true"/>
              </w:rPr>
              <w:t xml:space="preserve">: </w:t>
            </w:r>
            <w:r>
              <w:rPr>
                <w:rStyle w:val="IndexLink"/>
                <w:rtl w:val="true"/>
              </w:rPr>
              <w:t>بهداشت جسم و روان در عصر جاهلی</w:t>
            </w:r>
            <w:r>
              <w:rPr>
                <w:rStyle w:val="IndexLink"/>
                <w:rtl w:val="true"/>
              </w:rPr>
              <w:tab/>
            </w:r>
            <w:r>
              <w:rPr>
                <w:rStyle w:val="IndexLink"/>
              </w:rPr>
              <w:t>23</w:t>
            </w:r>
          </w:hyperlink>
        </w:p>
        <w:p>
          <w:pPr>
            <w:pStyle w:val="Contents3"/>
            <w:tabs>
              <w:tab w:val="clear" w:pos="8459"/>
              <w:tab w:val="right" w:pos="9026" w:leader="dot"/>
            </w:tabs>
            <w:rPr/>
          </w:pPr>
          <w:hyperlink w:anchor="__RefHeading___Toc12040655_1280447820">
            <w:r>
              <w:rPr>
                <w:webHidden/>
                <w:rStyle w:val="IndexLink"/>
                <w:rtl w:val="true"/>
              </w:rPr>
              <w:t>بهداشت جسم و روان در عصر جاهلی</w:t>
            </w:r>
            <w:r>
              <w:rPr>
                <w:rStyle w:val="IndexLink"/>
                <w:rtl w:val="true"/>
              </w:rPr>
              <w:tab/>
            </w:r>
            <w:r>
              <w:rPr>
                <w:rStyle w:val="IndexLink"/>
              </w:rPr>
              <w:t>23</w:t>
            </w:r>
          </w:hyperlink>
        </w:p>
        <w:p>
          <w:pPr>
            <w:pStyle w:val="Contents3"/>
            <w:tabs>
              <w:tab w:val="clear" w:pos="8459"/>
              <w:tab w:val="right" w:pos="9026" w:leader="dot"/>
            </w:tabs>
            <w:rPr/>
          </w:pPr>
          <w:hyperlink w:anchor="__RefHeading___Toc12040657_1280447820">
            <w:r>
              <w:rPr>
                <w:webHidden/>
                <w:rStyle w:val="IndexLink"/>
                <w:rtl w:val="true"/>
              </w:rPr>
              <w:t>جاهلیت، بازه زمانی و مکانی</w:t>
            </w:r>
            <w:r>
              <w:rPr>
                <w:rStyle w:val="IndexLink"/>
                <w:rtl w:val="true"/>
              </w:rPr>
              <w:tab/>
            </w:r>
            <w:r>
              <w:rPr>
                <w:rStyle w:val="IndexLink"/>
              </w:rPr>
              <w:t>25</w:t>
            </w:r>
          </w:hyperlink>
        </w:p>
        <w:p>
          <w:pPr>
            <w:pStyle w:val="Contents3"/>
            <w:tabs>
              <w:tab w:val="clear" w:pos="8459"/>
              <w:tab w:val="right" w:pos="9026" w:leader="dot"/>
            </w:tabs>
            <w:rPr/>
          </w:pPr>
          <w:hyperlink w:anchor="__RefHeading___Toc12040659_1280447820">
            <w:r>
              <w:rPr>
                <w:webHidden/>
                <w:rStyle w:val="IndexLink"/>
                <w:rtl w:val="true"/>
              </w:rPr>
              <w:t>وضعیت بهداشت جسمی در جاهلیت</w:t>
            </w:r>
            <w:r>
              <w:rPr>
                <w:rStyle w:val="IndexLink"/>
                <w:rtl w:val="true"/>
              </w:rPr>
              <w:tab/>
            </w:r>
            <w:r>
              <w:rPr>
                <w:rStyle w:val="IndexLink"/>
              </w:rPr>
              <w:t>26</w:t>
            </w:r>
          </w:hyperlink>
        </w:p>
        <w:p>
          <w:pPr>
            <w:pStyle w:val="Contents4"/>
            <w:tabs>
              <w:tab w:val="clear" w:pos="8176"/>
              <w:tab w:val="right" w:pos="9026" w:leader="dot"/>
            </w:tabs>
            <w:rPr/>
          </w:pPr>
          <w:hyperlink w:anchor="__RefHeading___Toc12040661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2040663_1280447820">
            <w:r>
              <w:rPr>
                <w:webHidden/>
                <w:rStyle w:val="IndexLink"/>
                <w:rtl w:val="true"/>
              </w:rPr>
              <w:t>علل عدم رعایت بهداشت در عصر جاهلی</w:t>
            </w:r>
            <w:r>
              <w:rPr>
                <w:rStyle w:val="IndexLink"/>
                <w:rtl w:val="true"/>
              </w:rPr>
              <w:tab/>
            </w:r>
            <w:r>
              <w:rPr>
                <w:rStyle w:val="IndexLink"/>
              </w:rPr>
              <w:t>27</w:t>
            </w:r>
          </w:hyperlink>
        </w:p>
        <w:p>
          <w:pPr>
            <w:pStyle w:val="Contents5"/>
            <w:tabs>
              <w:tab w:val="clear" w:pos="7892"/>
              <w:tab w:val="right" w:pos="9026" w:leader="dot"/>
            </w:tabs>
            <w:rPr/>
          </w:pPr>
          <w:hyperlink w:anchor="__RefHeading___Toc12040665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2040667_1280447820">
            <w:r>
              <w:rPr>
                <w:webHidden/>
                <w:rStyle w:val="IndexLink"/>
                <w:rtl w:val="true"/>
              </w:rPr>
              <w:t>عدم وجود امکانات کافی</w:t>
            </w:r>
            <w:r>
              <w:rPr>
                <w:rStyle w:val="IndexLink"/>
                <w:rtl w:val="true"/>
              </w:rPr>
              <w:tab/>
            </w:r>
            <w:r>
              <w:rPr>
                <w:rStyle w:val="IndexLink"/>
              </w:rPr>
              <w:t>27</w:t>
            </w:r>
          </w:hyperlink>
        </w:p>
        <w:p>
          <w:pPr>
            <w:pStyle w:val="Contents5"/>
            <w:tabs>
              <w:tab w:val="clear" w:pos="7892"/>
              <w:tab w:val="right" w:pos="9026" w:leader="dot"/>
            </w:tabs>
            <w:rPr/>
          </w:pPr>
          <w:hyperlink w:anchor="__RefHeading___Toc12040669_1280447820">
            <w:r>
              <w:rPr>
                <w:webHidden/>
                <w:rStyle w:val="IndexLink"/>
                <w:rtl w:val="true"/>
              </w:rPr>
              <w:t>جنگ ها</w:t>
            </w:r>
            <w:r>
              <w:rPr>
                <w:rStyle w:val="IndexLink"/>
                <w:rtl w:val="true"/>
              </w:rPr>
              <w:tab/>
            </w:r>
            <w:r>
              <w:rPr>
                <w:rStyle w:val="IndexLink"/>
              </w:rPr>
              <w:t>27</w:t>
            </w:r>
          </w:hyperlink>
        </w:p>
        <w:p>
          <w:pPr>
            <w:pStyle w:val="Contents5"/>
            <w:tabs>
              <w:tab w:val="clear" w:pos="7892"/>
              <w:tab w:val="right" w:pos="9026" w:leader="dot"/>
            </w:tabs>
            <w:rPr/>
          </w:pPr>
          <w:hyperlink w:anchor="__RefHeading___Toc12040671_1280447820">
            <w:r>
              <w:rPr>
                <w:webHidden/>
                <w:rStyle w:val="IndexLink"/>
                <w:rtl w:val="true"/>
              </w:rPr>
              <w:t>بی مبالاتی</w:t>
            </w:r>
            <w:r>
              <w:rPr>
                <w:rStyle w:val="IndexLink"/>
                <w:rtl w:val="true"/>
              </w:rPr>
              <w:tab/>
            </w:r>
            <w:r>
              <w:rPr>
                <w:rStyle w:val="IndexLink"/>
              </w:rPr>
              <w:t>27</w:t>
            </w:r>
          </w:hyperlink>
        </w:p>
        <w:p>
          <w:pPr>
            <w:pStyle w:val="Contents4"/>
            <w:tabs>
              <w:tab w:val="clear" w:pos="8176"/>
              <w:tab w:val="right" w:pos="9026" w:leader="dot"/>
            </w:tabs>
            <w:rPr/>
          </w:pPr>
          <w:hyperlink w:anchor="__RefHeading___Toc12040673_1280447820">
            <w:r>
              <w:rPr>
                <w:webHidden/>
                <w:rStyle w:val="IndexLink"/>
                <w:rtl w:val="true"/>
              </w:rPr>
              <w:t>مواردی از عدم مراعات بهداشت</w:t>
            </w:r>
            <w:r>
              <w:rPr>
                <w:rStyle w:val="IndexLink"/>
                <w:rtl w:val="true"/>
              </w:rPr>
              <w:tab/>
            </w:r>
            <w:r>
              <w:rPr>
                <w:rStyle w:val="IndexLink"/>
              </w:rPr>
              <w:t>28</w:t>
            </w:r>
          </w:hyperlink>
        </w:p>
        <w:p>
          <w:pPr>
            <w:pStyle w:val="Contents5"/>
            <w:tabs>
              <w:tab w:val="clear" w:pos="7892"/>
              <w:tab w:val="right" w:pos="9026" w:leader="dot"/>
            </w:tabs>
            <w:rPr/>
          </w:pPr>
          <w:hyperlink w:anchor="__RefHeading___Toc12040675_128044782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2040677_1280447820">
            <w:r>
              <w:rPr>
                <w:webHidden/>
                <w:rStyle w:val="IndexLink"/>
                <w:rtl w:val="true"/>
              </w:rPr>
              <w:t>آویختن استخوان و کثافت بر گردن بیمار</w:t>
            </w:r>
            <w:r>
              <w:rPr>
                <w:rStyle w:val="IndexLink"/>
                <w:rtl w:val="true"/>
              </w:rPr>
              <w:tab/>
            </w:r>
            <w:r>
              <w:rPr>
                <w:rStyle w:val="IndexLink"/>
              </w:rPr>
              <w:t>28</w:t>
            </w:r>
          </w:hyperlink>
        </w:p>
        <w:p>
          <w:pPr>
            <w:pStyle w:val="Contents5"/>
            <w:tabs>
              <w:tab w:val="clear" w:pos="7892"/>
              <w:tab w:val="right" w:pos="9026" w:leader="dot"/>
            </w:tabs>
            <w:rPr/>
          </w:pPr>
          <w:hyperlink w:anchor="__RefHeading___Toc12040679_1280447820">
            <w:r>
              <w:rPr>
                <w:webHidden/>
                <w:rStyle w:val="IndexLink"/>
                <w:rtl w:val="true"/>
              </w:rPr>
              <w:t>خوردن گوشت درندگان</w:t>
            </w:r>
            <w:r>
              <w:rPr>
                <w:rStyle w:val="IndexLink"/>
                <w:rtl w:val="true"/>
              </w:rPr>
              <w:tab/>
            </w:r>
            <w:r>
              <w:rPr>
                <w:rStyle w:val="IndexLink"/>
              </w:rPr>
              <w:t>28</w:t>
            </w:r>
          </w:hyperlink>
        </w:p>
        <w:p>
          <w:pPr>
            <w:pStyle w:val="Contents4"/>
            <w:tabs>
              <w:tab w:val="clear" w:pos="8176"/>
              <w:tab w:val="right" w:pos="9026" w:leader="dot"/>
            </w:tabs>
            <w:rPr/>
          </w:pPr>
          <w:hyperlink w:anchor="__RefHeading___Toc12040681_1280447820">
            <w:r>
              <w:rPr>
                <w:webHidden/>
                <w:rStyle w:val="IndexLink"/>
                <w:rtl w:val="true"/>
              </w:rPr>
              <w:t>وضع بهداشت جسمی دوره جاهلی در روایات</w:t>
            </w:r>
            <w:r>
              <w:rPr>
                <w:rStyle w:val="IndexLink"/>
                <w:rtl w:val="true"/>
              </w:rPr>
              <w:tab/>
            </w:r>
            <w:r>
              <w:rPr>
                <w:rStyle w:val="IndexLink"/>
              </w:rPr>
              <w:t>29</w:t>
            </w:r>
          </w:hyperlink>
        </w:p>
        <w:p>
          <w:pPr>
            <w:pStyle w:val="Contents4"/>
            <w:tabs>
              <w:tab w:val="clear" w:pos="8176"/>
              <w:tab w:val="right" w:pos="9026" w:leader="dot"/>
            </w:tabs>
            <w:rPr/>
          </w:pPr>
          <w:hyperlink w:anchor="__RefHeading___Toc12040683_1280447820">
            <w:r>
              <w:rPr>
                <w:webHidden/>
                <w:rStyle w:val="IndexLink"/>
                <w:rtl w:val="true"/>
              </w:rPr>
              <w:t>بی مبالاتی نسبت به بهداشت جسمی</w:t>
            </w:r>
            <w:r>
              <w:rPr>
                <w:rStyle w:val="IndexLink"/>
                <w:rtl w:val="true"/>
              </w:rPr>
              <w:tab/>
            </w:r>
            <w:r>
              <w:rPr>
                <w:rStyle w:val="IndexLink"/>
              </w:rPr>
              <w:t>29</w:t>
            </w:r>
          </w:hyperlink>
        </w:p>
        <w:p>
          <w:pPr>
            <w:pStyle w:val="Contents5"/>
            <w:tabs>
              <w:tab w:val="clear" w:pos="7892"/>
              <w:tab w:val="right" w:pos="9026" w:leader="dot"/>
            </w:tabs>
            <w:rPr/>
          </w:pPr>
          <w:hyperlink w:anchor="__RefHeading___Toc12040685_12804478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2040687_1280447820">
            <w:r>
              <w:rPr>
                <w:webHidden/>
                <w:rStyle w:val="IndexLink"/>
                <w:rtl w:val="true"/>
              </w:rPr>
              <w:t>بی مبالاتی نسبت به نظافت حیاط خانه</w:t>
            </w:r>
            <w:r>
              <w:rPr>
                <w:rStyle w:val="IndexLink"/>
                <w:rtl w:val="true"/>
              </w:rPr>
              <w:tab/>
            </w:r>
            <w:r>
              <w:rPr>
                <w:rStyle w:val="IndexLink"/>
              </w:rPr>
              <w:t>29</w:t>
            </w:r>
          </w:hyperlink>
        </w:p>
        <w:p>
          <w:pPr>
            <w:pStyle w:val="Contents5"/>
            <w:tabs>
              <w:tab w:val="clear" w:pos="7892"/>
              <w:tab w:val="right" w:pos="9026" w:leader="dot"/>
            </w:tabs>
            <w:rPr/>
          </w:pPr>
          <w:hyperlink w:anchor="__RefHeading___Toc12040689_1280447820">
            <w:r>
              <w:rPr>
                <w:webHidden/>
                <w:rStyle w:val="IndexLink"/>
                <w:rtl w:val="true"/>
              </w:rPr>
              <w:t>بی مبالاتی نسبت به تار عنکبوت خانه</w:t>
            </w:r>
            <w:r>
              <w:rPr>
                <w:rStyle w:val="IndexLink"/>
                <w:rtl w:val="true"/>
              </w:rPr>
              <w:tab/>
            </w:r>
            <w:r>
              <w:rPr>
                <w:rStyle w:val="IndexLink"/>
              </w:rPr>
              <w:t>30</w:t>
            </w:r>
          </w:hyperlink>
        </w:p>
        <w:p>
          <w:pPr>
            <w:pStyle w:val="Contents5"/>
            <w:tabs>
              <w:tab w:val="clear" w:pos="7892"/>
              <w:tab w:val="right" w:pos="9026" w:leader="dot"/>
            </w:tabs>
            <w:rPr/>
          </w:pPr>
          <w:hyperlink w:anchor="__RefHeading___Toc12040691_1280447820">
            <w:r>
              <w:rPr>
                <w:webHidden/>
                <w:rStyle w:val="IndexLink"/>
                <w:rtl w:val="true"/>
              </w:rPr>
              <w:t>انداختن دستمال کثیف در خانه</w:t>
            </w:r>
            <w:r>
              <w:rPr>
                <w:rStyle w:val="IndexLink"/>
                <w:rtl w:val="true"/>
              </w:rPr>
              <w:tab/>
            </w:r>
            <w:r>
              <w:rPr>
                <w:rStyle w:val="IndexLink"/>
              </w:rPr>
              <w:t>31</w:t>
            </w:r>
          </w:hyperlink>
        </w:p>
        <w:p>
          <w:pPr>
            <w:pStyle w:val="Contents5"/>
            <w:tabs>
              <w:tab w:val="clear" w:pos="7892"/>
              <w:tab w:val="right" w:pos="9026" w:leader="dot"/>
            </w:tabs>
            <w:rPr/>
          </w:pPr>
          <w:hyperlink w:anchor="__RefHeading___Toc12040693_1280447820">
            <w:r>
              <w:rPr>
                <w:webHidden/>
                <w:rStyle w:val="IndexLink"/>
                <w:rtl w:val="true"/>
              </w:rPr>
              <w:t>بی اهمیتی به نظافت ناخن</w:t>
            </w:r>
            <w:r>
              <w:rPr>
                <w:rStyle w:val="IndexLink"/>
                <w:rtl w:val="true"/>
              </w:rPr>
              <w:tab/>
            </w:r>
            <w:r>
              <w:rPr>
                <w:rStyle w:val="IndexLink"/>
              </w:rPr>
              <w:t>32</w:t>
            </w:r>
          </w:hyperlink>
        </w:p>
        <w:p>
          <w:pPr>
            <w:pStyle w:val="Contents5"/>
            <w:tabs>
              <w:tab w:val="clear" w:pos="7892"/>
              <w:tab w:val="right" w:pos="9026" w:leader="dot"/>
            </w:tabs>
            <w:rPr/>
          </w:pPr>
          <w:hyperlink w:anchor="__RefHeading___Toc12040695_1280447820">
            <w:r>
              <w:rPr>
                <w:webHidden/>
                <w:rStyle w:val="IndexLink"/>
                <w:rtl w:val="true"/>
              </w:rPr>
              <w:t>بی اهمیتی به نظافت لباس</w:t>
            </w:r>
            <w:r>
              <w:rPr>
                <w:rStyle w:val="IndexLink"/>
                <w:rtl w:val="true"/>
              </w:rPr>
              <w:tab/>
            </w:r>
            <w:r>
              <w:rPr>
                <w:rStyle w:val="IndexLink"/>
              </w:rPr>
              <w:t>33</w:t>
            </w:r>
          </w:hyperlink>
        </w:p>
        <w:p>
          <w:pPr>
            <w:pStyle w:val="Contents5"/>
            <w:tabs>
              <w:tab w:val="clear" w:pos="7892"/>
              <w:tab w:val="right" w:pos="9026" w:leader="dot"/>
            </w:tabs>
            <w:rPr/>
          </w:pPr>
          <w:hyperlink w:anchor="__RefHeading___Toc12040697_1280447820">
            <w:r>
              <w:rPr>
                <w:webHidden/>
                <w:rStyle w:val="IndexLink"/>
                <w:rtl w:val="true"/>
              </w:rPr>
              <w:t>بی اهمیتی به نظافت بدن</w:t>
            </w:r>
            <w:r>
              <w:rPr>
                <w:rStyle w:val="IndexLink"/>
                <w:rtl w:val="true"/>
              </w:rPr>
              <w:tab/>
            </w:r>
            <w:r>
              <w:rPr>
                <w:rStyle w:val="IndexLink"/>
              </w:rPr>
              <w:t>34</w:t>
            </w:r>
          </w:hyperlink>
        </w:p>
        <w:p>
          <w:pPr>
            <w:pStyle w:val="Contents4"/>
            <w:tabs>
              <w:tab w:val="clear" w:pos="8176"/>
              <w:tab w:val="right" w:pos="9026" w:leader="dot"/>
            </w:tabs>
            <w:rPr/>
          </w:pPr>
          <w:hyperlink w:anchor="__RefHeading___Toc12040699_1280447820">
            <w:r>
              <w:rPr>
                <w:webHidden/>
                <w:rStyle w:val="IndexLink"/>
                <w:rtl w:val="true"/>
              </w:rPr>
              <w:t>بهداشت روان در جاهلیت</w:t>
            </w:r>
            <w:r>
              <w:rPr>
                <w:rStyle w:val="IndexLink"/>
                <w:rtl w:val="true"/>
              </w:rPr>
              <w:tab/>
            </w:r>
            <w:r>
              <w:rPr>
                <w:rStyle w:val="IndexLink"/>
              </w:rPr>
              <w:t>34</w:t>
            </w:r>
          </w:hyperlink>
        </w:p>
        <w:p>
          <w:pPr>
            <w:pStyle w:val="Contents5"/>
            <w:tabs>
              <w:tab w:val="clear" w:pos="7892"/>
              <w:tab w:val="right" w:pos="9026" w:leader="dot"/>
            </w:tabs>
            <w:rPr/>
          </w:pPr>
          <w:hyperlink w:anchor="__RefHeading___Toc12040701_12804478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2040703_1280447820">
            <w:r>
              <w:rPr>
                <w:webHidden/>
                <w:rStyle w:val="IndexLink"/>
                <w:rtl w:val="true"/>
              </w:rPr>
              <w:t>فقدان ایمان به خدا و رواج بت پرستی</w:t>
            </w:r>
            <w:r>
              <w:rPr>
                <w:rStyle w:val="IndexLink"/>
                <w:rtl w:val="true"/>
              </w:rPr>
              <w:tab/>
            </w:r>
            <w:r>
              <w:rPr>
                <w:rStyle w:val="IndexLink"/>
              </w:rPr>
              <w:t>35</w:t>
            </w:r>
          </w:hyperlink>
        </w:p>
        <w:p>
          <w:pPr>
            <w:pStyle w:val="Contents5"/>
            <w:tabs>
              <w:tab w:val="clear" w:pos="7892"/>
              <w:tab w:val="right" w:pos="9026" w:leader="dot"/>
            </w:tabs>
            <w:rPr/>
          </w:pPr>
          <w:hyperlink w:anchor="__RefHeading___Toc12040705_1280447820">
            <w:r>
              <w:rPr>
                <w:webHidden/>
                <w:rStyle w:val="IndexLink"/>
                <w:rtl w:val="true"/>
              </w:rPr>
              <w:t>یأس و نا امیدی</w:t>
            </w:r>
            <w:r>
              <w:rPr>
                <w:rStyle w:val="IndexLink"/>
                <w:rtl w:val="true"/>
              </w:rPr>
              <w:tab/>
            </w:r>
            <w:r>
              <w:rPr>
                <w:rStyle w:val="IndexLink"/>
              </w:rPr>
              <w:t>36</w:t>
            </w:r>
          </w:hyperlink>
        </w:p>
        <w:p>
          <w:pPr>
            <w:pStyle w:val="Contents5"/>
            <w:tabs>
              <w:tab w:val="clear" w:pos="7892"/>
              <w:tab w:val="right" w:pos="9026" w:leader="dot"/>
            </w:tabs>
            <w:rPr/>
          </w:pPr>
          <w:hyperlink w:anchor="__RefHeading___Toc12040707_1280447820">
            <w:r>
              <w:rPr>
                <w:webHidden/>
                <w:rStyle w:val="IndexLink"/>
                <w:rtl w:val="true"/>
              </w:rPr>
              <w:t>احساس فنا و نابودی</w:t>
            </w:r>
            <w:r>
              <w:rPr>
                <w:rStyle w:val="IndexLink"/>
                <w:rtl w:val="true"/>
              </w:rPr>
              <w:tab/>
            </w:r>
            <w:r>
              <w:rPr>
                <w:rStyle w:val="IndexLink"/>
              </w:rPr>
              <w:t>37</w:t>
            </w:r>
          </w:hyperlink>
        </w:p>
        <w:p>
          <w:pPr>
            <w:pStyle w:val="Contents5"/>
            <w:tabs>
              <w:tab w:val="clear" w:pos="7892"/>
              <w:tab w:val="right" w:pos="9026" w:leader="dot"/>
            </w:tabs>
            <w:rPr/>
          </w:pPr>
          <w:hyperlink w:anchor="__RefHeading___Toc12040709_1280447820">
            <w:r>
              <w:rPr>
                <w:webHidden/>
                <w:rStyle w:val="IndexLink"/>
                <w:rtl w:val="true"/>
              </w:rPr>
              <w:t>ترس</w:t>
            </w:r>
            <w:r>
              <w:rPr>
                <w:rStyle w:val="IndexLink"/>
                <w:rtl w:val="true"/>
              </w:rPr>
              <w:tab/>
            </w:r>
            <w:r>
              <w:rPr>
                <w:rStyle w:val="IndexLink"/>
              </w:rPr>
              <w:t>38</w:t>
            </w:r>
          </w:hyperlink>
        </w:p>
        <w:p>
          <w:pPr>
            <w:pStyle w:val="Contents5"/>
            <w:tabs>
              <w:tab w:val="clear" w:pos="7892"/>
              <w:tab w:val="right" w:pos="9026" w:leader="dot"/>
            </w:tabs>
            <w:rPr/>
          </w:pPr>
          <w:hyperlink w:anchor="__RefHeading___Toc12040711_1280447820">
            <w:r>
              <w:rPr>
                <w:webHidden/>
                <w:rStyle w:val="IndexLink"/>
                <w:rtl w:val="true"/>
              </w:rPr>
              <w:t>خرافه گرایی</w:t>
            </w:r>
            <w:r>
              <w:rPr>
                <w:rStyle w:val="IndexLink"/>
                <w:rtl w:val="true"/>
              </w:rPr>
              <w:tab/>
            </w:r>
            <w:r>
              <w:rPr>
                <w:rStyle w:val="IndexLink"/>
              </w:rPr>
              <w:t>39</w:t>
            </w:r>
          </w:hyperlink>
        </w:p>
        <w:p>
          <w:pPr>
            <w:pStyle w:val="Contents5"/>
            <w:tabs>
              <w:tab w:val="clear" w:pos="7892"/>
              <w:tab w:val="right" w:pos="9026" w:leader="dot"/>
            </w:tabs>
            <w:rPr/>
          </w:pPr>
          <w:hyperlink w:anchor="__RefHeading___Toc12040713_1280447820">
            <w:r>
              <w:rPr>
                <w:webHidden/>
                <w:rStyle w:val="IndexLink"/>
                <w:rtl w:val="true"/>
              </w:rPr>
              <w:t xml:space="preserve">فال نیک و بد </w:t>
            </w:r>
            <w:r>
              <w:rPr>
                <w:rStyle w:val="IndexLink"/>
                <w:rtl w:val="true"/>
              </w:rPr>
              <w:t>(</w:t>
            </w:r>
            <w:r>
              <w:rPr>
                <w:rStyle w:val="IndexLink"/>
                <w:rtl w:val="true"/>
              </w:rPr>
              <w:t>تفأل و تطیّر</w:t>
            </w:r>
            <w:r>
              <w:rPr>
                <w:rStyle w:val="IndexLink"/>
                <w:rtl w:val="true"/>
              </w:rPr>
              <w:t>)</w:t>
              <w:tab/>
            </w:r>
            <w:r>
              <w:rPr>
                <w:rStyle w:val="IndexLink"/>
              </w:rPr>
              <w:t>40</w:t>
            </w:r>
          </w:hyperlink>
        </w:p>
        <w:p>
          <w:pPr>
            <w:pStyle w:val="Contents5"/>
            <w:tabs>
              <w:tab w:val="clear" w:pos="7892"/>
              <w:tab w:val="right" w:pos="9026" w:leader="dot"/>
            </w:tabs>
            <w:rPr/>
          </w:pPr>
          <w:hyperlink w:anchor="__RefHeading___Toc12040715_1280447820">
            <w:r>
              <w:rPr>
                <w:webHidden/>
                <w:rStyle w:val="IndexLink"/>
                <w:rtl w:val="true"/>
              </w:rPr>
              <w:t>آویختن اشیای جادویی برای درمان چشم زخم</w:t>
            </w:r>
            <w:r>
              <w:rPr>
                <w:rStyle w:val="IndexLink"/>
                <w:rtl w:val="true"/>
              </w:rPr>
              <w:tab/>
            </w:r>
            <w:r>
              <w:rPr>
                <w:rStyle w:val="IndexLink"/>
              </w:rPr>
              <w:t>40</w:t>
            </w:r>
          </w:hyperlink>
        </w:p>
        <w:p>
          <w:pPr>
            <w:pStyle w:val="Contents5"/>
            <w:tabs>
              <w:tab w:val="clear" w:pos="7892"/>
              <w:tab w:val="right" w:pos="9026" w:leader="dot"/>
            </w:tabs>
            <w:rPr/>
          </w:pPr>
          <w:hyperlink w:anchor="__RefHeading___Toc12040717_1280447820">
            <w:r>
              <w:rPr>
                <w:webHidden/>
                <w:rStyle w:val="IndexLink"/>
                <w:rtl w:val="true"/>
              </w:rPr>
              <w:t>سعد و نحس ایام</w:t>
            </w:r>
            <w:r>
              <w:rPr>
                <w:rStyle w:val="IndexLink"/>
                <w:rtl w:val="true"/>
              </w:rPr>
              <w:tab/>
            </w:r>
            <w:r>
              <w:rPr>
                <w:rStyle w:val="IndexLink"/>
              </w:rPr>
              <w:t>41</w:t>
            </w:r>
          </w:hyperlink>
        </w:p>
        <w:p>
          <w:pPr>
            <w:pStyle w:val="Contents5"/>
            <w:tabs>
              <w:tab w:val="clear" w:pos="7892"/>
              <w:tab w:val="right" w:pos="9026" w:leader="dot"/>
            </w:tabs>
            <w:rPr/>
          </w:pPr>
          <w:hyperlink w:anchor="__RefHeading___Toc12040719_1280447820">
            <w:r>
              <w:rPr>
                <w:webHidden/>
                <w:rStyle w:val="IndexLink"/>
                <w:rtl w:val="true"/>
              </w:rPr>
              <w:t>عطسه کردن</w:t>
            </w:r>
            <w:r>
              <w:rPr>
                <w:rStyle w:val="IndexLink"/>
                <w:rtl w:val="true"/>
              </w:rPr>
              <w:tab/>
            </w:r>
            <w:r>
              <w:rPr>
                <w:rStyle w:val="IndexLink"/>
              </w:rPr>
              <w:t>41</w:t>
            </w:r>
          </w:hyperlink>
        </w:p>
        <w:p>
          <w:pPr>
            <w:pStyle w:val="Contents4"/>
            <w:tabs>
              <w:tab w:val="clear" w:pos="8176"/>
              <w:tab w:val="right" w:pos="9026" w:leader="dot"/>
            </w:tabs>
            <w:rPr/>
          </w:pPr>
          <w:hyperlink w:anchor="__RefHeading___Toc12040721_1280447820">
            <w:r>
              <w:rPr>
                <w:webHidden/>
                <w:rStyle w:val="IndexLink"/>
                <w:rtl w:val="true"/>
              </w:rPr>
              <w:t>امنیت جنسی</w:t>
            </w:r>
            <w:r>
              <w:rPr>
                <w:rStyle w:val="IndexLink"/>
                <w:rtl w:val="true"/>
              </w:rPr>
              <w:tab/>
            </w:r>
            <w:r>
              <w:rPr>
                <w:rStyle w:val="IndexLink"/>
              </w:rPr>
              <w:t>41</w:t>
            </w:r>
          </w:hyperlink>
        </w:p>
        <w:p>
          <w:pPr>
            <w:pStyle w:val="Contents5"/>
            <w:tabs>
              <w:tab w:val="clear" w:pos="7892"/>
              <w:tab w:val="right" w:pos="9026" w:leader="dot"/>
            </w:tabs>
            <w:rPr/>
          </w:pPr>
          <w:hyperlink w:anchor="__RefHeading___Toc12040723_12804478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2040725_1280447820">
            <w:r>
              <w:rPr>
                <w:webHidden/>
                <w:rStyle w:val="IndexLink"/>
                <w:rtl w:val="true"/>
              </w:rPr>
              <w:t xml:space="preserve">نکاح ضیزن </w:t>
            </w:r>
            <w:r>
              <w:rPr>
                <w:rStyle w:val="IndexLink"/>
                <w:rtl w:val="true"/>
              </w:rPr>
              <w:t>(</w:t>
            </w:r>
            <w:r>
              <w:rPr>
                <w:rStyle w:val="IndexLink"/>
                <w:rtl w:val="true"/>
              </w:rPr>
              <w:t>نکاح مَقت، وراثتی</w:t>
            </w:r>
            <w:r>
              <w:rPr>
                <w:rStyle w:val="IndexLink"/>
                <w:rtl w:val="true"/>
              </w:rPr>
              <w:t>)</w:t>
              <w:tab/>
            </w:r>
            <w:r>
              <w:rPr>
                <w:rStyle w:val="IndexLink"/>
              </w:rPr>
              <w:t>42</w:t>
            </w:r>
          </w:hyperlink>
        </w:p>
        <w:p>
          <w:pPr>
            <w:pStyle w:val="Contents5"/>
            <w:tabs>
              <w:tab w:val="clear" w:pos="7892"/>
              <w:tab w:val="right" w:pos="9026" w:leader="dot"/>
            </w:tabs>
            <w:rPr/>
          </w:pPr>
          <w:hyperlink w:anchor="__RefHeading___Toc12040727_1280447820">
            <w:r>
              <w:rPr>
                <w:webHidden/>
                <w:rStyle w:val="IndexLink"/>
                <w:rtl w:val="true"/>
              </w:rPr>
              <w:t>جمع بیت الأختین</w:t>
            </w:r>
            <w:r>
              <w:rPr>
                <w:rStyle w:val="IndexLink"/>
                <w:rtl w:val="true"/>
              </w:rPr>
              <w:tab/>
            </w:r>
            <w:r>
              <w:rPr>
                <w:rStyle w:val="IndexLink"/>
              </w:rPr>
              <w:t>43</w:t>
            </w:r>
          </w:hyperlink>
        </w:p>
        <w:p>
          <w:pPr>
            <w:pStyle w:val="Contents5"/>
            <w:tabs>
              <w:tab w:val="clear" w:pos="7892"/>
              <w:tab w:val="right" w:pos="9026" w:leader="dot"/>
            </w:tabs>
            <w:rPr/>
          </w:pPr>
          <w:hyperlink w:anchor="__RefHeading___Toc12040729_1280447820">
            <w:r>
              <w:rPr>
                <w:webHidden/>
                <w:rStyle w:val="IndexLink"/>
                <w:rtl w:val="true"/>
              </w:rPr>
              <w:t>نکاح شغار</w:t>
            </w:r>
            <w:r>
              <w:rPr>
                <w:rStyle w:val="IndexLink"/>
                <w:rtl w:val="true"/>
              </w:rPr>
              <w:tab/>
            </w:r>
            <w:r>
              <w:rPr>
                <w:rStyle w:val="IndexLink"/>
              </w:rPr>
              <w:t>43</w:t>
            </w:r>
          </w:hyperlink>
        </w:p>
        <w:p>
          <w:pPr>
            <w:pStyle w:val="Contents5"/>
            <w:tabs>
              <w:tab w:val="clear" w:pos="7892"/>
              <w:tab w:val="right" w:pos="9026" w:leader="dot"/>
            </w:tabs>
            <w:rPr/>
          </w:pPr>
          <w:hyperlink w:anchor="__RefHeading___Toc12040731_1280447820">
            <w:r>
              <w:rPr>
                <w:webHidden/>
                <w:rStyle w:val="IndexLink"/>
                <w:rtl w:val="true"/>
              </w:rPr>
              <w:t>نکاح بدل</w:t>
            </w:r>
            <w:r>
              <w:rPr>
                <w:rStyle w:val="IndexLink"/>
                <w:rtl w:val="true"/>
              </w:rPr>
              <w:tab/>
            </w:r>
            <w:r>
              <w:rPr>
                <w:rStyle w:val="IndexLink"/>
              </w:rPr>
              <w:t>43</w:t>
            </w:r>
          </w:hyperlink>
        </w:p>
        <w:p>
          <w:pPr>
            <w:pStyle w:val="Contents5"/>
            <w:tabs>
              <w:tab w:val="clear" w:pos="7892"/>
              <w:tab w:val="right" w:pos="9026" w:leader="dot"/>
            </w:tabs>
            <w:rPr/>
          </w:pPr>
          <w:hyperlink w:anchor="__RefHeading___Toc12040733_1280447820">
            <w:r>
              <w:rPr>
                <w:webHidden/>
                <w:rStyle w:val="IndexLink"/>
                <w:rtl w:val="true"/>
              </w:rPr>
              <w:t>نکاح استبضاع</w:t>
            </w:r>
            <w:r>
              <w:rPr>
                <w:rStyle w:val="IndexLink"/>
                <w:rtl w:val="true"/>
              </w:rPr>
              <w:tab/>
            </w:r>
            <w:r>
              <w:rPr>
                <w:rStyle w:val="IndexLink"/>
              </w:rPr>
              <w:t>44</w:t>
            </w:r>
          </w:hyperlink>
        </w:p>
        <w:p>
          <w:pPr>
            <w:pStyle w:val="Contents5"/>
            <w:tabs>
              <w:tab w:val="clear" w:pos="7892"/>
              <w:tab w:val="right" w:pos="9026" w:leader="dot"/>
            </w:tabs>
            <w:rPr/>
          </w:pPr>
          <w:hyperlink w:anchor="__RefHeading___Toc12040735_1280447820">
            <w:r>
              <w:rPr>
                <w:webHidden/>
                <w:rStyle w:val="IndexLink"/>
                <w:rtl w:val="true"/>
              </w:rPr>
              <w:t>مضامده</w:t>
            </w:r>
            <w:r>
              <w:rPr>
                <w:rStyle w:val="IndexLink"/>
                <w:rtl w:val="true"/>
              </w:rPr>
              <w:tab/>
            </w:r>
            <w:r>
              <w:rPr>
                <w:rStyle w:val="IndexLink"/>
              </w:rPr>
              <w:t>44</w:t>
            </w:r>
          </w:hyperlink>
        </w:p>
        <w:p>
          <w:pPr>
            <w:pStyle w:val="Contents5"/>
            <w:tabs>
              <w:tab w:val="clear" w:pos="7892"/>
              <w:tab w:val="right" w:pos="9026" w:leader="dot"/>
            </w:tabs>
            <w:rPr/>
          </w:pPr>
          <w:hyperlink w:anchor="__RefHeading___Toc12040737_1280447820">
            <w:r>
              <w:rPr>
                <w:webHidden/>
                <w:rStyle w:val="IndexLink"/>
                <w:rtl w:val="true"/>
              </w:rPr>
              <w:t>مخادنه</w:t>
            </w:r>
            <w:r>
              <w:rPr>
                <w:rStyle w:val="IndexLink"/>
                <w:rtl w:val="true"/>
              </w:rPr>
              <w:tab/>
            </w:r>
            <w:r>
              <w:rPr>
                <w:rStyle w:val="IndexLink"/>
              </w:rPr>
              <w:t>45</w:t>
            </w:r>
          </w:hyperlink>
        </w:p>
        <w:p>
          <w:pPr>
            <w:pStyle w:val="Contents5"/>
            <w:tabs>
              <w:tab w:val="clear" w:pos="7892"/>
              <w:tab w:val="right" w:pos="9026" w:leader="dot"/>
            </w:tabs>
            <w:rPr/>
          </w:pPr>
          <w:hyperlink w:anchor="__RefHeading___Toc12040739_1280447820">
            <w:r>
              <w:rPr>
                <w:webHidden/>
                <w:rStyle w:val="IndexLink"/>
                <w:rtl w:val="true"/>
              </w:rPr>
              <w:t>نکاح رهط</w:t>
            </w:r>
            <w:r>
              <w:rPr>
                <w:rStyle w:val="IndexLink"/>
                <w:rtl w:val="true"/>
              </w:rPr>
              <w:tab/>
            </w:r>
            <w:r>
              <w:rPr>
                <w:rStyle w:val="IndexLink"/>
              </w:rPr>
              <w:t>45</w:t>
            </w:r>
          </w:hyperlink>
        </w:p>
        <w:p>
          <w:pPr>
            <w:pStyle w:val="Contents5"/>
            <w:tabs>
              <w:tab w:val="clear" w:pos="7892"/>
              <w:tab w:val="right" w:pos="9026" w:leader="dot"/>
            </w:tabs>
            <w:rPr/>
          </w:pPr>
          <w:hyperlink w:anchor="__RefHeading___Toc12040741_1280447820">
            <w:r>
              <w:rPr>
                <w:webHidden/>
                <w:rStyle w:val="IndexLink"/>
                <w:rtl w:val="true"/>
              </w:rPr>
              <w:t>زنان صاحب رایه</w:t>
            </w:r>
            <w:r>
              <w:rPr>
                <w:rStyle w:val="IndexLink"/>
                <w:rtl w:val="true"/>
              </w:rPr>
              <w:tab/>
            </w:r>
            <w:r>
              <w:rPr>
                <w:rStyle w:val="IndexLink"/>
              </w:rPr>
              <w:t>46</w:t>
            </w:r>
          </w:hyperlink>
        </w:p>
        <w:p>
          <w:pPr>
            <w:pStyle w:val="Contents5"/>
            <w:tabs>
              <w:tab w:val="clear" w:pos="7892"/>
              <w:tab w:val="right" w:pos="9026" w:leader="dot"/>
            </w:tabs>
            <w:rPr/>
          </w:pPr>
          <w:hyperlink w:anchor="__RefHeading___Toc12040743_1280447820">
            <w:r>
              <w:rPr>
                <w:webHidden/>
                <w:rStyle w:val="IndexLink"/>
                <w:rtl w:val="true"/>
              </w:rPr>
              <w:t>اراده خود سرانه مرد در طلاق</w:t>
            </w:r>
            <w:r>
              <w:rPr>
                <w:rStyle w:val="IndexLink"/>
                <w:rtl w:val="true"/>
              </w:rPr>
              <w:tab/>
            </w:r>
            <w:r>
              <w:rPr>
                <w:rStyle w:val="IndexLink"/>
              </w:rPr>
              <w:t>47</w:t>
            </w:r>
          </w:hyperlink>
        </w:p>
        <w:p>
          <w:pPr>
            <w:pStyle w:val="Contents5"/>
            <w:tabs>
              <w:tab w:val="clear" w:pos="7892"/>
              <w:tab w:val="right" w:pos="9026" w:leader="dot"/>
            </w:tabs>
            <w:rPr/>
          </w:pPr>
          <w:hyperlink w:anchor="__RefHeading___Toc12040745_1280447820">
            <w:r>
              <w:rPr>
                <w:webHidden/>
                <w:rStyle w:val="IndexLink"/>
                <w:rtl w:val="true"/>
              </w:rPr>
              <w:t>طلاق صریح و کنایی</w:t>
            </w:r>
            <w:r>
              <w:rPr>
                <w:rStyle w:val="IndexLink"/>
                <w:rtl w:val="true"/>
              </w:rPr>
              <w:tab/>
            </w:r>
            <w:r>
              <w:rPr>
                <w:rStyle w:val="IndexLink"/>
              </w:rPr>
              <w:t>47</w:t>
            </w:r>
          </w:hyperlink>
        </w:p>
        <w:p>
          <w:pPr>
            <w:pStyle w:val="Contents5"/>
            <w:tabs>
              <w:tab w:val="clear" w:pos="7892"/>
              <w:tab w:val="right" w:pos="9026" w:leader="dot"/>
            </w:tabs>
            <w:rPr/>
          </w:pPr>
          <w:hyperlink w:anchor="__RefHeading___Toc12040747_1280447820">
            <w:r>
              <w:rPr>
                <w:webHidden/>
                <w:rStyle w:val="IndexLink"/>
                <w:rtl w:val="true"/>
              </w:rPr>
              <w:t>جلو گیری بستگان از ازدواج مجدد زن مطلقه</w:t>
            </w:r>
            <w:r>
              <w:rPr>
                <w:rStyle w:val="IndexLink"/>
                <w:rtl w:val="true"/>
              </w:rPr>
              <w:tab/>
            </w:r>
            <w:r>
              <w:rPr>
                <w:rStyle w:val="IndexLink"/>
              </w:rPr>
              <w:t>48</w:t>
            </w:r>
          </w:hyperlink>
        </w:p>
        <w:p>
          <w:pPr>
            <w:pStyle w:val="Contents5"/>
            <w:tabs>
              <w:tab w:val="clear" w:pos="7892"/>
              <w:tab w:val="right" w:pos="9026" w:leader="dot"/>
            </w:tabs>
            <w:rPr/>
          </w:pPr>
          <w:hyperlink w:anchor="__RefHeading___Toc12040749_1280447820">
            <w:r>
              <w:rPr>
                <w:webHidden/>
                <w:rStyle w:val="IndexLink"/>
                <w:rtl w:val="true"/>
              </w:rPr>
              <w:t>طلاق و رجوع های مکرر</w:t>
            </w:r>
            <w:r>
              <w:rPr>
                <w:rStyle w:val="IndexLink"/>
                <w:rtl w:val="true"/>
              </w:rPr>
              <w:tab/>
            </w:r>
            <w:r>
              <w:rPr>
                <w:rStyle w:val="IndexLink"/>
              </w:rPr>
              <w:t>48</w:t>
            </w:r>
          </w:hyperlink>
        </w:p>
        <w:p>
          <w:pPr>
            <w:pStyle w:val="Contents5"/>
            <w:tabs>
              <w:tab w:val="clear" w:pos="7892"/>
              <w:tab w:val="right" w:pos="9026" w:leader="dot"/>
            </w:tabs>
            <w:rPr/>
          </w:pPr>
          <w:hyperlink w:anchor="__RefHeading___Toc12040751_1280447820">
            <w:r>
              <w:rPr>
                <w:webHidden/>
                <w:rStyle w:val="IndexLink"/>
                <w:rtl w:val="true"/>
              </w:rPr>
              <w:t>عده طولانی مدت</w:t>
            </w:r>
            <w:r>
              <w:rPr>
                <w:rStyle w:val="IndexLink"/>
                <w:rtl w:val="true"/>
              </w:rPr>
              <w:tab/>
            </w:r>
            <w:r>
              <w:rPr>
                <w:rStyle w:val="IndexLink"/>
              </w:rPr>
              <w:t>49</w:t>
            </w:r>
          </w:hyperlink>
        </w:p>
        <w:p>
          <w:pPr>
            <w:pStyle w:val="Contents5"/>
            <w:tabs>
              <w:tab w:val="clear" w:pos="7892"/>
              <w:tab w:val="right" w:pos="9026" w:leader="dot"/>
            </w:tabs>
            <w:rPr/>
          </w:pPr>
          <w:hyperlink w:anchor="__RefHeading___Toc12040753_1280447820">
            <w:r>
              <w:rPr>
                <w:webHidden/>
                <w:rStyle w:val="IndexLink"/>
                <w:rtl w:val="true"/>
              </w:rPr>
              <w:t>ترس از اسارت دختران</w:t>
            </w:r>
            <w:r>
              <w:rPr>
                <w:rStyle w:val="IndexLink"/>
                <w:rtl w:val="true"/>
              </w:rPr>
              <w:tab/>
            </w:r>
            <w:r>
              <w:rPr>
                <w:rStyle w:val="IndexLink"/>
              </w:rPr>
              <w:t>49</w:t>
            </w:r>
          </w:hyperlink>
        </w:p>
        <w:p>
          <w:pPr>
            <w:pStyle w:val="Contents2"/>
            <w:tabs>
              <w:tab w:val="clear" w:pos="8743"/>
              <w:tab w:val="right" w:pos="9026" w:leader="dot"/>
            </w:tabs>
            <w:rPr/>
          </w:pPr>
          <w:hyperlink w:anchor="__RefHeading___Toc12040755_1280447820">
            <w:r>
              <w:rPr>
                <w:webHidden/>
                <w:rStyle w:val="IndexLink"/>
                <w:rtl w:val="true"/>
              </w:rPr>
              <w:t xml:space="preserve">فصل سوم </w:t>
            </w:r>
            <w:r>
              <w:rPr>
                <w:rStyle w:val="IndexLink"/>
                <w:rtl w:val="true"/>
              </w:rPr>
              <w:t xml:space="preserve">: </w:t>
            </w:r>
            <w:r>
              <w:rPr>
                <w:rStyle w:val="IndexLink"/>
                <w:rtl w:val="true"/>
              </w:rPr>
              <w:t>سیره بهداشت جسمی</w:t>
            </w:r>
            <w:r>
              <w:rPr>
                <w:rStyle w:val="IndexLink"/>
                <w:rtl w:val="true"/>
              </w:rPr>
              <w:tab/>
            </w:r>
            <w:r>
              <w:rPr>
                <w:rStyle w:val="IndexLink"/>
              </w:rPr>
              <w:t>51</w:t>
            </w:r>
          </w:hyperlink>
        </w:p>
        <w:p>
          <w:pPr>
            <w:pStyle w:val="Contents3"/>
            <w:tabs>
              <w:tab w:val="clear" w:pos="8459"/>
              <w:tab w:val="right" w:pos="9026" w:leader="dot"/>
            </w:tabs>
            <w:rPr/>
          </w:pPr>
          <w:hyperlink w:anchor="__RefHeading___Toc12040757_1280447820">
            <w:r>
              <w:rPr>
                <w:webHidden/>
                <w:rStyle w:val="IndexLink"/>
                <w:rtl w:val="true"/>
              </w:rPr>
              <w:t>سیره بهداشت جسمی</w:t>
            </w:r>
            <w:r>
              <w:rPr>
                <w:rStyle w:val="IndexLink"/>
                <w:rtl w:val="true"/>
              </w:rPr>
              <w:tab/>
            </w:r>
            <w:r>
              <w:rPr>
                <w:rStyle w:val="IndexLink"/>
              </w:rPr>
              <w:t>51</w:t>
            </w:r>
          </w:hyperlink>
        </w:p>
        <w:p>
          <w:pPr>
            <w:pStyle w:val="Contents3"/>
            <w:tabs>
              <w:tab w:val="clear" w:pos="8459"/>
              <w:tab w:val="right" w:pos="9026" w:leader="dot"/>
            </w:tabs>
            <w:rPr/>
          </w:pPr>
          <w:hyperlink w:anchor="__RefHeading___Toc12040759_1280447820">
            <w:r>
              <w:rPr>
                <w:webHidden/>
                <w:rStyle w:val="IndexLink"/>
                <w:rtl w:val="true"/>
              </w:rPr>
              <w:t>بهداشت عمومی بدن</w:t>
            </w:r>
            <w:r>
              <w:rPr>
                <w:rStyle w:val="IndexLink"/>
                <w:rtl w:val="true"/>
              </w:rPr>
              <w:tab/>
            </w:r>
            <w:r>
              <w:rPr>
                <w:rStyle w:val="IndexLink"/>
              </w:rPr>
              <w:t>53</w:t>
            </w:r>
          </w:hyperlink>
        </w:p>
        <w:p>
          <w:pPr>
            <w:pStyle w:val="Contents4"/>
            <w:tabs>
              <w:tab w:val="clear" w:pos="8176"/>
              <w:tab w:val="right" w:pos="9026" w:leader="dot"/>
            </w:tabs>
            <w:rPr/>
          </w:pPr>
          <w:hyperlink w:anchor="__RefHeading___Toc12040761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2040763_1280447820">
            <w:r>
              <w:rPr>
                <w:webHidden/>
                <w:rStyle w:val="IndexLink"/>
                <w:rtl w:val="true"/>
              </w:rPr>
              <w:t>حمام رفتن</w:t>
            </w:r>
            <w:r>
              <w:rPr>
                <w:rStyle w:val="IndexLink"/>
                <w:rtl w:val="true"/>
              </w:rPr>
              <w:tab/>
            </w:r>
            <w:r>
              <w:rPr>
                <w:rStyle w:val="IndexLink"/>
              </w:rPr>
              <w:t>53</w:t>
            </w:r>
          </w:hyperlink>
        </w:p>
        <w:p>
          <w:pPr>
            <w:pStyle w:val="Contents5"/>
            <w:tabs>
              <w:tab w:val="clear" w:pos="7892"/>
              <w:tab w:val="right" w:pos="9026" w:leader="dot"/>
            </w:tabs>
            <w:rPr/>
          </w:pPr>
          <w:hyperlink w:anchor="__RefHeading___Toc12040765_12804478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2040767_1280447820">
            <w:r>
              <w:rPr>
                <w:webHidden/>
                <w:rStyle w:val="IndexLink"/>
                <w:rtl w:val="true"/>
              </w:rPr>
              <w:t>آداب قبل از ورود به حمام</w:t>
            </w:r>
            <w:r>
              <w:rPr>
                <w:rStyle w:val="IndexLink"/>
                <w:rtl w:val="true"/>
              </w:rPr>
              <w:tab/>
            </w:r>
            <w:r>
              <w:rPr>
                <w:rStyle w:val="IndexLink"/>
              </w:rPr>
              <w:t>53</w:t>
            </w:r>
          </w:hyperlink>
        </w:p>
        <w:p>
          <w:pPr>
            <w:pStyle w:val="Contents5"/>
            <w:tabs>
              <w:tab w:val="clear" w:pos="7892"/>
              <w:tab w:val="right" w:pos="9026" w:leader="dot"/>
            </w:tabs>
            <w:rPr/>
          </w:pPr>
          <w:hyperlink w:anchor="__RefHeading___Toc12040769_1280447820">
            <w:r>
              <w:rPr>
                <w:webHidden/>
                <w:rStyle w:val="IndexLink"/>
                <w:rtl w:val="true"/>
              </w:rPr>
              <w:t>آداب داخل حمام</w:t>
            </w:r>
            <w:r>
              <w:rPr>
                <w:rStyle w:val="IndexLink"/>
                <w:rtl w:val="true"/>
              </w:rPr>
              <w:tab/>
            </w:r>
            <w:r>
              <w:rPr>
                <w:rStyle w:val="IndexLink"/>
              </w:rPr>
              <w:t>54</w:t>
            </w:r>
          </w:hyperlink>
        </w:p>
        <w:p>
          <w:pPr>
            <w:pStyle w:val="Contents5"/>
            <w:tabs>
              <w:tab w:val="clear" w:pos="7892"/>
              <w:tab w:val="right" w:pos="9026" w:leader="dot"/>
            </w:tabs>
            <w:rPr/>
          </w:pPr>
          <w:hyperlink w:anchor="__RefHeading___Toc12040771_1280447820">
            <w:r>
              <w:rPr>
                <w:webHidden/>
                <w:rStyle w:val="IndexLink"/>
                <w:rtl w:val="true"/>
              </w:rPr>
              <w:t>بهداشت موهای زائد</w:t>
            </w:r>
            <w:r>
              <w:rPr>
                <w:rStyle w:val="IndexLink"/>
                <w:rtl w:val="true"/>
              </w:rPr>
              <w:tab/>
            </w:r>
            <w:r>
              <w:rPr>
                <w:rStyle w:val="IndexLink"/>
              </w:rPr>
              <w:t>55</w:t>
            </w:r>
          </w:hyperlink>
        </w:p>
        <w:p>
          <w:pPr>
            <w:pStyle w:val="Contents4"/>
            <w:tabs>
              <w:tab w:val="clear" w:pos="8176"/>
              <w:tab w:val="right" w:pos="9026" w:leader="dot"/>
            </w:tabs>
            <w:rPr/>
          </w:pPr>
          <w:hyperlink w:anchor="__RefHeading___Toc12040773_1280447820">
            <w:r>
              <w:rPr>
                <w:webHidden/>
                <w:rStyle w:val="IndexLink"/>
                <w:rtl w:val="true"/>
              </w:rPr>
              <w:t>روغن مالی</w:t>
            </w:r>
            <w:r>
              <w:rPr>
                <w:rStyle w:val="IndexLink"/>
                <w:rtl w:val="true"/>
              </w:rPr>
              <w:tab/>
            </w:r>
            <w:r>
              <w:rPr>
                <w:rStyle w:val="IndexLink"/>
              </w:rPr>
              <w:t>57</w:t>
            </w:r>
          </w:hyperlink>
        </w:p>
        <w:p>
          <w:pPr>
            <w:pStyle w:val="Contents5"/>
            <w:tabs>
              <w:tab w:val="clear" w:pos="7892"/>
              <w:tab w:val="right" w:pos="9026" w:leader="dot"/>
            </w:tabs>
            <w:rPr/>
          </w:pPr>
          <w:hyperlink w:anchor="__RefHeading___Toc12040775_12804478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2040777_1280447820">
            <w:r>
              <w:rPr>
                <w:webHidden/>
                <w:rStyle w:val="IndexLink"/>
                <w:rtl w:val="true"/>
              </w:rPr>
              <w:t>فوائد روغن مالی</w:t>
            </w:r>
            <w:r>
              <w:rPr>
                <w:rStyle w:val="IndexLink"/>
                <w:rtl w:val="true"/>
              </w:rPr>
              <w:tab/>
            </w:r>
            <w:r>
              <w:rPr>
                <w:rStyle w:val="IndexLink"/>
              </w:rPr>
              <w:t>57</w:t>
            </w:r>
          </w:hyperlink>
        </w:p>
        <w:p>
          <w:pPr>
            <w:pStyle w:val="Contents4"/>
            <w:tabs>
              <w:tab w:val="clear" w:pos="8176"/>
              <w:tab w:val="right" w:pos="9026" w:leader="dot"/>
            </w:tabs>
            <w:rPr/>
          </w:pPr>
          <w:hyperlink w:anchor="__RefHeading___Toc12040779_1280447820">
            <w:r>
              <w:rPr>
                <w:webHidden/>
                <w:rStyle w:val="IndexLink"/>
                <w:rtl w:val="true"/>
              </w:rPr>
              <w:t>عطر زدن</w:t>
            </w:r>
            <w:r>
              <w:rPr>
                <w:rStyle w:val="IndexLink"/>
                <w:rtl w:val="true"/>
              </w:rPr>
              <w:tab/>
            </w:r>
            <w:r>
              <w:rPr>
                <w:rStyle w:val="IndexLink"/>
              </w:rPr>
              <w:t>58</w:t>
            </w:r>
          </w:hyperlink>
        </w:p>
        <w:p>
          <w:pPr>
            <w:pStyle w:val="Contents4"/>
            <w:tabs>
              <w:tab w:val="clear" w:pos="8176"/>
              <w:tab w:val="right" w:pos="9026" w:leader="dot"/>
            </w:tabs>
            <w:rPr/>
          </w:pPr>
          <w:hyperlink w:anchor="__RefHeading___Toc12040781_1280447820">
            <w:r>
              <w:rPr>
                <w:webHidden/>
                <w:rStyle w:val="IndexLink"/>
                <w:rtl w:val="true"/>
              </w:rPr>
              <w:t>حجامت</w:t>
            </w:r>
            <w:r>
              <w:rPr>
                <w:rStyle w:val="IndexLink"/>
                <w:rtl w:val="true"/>
              </w:rPr>
              <w:tab/>
            </w:r>
            <w:r>
              <w:rPr>
                <w:rStyle w:val="IndexLink"/>
              </w:rPr>
              <w:t>59</w:t>
            </w:r>
          </w:hyperlink>
        </w:p>
        <w:p>
          <w:pPr>
            <w:pStyle w:val="Contents3"/>
            <w:tabs>
              <w:tab w:val="clear" w:pos="8459"/>
              <w:tab w:val="right" w:pos="9026" w:leader="dot"/>
            </w:tabs>
            <w:rPr/>
          </w:pPr>
          <w:hyperlink w:anchor="__RefHeading___Toc12040783_1280447820">
            <w:r>
              <w:rPr>
                <w:webHidden/>
                <w:rStyle w:val="IndexLink"/>
                <w:rtl w:val="true"/>
              </w:rPr>
              <w:t>بهداشت دهان و دندان</w:t>
            </w:r>
            <w:r>
              <w:rPr>
                <w:rStyle w:val="IndexLink"/>
                <w:rtl w:val="true"/>
              </w:rPr>
              <w:tab/>
            </w:r>
            <w:r>
              <w:rPr>
                <w:rStyle w:val="IndexLink"/>
              </w:rPr>
              <w:t>61</w:t>
            </w:r>
          </w:hyperlink>
        </w:p>
        <w:p>
          <w:pPr>
            <w:pStyle w:val="Contents4"/>
            <w:tabs>
              <w:tab w:val="clear" w:pos="8176"/>
              <w:tab w:val="right" w:pos="9026" w:leader="dot"/>
            </w:tabs>
            <w:rPr/>
          </w:pPr>
          <w:hyperlink w:anchor="__RefHeading___Toc12040785_12804478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2040787_1280447820">
            <w:r>
              <w:rPr>
                <w:webHidden/>
                <w:rStyle w:val="IndexLink"/>
                <w:rtl w:val="true"/>
              </w:rPr>
              <w:t>مسواک زدن</w:t>
            </w:r>
            <w:r>
              <w:rPr>
                <w:rStyle w:val="IndexLink"/>
                <w:rtl w:val="true"/>
              </w:rPr>
              <w:tab/>
            </w:r>
            <w:r>
              <w:rPr>
                <w:rStyle w:val="IndexLink"/>
              </w:rPr>
              <w:t>61</w:t>
            </w:r>
          </w:hyperlink>
        </w:p>
        <w:p>
          <w:pPr>
            <w:pStyle w:val="Contents5"/>
            <w:tabs>
              <w:tab w:val="clear" w:pos="7892"/>
              <w:tab w:val="right" w:pos="9026" w:leader="dot"/>
            </w:tabs>
            <w:rPr/>
          </w:pPr>
          <w:hyperlink w:anchor="__RefHeading___Toc12040789_12804478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2040791_1280447820">
            <w:r>
              <w:rPr>
                <w:webHidden/>
                <w:rStyle w:val="IndexLink"/>
                <w:rtl w:val="true"/>
              </w:rPr>
              <w:t>روش و وسیله مسواک زدن</w:t>
            </w:r>
            <w:r>
              <w:rPr>
                <w:rStyle w:val="IndexLink"/>
                <w:rtl w:val="true"/>
              </w:rPr>
              <w:tab/>
            </w:r>
            <w:r>
              <w:rPr>
                <w:rStyle w:val="IndexLink"/>
              </w:rPr>
              <w:t>66</w:t>
            </w:r>
          </w:hyperlink>
        </w:p>
        <w:p>
          <w:pPr>
            <w:pStyle w:val="Contents5"/>
            <w:tabs>
              <w:tab w:val="clear" w:pos="7892"/>
              <w:tab w:val="right" w:pos="9026" w:leader="dot"/>
            </w:tabs>
            <w:rPr/>
          </w:pPr>
          <w:hyperlink w:anchor="__RefHeading___Toc12040793_1280447820">
            <w:r>
              <w:rPr>
                <w:webHidden/>
                <w:rStyle w:val="IndexLink"/>
                <w:rtl w:val="true"/>
              </w:rPr>
              <w:t>زمان مسواک زدن</w:t>
            </w:r>
            <w:r>
              <w:rPr>
                <w:rStyle w:val="IndexLink"/>
                <w:rtl w:val="true"/>
              </w:rPr>
              <w:tab/>
            </w:r>
            <w:r>
              <w:rPr>
                <w:rStyle w:val="IndexLink"/>
              </w:rPr>
              <w:t>66</w:t>
            </w:r>
          </w:hyperlink>
        </w:p>
        <w:p>
          <w:pPr>
            <w:pStyle w:val="Contents5"/>
            <w:tabs>
              <w:tab w:val="clear" w:pos="7892"/>
              <w:tab w:val="right" w:pos="9026" w:leader="dot"/>
            </w:tabs>
            <w:rPr/>
          </w:pPr>
          <w:hyperlink w:anchor="__RefHeading___Toc12040795_1280447820">
            <w:r>
              <w:rPr>
                <w:webHidden/>
                <w:rStyle w:val="IndexLink"/>
                <w:rtl w:val="true"/>
              </w:rPr>
              <w:t>نگه داری مناسب از مسواک</w:t>
            </w:r>
            <w:r>
              <w:rPr>
                <w:rStyle w:val="IndexLink"/>
                <w:rtl w:val="true"/>
              </w:rPr>
              <w:tab/>
            </w:r>
            <w:r>
              <w:rPr>
                <w:rStyle w:val="IndexLink"/>
              </w:rPr>
              <w:t>66</w:t>
            </w:r>
          </w:hyperlink>
        </w:p>
        <w:p>
          <w:pPr>
            <w:pStyle w:val="Contents4"/>
            <w:tabs>
              <w:tab w:val="clear" w:pos="8176"/>
              <w:tab w:val="right" w:pos="9026" w:leader="dot"/>
            </w:tabs>
            <w:rPr/>
          </w:pPr>
          <w:hyperlink w:anchor="__RefHeading___Toc12040797_1280447820">
            <w:r>
              <w:rPr>
                <w:webHidden/>
                <w:rStyle w:val="IndexLink"/>
                <w:rtl w:val="true"/>
              </w:rPr>
              <w:t>خلال</w:t>
            </w:r>
            <w:r>
              <w:rPr>
                <w:rStyle w:val="IndexLink"/>
                <w:rtl w:val="true"/>
              </w:rPr>
              <w:tab/>
            </w:r>
            <w:r>
              <w:rPr>
                <w:rStyle w:val="IndexLink"/>
              </w:rPr>
              <w:t>67</w:t>
            </w:r>
          </w:hyperlink>
        </w:p>
        <w:p>
          <w:pPr>
            <w:pStyle w:val="Contents5"/>
            <w:tabs>
              <w:tab w:val="clear" w:pos="7892"/>
              <w:tab w:val="right" w:pos="9026" w:leader="dot"/>
            </w:tabs>
            <w:rPr/>
          </w:pPr>
          <w:hyperlink w:anchor="__RefHeading___Toc12040799_12804478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2040801_1280447820">
            <w:r>
              <w:rPr>
                <w:webHidden/>
                <w:rStyle w:val="IndexLink"/>
                <w:rtl w:val="true"/>
              </w:rPr>
              <w:t>وسیله خلال</w:t>
            </w:r>
            <w:r>
              <w:rPr>
                <w:rStyle w:val="IndexLink"/>
                <w:rtl w:val="true"/>
              </w:rPr>
              <w:tab/>
            </w:r>
            <w:r>
              <w:rPr>
                <w:rStyle w:val="IndexLink"/>
              </w:rPr>
              <w:t>69</w:t>
            </w:r>
          </w:hyperlink>
        </w:p>
        <w:p>
          <w:pPr>
            <w:pStyle w:val="Contents5"/>
            <w:tabs>
              <w:tab w:val="clear" w:pos="7892"/>
              <w:tab w:val="right" w:pos="9026" w:leader="dot"/>
            </w:tabs>
            <w:rPr/>
          </w:pPr>
          <w:hyperlink w:anchor="__RefHeading___Toc12040803_1280447820">
            <w:r>
              <w:rPr>
                <w:webHidden/>
                <w:rStyle w:val="IndexLink"/>
                <w:rtl w:val="true"/>
              </w:rPr>
              <w:t>استفاده از مواد شوینده برای دندان</w:t>
            </w:r>
            <w:r>
              <w:rPr>
                <w:rStyle w:val="IndexLink"/>
                <w:rtl w:val="true"/>
              </w:rPr>
              <w:tab/>
            </w:r>
            <w:r>
              <w:rPr>
                <w:rStyle w:val="IndexLink"/>
              </w:rPr>
              <w:t>69</w:t>
            </w:r>
          </w:hyperlink>
        </w:p>
        <w:p>
          <w:pPr>
            <w:pStyle w:val="Contents3"/>
            <w:tabs>
              <w:tab w:val="clear" w:pos="8459"/>
              <w:tab w:val="right" w:pos="9026" w:leader="dot"/>
            </w:tabs>
            <w:rPr/>
          </w:pPr>
          <w:hyperlink w:anchor="__RefHeading___Toc12040805_1280447820">
            <w:r>
              <w:rPr>
                <w:webHidden/>
                <w:rStyle w:val="IndexLink"/>
                <w:rtl w:val="true"/>
              </w:rPr>
              <w:t>بهداشت دست</w:t>
            </w:r>
            <w:r>
              <w:rPr>
                <w:rStyle w:val="IndexLink"/>
                <w:rtl w:val="true"/>
              </w:rPr>
              <w:tab/>
            </w:r>
            <w:r>
              <w:rPr>
                <w:rStyle w:val="IndexLink"/>
              </w:rPr>
              <w:t>70</w:t>
            </w:r>
          </w:hyperlink>
        </w:p>
        <w:p>
          <w:pPr>
            <w:pStyle w:val="Contents4"/>
            <w:tabs>
              <w:tab w:val="clear" w:pos="8176"/>
              <w:tab w:val="right" w:pos="9026" w:leader="dot"/>
            </w:tabs>
            <w:rPr/>
          </w:pPr>
          <w:hyperlink w:anchor="__RefHeading___Toc12040807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2040809_1280447820">
            <w:r>
              <w:rPr>
                <w:webHidden/>
                <w:rStyle w:val="IndexLink"/>
                <w:rtl w:val="true"/>
              </w:rPr>
              <w:t>شستن دست</w:t>
            </w:r>
            <w:r>
              <w:rPr>
                <w:rStyle w:val="IndexLink"/>
                <w:rtl w:val="true"/>
              </w:rPr>
              <w:tab/>
            </w:r>
            <w:r>
              <w:rPr>
                <w:rStyle w:val="IndexLink"/>
              </w:rPr>
              <w:t>71</w:t>
            </w:r>
          </w:hyperlink>
        </w:p>
        <w:p>
          <w:pPr>
            <w:pStyle w:val="Contents5"/>
            <w:tabs>
              <w:tab w:val="clear" w:pos="7892"/>
              <w:tab w:val="right" w:pos="9026" w:leader="dot"/>
            </w:tabs>
            <w:rPr/>
          </w:pPr>
          <w:hyperlink w:anchor="__RefHeading___Toc12040811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2040813_1280447820">
            <w:r>
              <w:rPr>
                <w:webHidden/>
                <w:rStyle w:val="IndexLink"/>
                <w:rtl w:val="true"/>
              </w:rPr>
              <w:t>شستن دست بعد از خواب</w:t>
            </w:r>
            <w:r>
              <w:rPr>
                <w:rStyle w:val="IndexLink"/>
                <w:rtl w:val="true"/>
              </w:rPr>
              <w:tab/>
            </w:r>
            <w:r>
              <w:rPr>
                <w:rStyle w:val="IndexLink"/>
              </w:rPr>
              <w:t>71</w:t>
            </w:r>
          </w:hyperlink>
        </w:p>
        <w:p>
          <w:pPr>
            <w:pStyle w:val="Contents5"/>
            <w:tabs>
              <w:tab w:val="clear" w:pos="7892"/>
              <w:tab w:val="right" w:pos="9026" w:leader="dot"/>
            </w:tabs>
            <w:rPr/>
          </w:pPr>
          <w:hyperlink w:anchor="__RefHeading___Toc12040815_1280447820">
            <w:r>
              <w:rPr>
                <w:webHidden/>
                <w:rStyle w:val="IndexLink"/>
                <w:rtl w:val="true"/>
              </w:rPr>
              <w:t>شستن دست قبل و بعد از غذا</w:t>
            </w:r>
            <w:r>
              <w:rPr>
                <w:rStyle w:val="IndexLink"/>
                <w:rtl w:val="true"/>
              </w:rPr>
              <w:tab/>
            </w:r>
            <w:r>
              <w:rPr>
                <w:rStyle w:val="IndexLink"/>
              </w:rPr>
              <w:t>71</w:t>
            </w:r>
          </w:hyperlink>
        </w:p>
        <w:p>
          <w:pPr>
            <w:pStyle w:val="Contents5"/>
            <w:tabs>
              <w:tab w:val="clear" w:pos="7892"/>
              <w:tab w:val="right" w:pos="9026" w:leader="dot"/>
            </w:tabs>
            <w:rPr/>
          </w:pPr>
          <w:hyperlink w:anchor="__RefHeading___Toc12040817_1280447820">
            <w:r>
              <w:rPr>
                <w:webHidden/>
                <w:rStyle w:val="IndexLink"/>
                <w:rtl w:val="true"/>
              </w:rPr>
              <w:t>گرفتن ناخن</w:t>
            </w:r>
            <w:r>
              <w:rPr>
                <w:rStyle w:val="IndexLink"/>
                <w:rtl w:val="true"/>
              </w:rPr>
              <w:tab/>
            </w:r>
            <w:r>
              <w:rPr>
                <w:rStyle w:val="IndexLink"/>
              </w:rPr>
              <w:t>73</w:t>
            </w:r>
          </w:hyperlink>
        </w:p>
        <w:p>
          <w:pPr>
            <w:pStyle w:val="Contents5"/>
            <w:tabs>
              <w:tab w:val="clear" w:pos="7892"/>
              <w:tab w:val="right" w:pos="9026" w:leader="dot"/>
            </w:tabs>
            <w:rPr/>
          </w:pPr>
          <w:hyperlink w:anchor="__RefHeading___Toc12040819_1280447820">
            <w:r>
              <w:rPr>
                <w:webHidden/>
                <w:rStyle w:val="IndexLink"/>
                <w:rtl w:val="true"/>
              </w:rPr>
              <w:t>دفن کردن ناخن</w:t>
            </w:r>
            <w:r>
              <w:rPr>
                <w:rStyle w:val="IndexLink"/>
                <w:rtl w:val="true"/>
              </w:rPr>
              <w:tab/>
            </w:r>
            <w:r>
              <w:rPr>
                <w:rStyle w:val="IndexLink"/>
              </w:rPr>
              <w:t>75</w:t>
            </w:r>
          </w:hyperlink>
        </w:p>
        <w:p>
          <w:pPr>
            <w:pStyle w:val="Contents3"/>
            <w:tabs>
              <w:tab w:val="clear" w:pos="8459"/>
              <w:tab w:val="right" w:pos="9026" w:leader="dot"/>
            </w:tabs>
            <w:rPr/>
          </w:pPr>
          <w:hyperlink w:anchor="__RefHeading___Toc12040821_1280447820">
            <w:r>
              <w:rPr>
                <w:webHidden/>
                <w:rStyle w:val="IndexLink"/>
                <w:rtl w:val="true"/>
              </w:rPr>
              <w:t>بهداشت موها</w:t>
            </w:r>
            <w:r>
              <w:rPr>
                <w:rStyle w:val="IndexLink"/>
                <w:rtl w:val="true"/>
              </w:rPr>
              <w:tab/>
            </w:r>
            <w:r>
              <w:rPr>
                <w:rStyle w:val="IndexLink"/>
              </w:rPr>
              <w:t>75</w:t>
            </w:r>
          </w:hyperlink>
        </w:p>
        <w:p>
          <w:pPr>
            <w:pStyle w:val="Contents4"/>
            <w:tabs>
              <w:tab w:val="clear" w:pos="8176"/>
              <w:tab w:val="right" w:pos="9026" w:leader="dot"/>
            </w:tabs>
            <w:rPr/>
          </w:pPr>
          <w:hyperlink w:anchor="__RefHeading___Toc12040823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040825_1280447820">
            <w:r>
              <w:rPr>
                <w:webHidden/>
                <w:rStyle w:val="IndexLink"/>
                <w:rtl w:val="true"/>
              </w:rPr>
              <w:t>شستن سر</w:t>
            </w:r>
            <w:r>
              <w:rPr>
                <w:rStyle w:val="IndexLink"/>
                <w:rtl w:val="true"/>
              </w:rPr>
              <w:tab/>
            </w:r>
            <w:r>
              <w:rPr>
                <w:rStyle w:val="IndexLink"/>
              </w:rPr>
              <w:t>76</w:t>
            </w:r>
          </w:hyperlink>
        </w:p>
        <w:p>
          <w:pPr>
            <w:pStyle w:val="Contents5"/>
            <w:tabs>
              <w:tab w:val="clear" w:pos="7892"/>
              <w:tab w:val="right" w:pos="9026" w:leader="dot"/>
            </w:tabs>
            <w:rPr/>
          </w:pPr>
          <w:hyperlink w:anchor="__RefHeading___Toc12040827_12804478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2040829_1280447820">
            <w:r>
              <w:rPr>
                <w:webHidden/>
                <w:rStyle w:val="IndexLink"/>
                <w:rtl w:val="true"/>
              </w:rPr>
              <w:t>شستن سر با خطمی</w:t>
            </w:r>
            <w:r>
              <w:rPr>
                <w:rStyle w:val="IndexLink"/>
                <w:rtl w:val="true"/>
              </w:rPr>
              <w:tab/>
            </w:r>
            <w:r>
              <w:rPr>
                <w:rStyle w:val="IndexLink"/>
              </w:rPr>
              <w:t>76</w:t>
            </w:r>
          </w:hyperlink>
        </w:p>
        <w:p>
          <w:pPr>
            <w:pStyle w:val="Contents5"/>
            <w:tabs>
              <w:tab w:val="clear" w:pos="7892"/>
              <w:tab w:val="right" w:pos="9026" w:leader="dot"/>
            </w:tabs>
            <w:rPr/>
          </w:pPr>
          <w:hyperlink w:anchor="__RefHeading___Toc12040831_1280447820">
            <w:r>
              <w:rPr>
                <w:webHidden/>
                <w:rStyle w:val="IndexLink"/>
                <w:rtl w:val="true"/>
              </w:rPr>
              <w:t>شستن سر با سدر</w:t>
            </w:r>
            <w:r>
              <w:rPr>
                <w:rStyle w:val="IndexLink"/>
                <w:rtl w:val="true"/>
              </w:rPr>
              <w:tab/>
            </w:r>
            <w:r>
              <w:rPr>
                <w:rStyle w:val="IndexLink"/>
              </w:rPr>
              <w:t>77</w:t>
            </w:r>
          </w:hyperlink>
        </w:p>
        <w:p>
          <w:pPr>
            <w:pStyle w:val="Contents5"/>
            <w:tabs>
              <w:tab w:val="clear" w:pos="7892"/>
              <w:tab w:val="right" w:pos="9026" w:leader="dot"/>
            </w:tabs>
            <w:rPr/>
          </w:pPr>
          <w:hyperlink w:anchor="__RefHeading___Toc12040833_1280447820">
            <w:r>
              <w:rPr>
                <w:webHidden/>
                <w:rStyle w:val="IndexLink"/>
                <w:rtl w:val="true"/>
              </w:rPr>
              <w:t>شانه زدن</w:t>
            </w:r>
            <w:r>
              <w:rPr>
                <w:rStyle w:val="IndexLink"/>
                <w:rtl w:val="true"/>
              </w:rPr>
              <w:tab/>
            </w:r>
            <w:r>
              <w:rPr>
                <w:rStyle w:val="IndexLink"/>
              </w:rPr>
              <w:t>77</w:t>
            </w:r>
          </w:hyperlink>
        </w:p>
        <w:p>
          <w:pPr>
            <w:pStyle w:val="Contents5"/>
            <w:tabs>
              <w:tab w:val="clear" w:pos="7892"/>
              <w:tab w:val="right" w:pos="9026" w:leader="dot"/>
            </w:tabs>
            <w:rPr/>
          </w:pPr>
          <w:hyperlink w:anchor="__RefHeading___Toc12040835_1280447820">
            <w:r>
              <w:rPr>
                <w:webHidden/>
                <w:rStyle w:val="IndexLink"/>
                <w:rtl w:val="true"/>
              </w:rPr>
              <w:t>رنگ کردن موها</w:t>
            </w:r>
            <w:r>
              <w:rPr>
                <w:rStyle w:val="IndexLink"/>
                <w:rtl w:val="true"/>
              </w:rPr>
              <w:tab/>
            </w:r>
            <w:r>
              <w:rPr>
                <w:rStyle w:val="IndexLink"/>
              </w:rPr>
              <w:t>79</w:t>
            </w:r>
          </w:hyperlink>
        </w:p>
        <w:p>
          <w:pPr>
            <w:pStyle w:val="Contents5"/>
            <w:tabs>
              <w:tab w:val="clear" w:pos="7892"/>
              <w:tab w:val="right" w:pos="9026" w:leader="dot"/>
            </w:tabs>
            <w:rPr/>
          </w:pPr>
          <w:hyperlink w:anchor="__RefHeading___Toc12040837_1280447820">
            <w:r>
              <w:rPr>
                <w:webHidden/>
                <w:rStyle w:val="IndexLink"/>
                <w:rtl w:val="true"/>
              </w:rPr>
              <w:t>تراشیدن مو</w:t>
            </w:r>
            <w:r>
              <w:rPr>
                <w:rStyle w:val="IndexLink"/>
                <w:rtl w:val="true"/>
              </w:rPr>
              <w:tab/>
            </w:r>
            <w:r>
              <w:rPr>
                <w:rStyle w:val="IndexLink"/>
              </w:rPr>
              <w:t>81</w:t>
            </w:r>
          </w:hyperlink>
        </w:p>
        <w:p>
          <w:pPr>
            <w:pStyle w:val="Contents3"/>
            <w:tabs>
              <w:tab w:val="clear" w:pos="8459"/>
              <w:tab w:val="right" w:pos="9026" w:leader="dot"/>
            </w:tabs>
            <w:rPr/>
          </w:pPr>
          <w:hyperlink w:anchor="__RefHeading___Toc12040839_1280447820">
            <w:r>
              <w:rPr>
                <w:webHidden/>
                <w:rStyle w:val="IndexLink"/>
                <w:rtl w:val="true"/>
              </w:rPr>
              <w:t>بهداشت چشم</w:t>
            </w:r>
            <w:r>
              <w:rPr>
                <w:rStyle w:val="IndexLink"/>
                <w:rtl w:val="true"/>
              </w:rPr>
              <w:tab/>
            </w:r>
            <w:r>
              <w:rPr>
                <w:rStyle w:val="IndexLink"/>
              </w:rPr>
              <w:t>83</w:t>
            </w:r>
          </w:hyperlink>
        </w:p>
        <w:p>
          <w:pPr>
            <w:pStyle w:val="Contents4"/>
            <w:tabs>
              <w:tab w:val="clear" w:pos="8176"/>
              <w:tab w:val="right" w:pos="9026" w:leader="dot"/>
            </w:tabs>
            <w:rPr/>
          </w:pPr>
          <w:hyperlink w:anchor="__RefHeading___Toc12040841_12804478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2040843_1280447820">
            <w:r>
              <w:rPr>
                <w:webHidden/>
                <w:rStyle w:val="IndexLink"/>
                <w:rtl w:val="true"/>
              </w:rPr>
              <w:t>سرمه کشیدن</w:t>
            </w:r>
            <w:r>
              <w:rPr>
                <w:rStyle w:val="IndexLink"/>
                <w:rtl w:val="true"/>
              </w:rPr>
              <w:tab/>
            </w:r>
            <w:r>
              <w:rPr>
                <w:rStyle w:val="IndexLink"/>
              </w:rPr>
              <w:t>83</w:t>
            </w:r>
          </w:hyperlink>
        </w:p>
        <w:p>
          <w:pPr>
            <w:pStyle w:val="Contents4"/>
            <w:tabs>
              <w:tab w:val="clear" w:pos="8176"/>
              <w:tab w:val="right" w:pos="9026" w:leader="dot"/>
            </w:tabs>
            <w:rPr/>
          </w:pPr>
          <w:hyperlink w:anchor="__RefHeading___Toc12040845_1280447820">
            <w:r>
              <w:rPr>
                <w:webHidden/>
                <w:rStyle w:val="IndexLink"/>
                <w:rtl w:val="true"/>
              </w:rPr>
              <w:t>مسواک، کفش زرد، افطار با آب فاتر، شستن دست و گرفتن ناخن</w:t>
            </w:r>
            <w:r>
              <w:rPr>
                <w:rStyle w:val="IndexLink"/>
                <w:rtl w:val="true"/>
              </w:rPr>
              <w:tab/>
            </w:r>
            <w:r>
              <w:rPr>
                <w:rStyle w:val="IndexLink"/>
              </w:rPr>
              <w:t>85</w:t>
            </w:r>
          </w:hyperlink>
        </w:p>
        <w:p>
          <w:pPr>
            <w:pStyle w:val="Contents4"/>
            <w:tabs>
              <w:tab w:val="clear" w:pos="8176"/>
              <w:tab w:val="right" w:pos="9026" w:leader="dot"/>
            </w:tabs>
            <w:rPr/>
          </w:pPr>
          <w:hyperlink w:anchor="__RefHeading___Toc12040847_1280447820">
            <w:r>
              <w:rPr>
                <w:webHidden/>
                <w:rStyle w:val="IndexLink"/>
                <w:rtl w:val="true"/>
              </w:rPr>
              <w:t>پرهیز از خوردن ماهی خام</w:t>
            </w:r>
            <w:r>
              <w:rPr>
                <w:rStyle w:val="IndexLink"/>
                <w:rtl w:val="true"/>
              </w:rPr>
              <w:tab/>
            </w:r>
            <w:r>
              <w:rPr>
                <w:rStyle w:val="IndexLink"/>
              </w:rPr>
              <w:t>86</w:t>
            </w:r>
          </w:hyperlink>
        </w:p>
        <w:p>
          <w:pPr>
            <w:pStyle w:val="Contents3"/>
            <w:tabs>
              <w:tab w:val="clear" w:pos="8459"/>
              <w:tab w:val="right" w:pos="9026" w:leader="dot"/>
            </w:tabs>
            <w:rPr/>
          </w:pPr>
          <w:hyperlink w:anchor="__RefHeading___Toc12040849_1280447820">
            <w:r>
              <w:rPr>
                <w:webHidden/>
                <w:rStyle w:val="IndexLink"/>
                <w:rtl w:val="true"/>
              </w:rPr>
              <w:t>بهداشت پا</w:t>
            </w:r>
            <w:r>
              <w:rPr>
                <w:rStyle w:val="IndexLink"/>
                <w:rtl w:val="true"/>
              </w:rPr>
              <w:tab/>
            </w:r>
            <w:r>
              <w:rPr>
                <w:rStyle w:val="IndexLink"/>
              </w:rPr>
              <w:t>86</w:t>
            </w:r>
          </w:hyperlink>
        </w:p>
        <w:p>
          <w:pPr>
            <w:pStyle w:val="Contents3"/>
            <w:tabs>
              <w:tab w:val="clear" w:pos="8459"/>
              <w:tab w:val="right" w:pos="9026" w:leader="dot"/>
            </w:tabs>
            <w:rPr/>
          </w:pPr>
          <w:hyperlink w:anchor="__RefHeading___Toc12040851_1280447820">
            <w:r>
              <w:rPr>
                <w:webHidden/>
                <w:rStyle w:val="IndexLink"/>
                <w:rtl w:val="true"/>
              </w:rPr>
              <w:t>بهداشت لباس</w:t>
            </w:r>
            <w:r>
              <w:rPr>
                <w:rStyle w:val="IndexLink"/>
                <w:rtl w:val="true"/>
              </w:rPr>
              <w:tab/>
            </w:r>
            <w:r>
              <w:rPr>
                <w:rStyle w:val="IndexLink"/>
              </w:rPr>
              <w:t>88</w:t>
            </w:r>
          </w:hyperlink>
        </w:p>
        <w:p>
          <w:pPr>
            <w:pStyle w:val="Contents4"/>
            <w:tabs>
              <w:tab w:val="clear" w:pos="8176"/>
              <w:tab w:val="right" w:pos="9026" w:leader="dot"/>
            </w:tabs>
            <w:rPr/>
          </w:pPr>
          <w:hyperlink w:anchor="__RefHeading___Toc12040853_12804478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2040855_1280447820">
            <w:r>
              <w:rPr>
                <w:webHidden/>
                <w:rStyle w:val="IndexLink"/>
                <w:rtl w:val="true"/>
              </w:rPr>
              <w:t>پاکیزه بودن لباس</w:t>
            </w:r>
            <w:r>
              <w:rPr>
                <w:rStyle w:val="IndexLink"/>
                <w:rtl w:val="true"/>
              </w:rPr>
              <w:tab/>
            </w:r>
            <w:r>
              <w:rPr>
                <w:rStyle w:val="IndexLink"/>
              </w:rPr>
              <w:t>88</w:t>
            </w:r>
          </w:hyperlink>
        </w:p>
        <w:p>
          <w:pPr>
            <w:pStyle w:val="Contents4"/>
            <w:tabs>
              <w:tab w:val="clear" w:pos="8176"/>
              <w:tab w:val="right" w:pos="9026" w:leader="dot"/>
            </w:tabs>
            <w:rPr/>
          </w:pPr>
          <w:hyperlink w:anchor="__RefHeading___Toc12040857_1280447820">
            <w:r>
              <w:rPr>
                <w:webHidden/>
                <w:rStyle w:val="IndexLink"/>
                <w:rtl w:val="true"/>
              </w:rPr>
              <w:t>ضد عفونی کردن با دود</w:t>
            </w:r>
            <w:r>
              <w:rPr>
                <w:rStyle w:val="IndexLink"/>
                <w:rtl w:val="true"/>
              </w:rPr>
              <w:tab/>
            </w:r>
            <w:r>
              <w:rPr>
                <w:rStyle w:val="IndexLink"/>
              </w:rPr>
              <w:t>90</w:t>
            </w:r>
          </w:hyperlink>
        </w:p>
        <w:p>
          <w:pPr>
            <w:pStyle w:val="Contents3"/>
            <w:tabs>
              <w:tab w:val="clear" w:pos="8459"/>
              <w:tab w:val="right" w:pos="9026" w:leader="dot"/>
            </w:tabs>
            <w:rPr/>
          </w:pPr>
          <w:hyperlink w:anchor="__RefHeading___Toc12040859_1280447820">
            <w:r>
              <w:rPr>
                <w:webHidden/>
                <w:rStyle w:val="IndexLink"/>
                <w:rtl w:val="true"/>
              </w:rPr>
              <w:t>بهداشت منزل</w:t>
            </w:r>
            <w:r>
              <w:rPr>
                <w:rStyle w:val="IndexLink"/>
                <w:rtl w:val="true"/>
              </w:rPr>
              <w:tab/>
            </w:r>
            <w:r>
              <w:rPr>
                <w:rStyle w:val="IndexLink"/>
              </w:rPr>
              <w:t>91</w:t>
            </w:r>
          </w:hyperlink>
        </w:p>
        <w:p>
          <w:pPr>
            <w:pStyle w:val="Contents2"/>
            <w:tabs>
              <w:tab w:val="clear" w:pos="8743"/>
              <w:tab w:val="right" w:pos="9026" w:leader="dot"/>
            </w:tabs>
            <w:rPr/>
          </w:pPr>
          <w:hyperlink w:anchor="__RefHeading___Toc12040861_1280447820">
            <w:r>
              <w:rPr>
                <w:webHidden/>
                <w:rStyle w:val="IndexLink"/>
                <w:rtl w:val="true"/>
              </w:rPr>
              <w:t xml:space="preserve">فصل چهارم </w:t>
            </w:r>
            <w:r>
              <w:rPr>
                <w:rStyle w:val="IndexLink"/>
                <w:rtl w:val="true"/>
              </w:rPr>
              <w:t xml:space="preserve">: </w:t>
            </w:r>
            <w:r>
              <w:rPr>
                <w:rStyle w:val="IndexLink"/>
                <w:rtl w:val="true"/>
              </w:rPr>
              <w:t>سیره بهداشت روان</w:t>
            </w:r>
            <w:r>
              <w:rPr>
                <w:rStyle w:val="IndexLink"/>
                <w:rtl w:val="true"/>
              </w:rPr>
              <w:tab/>
            </w:r>
            <w:r>
              <w:rPr>
                <w:rStyle w:val="IndexLink"/>
              </w:rPr>
              <w:t>95</w:t>
            </w:r>
          </w:hyperlink>
        </w:p>
        <w:p>
          <w:pPr>
            <w:pStyle w:val="Contents3"/>
            <w:tabs>
              <w:tab w:val="clear" w:pos="8459"/>
              <w:tab w:val="right" w:pos="9026" w:leader="dot"/>
            </w:tabs>
            <w:rPr/>
          </w:pPr>
          <w:hyperlink w:anchor="__RefHeading___Toc12040863_1280447820">
            <w:r>
              <w:rPr>
                <w:webHidden/>
                <w:rStyle w:val="IndexLink"/>
                <w:rtl w:val="true"/>
              </w:rPr>
              <w:t>سیره بهداشت روان</w:t>
            </w:r>
            <w:r>
              <w:rPr>
                <w:rStyle w:val="IndexLink"/>
                <w:rtl w:val="true"/>
              </w:rPr>
              <w:tab/>
            </w:r>
            <w:r>
              <w:rPr>
                <w:rStyle w:val="IndexLink"/>
              </w:rPr>
              <w:t>95</w:t>
            </w:r>
          </w:hyperlink>
        </w:p>
        <w:p>
          <w:pPr>
            <w:pStyle w:val="Contents3"/>
            <w:tabs>
              <w:tab w:val="clear" w:pos="8459"/>
              <w:tab w:val="right" w:pos="9026" w:leader="dot"/>
            </w:tabs>
            <w:rPr/>
          </w:pPr>
          <w:hyperlink w:anchor="__RefHeading___Toc12040865_1280447820">
            <w:r>
              <w:rPr>
                <w:webHidden/>
                <w:rStyle w:val="IndexLink"/>
                <w:rtl w:val="true"/>
              </w:rPr>
              <w:t>درآمد</w:t>
            </w:r>
            <w:r>
              <w:rPr>
                <w:rStyle w:val="IndexLink"/>
                <w:rtl w:val="true"/>
              </w:rPr>
              <w:tab/>
            </w:r>
            <w:r>
              <w:rPr>
                <w:rStyle w:val="IndexLink"/>
              </w:rPr>
              <w:t>97</w:t>
            </w:r>
          </w:hyperlink>
        </w:p>
        <w:p>
          <w:pPr>
            <w:pStyle w:val="Contents3"/>
            <w:tabs>
              <w:tab w:val="clear" w:pos="8459"/>
              <w:tab w:val="right" w:pos="9026" w:leader="dot"/>
            </w:tabs>
            <w:rPr/>
          </w:pPr>
          <w:hyperlink w:anchor="__RefHeading___Toc12040867_1280447820">
            <w:r>
              <w:rPr>
                <w:webHidden/>
                <w:rStyle w:val="IndexLink"/>
                <w:rtl w:val="true"/>
              </w:rPr>
              <w:t>سیره بهداشت روان در بعد فردی</w:t>
            </w:r>
            <w:r>
              <w:rPr>
                <w:rStyle w:val="IndexLink"/>
                <w:rtl w:val="true"/>
              </w:rPr>
              <w:tab/>
            </w:r>
            <w:r>
              <w:rPr>
                <w:rStyle w:val="IndexLink"/>
              </w:rPr>
              <w:t>98</w:t>
            </w:r>
          </w:hyperlink>
        </w:p>
        <w:p>
          <w:pPr>
            <w:pStyle w:val="Contents3"/>
            <w:tabs>
              <w:tab w:val="clear" w:pos="8459"/>
              <w:tab w:val="right" w:pos="9026" w:leader="dot"/>
            </w:tabs>
            <w:rPr/>
          </w:pPr>
          <w:hyperlink w:anchor="__RefHeading___Toc12040869_1280447820">
            <w:r>
              <w:rPr>
                <w:webHidden/>
                <w:rStyle w:val="IndexLink"/>
                <w:rtl w:val="true"/>
              </w:rPr>
              <w:t>صبر</w:t>
            </w:r>
            <w:r>
              <w:rPr>
                <w:rStyle w:val="IndexLink"/>
                <w:rtl w:val="true"/>
              </w:rPr>
              <w:tab/>
            </w:r>
            <w:r>
              <w:rPr>
                <w:rStyle w:val="IndexLink"/>
              </w:rPr>
              <w:t>98</w:t>
            </w:r>
          </w:hyperlink>
        </w:p>
        <w:p>
          <w:pPr>
            <w:pStyle w:val="Contents3"/>
            <w:tabs>
              <w:tab w:val="clear" w:pos="8459"/>
              <w:tab w:val="right" w:pos="9026" w:leader="dot"/>
            </w:tabs>
            <w:rPr/>
          </w:pPr>
          <w:hyperlink w:anchor="__RefHeading___Toc12040871_1280447820">
            <w:r>
              <w:rPr>
                <w:webHidden/>
                <w:rStyle w:val="IndexLink"/>
                <w:rtl w:val="true"/>
              </w:rPr>
              <w:t>کظم غیظ</w:t>
            </w:r>
            <w:r>
              <w:rPr>
                <w:rStyle w:val="IndexLink"/>
                <w:rtl w:val="true"/>
              </w:rPr>
              <w:tab/>
            </w:r>
            <w:r>
              <w:rPr>
                <w:rStyle w:val="IndexLink"/>
              </w:rPr>
              <w:t>101</w:t>
            </w:r>
          </w:hyperlink>
        </w:p>
        <w:p>
          <w:pPr>
            <w:pStyle w:val="Contents3"/>
            <w:tabs>
              <w:tab w:val="clear" w:pos="8459"/>
              <w:tab w:val="right" w:pos="9026" w:leader="dot"/>
            </w:tabs>
            <w:rPr/>
          </w:pPr>
          <w:hyperlink w:anchor="__RefHeading___Toc12040873_1280447820">
            <w:r>
              <w:rPr>
                <w:webHidden/>
                <w:rStyle w:val="IndexLink"/>
                <w:rtl w:val="true"/>
              </w:rPr>
              <w:t>حفظ زبان</w:t>
            </w:r>
            <w:r>
              <w:rPr>
                <w:rStyle w:val="IndexLink"/>
                <w:rtl w:val="true"/>
              </w:rPr>
              <w:tab/>
            </w:r>
            <w:r>
              <w:rPr>
                <w:rStyle w:val="IndexLink"/>
              </w:rPr>
              <w:t>103</w:t>
            </w:r>
          </w:hyperlink>
        </w:p>
        <w:p>
          <w:pPr>
            <w:pStyle w:val="Contents3"/>
            <w:tabs>
              <w:tab w:val="clear" w:pos="8459"/>
              <w:tab w:val="right" w:pos="9026" w:leader="dot"/>
            </w:tabs>
            <w:rPr/>
          </w:pPr>
          <w:hyperlink w:anchor="__RefHeading___Toc12040875_1280447820">
            <w:r>
              <w:rPr>
                <w:webHidden/>
                <w:rStyle w:val="IndexLink"/>
                <w:rtl w:val="true"/>
              </w:rPr>
              <w:t>رضا به قضای الهی</w:t>
            </w:r>
            <w:r>
              <w:rPr>
                <w:rStyle w:val="IndexLink"/>
                <w:rtl w:val="true"/>
              </w:rPr>
              <w:tab/>
            </w:r>
            <w:r>
              <w:rPr>
                <w:rStyle w:val="IndexLink"/>
              </w:rPr>
              <w:t>104</w:t>
            </w:r>
          </w:hyperlink>
        </w:p>
        <w:p>
          <w:pPr>
            <w:pStyle w:val="Contents3"/>
            <w:tabs>
              <w:tab w:val="clear" w:pos="8459"/>
              <w:tab w:val="right" w:pos="9026" w:leader="dot"/>
            </w:tabs>
            <w:rPr/>
          </w:pPr>
          <w:hyperlink w:anchor="__RefHeading___Toc12040877_1280447820">
            <w:r>
              <w:rPr>
                <w:webHidden/>
                <w:rStyle w:val="IndexLink"/>
                <w:rtl w:val="true"/>
              </w:rPr>
              <w:t>توکل</w:t>
            </w:r>
            <w:r>
              <w:rPr>
                <w:rStyle w:val="IndexLink"/>
                <w:rtl w:val="true"/>
              </w:rPr>
              <w:tab/>
            </w:r>
            <w:r>
              <w:rPr>
                <w:rStyle w:val="IndexLink"/>
              </w:rPr>
              <w:t>105</w:t>
            </w:r>
          </w:hyperlink>
        </w:p>
        <w:p>
          <w:pPr>
            <w:pStyle w:val="Contents3"/>
            <w:tabs>
              <w:tab w:val="clear" w:pos="8459"/>
              <w:tab w:val="right" w:pos="9026" w:leader="dot"/>
            </w:tabs>
            <w:rPr/>
          </w:pPr>
          <w:hyperlink w:anchor="__RefHeading___Toc12040879_1280447820">
            <w:r>
              <w:rPr>
                <w:webHidden/>
                <w:rStyle w:val="IndexLink"/>
                <w:rtl w:val="true"/>
              </w:rPr>
              <w:t>حسن خلق</w:t>
            </w:r>
            <w:r>
              <w:rPr>
                <w:rStyle w:val="IndexLink"/>
                <w:rtl w:val="true"/>
              </w:rPr>
              <w:tab/>
            </w:r>
            <w:r>
              <w:rPr>
                <w:rStyle w:val="IndexLink"/>
              </w:rPr>
              <w:t>108</w:t>
            </w:r>
          </w:hyperlink>
        </w:p>
        <w:p>
          <w:pPr>
            <w:pStyle w:val="Contents3"/>
            <w:tabs>
              <w:tab w:val="clear" w:pos="8459"/>
              <w:tab w:val="right" w:pos="9026" w:leader="dot"/>
            </w:tabs>
            <w:rPr/>
          </w:pPr>
          <w:hyperlink w:anchor="__RefHeading___Toc12040881_1280447820">
            <w:r>
              <w:rPr>
                <w:webHidden/>
                <w:rStyle w:val="IndexLink"/>
                <w:rtl w:val="true"/>
              </w:rPr>
              <w:t>تواضع</w:t>
            </w:r>
            <w:r>
              <w:rPr>
                <w:rStyle w:val="IndexLink"/>
                <w:rtl w:val="true"/>
              </w:rPr>
              <w:tab/>
            </w:r>
            <w:r>
              <w:rPr>
                <w:rStyle w:val="IndexLink"/>
              </w:rPr>
              <w:t>111</w:t>
            </w:r>
          </w:hyperlink>
        </w:p>
        <w:p>
          <w:pPr>
            <w:pStyle w:val="Contents3"/>
            <w:tabs>
              <w:tab w:val="clear" w:pos="8459"/>
              <w:tab w:val="right" w:pos="9026" w:leader="dot"/>
            </w:tabs>
            <w:rPr/>
          </w:pPr>
          <w:hyperlink w:anchor="__RefHeading___Toc12040883_1280447820">
            <w:r>
              <w:rPr>
                <w:webHidden/>
                <w:rStyle w:val="IndexLink"/>
                <w:rtl w:val="true"/>
              </w:rPr>
              <w:t>قناعت</w:t>
            </w:r>
            <w:r>
              <w:rPr>
                <w:rStyle w:val="IndexLink"/>
                <w:rtl w:val="true"/>
              </w:rPr>
              <w:tab/>
            </w:r>
            <w:r>
              <w:rPr>
                <w:rStyle w:val="IndexLink"/>
              </w:rPr>
              <w:t>112</w:t>
            </w:r>
          </w:hyperlink>
        </w:p>
        <w:p>
          <w:pPr>
            <w:pStyle w:val="Contents3"/>
            <w:tabs>
              <w:tab w:val="clear" w:pos="8459"/>
              <w:tab w:val="right" w:pos="9026" w:leader="dot"/>
            </w:tabs>
            <w:rPr/>
          </w:pPr>
          <w:hyperlink w:anchor="__RefHeading___Toc12040885_1280447820">
            <w:r>
              <w:rPr>
                <w:webHidden/>
                <w:rStyle w:val="IndexLink"/>
                <w:rtl w:val="true"/>
              </w:rPr>
              <w:t>سیره بهداشت روان در بعد اجتماعی</w:t>
            </w:r>
            <w:r>
              <w:rPr>
                <w:rStyle w:val="IndexLink"/>
                <w:rtl w:val="true"/>
              </w:rPr>
              <w:tab/>
            </w:r>
            <w:r>
              <w:rPr>
                <w:rStyle w:val="IndexLink"/>
              </w:rPr>
              <w:t>114</w:t>
            </w:r>
          </w:hyperlink>
        </w:p>
        <w:p>
          <w:pPr>
            <w:pStyle w:val="Contents3"/>
            <w:tabs>
              <w:tab w:val="clear" w:pos="8459"/>
              <w:tab w:val="right" w:pos="9026" w:leader="dot"/>
            </w:tabs>
            <w:rPr/>
          </w:pPr>
          <w:hyperlink w:anchor="__RefHeading___Toc12040887_1280447820">
            <w:r>
              <w:rPr>
                <w:webHidden/>
                <w:rStyle w:val="IndexLink"/>
                <w:rtl w:val="true"/>
              </w:rPr>
              <w:t>محبت، رحم و عطوفت</w:t>
            </w:r>
            <w:r>
              <w:rPr>
                <w:rStyle w:val="IndexLink"/>
                <w:rtl w:val="true"/>
              </w:rPr>
              <w:tab/>
            </w:r>
            <w:r>
              <w:rPr>
                <w:rStyle w:val="IndexLink"/>
              </w:rPr>
              <w:t>114</w:t>
            </w:r>
          </w:hyperlink>
        </w:p>
        <w:p>
          <w:pPr>
            <w:pStyle w:val="Contents3"/>
            <w:tabs>
              <w:tab w:val="clear" w:pos="8459"/>
              <w:tab w:val="right" w:pos="9026" w:leader="dot"/>
            </w:tabs>
            <w:rPr/>
          </w:pPr>
          <w:hyperlink w:anchor="__RefHeading___Toc12040889_1280447820">
            <w:r>
              <w:rPr>
                <w:webHidden/>
                <w:rStyle w:val="IndexLink"/>
                <w:rtl w:val="true"/>
              </w:rPr>
              <w:t>تکریم و احترام بزرگ تر</w:t>
            </w:r>
            <w:r>
              <w:rPr>
                <w:rStyle w:val="IndexLink"/>
                <w:rtl w:val="true"/>
              </w:rPr>
              <w:tab/>
            </w:r>
            <w:r>
              <w:rPr>
                <w:rStyle w:val="IndexLink"/>
              </w:rPr>
              <w:t>116</w:t>
            </w:r>
          </w:hyperlink>
        </w:p>
        <w:p>
          <w:pPr>
            <w:pStyle w:val="Contents3"/>
            <w:tabs>
              <w:tab w:val="clear" w:pos="8459"/>
              <w:tab w:val="right" w:pos="9026" w:leader="dot"/>
            </w:tabs>
            <w:rPr/>
          </w:pPr>
          <w:hyperlink w:anchor="__RefHeading___Toc12040891_1280447820">
            <w:r>
              <w:rPr>
                <w:webHidden/>
                <w:rStyle w:val="IndexLink"/>
                <w:rtl w:val="true"/>
              </w:rPr>
              <w:t>زدودن غم و غصه مؤمن</w:t>
            </w:r>
            <w:r>
              <w:rPr>
                <w:rStyle w:val="IndexLink"/>
                <w:rtl w:val="true"/>
              </w:rPr>
              <w:tab/>
            </w:r>
            <w:r>
              <w:rPr>
                <w:rStyle w:val="IndexLink"/>
              </w:rPr>
              <w:t>117</w:t>
            </w:r>
          </w:hyperlink>
        </w:p>
        <w:p>
          <w:pPr>
            <w:pStyle w:val="Contents3"/>
            <w:tabs>
              <w:tab w:val="clear" w:pos="8459"/>
              <w:tab w:val="right" w:pos="9026" w:leader="dot"/>
            </w:tabs>
            <w:rPr/>
          </w:pPr>
          <w:hyperlink w:anchor="__RefHeading___Toc12040893_1280447820">
            <w:r>
              <w:rPr>
                <w:webHidden/>
                <w:rStyle w:val="IndexLink"/>
                <w:rtl w:val="true"/>
              </w:rPr>
              <w:t>ادخال سرور</w:t>
            </w:r>
            <w:r>
              <w:rPr>
                <w:rStyle w:val="IndexLink"/>
                <w:rtl w:val="true"/>
              </w:rPr>
              <w:tab/>
            </w:r>
            <w:r>
              <w:rPr>
                <w:rStyle w:val="IndexLink"/>
              </w:rPr>
              <w:t>118</w:t>
            </w:r>
          </w:hyperlink>
        </w:p>
        <w:p>
          <w:pPr>
            <w:pStyle w:val="Contents3"/>
            <w:tabs>
              <w:tab w:val="clear" w:pos="8459"/>
              <w:tab w:val="right" w:pos="9026" w:leader="dot"/>
            </w:tabs>
            <w:rPr/>
          </w:pPr>
          <w:hyperlink w:anchor="__RefHeading___Toc12040895_1280447820">
            <w:r>
              <w:rPr>
                <w:webHidden/>
                <w:rStyle w:val="IndexLink"/>
                <w:rtl w:val="true"/>
              </w:rPr>
              <w:t>دیدار برادر</w:t>
            </w:r>
            <w:r>
              <w:rPr>
                <w:rStyle w:val="IndexLink"/>
                <w:rtl w:val="true"/>
              </w:rPr>
              <w:tab/>
            </w:r>
            <w:r>
              <w:rPr>
                <w:rStyle w:val="IndexLink"/>
              </w:rPr>
              <w:t>119</w:t>
            </w:r>
          </w:hyperlink>
        </w:p>
        <w:p>
          <w:pPr>
            <w:pStyle w:val="Contents3"/>
            <w:tabs>
              <w:tab w:val="clear" w:pos="8459"/>
              <w:tab w:val="right" w:pos="9026" w:leader="dot"/>
            </w:tabs>
            <w:rPr/>
          </w:pPr>
          <w:hyperlink w:anchor="__RefHeading___Toc12040897_1280447820">
            <w:r>
              <w:rPr>
                <w:webHidden/>
                <w:rStyle w:val="IndexLink"/>
                <w:rtl w:val="true"/>
              </w:rPr>
              <w:t>صله رحم</w:t>
            </w:r>
            <w:r>
              <w:rPr>
                <w:rStyle w:val="IndexLink"/>
                <w:rtl w:val="true"/>
              </w:rPr>
              <w:tab/>
            </w:r>
            <w:r>
              <w:rPr>
                <w:rStyle w:val="IndexLink"/>
              </w:rPr>
              <w:t>120</w:t>
            </w:r>
          </w:hyperlink>
        </w:p>
        <w:p>
          <w:pPr>
            <w:pStyle w:val="Contents3"/>
            <w:tabs>
              <w:tab w:val="clear" w:pos="8459"/>
              <w:tab w:val="right" w:pos="9026" w:leader="dot"/>
            </w:tabs>
            <w:rPr/>
          </w:pPr>
          <w:hyperlink w:anchor="__RefHeading___Toc12040899_1280447820">
            <w:r>
              <w:rPr>
                <w:webHidden/>
                <w:rStyle w:val="IndexLink"/>
                <w:rtl w:val="true"/>
              </w:rPr>
              <w:t>مدارا</w:t>
            </w:r>
            <w:r>
              <w:rPr>
                <w:rStyle w:val="IndexLink"/>
                <w:rtl w:val="true"/>
              </w:rPr>
              <w:tab/>
            </w:r>
            <w:r>
              <w:rPr>
                <w:rStyle w:val="IndexLink"/>
              </w:rPr>
              <w:t>123</w:t>
            </w:r>
          </w:hyperlink>
        </w:p>
        <w:p>
          <w:pPr>
            <w:pStyle w:val="Contents3"/>
            <w:tabs>
              <w:tab w:val="clear" w:pos="8459"/>
              <w:tab w:val="right" w:pos="9026" w:leader="dot"/>
            </w:tabs>
            <w:rPr/>
          </w:pPr>
          <w:hyperlink w:anchor="__RefHeading___Toc12040901_1280447820">
            <w:r>
              <w:rPr>
                <w:webHidden/>
                <w:rStyle w:val="IndexLink"/>
                <w:rtl w:val="true"/>
              </w:rPr>
              <w:t>عفو و گذشت</w:t>
            </w:r>
            <w:r>
              <w:rPr>
                <w:rStyle w:val="IndexLink"/>
                <w:rtl w:val="true"/>
              </w:rPr>
              <w:tab/>
            </w:r>
            <w:r>
              <w:rPr>
                <w:rStyle w:val="IndexLink"/>
              </w:rPr>
              <w:t>125</w:t>
            </w:r>
          </w:hyperlink>
        </w:p>
        <w:p>
          <w:pPr>
            <w:pStyle w:val="Contents3"/>
            <w:tabs>
              <w:tab w:val="clear" w:pos="8459"/>
              <w:tab w:val="right" w:pos="9026" w:leader="dot"/>
            </w:tabs>
            <w:rPr/>
          </w:pPr>
          <w:hyperlink w:anchor="__RefHeading___Toc12040903_1280447820">
            <w:r>
              <w:rPr>
                <w:webHidden/>
                <w:rStyle w:val="IndexLink"/>
                <w:rtl w:val="true"/>
              </w:rPr>
              <w:t>عیادت بیمار</w:t>
            </w:r>
            <w:r>
              <w:rPr>
                <w:rStyle w:val="IndexLink"/>
                <w:rtl w:val="true"/>
              </w:rPr>
              <w:tab/>
            </w:r>
            <w:r>
              <w:rPr>
                <w:rStyle w:val="IndexLink"/>
              </w:rPr>
              <w:t>127</w:t>
            </w:r>
          </w:hyperlink>
        </w:p>
        <w:p>
          <w:pPr>
            <w:pStyle w:val="Contents3"/>
            <w:tabs>
              <w:tab w:val="clear" w:pos="8459"/>
              <w:tab w:val="right" w:pos="9026" w:leader="dot"/>
            </w:tabs>
            <w:rPr/>
          </w:pPr>
          <w:hyperlink w:anchor="__RefHeading___Toc12040905_1280447820">
            <w:r>
              <w:rPr>
                <w:webHidden/>
                <w:rStyle w:val="IndexLink"/>
                <w:rtl w:val="true"/>
              </w:rPr>
              <w:t>وفای به عهد</w:t>
            </w:r>
            <w:r>
              <w:rPr>
                <w:rStyle w:val="IndexLink"/>
                <w:rtl w:val="true"/>
              </w:rPr>
              <w:tab/>
            </w:r>
            <w:r>
              <w:rPr>
                <w:rStyle w:val="IndexLink"/>
              </w:rPr>
              <w:t>129</w:t>
            </w:r>
          </w:hyperlink>
        </w:p>
        <w:p>
          <w:pPr>
            <w:pStyle w:val="Contents2"/>
            <w:tabs>
              <w:tab w:val="clear" w:pos="8743"/>
              <w:tab w:val="right" w:pos="9026" w:leader="dot"/>
            </w:tabs>
            <w:rPr/>
          </w:pPr>
          <w:hyperlink w:anchor="__RefHeading___Toc12040907_1280447820">
            <w:r>
              <w:rPr>
                <w:webHidden/>
                <w:rStyle w:val="IndexLink"/>
                <w:rtl w:val="true"/>
              </w:rPr>
              <w:t>منابع</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8_192952"/>
      <w:bookmarkStart w:id="1" w:name="pg16648_192952"/>
      <w:bookmarkEnd w:id="1"/>
    </w:p>
    <w:p>
      <w:pPr>
        <w:pStyle w:val="Heading2"/>
        <w:numPr>
          <w:ilvl w:val="1"/>
          <w:numId w:val="1"/>
        </w:numPr>
        <w:rPr/>
      </w:pPr>
      <w:bookmarkStart w:id="2" w:name="pg16648_192952"/>
      <w:bookmarkStart w:id="3" w:name="__RefHeading___Toc12040625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صحرائی، زهرا،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جسم و روان در سیره معصومان علیهم‌السلام براساس روایات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زهرا صحرائی، علی 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روشن،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بخش‌هایی از کتاب حاضر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کلینی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Hygiene -- Religious aspects -- Islam</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Hygiene -- Hadiths</w:t>
      </w:r>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Mental health -- Religious aspects -- Islam</w:t>
      </w:r>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Mental health -- Hadiths</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eastAsia="Times New Roman" w:cs="Times New Roman" w:ascii="Times New Roman" w:hAnsi="Times New Roman"/>
          <w:color w:val="111111"/>
          <w:sz w:val="28"/>
          <w:szCs w:val="28"/>
          <w:lang w:val="en-US" w:bidi="en-US"/>
        </w:rPr>
        <w:t>Islamic hygiene</w:t>
      </w:r>
    </w:p>
    <w:p>
      <w:pPr>
        <w:pStyle w:val="BookText"/>
        <w:rPr/>
      </w:pPr>
      <w:r>
        <w:rPr>
          <w:rFonts w:ascii="IRNazanin" w:hAnsi="IRNazanin" w:eastAsia="IRNazanin"/>
          <w:color w:val="111111"/>
          <w:sz w:val="28"/>
          <w:sz w:val="28"/>
          <w:szCs w:val="28"/>
          <w:rtl w:val="true"/>
          <w:lang w:bidi="fa-IR"/>
        </w:rPr>
        <w:t xml:space="preserve">اسلام و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Islamic hygiene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 علی،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Koleyni, Mohammad ibn ya'qub . Al. kafi</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BP232/6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9854244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4062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بهداشت جسم و روان در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کتاب کافی</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صحرائی علی بدری </w:t>
      </w:r>
      <w:bookmarkStart w:id="7" w:name="pg16648_192954"/>
    </w:p>
    <w:p>
      <w:pPr>
        <w:pStyle w:val="Heading2"/>
        <w:numPr>
          <w:ilvl w:val="1"/>
          <w:numId w:val="1"/>
        </w:numPr>
        <w:rPr/>
      </w:pPr>
      <w:bookmarkStart w:id="8" w:name="__RefHeading___Toc12040629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بهداشت جسم و روان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کتاب کافی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معرفی 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اعتبار روایات کافی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جسم و روان در عصر جاهلی</w:t>
      </w:r>
    </w:p>
    <w:p>
      <w:pPr>
        <w:pStyle w:val="BookText"/>
        <w:rPr/>
      </w:pPr>
      <w:r>
        <w:rPr>
          <w:rFonts w:ascii="IRNazanin" w:hAnsi="IRNazanin" w:eastAsia="IRNazanin"/>
          <w:color w:val="111111"/>
          <w:sz w:val="28"/>
          <w:sz w:val="28"/>
          <w:szCs w:val="28"/>
          <w:rtl w:val="true"/>
          <w:lang w:bidi="fa-IR"/>
        </w:rPr>
        <w:t>جاهلیت، بازه زمانی و مکانی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وضعیت بهداشت جسمی در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علل عدم رعایت بهداشت در عصر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عدم وجود امکانات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 مبالاتی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مواردی از عدم مراعات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آویختن استخوان و کثافت بر گردن بیمار </w:t>
      </w:r>
      <w:r>
        <w:rPr>
          <w:rFonts w:eastAsia="IRNazanin" w:cs="IRNazanin"/>
          <w:color w:val="111111"/>
          <w:sz w:val="28"/>
          <w:szCs w:val="28"/>
          <w:lang w:bidi="fa-IR"/>
        </w:rPr>
        <w:t>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گوشت درندگان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بهداشت جسمی دوره جاهلی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 مبالاتی نسبت به بهداشت جسمی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 مبالاتی نسبت به نظافت حیاط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 مبالاتی نسبت به تار عنکبوت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انداختن دستمال کثیف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 اهمیتی به نظافت ناخن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بی اهمیتی به نظافت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 اهمیتی به نظافت بدن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بهداشت روان در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فقدان ایمان به خدا و رواج بت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یأس و نا 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احساس فنا و نابودی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خرافه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فال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و تطیّر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آویختن اشیای جادویی برای درمان چشم زخم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سعد و نحس ایام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عطسه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امنیت جنسی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عده طولانی مدت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ترس از اسارت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بهداشت جسمی</w:t>
      </w:r>
    </w:p>
    <w:p>
      <w:pPr>
        <w:pStyle w:val="BookText"/>
        <w:rPr/>
      </w:pPr>
      <w:r>
        <w:rPr>
          <w:rFonts w:ascii="IRNazanin" w:hAnsi="IRNazanin" w:eastAsia="IRNazanin"/>
          <w:color w:val="111111"/>
          <w:sz w:val="28"/>
          <w:sz w:val="28"/>
          <w:szCs w:val="28"/>
          <w:rtl w:val="true"/>
          <w:lang w:bidi="fa-IR"/>
        </w:rPr>
        <w:t>بهداشت عمومی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رفتن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داخل حمام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روغن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فوائد روغن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عطر زدن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بهداشت دهان و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مسواک زدن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روش و وسیله مسواک زدن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زمان مسواک زدن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نگه داری مناسب از 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وسیله خلال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استفاده از مواد شوینده برای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بهداشت دست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شستن دست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شستن دست بعد از خواب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شستن دست قبل و بعد از غذا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دفن کردن ناخن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بهداشت موها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شستن سر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شستن سر با خطمی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شستن سر با سدر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شانه زدن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کردن موها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تراشیدن مو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مسواک، کفش زرد، افطار با آب فاتر، شستن دست و گرفتن ناخن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پرهیز از خوردن ماهی خام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بهداشت پا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پاکیزه بودن لباس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ضد عفونی کردن با دود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بهداشت منزل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بهداشت روان</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سیره بهداشت روان در بعد فردی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رضا به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بهداشت روان در بعد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رحم و عطوفت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تکریم و احترام بزرگ تر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زدودن غم و غصه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ادخال سرور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دیدار برادر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عیادت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0" w:name="pg16651_192959"/>
    </w:p>
    <w:p>
      <w:pPr>
        <w:pStyle w:val="Heading2"/>
        <w:numPr>
          <w:ilvl w:val="1"/>
          <w:numId w:val="1"/>
        </w:numPr>
        <w:rPr/>
      </w:pPr>
      <w:bookmarkStart w:id="11" w:name="__RefHeading___Toc12040631_1280447820"/>
      <w:bookmarkStart w:id="12" w:name="_Toc4"/>
      <w:bookmarkEnd w:id="10"/>
      <w:bookmarkEnd w:id="11"/>
      <w:r>
        <w:rPr>
          <w:rtl w:val="true"/>
        </w:rPr>
        <w:t xml:space="preserve">فصل اول </w:t>
      </w:r>
      <w:r>
        <w:rPr>
          <w:rtl w:val="true"/>
        </w:rPr>
        <w:t xml:space="preserve">: </w:t>
      </w:r>
      <w:r>
        <w:rPr>
          <w:rtl w:val="true"/>
        </w:rPr>
        <w:t>کلیات و مفاهیم</w:t>
      </w:r>
      <w:bookmarkEnd w:id="12"/>
    </w:p>
    <w:p>
      <w:pPr>
        <w:pStyle w:val="Heading3"/>
        <w:numPr>
          <w:ilvl w:val="2"/>
          <w:numId w:val="1"/>
        </w:numPr>
        <w:rPr/>
      </w:pPr>
      <w:bookmarkStart w:id="13" w:name="__RefHeading___Toc12040633_1280447820"/>
      <w:bookmarkStart w:id="14" w:name="_Toc5"/>
      <w:bookmarkEnd w:id="13"/>
      <w:r>
        <w:rPr>
          <w:rtl w:val="true"/>
        </w:rPr>
        <w:t>کلیات و مفاهیم</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تبیین مسئله پژوهش و اهمیت آن و نیز مفاهیم پرداخته شده است</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51_192961"/>
      <w:bookmarkStart w:id="16" w:name="pg16651_192961"/>
      <w:bookmarkEnd w:id="16"/>
    </w:p>
    <w:p>
      <w:pPr>
        <w:pStyle w:val="Heading3"/>
        <w:numPr>
          <w:ilvl w:val="2"/>
          <w:numId w:val="1"/>
        </w:numPr>
        <w:rPr/>
      </w:pPr>
      <w:bookmarkStart w:id="17" w:name="pg16651_192961"/>
      <w:bookmarkStart w:id="18" w:name="__RefHeading___Toc12040635_1280447820"/>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اسلام زمانی ظهور کرد که قرن ها از تمدن بشری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و علی رقم رشد دانش طب در مناطقی چون ایران، روم،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بشر در گیر مشکلات عدیده ای در عرصه بهداشت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جزیره عربستان از این جهت در مقایسه با دیگر نقاط از عقب افتادگی بیشتری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 که عمدتا در قالب بادیه نشینی زندگی می کردند از بسیاری از اصول اولیه بهداشت جسم و روان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اسلام ظهور کرد و آورده هایی را در عرصه بهداشت جسم و روان به بشریت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آموزه های قرآن کریم سیره رسول خدا و اهل بیت آن حضرت در این زمینه بسیار دارای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حاضر می کوشیم تا ضمن بررسی سطح بهداشت جسمی و روانی در عصر جاهلی و همزمان با عصر ائمه به بررسی سیره اهل بیت در موضوع بهداشت جسم و روان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بهداشت در پژوهش حاضر انجام مجموعه کارهایی است که به سلامت جسم و روان انجامیده و از بیماری های جسمی و روانی تا حدود زیادی پیشگیری می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پرداختن به سیره اهل بیت در موضوع بهداشت جسم و روان از بین سایر انواع بهداشت، توجه بیشتر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نوع از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سایر انواع بهداشت همچون بهداشت محیط، بهداشت راه، </w:t>
      </w:r>
    </w:p>
    <w:p>
      <w:pPr>
        <w:pStyle w:val="BookText"/>
        <w:rPr/>
      </w:pPr>
      <w:r>
        <w:rPr>
          <w:rFonts w:ascii="IRNazanin" w:hAnsi="IRNazanin" w:eastAsia="IRNazanin"/>
          <w:color w:val="111111"/>
          <w:sz w:val="28"/>
          <w:sz w:val="28"/>
          <w:szCs w:val="28"/>
          <w:rtl w:val="true"/>
          <w:lang w:bidi="fa-IR"/>
        </w:rPr>
        <w:t xml:space="preserve">بهداشت شهر، بهداشت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اند، اما سیره این حضرات در ارائه نکات بهداشت جسم و روان ظهور و بروز بیشتری از سایر انواع بهداشت دارد که در نتیجه به اهمیت بیشتر این دو نوع بهداشت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این نوشتار با تکیه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شاید معتبر ترین کتاب روایی امامیه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تمرکز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غنای این کتاب در موضاعات مختلف اسلامی به ویژه در خصوص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روایات مختلفی که حاکی از اهتمام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بهداشت بوده گنجانده شده و در باب های مختلفی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مقصود از بهداشت در نوشتار حاضر بهداشت جسم و روان در دو عرصه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این پژهش از این جهت است که راهکار های ارائه شده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آنان در بهداشت جسم و روان در نوع خود بسیار مطلوب و شاید پیش از آنان کم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اهتمام آن بزرگواران به ریزترین نکات بهداشتی همچون کوتاه کردن ناخن ها، سبیل، زائل کردن موهای زائد، شستن دست قبل و بعد از غذا، استفاده از غذا و آب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الگوی مناسبی برای جامعه در موضوع بهداشت باشد، از این روی ضروری می نماید تا سیره آنان در مورد بهداشت مورد مطالعه قرار گیرد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نگارنده قصد دارد به بررسی سیره بهداشتی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بُعد جسمی و روانی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گزارش های فراوانی در میان روایات، به ویژه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سیره بهداشتی اهل بیت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بهترین الگوهای موجود برای بشریت در طول قرن های متمادی هستند و قرآن کریم و روایات متعددی نیز به تبعیت و الگو گرفتن از آنها سفارش </w:t>
      </w:r>
      <w:bookmarkStart w:id="20" w:name="pg16651_192963"/>
    </w:p>
    <w:p>
      <w:pPr>
        <w:pStyle w:val="BookText"/>
        <w:rPr/>
      </w:pPr>
      <w:bookmarkEnd w:id="20"/>
      <w:r>
        <w:rPr>
          <w:rFonts w:ascii="IRNazanin" w:hAnsi="IRNazanin" w:eastAsia="IRNazanin"/>
          <w:color w:val="111111"/>
          <w:sz w:val="28"/>
          <w:sz w:val="28"/>
          <w:szCs w:val="28"/>
          <w:rtl w:val="true"/>
          <w:lang w:bidi="fa-IR"/>
        </w:rPr>
        <w:t>کرده، لازم دیده شد تا سیره آن بزرگواران در بهداشت جسمی و روانی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بهداشتی آن ذوات مقدسه ظرافت هایی وجود دارد که توجه و عمل به آنها سلامت جسم و جان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نظریات متعدد غربی و شرقی در مورد بهداشت با کم و کاست خود مورد مطالعه قرار می گیرد، شایسته است که سیره برترین انسان های روی زمین در بحث بهداشت نیز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تتبع در مدلول روایاتی که سیره آن بزرگواران را گزارش می کند و با تأکید بر کتاب گرانسنگ الکافی که ارزش کتاب و مؤلف آن بر کسی پوشیده نیست، می توان گزاره های بهداشتی مناسبی در حوزه بهداشت جسم و روان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آن سروران ستوده به مسئله بهداشت خود بهترین گواه بر این است که آنان علاوه بر مسائل آن جهانی، به مسائل این جهانی و مواردی که انسان در زندگی روزمره، هفتگی، ماهانه و سالانه با آن مواجه است نیز پرداخته و علاوه بر توصیه های فراوان و مفید این مهم را در سیره و رفتار خود بروز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شنویم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بهداشت تک تک اعضای بدن و حتی مسئله ی پیش پا افتاده ای همچون رفع موهای زائد، توجه فراوانی داشته اند، انسان بیش از پیش به سلوک و رفتار انسانی والای آنان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معتبر ترین کتاب از اصول روایی شیعه به شمار می رود و آن را اضبط کتب اربعه تلقی کرده اند، در موارد بسیاری سیره ی بهداشتی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گزارش نموده است</w:t>
      </w:r>
      <w:r>
        <w:rPr>
          <w:rFonts w:eastAsia="IRNazanin" w:cs="IRNazanin"/>
          <w:color w:val="111111"/>
          <w:sz w:val="28"/>
          <w:szCs w:val="28"/>
          <w:rtl w:val="true"/>
          <w:lang w:bidi="fa-IR"/>
        </w:rPr>
        <w:t>.</w:t>
      </w:r>
    </w:p>
    <w:p>
      <w:pPr>
        <w:pStyle w:val="Heading3"/>
        <w:numPr>
          <w:ilvl w:val="2"/>
          <w:numId w:val="1"/>
        </w:numPr>
        <w:rPr/>
      </w:pPr>
      <w:bookmarkStart w:id="21" w:name="__RefHeading___Toc12040637_1280447820"/>
      <w:bookmarkStart w:id="22" w:name="_Toc7"/>
      <w:bookmarkEnd w:id="21"/>
      <w:r>
        <w:rPr>
          <w:rtl w:val="true"/>
        </w:rPr>
        <w:t>مفاهیم</w:t>
      </w:r>
      <w:bookmarkEnd w:id="22"/>
    </w:p>
    <w:p>
      <w:pPr>
        <w:pStyle w:val="Heading4"/>
        <w:numPr>
          <w:ilvl w:val="3"/>
          <w:numId w:val="1"/>
        </w:numPr>
        <w:rPr/>
      </w:pPr>
      <w:bookmarkStart w:id="23" w:name="__RefHeading___Toc12040639_1280447820"/>
      <w:bookmarkStart w:id="24" w:name="_Toc8"/>
      <w:bookmarkEnd w:id="23"/>
      <w:r>
        <w:rPr>
          <w:rtl w:val="true"/>
        </w:rPr>
        <w:t>اشاره</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بررسی مفاهیم عنوان پژوهش پرداخته شده است</w:t>
      </w:r>
      <w:r>
        <w:rPr>
          <w:rFonts w:eastAsia="IRNazanin" w:cs="IRNazanin"/>
          <w:color w:val="111111"/>
          <w:sz w:val="28"/>
          <w:szCs w:val="28"/>
          <w:rtl w:val="true"/>
          <w:lang w:bidi="fa-IR"/>
        </w:rPr>
        <w:t xml:space="preserve">. </w:t>
      </w:r>
      <w:bookmarkStart w:id="25" w:name="pg16651_192964"/>
    </w:p>
    <w:p>
      <w:pPr>
        <w:pStyle w:val="Heading4"/>
        <w:numPr>
          <w:ilvl w:val="3"/>
          <w:numId w:val="1"/>
        </w:numPr>
        <w:rPr/>
      </w:pPr>
      <w:bookmarkStart w:id="26" w:name="__RefHeading___Toc12040641_1280447820"/>
      <w:bookmarkStart w:id="27" w:name="_Toc9"/>
      <w:bookmarkEnd w:id="25"/>
      <w:bookmarkEnd w:id="26"/>
      <w:r>
        <w:rPr>
          <w:rtl w:val="true"/>
        </w:rPr>
        <w:t>سیره</w:t>
      </w:r>
      <w:bookmarkEnd w:id="27"/>
    </w:p>
    <w:p>
      <w:pPr>
        <w:pStyle w:val="BookText"/>
        <w:rPr/>
      </w:pPr>
      <w:r>
        <w:rPr>
          <w:rFonts w:ascii="IRNazanin" w:hAnsi="IRNazanin" w:eastAsia="IRNazanin"/>
          <w:color w:val="111111"/>
          <w:sz w:val="28"/>
          <w:sz w:val="28"/>
          <w:szCs w:val="28"/>
          <w:rtl w:val="true"/>
          <w:lang w:bidi="fa-IR"/>
        </w:rPr>
        <w:t>سیره در لغت مصدر و اسم مصدر فعل ثلاثی مجرد سار – یسیر</w:t>
      </w:r>
      <w:r>
        <w:rPr>
          <w:rStyle w:val="FootnoteAnchor"/>
          <w:rtl w:val="true"/>
        </w:rPr>
        <w:footnoteReference w:id="2"/>
      </w:r>
      <w:r>
        <w:rPr>
          <w:rFonts w:ascii="IRNazanin" w:hAnsi="IRNazanin" w:eastAsia="IRNazanin"/>
          <w:color w:val="111111"/>
          <w:sz w:val="28"/>
          <w:sz w:val="28"/>
          <w:szCs w:val="28"/>
          <w:rtl w:val="true"/>
          <w:lang w:bidi="fa-IR"/>
        </w:rPr>
        <w:t>به معنای سنت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سیره علاوه بر سنت به معنای طریقه، روش، رفتار و الگو نیز آمده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روش ایشان میانه 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در اصطلاح فقهی ناظر به رفتاری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 عمل برای حل و فصل امور مسلمانان اتخاذ و اجرا می کردند و بر اثر تکرار آن از ناحیه مسلمانان در موارد مشابه، به صورت عادی درآمده است و امروزه به عنوان یکی از ادله شناخت احکام اسلامی، ارزش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راهکار های عملی که تابع معیار و اصول اسلامی است و در آن منطق خاصی دنبال می شود، جایز نیست و این راهکار ها مانند گفتار آن بزرگوراران ارزشمند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همچنین گفته می شود سیره در اصطلاح یعنی سبک و متد رفتار، که بتواند الگوی دیگران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سیره شناسی یعنی سبک شناسی</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گفته می شود سیره عبارت است از سبک و اسلوب و متد خاصی که افراد صاحب اسلوب و سبک و منطق در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سیره ندارند</w:t>
      </w:r>
      <w:r>
        <w:rPr>
          <w:rFonts w:eastAsia="IRNazanin" w:cs="IRNazanin"/>
          <w:color w:val="111111"/>
          <w:sz w:val="28"/>
          <w:szCs w:val="28"/>
          <w:rtl w:val="true"/>
          <w:lang w:bidi="fa-IR"/>
        </w:rPr>
        <w:t>.</w:t>
      </w:r>
      <w:r>
        <w:rPr>
          <w:rStyle w:val="FootnoteAnchor"/>
          <w:rtl w:val="true"/>
        </w:rPr>
        <w:footnoteReference w:id="8"/>
      </w:r>
      <w:bookmarkStart w:id="28" w:name="pg16651_192965"/>
    </w:p>
    <w:p>
      <w:pPr>
        <w:pStyle w:val="Heading4"/>
        <w:numPr>
          <w:ilvl w:val="3"/>
          <w:numId w:val="1"/>
        </w:numPr>
        <w:rPr/>
      </w:pPr>
      <w:bookmarkStart w:id="29" w:name="__RefHeading___Toc12040643_1280447820"/>
      <w:bookmarkStart w:id="30" w:name="_Toc10"/>
      <w:bookmarkEnd w:id="28"/>
      <w:bookmarkEnd w:id="29"/>
      <w:r>
        <w:rPr>
          <w:rtl w:val="true"/>
        </w:rPr>
        <w:t>بهداشت جسم و روان</w:t>
      </w:r>
      <w:bookmarkEnd w:id="30"/>
    </w:p>
    <w:p>
      <w:pPr>
        <w:pStyle w:val="BookText"/>
        <w:rPr/>
      </w:pPr>
      <w:r>
        <w:rPr>
          <w:rFonts w:ascii="IRNazanin" w:hAnsi="IRNazanin" w:eastAsia="IRNazanin"/>
          <w:color w:val="111111"/>
          <w:sz w:val="28"/>
          <w:sz w:val="28"/>
          <w:szCs w:val="28"/>
          <w:rtl w:val="true"/>
          <w:lang w:bidi="fa-IR"/>
        </w:rPr>
        <w:t xml:space="preserve">در زبان عربی از بهداشت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هر چیز بهداشتی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بهداشت جسمی به معنای نگه داشتن تندرستی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شاید بتوان گفت بهداشت معادل سلامتی است یا اینکه منجر به سلامتی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از بهداشت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صناعت حفظ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بهداشت روان نیز حالتی از رفاه است که در آن فرد توانایی هایش را باز می شناسد و قادر است با استرس های عادی و معمول زندگی، سازگاری داشته و از نظر شغلی مفید و سازنده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ایشان است</w:t>
      </w:r>
      <w:r>
        <w:rPr>
          <w:rFonts w:eastAsia="IRNazanin" w:cs="IRNazanin"/>
          <w:color w:val="111111"/>
          <w:sz w:val="28"/>
          <w:szCs w:val="28"/>
          <w:rtl w:val="true"/>
          <w:lang w:bidi="fa-IR"/>
        </w:rPr>
        <w:t>.</w:t>
      </w:r>
    </w:p>
    <w:p>
      <w:pPr>
        <w:pStyle w:val="Heading4"/>
        <w:numPr>
          <w:ilvl w:val="3"/>
          <w:numId w:val="1"/>
        </w:numPr>
        <w:rPr/>
      </w:pPr>
      <w:bookmarkStart w:id="31" w:name="__RefHeading___Toc12040645_1280447820"/>
      <w:bookmarkStart w:id="32" w:name="_Toc11"/>
      <w:bookmarkEnd w:id="31"/>
      <w:r>
        <w:rPr>
          <w:rtl w:val="true"/>
        </w:rPr>
        <w:t>کتاب کافی</w:t>
      </w:r>
      <w:bookmarkEnd w:id="32"/>
    </w:p>
    <w:p>
      <w:pPr>
        <w:pStyle w:val="Heading5"/>
        <w:numPr>
          <w:ilvl w:val="4"/>
          <w:numId w:val="1"/>
        </w:numPr>
        <w:rPr/>
      </w:pPr>
      <w:bookmarkStart w:id="33" w:name="__RefHeading___Toc12040647_1280447820"/>
      <w:bookmarkStart w:id="34" w:name="_Toc12"/>
      <w:bookmarkEnd w:id="33"/>
      <w:r>
        <w:rPr>
          <w:rtl w:val="true"/>
        </w:rPr>
        <w:t>اشاره</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آشنایی با کتاب کافی، اعتبار آن، روش استدلال در روایات کافی جهت دستیابی به گزاره های سیره بهداشتی پرداخته شده است</w:t>
      </w:r>
      <w:r>
        <w:rPr>
          <w:rFonts w:eastAsia="IRNazanin" w:cs="IRNazanin"/>
          <w:color w:val="111111"/>
          <w:sz w:val="28"/>
          <w:szCs w:val="28"/>
          <w:rtl w:val="true"/>
          <w:lang w:bidi="fa-IR"/>
        </w:rPr>
        <w:t xml:space="preserve">. </w:t>
      </w:r>
      <w:bookmarkStart w:id="35" w:name="pg16651_192966"/>
    </w:p>
    <w:p>
      <w:pPr>
        <w:pStyle w:val="Heading5"/>
        <w:numPr>
          <w:ilvl w:val="4"/>
          <w:numId w:val="1"/>
        </w:numPr>
        <w:rPr/>
      </w:pPr>
      <w:bookmarkStart w:id="36" w:name="__RefHeading___Toc12040649_1280447820"/>
      <w:bookmarkStart w:id="37" w:name="_Toc13"/>
      <w:bookmarkEnd w:id="35"/>
      <w:bookmarkEnd w:id="36"/>
      <w:r>
        <w:rPr>
          <w:rtl w:val="true"/>
        </w:rPr>
        <w:t>معرفی کافی</w:t>
      </w:r>
      <w:bookmarkEnd w:id="37"/>
    </w:p>
    <w:p>
      <w:pPr>
        <w:pStyle w:val="BookText"/>
        <w:rPr/>
      </w:pPr>
      <w:r>
        <w:rPr>
          <w:rFonts w:ascii="IRNazanin" w:hAnsi="IRNazanin" w:eastAsia="IRNazanin"/>
          <w:color w:val="111111"/>
          <w:sz w:val="28"/>
          <w:sz w:val="28"/>
          <w:szCs w:val="28"/>
          <w:rtl w:val="true"/>
          <w:lang w:bidi="fa-IR"/>
        </w:rPr>
        <w:t>کتاب کافی</w:t>
      </w:r>
      <w:r>
        <w:rPr>
          <w:rStyle w:val="FootnoteAnchor"/>
          <w:rtl w:val="true"/>
        </w:rPr>
        <w:footnoteReference w:id="13"/>
      </w:r>
      <w:r>
        <w:rPr>
          <w:rFonts w:ascii="IRNazanin" w:hAnsi="IRNazanin" w:eastAsia="IRNazanin"/>
          <w:color w:val="111111"/>
          <w:sz w:val="28"/>
          <w:sz w:val="28"/>
          <w:szCs w:val="28"/>
          <w:rtl w:val="true"/>
          <w:lang w:bidi="fa-IR"/>
        </w:rPr>
        <w:t>یکی از کتب اربعه شیعه و به عنوان مهمترین منبع حدیثی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سه بخش اصول، فروع و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آن بیشتر روایات اصول عقائدی امامیه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آن غالباً به روایات فقهی پرداخته و در روضه کافی احادیث متفرقه جای دارد و بدون ترتیب خاصی، به موضوعات مختلف مانند خطبه ها، برخی از تواریخ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و گردآورنده کتاب، ثقة الاسلام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طول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مفتخر به جمع آوری این کتاب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یعقوب بن اسحاق کلینی رازی مشهور به ثقة الاسلام و شیخ المشایخ، عالم برجسته شیعی در دوران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برخی از محدثان که بدون واسطه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بودند،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نیمه دوم قرن سوم و نیمه اول قرن چهارم هجری قمری از بزرگ‌ترین محدثان شیعه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بیان جایگاه شخصیتی و علمی کلینی در کتب تراجم و تاریخ آمده است، همگان از موافق و مخالف، از فضل و عظمت وی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زمان تألیف کافی با استفاده از اصول اربعمأة و دیدار حضوری با اصحاب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اصحاب را دیده بودند، احادیث را با کمترین واسطه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با نواب اربعه راه را برای تحقیق در درستی یا نادرستی احادیث هموار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شروحی که بر این کتاب نوشته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کافی ملاصدار متوفای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8" w:name="pg16651_192967"/>
    </w:p>
    <w:p>
      <w:pPr>
        <w:pStyle w:val="BookText"/>
        <w:rPr/>
      </w:pPr>
      <w:bookmarkEnd w:id="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فیض کاشانی،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علامه مجلسی متوفای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کافی ملا صالح مازندرانی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کافی ملاخلیل قزوینی به زبان فارسی موسوم به شافی و شرح عربی به نام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السماویة فی شرح الکافی، سید محمدباقر میرداماد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کافی تألیف امیر اسماعیل خاتون‌آبادی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الیقین نوشته سید علاءالدین محمد گلستانه</w:t>
      </w:r>
      <w:r>
        <w:rPr>
          <w:rFonts w:eastAsia="IRNazanin" w:cs="IRNazanin"/>
          <w:color w:val="111111"/>
          <w:sz w:val="28"/>
          <w:szCs w:val="28"/>
          <w:rtl w:val="true"/>
          <w:lang w:bidi="fa-IR"/>
        </w:rPr>
        <w:t>.</w:t>
      </w:r>
    </w:p>
    <w:p>
      <w:pPr>
        <w:pStyle w:val="Heading4"/>
        <w:numPr>
          <w:ilvl w:val="3"/>
          <w:numId w:val="1"/>
        </w:numPr>
        <w:rPr/>
      </w:pPr>
      <w:bookmarkStart w:id="39" w:name="__RefHeading___Toc12040651_1280447820"/>
      <w:bookmarkStart w:id="40" w:name="_Toc14"/>
      <w:bookmarkEnd w:id="39"/>
      <w:r>
        <w:rPr>
          <w:rtl w:val="true"/>
        </w:rPr>
        <w:t>اعتبار روایات کافی</w:t>
      </w:r>
      <w:bookmarkEnd w:id="40"/>
    </w:p>
    <w:p>
      <w:pPr>
        <w:pStyle w:val="BookText"/>
        <w:rPr/>
      </w:pPr>
      <w:r>
        <w:rPr>
          <w:rFonts w:ascii="IRNazanin" w:hAnsi="IRNazanin" w:eastAsia="IRNazanin"/>
          <w:color w:val="111111"/>
          <w:sz w:val="28"/>
          <w:sz w:val="28"/>
          <w:szCs w:val="28"/>
          <w:rtl w:val="true"/>
          <w:lang w:bidi="fa-IR"/>
        </w:rPr>
        <w:t>درباره اعتبار روایات کافی 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همچون محدث نوری همه ی روایات این کتاب را معتبر و بی نیاز از بررسی های رجالی دانسته و دلایلی را مانند جایگاه ممتاز کافی و نویسنده آن در نزد علما و حضور او در دوره غیبت صغری و امکان بررسی روایات کتاب او از سوی نایبان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نظر ذکر کرده اند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گروهی از علما بر این دلایل خدشه کرده و گفته‌اند بین کلینی و نایبان امام، رفت و آمدی نبوده و از همین رو، روایتی از آنان نقل نکرده و در صورت عرضه کتاب به نایبان، این امر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تالیف خود کتاب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راویان و منابع کافی از نظر </w:t>
      </w:r>
    </w:p>
    <w:p>
      <w:pPr>
        <w:pStyle w:val="BookText"/>
        <w:rPr/>
      </w:pPr>
      <w:r>
        <w:rPr>
          <w:rFonts w:ascii="IRNazanin" w:hAnsi="IRNazanin" w:eastAsia="IRNazanin"/>
          <w:color w:val="111111"/>
          <w:sz w:val="28"/>
          <w:sz w:val="28"/>
          <w:szCs w:val="28"/>
          <w:rtl w:val="true"/>
          <w:lang w:bidi="fa-IR"/>
        </w:rPr>
        <w:t>رجالی ضعیف شمرده شده است و بنابراین، نمی‌توان روایات کتاب کافی را بی‌نیاز از بررسی‌های رجالی دانست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با توجه به اینکه کافی اضبط کتب حدیث شیعه و معتبر ترین آن ها دانسته شده است، گزارش های روایی که در آن سیره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بهداشت جسمی و روانی به صورت مستقیم گزارش کرده یا به نوعی بر سیره آنان دلالت دارد، از اهمیت والایی برخوردار است</w:t>
      </w:r>
      <w:r>
        <w:rPr>
          <w:rFonts w:eastAsia="IRNazanin" w:cs="IRNazanin"/>
          <w:color w:val="111111"/>
          <w:sz w:val="28"/>
          <w:szCs w:val="28"/>
          <w:rtl w:val="true"/>
          <w:lang w:bidi="fa-IR"/>
        </w:rPr>
        <w:t xml:space="preserve">. </w:t>
      </w:r>
      <w:bookmarkStart w:id="41" w:name="pg16651_192969"/>
    </w:p>
    <w:p>
      <w:pPr>
        <w:pStyle w:val="Heading2"/>
        <w:numPr>
          <w:ilvl w:val="1"/>
          <w:numId w:val="1"/>
        </w:numPr>
        <w:rPr/>
      </w:pPr>
      <w:bookmarkStart w:id="42" w:name="__RefHeading___Toc12040653_1280447820"/>
      <w:bookmarkStart w:id="43" w:name="_Toc15"/>
      <w:bookmarkEnd w:id="41"/>
      <w:bookmarkEnd w:id="42"/>
      <w:r>
        <w:rPr>
          <w:rtl w:val="true"/>
        </w:rPr>
        <w:t xml:space="preserve">فصل دوم </w:t>
      </w:r>
      <w:r>
        <w:rPr>
          <w:rtl w:val="true"/>
        </w:rPr>
        <w:t xml:space="preserve">: </w:t>
      </w:r>
      <w:r>
        <w:rPr>
          <w:rtl w:val="true"/>
        </w:rPr>
        <w:t>بهداشت جسم و روان در عصر جاهلی</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2040655_1280447820"/>
      <w:bookmarkStart w:id="45" w:name="_Toc16"/>
      <w:bookmarkEnd w:id="44"/>
      <w:r>
        <w:rPr>
          <w:rtl w:val="true"/>
        </w:rPr>
        <w:t>بهداشت جسم و روان در عصر جاهلی</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651_192971"/>
      <w:bookmarkStart w:id="47" w:name="pg16651_192971"/>
      <w:bookmarkEnd w:id="47"/>
    </w:p>
    <w:p>
      <w:pPr>
        <w:pStyle w:val="BookText"/>
        <w:rPr/>
      </w:pPr>
      <w:bookmarkStart w:id="48" w:name="pg16651_192971"/>
      <w:bookmarkEnd w:id="48"/>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از آنجا که در منابع تاریخی چندان به ذکر مواردی که بیانگر عدم مراعات بهداشت در عصر جاهلی باشد پرداخته نشده است، بحث خود را در این فصل علاوه بر گزارش های هرچند اندک تاریخی، در روایاتی پی می گیریم که به ملازمه بیانگر عدم رعایت برخی از نکات بهداشت جسمی و روانی در عصر جاهلی است و همچنین برای درک صحیح از بهداشت روان دوره جاهلی به اشعار آن دوره مراجعه می کنیم</w:t>
      </w:r>
      <w:r>
        <w:rPr>
          <w:rFonts w:eastAsia="IRNazanin" w:cs="IRNazanin"/>
          <w:color w:val="111111"/>
          <w:sz w:val="28"/>
          <w:szCs w:val="28"/>
          <w:rtl w:val="true"/>
          <w:lang w:bidi="fa-IR"/>
        </w:rPr>
        <w:t>.</w:t>
      </w:r>
    </w:p>
    <w:p>
      <w:pPr>
        <w:pStyle w:val="Heading3"/>
        <w:numPr>
          <w:ilvl w:val="2"/>
          <w:numId w:val="1"/>
        </w:numPr>
        <w:rPr/>
      </w:pPr>
      <w:bookmarkStart w:id="49" w:name="__RefHeading___Toc12040657_1280447820"/>
      <w:bookmarkStart w:id="50" w:name="_Toc17"/>
      <w:bookmarkEnd w:id="49"/>
      <w:r>
        <w:rPr>
          <w:rtl w:val="true"/>
        </w:rPr>
        <w:t>جاهلیت، بازه زمانی و مکانی</w:t>
      </w:r>
      <w:bookmarkEnd w:id="50"/>
    </w:p>
    <w:p>
      <w:pPr>
        <w:pStyle w:val="BookText"/>
        <w:rPr/>
      </w:pPr>
      <w:r>
        <w:rPr>
          <w:rFonts w:ascii="IRNazanin" w:hAnsi="IRNazanin" w:eastAsia="IRNazanin"/>
          <w:color w:val="111111"/>
          <w:sz w:val="28"/>
          <w:sz w:val="28"/>
          <w:szCs w:val="28"/>
          <w:rtl w:val="true"/>
          <w:lang w:bidi="fa-IR"/>
        </w:rPr>
        <w:t>جاهلیت یک لفظ مستحدث قرآنی برای نامیدن عصر پیش از نزول قرآن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عصری که قرآن خلقیات رایج در آن را با تعبیرهایی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اُمیّت، حمیّت، ضلال مبین، علی شفا حفرة من النار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قبل از هر سخنی پیرامون بهداشت دوره جاهلی مناسب است محدوده زمانی جاهلیت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بر این باور است که دوران قبل از بعثت تا محدوده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دوره جاهلی می نامند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مکانی نیز مقصود تحقیق حاضر از جاهلیت محدوده جغرافیایی شبه جزیره عربی است</w:t>
      </w:r>
      <w:r>
        <w:rPr>
          <w:rFonts w:eastAsia="IRNazanin" w:cs="IRNazanin"/>
          <w:color w:val="111111"/>
          <w:sz w:val="28"/>
          <w:szCs w:val="28"/>
          <w:rtl w:val="true"/>
          <w:lang w:bidi="fa-IR"/>
        </w:rPr>
        <w:t xml:space="preserve">. </w:t>
      </w:r>
      <w:bookmarkStart w:id="51" w:name="pg16651_192972"/>
    </w:p>
    <w:p>
      <w:pPr>
        <w:pStyle w:val="Heading3"/>
        <w:numPr>
          <w:ilvl w:val="2"/>
          <w:numId w:val="1"/>
        </w:numPr>
        <w:rPr/>
      </w:pPr>
      <w:bookmarkStart w:id="52" w:name="__RefHeading___Toc12040659_1280447820"/>
      <w:bookmarkStart w:id="53" w:name="_Toc18"/>
      <w:bookmarkEnd w:id="51"/>
      <w:bookmarkEnd w:id="52"/>
      <w:r>
        <w:rPr>
          <w:rtl w:val="true"/>
        </w:rPr>
        <w:t>وضعیت بهداشت جسمی در جاهلیت</w:t>
      </w:r>
      <w:bookmarkEnd w:id="53"/>
    </w:p>
    <w:p>
      <w:pPr>
        <w:pStyle w:val="Heading4"/>
        <w:numPr>
          <w:ilvl w:val="3"/>
          <w:numId w:val="1"/>
        </w:numPr>
        <w:rPr/>
      </w:pPr>
      <w:bookmarkStart w:id="54" w:name="__RefHeading___Toc12040661_1280447820"/>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دکتر جواد علی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تاریخ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بیماری های رایج در عصر جاهلی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هایی که مردم عصر جاهلی بدان مبتلا می شدند فراوان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التهاب چشم، ورم ملتهمه، بیماری های پوستی از جمله؛ پیسی، بهک، خارش، دُمل، جوش، گری، زخم پوستی، بیماری های داخلی از جمله؛ درد معده، کبد، یرقان، سر درد، درد شقیقه، ذات الریه، درد مفاصل و استخوان ها، فلج، سل، تب، بیماری های دستگاه ادراری، تب و لرز، بیماری های قلب، رعشه، جنون، بیماری های عصبی دیگر و سایر بیماری هایی که تا به امروز شناخته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وی با تأکید بر نبود امکانات لازم برای رعایت بهداشت در میان مردم جاهلی علت آن را فقر شدید اکثر آنان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 که از همین روی که امکانات بهداشتی در میان آنان کم بود جسم آنان با بیماری های مختلف مواجه می شد، به ویژه بادیه نشین ها و چادر نشین ها که خانه هایشان بهداشتی نبوده و از آب سالم و بهداشتی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خانه هایشان تنگ و غیر بهداشتی بود و دائما به سل و سایر بیماری ها مبتلا می شدند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آن عصر چون شدیدا به آب نیاز داشت از برکه ها و آبگیر های نا مطبوع و نا مطلوب بهره می برد و همین امر باعث می شد تا به انواع بیماری مبتلا شوند</w:t>
      </w:r>
      <w:r>
        <w:rPr>
          <w:rFonts w:eastAsia="IRNazanin" w:cs="IRNazanin"/>
          <w:color w:val="111111"/>
          <w:sz w:val="28"/>
          <w:szCs w:val="28"/>
          <w:rtl w:val="true"/>
          <w:lang w:bidi="fa-IR"/>
        </w:rPr>
        <w:t>.</w:t>
      </w:r>
      <w:r>
        <w:rPr>
          <w:rStyle w:val="FootnoteAnchor"/>
          <w:rtl w:val="true"/>
        </w:rPr>
        <w:footnoteReference w:id="22"/>
      </w:r>
      <w:bookmarkStart w:id="56" w:name="pg16651_192973"/>
    </w:p>
    <w:p>
      <w:pPr>
        <w:pStyle w:val="Heading4"/>
        <w:numPr>
          <w:ilvl w:val="3"/>
          <w:numId w:val="1"/>
        </w:numPr>
        <w:rPr/>
      </w:pPr>
      <w:bookmarkStart w:id="57" w:name="__RefHeading___Toc12040663_1280447820"/>
      <w:bookmarkStart w:id="58" w:name="_Toc20"/>
      <w:bookmarkEnd w:id="56"/>
      <w:bookmarkEnd w:id="57"/>
      <w:r>
        <w:rPr>
          <w:rtl w:val="true"/>
        </w:rPr>
        <w:t>علل عدم رعایت بهداشت در عصر جاهلی</w:t>
      </w:r>
      <w:bookmarkEnd w:id="58"/>
    </w:p>
    <w:p>
      <w:pPr>
        <w:pStyle w:val="Heading5"/>
        <w:numPr>
          <w:ilvl w:val="4"/>
          <w:numId w:val="1"/>
        </w:numPr>
        <w:rPr/>
      </w:pPr>
      <w:bookmarkStart w:id="59" w:name="__RefHeading___Toc12040665_1280447820"/>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همانگونه که گذشت، بهداشت به آن معنایی که در ذهن ما وجود دارد برای عرب عصر جاهلی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بهداشت در آن عصر می تواند علل متعددی داشته باشد که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61" w:name="__RefHeading___Toc12040667_1280447820"/>
      <w:bookmarkStart w:id="62" w:name="_Toc22"/>
      <w:bookmarkEnd w:id="61"/>
      <w:r>
        <w:rPr>
          <w:rtl w:val="true"/>
        </w:rPr>
        <w:t>عدم وجود امکانات کافی</w:t>
      </w:r>
      <w:bookmarkEnd w:id="62"/>
    </w:p>
    <w:p>
      <w:pPr>
        <w:pStyle w:val="BookText"/>
        <w:rPr/>
      </w:pPr>
      <w:r>
        <w:rPr>
          <w:rFonts w:ascii="IRNazanin" w:hAnsi="IRNazanin" w:eastAsia="IRNazanin"/>
          <w:color w:val="111111"/>
          <w:sz w:val="28"/>
          <w:sz w:val="28"/>
          <w:szCs w:val="28"/>
          <w:rtl w:val="true"/>
          <w:lang w:bidi="fa-IR"/>
        </w:rPr>
        <w:t>دکتر جواد علی یکی از علل عدم رعایت بهداشت در عصر جاهلی را نبود امکانات کافی می داند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63" w:name="__RefHeading___Toc12040669_1280447820"/>
      <w:bookmarkStart w:id="64" w:name="_Toc23"/>
      <w:bookmarkEnd w:id="63"/>
      <w:r>
        <w:rPr>
          <w:rtl w:val="true"/>
        </w:rPr>
        <w:t>جنگ ها</w:t>
      </w:r>
      <w:bookmarkEnd w:id="64"/>
    </w:p>
    <w:p>
      <w:pPr>
        <w:pStyle w:val="BookText"/>
        <w:rPr/>
      </w:pPr>
      <w:r>
        <w:rPr>
          <w:rFonts w:ascii="IRNazanin" w:hAnsi="IRNazanin" w:eastAsia="IRNazanin"/>
          <w:color w:val="111111"/>
          <w:sz w:val="28"/>
          <w:sz w:val="28"/>
          <w:szCs w:val="28"/>
          <w:rtl w:val="true"/>
          <w:lang w:bidi="fa-IR"/>
        </w:rPr>
        <w:t>به نظر می رسد یکی دیگر از علل عدم رعایت بهداشت در عصر جاهلی به جنگ ها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 علاوه بر آنکه خود همواره در جنگ و غارت به سر می برد، دائما توقع دارد که مورد هجوم وحمله دشمن واقع شود و همواره در ترس و وحشت از این امر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چنین شرایطی پر واضح است که اهتمام به نظافت چنان که باید و شاید تحقق نمی یابد</w:t>
      </w:r>
      <w:r>
        <w:rPr>
          <w:rFonts w:eastAsia="IRNazanin" w:cs="IRNazanin"/>
          <w:color w:val="111111"/>
          <w:sz w:val="28"/>
          <w:szCs w:val="28"/>
          <w:rtl w:val="true"/>
          <w:lang w:bidi="fa-IR"/>
        </w:rPr>
        <w:t>.</w:t>
      </w:r>
    </w:p>
    <w:p>
      <w:pPr>
        <w:pStyle w:val="Heading5"/>
        <w:numPr>
          <w:ilvl w:val="4"/>
          <w:numId w:val="1"/>
        </w:numPr>
        <w:rPr/>
      </w:pPr>
      <w:bookmarkStart w:id="65" w:name="__RefHeading___Toc12040671_1280447820"/>
      <w:bookmarkStart w:id="66" w:name="_Toc24"/>
      <w:bookmarkEnd w:id="65"/>
      <w:r>
        <w:rPr>
          <w:rtl w:val="true"/>
        </w:rPr>
        <w:t>بی مبالاتی</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مبالاتی و عدم اهتمام لازم به اموری همچون امور بهداشتی خود از جمله علل عدم رعایت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عرب عصر جاهلی بهداشت جزو اولویت ها نبوده و با زندگی بهداشتی علقه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بی مبالاتی و عدم اهتمام به امر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های دیگر همچون جنگ، خونریزی، زنده به گور کردن دختران، می گساری، شهوت رانی، قمربازی و استفاده از هر نوع غذای خبیث جایی برای اولویت دادن به بهداشت نمی گذارد</w:t>
      </w:r>
      <w:r>
        <w:rPr>
          <w:rFonts w:eastAsia="IRNazanin" w:cs="IRNazanin"/>
          <w:color w:val="111111"/>
          <w:sz w:val="28"/>
          <w:szCs w:val="28"/>
          <w:rtl w:val="true"/>
          <w:lang w:bidi="fa-IR"/>
        </w:rPr>
        <w:t xml:space="preserve">. </w:t>
      </w:r>
      <w:bookmarkStart w:id="67" w:name="pg16651_192974"/>
    </w:p>
    <w:p>
      <w:pPr>
        <w:pStyle w:val="Heading4"/>
        <w:numPr>
          <w:ilvl w:val="3"/>
          <w:numId w:val="1"/>
        </w:numPr>
        <w:rPr/>
      </w:pPr>
      <w:bookmarkStart w:id="68" w:name="__RefHeading___Toc12040673_1280447820"/>
      <w:bookmarkStart w:id="69" w:name="_Toc25"/>
      <w:bookmarkEnd w:id="67"/>
      <w:bookmarkEnd w:id="68"/>
      <w:r>
        <w:rPr>
          <w:rtl w:val="true"/>
        </w:rPr>
        <w:t>مواردی از عدم مراعات بهداشت</w:t>
      </w:r>
      <w:bookmarkEnd w:id="69"/>
    </w:p>
    <w:p>
      <w:pPr>
        <w:pStyle w:val="Heading5"/>
        <w:numPr>
          <w:ilvl w:val="4"/>
          <w:numId w:val="1"/>
        </w:numPr>
        <w:rPr/>
      </w:pPr>
      <w:bookmarkStart w:id="70" w:name="__RefHeading___Toc12040675_128044782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به برخی از مواردی که در آن گزارش هایی مبنی بر وضع نابه سامان بهداشت دوره جاهلیت شده اشاره می شود</w:t>
      </w:r>
      <w:r>
        <w:rPr>
          <w:rFonts w:eastAsia="IRNazanin" w:cs="IRNazanin"/>
          <w:color w:val="111111"/>
          <w:sz w:val="28"/>
          <w:szCs w:val="28"/>
          <w:rtl w:val="true"/>
          <w:lang w:bidi="fa-IR"/>
        </w:rPr>
        <w:t>.</w:t>
      </w:r>
    </w:p>
    <w:p>
      <w:pPr>
        <w:pStyle w:val="Heading5"/>
        <w:numPr>
          <w:ilvl w:val="4"/>
          <w:numId w:val="1"/>
        </w:numPr>
        <w:rPr/>
      </w:pPr>
      <w:bookmarkStart w:id="72" w:name="__RefHeading___Toc12040677_1280447820"/>
      <w:bookmarkStart w:id="73" w:name="_Toc27"/>
      <w:bookmarkEnd w:id="72"/>
      <w:r>
        <w:rPr>
          <w:rtl w:val="true"/>
        </w:rPr>
        <w:t>آویختن استخوان و کثافت بر گردن بیمار</w:t>
      </w:r>
      <w:bookmarkEnd w:id="73"/>
    </w:p>
    <w:p>
      <w:pPr>
        <w:pStyle w:val="BookText"/>
        <w:rPr/>
      </w:pPr>
      <w:r>
        <w:rPr>
          <w:rFonts w:ascii="IRNazanin" w:hAnsi="IRNazanin" w:eastAsia="IRNazanin"/>
          <w:color w:val="111111"/>
          <w:sz w:val="28"/>
          <w:sz w:val="28"/>
          <w:szCs w:val="28"/>
          <w:rtl w:val="true"/>
          <w:lang w:bidi="fa-IR"/>
        </w:rPr>
        <w:t>هنگامی که کسی بیمار می شد عرب جاهلی که بیماری را از عواملی همچون جن و موجودات پلیدی همچون غول می دانست، برای دفع اجنه و غول و بهبود بیمار شروع به آویختن استخوان مرده و کثافت به گردن بیمارهای خود می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همچنین بر گردن بچه دندان روباه و گربه می آویختند تا مبادا چشم زخم در او کارگر افتد یا آنکه دزدیده شود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عمل حتی اگر با دندان خشک روباه و گربه باشد هم عملی منافی بهداشت است</w:t>
      </w:r>
      <w:r>
        <w:rPr>
          <w:rFonts w:eastAsia="IRNazanin" w:cs="IRNazanin"/>
          <w:color w:val="111111"/>
          <w:sz w:val="28"/>
          <w:szCs w:val="28"/>
          <w:rtl w:val="true"/>
          <w:lang w:bidi="fa-IR"/>
        </w:rPr>
        <w:t>.</w:t>
      </w:r>
    </w:p>
    <w:p>
      <w:pPr>
        <w:pStyle w:val="Heading5"/>
        <w:numPr>
          <w:ilvl w:val="4"/>
          <w:numId w:val="1"/>
        </w:numPr>
        <w:rPr/>
      </w:pPr>
      <w:bookmarkStart w:id="74" w:name="__RefHeading___Toc12040679_1280447820"/>
      <w:bookmarkStart w:id="75" w:name="_Toc28"/>
      <w:bookmarkEnd w:id="74"/>
      <w:r>
        <w:rPr>
          <w:rtl w:val="true"/>
        </w:rPr>
        <w:t>خوردن گوشت درندگان</w:t>
      </w:r>
      <w:bookmarkEnd w:id="75"/>
    </w:p>
    <w:p>
      <w:pPr>
        <w:pStyle w:val="BookText"/>
        <w:rPr/>
      </w:pPr>
      <w:r>
        <w:rPr>
          <w:rFonts w:ascii="IRNazanin" w:hAnsi="IRNazanin" w:eastAsia="IRNazanin"/>
          <w:color w:val="111111"/>
          <w:sz w:val="28"/>
          <w:sz w:val="28"/>
          <w:szCs w:val="28"/>
          <w:rtl w:val="true"/>
          <w:lang w:bidi="fa-IR"/>
        </w:rPr>
        <w:t>یکی از عادتی که برای عرب ذکر کرده اند خوردن گوشت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خوردن گوشت درندگان شجاعت می آورد،</w:t>
      </w:r>
      <w:r>
        <w:rPr>
          <w:rStyle w:val="FootnoteAnchor"/>
          <w:rtl w:val="true"/>
        </w:rPr>
        <w:footnoteReference w:id="27"/>
      </w:r>
      <w:r>
        <w:rPr>
          <w:rFonts w:ascii="IRNazanin" w:hAnsi="IRNazanin" w:eastAsia="IRNazanin"/>
          <w:color w:val="111111"/>
          <w:sz w:val="28"/>
          <w:sz w:val="28"/>
          <w:szCs w:val="28"/>
          <w:rtl w:val="true"/>
          <w:lang w:bidi="fa-IR"/>
        </w:rPr>
        <w:t>غافل از آنکه این کار یکی از غیر بهداشتی ترین کارها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آب دهان به روی بیماری های پوستی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کارهای متداول عرب جاهلی معالجه بیماری های پوستی با ریختن آب دهان بر روی آن بود،</w:t>
      </w:r>
      <w:r>
        <w:rPr>
          <w:rStyle w:val="FootnoteAnchor"/>
          <w:rtl w:val="true"/>
        </w:rPr>
        <w:footnoteReference w:id="28"/>
      </w:r>
      <w:r>
        <w:rPr>
          <w:rFonts w:ascii="IRNazanin" w:hAnsi="IRNazanin" w:eastAsia="IRNazanin"/>
          <w:color w:val="111111"/>
          <w:sz w:val="28"/>
          <w:sz w:val="28"/>
          <w:szCs w:val="28"/>
          <w:rtl w:val="true"/>
          <w:lang w:bidi="fa-IR"/>
        </w:rPr>
        <w:t xml:space="preserve">غافل از آنکه این کار نه تنها معالجه نیست بلکه کاری غیر </w:t>
      </w:r>
      <w:bookmarkStart w:id="76" w:name="pg16651_192975"/>
    </w:p>
    <w:p>
      <w:pPr>
        <w:pStyle w:val="BookText"/>
        <w:rPr/>
      </w:pPr>
      <w:bookmarkEnd w:id="76"/>
      <w:r>
        <w:rPr>
          <w:rFonts w:ascii="IRNazanin" w:hAnsi="IRNazanin" w:eastAsia="IRNazanin"/>
          <w:color w:val="111111"/>
          <w:sz w:val="28"/>
          <w:sz w:val="28"/>
          <w:szCs w:val="28"/>
          <w:rtl w:val="true"/>
          <w:lang w:bidi="fa-IR"/>
        </w:rPr>
        <w:t>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دیدگاه آنان تنها کاری معالجه گونه بوده و غیر بهداشتی تلقی نمی شد، اما این کار در عرف امروزه امری غیر بهداشتی است</w:t>
      </w:r>
      <w:r>
        <w:rPr>
          <w:rFonts w:eastAsia="IRNazanin" w:cs="IRNazanin"/>
          <w:color w:val="111111"/>
          <w:sz w:val="28"/>
          <w:szCs w:val="28"/>
          <w:rtl w:val="true"/>
          <w:lang w:bidi="fa-IR"/>
        </w:rPr>
        <w:t>.</w:t>
      </w:r>
    </w:p>
    <w:p>
      <w:pPr>
        <w:pStyle w:val="Heading4"/>
        <w:numPr>
          <w:ilvl w:val="3"/>
          <w:numId w:val="1"/>
        </w:numPr>
        <w:rPr/>
      </w:pPr>
      <w:bookmarkStart w:id="77" w:name="__RefHeading___Toc12040681_1280447820"/>
      <w:bookmarkStart w:id="78" w:name="_Toc29"/>
      <w:bookmarkEnd w:id="77"/>
      <w:r>
        <w:rPr>
          <w:rtl w:val="true"/>
        </w:rPr>
        <w:t>وضع بهداشت جسمی دوره جاهلی در روایات</w:t>
      </w:r>
      <w:bookmarkEnd w:id="78"/>
    </w:p>
    <w:p>
      <w:pPr>
        <w:pStyle w:val="BookText"/>
        <w:rPr/>
      </w:pPr>
      <w:r>
        <w:rPr>
          <w:rFonts w:ascii="IRNazanin" w:hAnsi="IRNazanin" w:eastAsia="IRNazanin"/>
          <w:color w:val="111111"/>
          <w:sz w:val="28"/>
          <w:sz w:val="28"/>
          <w:szCs w:val="28"/>
          <w:rtl w:val="true"/>
          <w:lang w:bidi="fa-IR"/>
        </w:rPr>
        <w:t>در این بخش به بررسی روایاتی که می تواند بی مبالاتی عصر جاهلی را نسبت به بهداشت جسمی و روانی اشاره داشته باشد پی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بخش هرگز به معنای جامع نبودن احکام درنگاه مؤلف نیست و به این معنا نیست که احکام فقط برای شرایطی خاص و به تناسب رفتار مردم آن زمان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نویسنده بر این باور است که احکام شرعی به مکان یا زمان خاصی و یا واقعه خاصی منوط نیست بلکه فرا زمانی و فرامکانی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یک حکم در پی واقعه ای خاص صادر شده باشد، اما همچون سبب نزول آیات می گوییم آنچه مهم است، عمومیت لفظ است و نه خصوصیت مورد</w:t>
      </w:r>
      <w:r>
        <w:rPr>
          <w:rFonts w:eastAsia="IRNazanin" w:cs="IRNazanin"/>
          <w:color w:val="111111"/>
          <w:sz w:val="28"/>
          <w:szCs w:val="28"/>
          <w:rtl w:val="true"/>
          <w:lang w:bidi="fa-IR"/>
        </w:rPr>
        <w:t>.</w:t>
      </w:r>
    </w:p>
    <w:p>
      <w:pPr>
        <w:pStyle w:val="Heading4"/>
        <w:numPr>
          <w:ilvl w:val="3"/>
          <w:numId w:val="1"/>
        </w:numPr>
        <w:rPr/>
      </w:pPr>
      <w:bookmarkStart w:id="79" w:name="__RefHeading___Toc12040683_1280447820"/>
      <w:bookmarkStart w:id="80" w:name="_Toc30"/>
      <w:bookmarkEnd w:id="79"/>
      <w:r>
        <w:rPr>
          <w:rtl w:val="true"/>
        </w:rPr>
        <w:t>بی مبالاتی نسبت به بهداشت جسمی</w:t>
      </w:r>
      <w:bookmarkEnd w:id="80"/>
    </w:p>
    <w:p>
      <w:pPr>
        <w:pStyle w:val="Heading5"/>
        <w:numPr>
          <w:ilvl w:val="4"/>
          <w:numId w:val="1"/>
        </w:numPr>
        <w:rPr/>
      </w:pPr>
      <w:bookmarkStart w:id="81" w:name="__RefHeading___Toc12040685_128044782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این بخش به بررسی روایاتی می پردازیم که می تواند بی مبالاتی عصر جاهلی را نسبت به بهداشت جسمی بیانگر باشد</w:t>
      </w:r>
      <w:r>
        <w:rPr>
          <w:rFonts w:eastAsia="IRNazanin" w:cs="IRNazanin"/>
          <w:color w:val="111111"/>
          <w:sz w:val="28"/>
          <w:szCs w:val="28"/>
          <w:rtl w:val="true"/>
          <w:lang w:bidi="fa-IR"/>
        </w:rPr>
        <w:t>.</w:t>
      </w:r>
    </w:p>
    <w:p>
      <w:pPr>
        <w:pStyle w:val="Heading5"/>
        <w:numPr>
          <w:ilvl w:val="4"/>
          <w:numId w:val="1"/>
        </w:numPr>
        <w:rPr/>
      </w:pPr>
      <w:bookmarkStart w:id="83" w:name="__RefHeading___Toc12040687_1280447820"/>
      <w:bookmarkStart w:id="84" w:name="_Toc32"/>
      <w:bookmarkEnd w:id="83"/>
      <w:r>
        <w:rPr>
          <w:rtl w:val="true"/>
        </w:rPr>
        <w:t>بی مبالاتی نسبت به نظافت حیاط خانه</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طریق اهل سنت وارد شده که در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گروهی آنان را مورد سرزنش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لا تنظفون عذراتكم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نظفوا عذراتکم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عذرات جمع عذرة به معنای حیاط خانه </w:t>
      </w:r>
      <w:bookmarkStart w:id="85" w:name="pg16651_192976"/>
    </w:p>
    <w:p>
      <w:pPr>
        <w:pStyle w:val="BookText"/>
        <w:rPr/>
      </w:pPr>
      <w:bookmarkEnd w:id="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روایت دیگری از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اكْنُسُوا أَفْنِيَتَكُمْ وَ لَا تَشَبَّهُوا بِالْيَهُودِ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حیاط خود را جارو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یهود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انجام یک کار و به ویژه اگر همراه با عتاب باشد، چنانکه ابن ابی الحدید اینگونه برداشت کرده</w:t>
      </w:r>
      <w:r>
        <w:rPr>
          <w:rStyle w:val="FootnoteAnchor"/>
          <w:rtl w:val="true"/>
        </w:rPr>
        <w:footnoteReference w:id="33"/>
      </w:r>
      <w:r>
        <w:rPr>
          <w:rFonts w:ascii="IRNazanin" w:hAnsi="IRNazanin" w:eastAsia="IRNazanin"/>
          <w:color w:val="111111"/>
          <w:sz w:val="28"/>
          <w:sz w:val="28"/>
          <w:szCs w:val="28"/>
          <w:rtl w:val="true"/>
          <w:lang w:bidi="fa-IR"/>
        </w:rPr>
        <w:t>حاکی از عدم اهتمام به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عتاب و خطاب به مردم دستور می دهد که حیاط خانه های خود را نظافت کنند، به نظر می رسد حاکی از آن است که در جاهلیت نیز بر همین منوال بوده اند و اهل نظافت خانه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که در ایام حکمرانی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به نظافت دستور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حیاط خانه خود را رها کرده اند، در دوره جاهلی به طریق اولی به نظافت حیاط خانه ها اهتمام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اگر آنان بدین کار اهتمام داشتند دیگر دلیل نداشت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 کار وادارد، بلکه کار آنان را مبنی بر نظافت خانه تحسین و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دوم به نظر می رسد که گویا یهود، حیاط خانه های خود را جارو نمی کردند و آن را کثیف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یهودیان که به نظر متمدن تر از اعراب جاهلی بودند، نسبت به نظافت حیاط خانه خود بی مبالاتی می کردند، حال اعراب جاهلی که دیگر تکلیفشان معلوم است</w:t>
      </w:r>
      <w:r>
        <w:rPr>
          <w:rFonts w:eastAsia="IRNazanin" w:cs="IRNazanin"/>
          <w:color w:val="111111"/>
          <w:sz w:val="28"/>
          <w:szCs w:val="28"/>
          <w:rtl w:val="true"/>
          <w:lang w:bidi="fa-IR"/>
        </w:rPr>
        <w:t>.</w:t>
      </w:r>
    </w:p>
    <w:p>
      <w:pPr>
        <w:pStyle w:val="Heading5"/>
        <w:numPr>
          <w:ilvl w:val="4"/>
          <w:numId w:val="1"/>
        </w:numPr>
        <w:rPr/>
      </w:pPr>
      <w:bookmarkStart w:id="86" w:name="__RefHeading___Toc12040689_1280447820"/>
      <w:bookmarkStart w:id="87" w:name="_Toc33"/>
      <w:bookmarkEnd w:id="86"/>
      <w:r>
        <w:rPr>
          <w:rtl w:val="true"/>
        </w:rPr>
        <w:t>بی مبالاتی نسبت به تار عنکبوت خانه</w:t>
      </w:r>
      <w:bookmarkEnd w:id="8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شاهد آن هستیم که به نظافت خانه از تار عنکبوت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قرب الإسناد و محاسن آمده است</w:t>
      </w:r>
      <w:r>
        <w:rPr>
          <w:rFonts w:eastAsia="IRNazanin" w:cs="IRNazanin"/>
          <w:color w:val="111111"/>
          <w:sz w:val="28"/>
          <w:szCs w:val="28"/>
          <w:rtl w:val="true"/>
          <w:lang w:bidi="fa-IR"/>
        </w:rPr>
        <w:t xml:space="preserve">: </w:t>
      </w:r>
      <w:bookmarkStart w:id="88" w:name="pg16651_192977"/>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نَظِّفُوا أَفْنِيَتَكُمْ مِنْ حَوْكِ الْعَنْكَبُوتِ فَإِنَّ تَرْكَهُ فِي الْبُيُوتِ يُورِثُ الْفَقْرَ</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خانه های خود را از تار عنکبوت پاکسازی کنید؛ چرا که رها کردن آن در خانه فقر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خود را از تار عنکبوت پاکسازی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در معنای روایت این است که گویا مردمان آن روزگار تار عنکبوت های خانه های خود را می زودند اما آن ها را در حیاط خانه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دیگری در این روایت وجود دارد و آن هم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روایت تصحیف رخ داده است که بعید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روایاتی که به نظافت حیاط خانه ها سفارش کرده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مانع از آن باشد که احتمال تصحیف را در این روایت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آنچه از روایت قابل فهم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شاید حکمت صدور این روایت آن باشد که آنان به پاکسازی خانه از تار عنکبوت اهتمام نداشتند</w:t>
      </w:r>
      <w:r>
        <w:rPr>
          <w:rFonts w:eastAsia="IRNazanin" w:cs="IRNazanin"/>
          <w:color w:val="111111"/>
          <w:sz w:val="28"/>
          <w:szCs w:val="28"/>
          <w:rtl w:val="true"/>
          <w:lang w:bidi="fa-IR"/>
        </w:rPr>
        <w:t>.</w:t>
      </w:r>
    </w:p>
    <w:p>
      <w:pPr>
        <w:pStyle w:val="Heading5"/>
        <w:numPr>
          <w:ilvl w:val="4"/>
          <w:numId w:val="1"/>
        </w:numPr>
        <w:rPr/>
      </w:pPr>
      <w:bookmarkStart w:id="89" w:name="__RefHeading___Toc12040691_1280447820"/>
      <w:bookmarkStart w:id="90" w:name="_Toc34"/>
      <w:bookmarkEnd w:id="89"/>
      <w:r>
        <w:rPr>
          <w:rtl w:val="true"/>
        </w:rPr>
        <w:t>انداختن دستمال کثیف در خانه</w:t>
      </w:r>
      <w:bookmarkEnd w:id="9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در باب نوادر کتاب الأطعمة کافی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نهی از انداختن دستمال کثیف در خانه وارد شده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به نظر می رسد این روایت حکایت از آن دارد که این کار که دستمال کثیف را در خانه رها کنند در </w:t>
      </w:r>
      <w:bookmarkStart w:id="91" w:name="pg16651_192978"/>
    </w:p>
    <w:p>
      <w:pPr>
        <w:pStyle w:val="BookText"/>
        <w:rPr/>
      </w:pPr>
      <w:bookmarkEnd w:id="91"/>
      <w:r>
        <w:rPr>
          <w:rFonts w:ascii="IRNazanin" w:hAnsi="IRNazanin" w:eastAsia="IRNazanin"/>
          <w:color w:val="111111"/>
          <w:sz w:val="28"/>
          <w:sz w:val="28"/>
          <w:szCs w:val="28"/>
          <w:rtl w:val="true"/>
          <w:lang w:bidi="fa-IR"/>
        </w:rPr>
        <w:t>زمان ایشان وجود داشت و چه بسا قبل از زمان ایشان و در جاهلیت نیز وجود داشته است و ایشان از این کار پرهیز داده اند</w:t>
      </w:r>
      <w:r>
        <w:rPr>
          <w:rFonts w:eastAsia="IRNazanin" w:cs="IRNazanin"/>
          <w:color w:val="111111"/>
          <w:sz w:val="28"/>
          <w:szCs w:val="28"/>
          <w:rtl w:val="true"/>
          <w:lang w:bidi="fa-IR"/>
        </w:rPr>
        <w:t>.</w:t>
      </w:r>
    </w:p>
    <w:p>
      <w:pPr>
        <w:pStyle w:val="Heading5"/>
        <w:numPr>
          <w:ilvl w:val="4"/>
          <w:numId w:val="1"/>
        </w:numPr>
        <w:rPr/>
      </w:pPr>
      <w:bookmarkStart w:id="92" w:name="__RefHeading___Toc12040693_1280447820"/>
      <w:bookmarkStart w:id="93" w:name="_Toc35"/>
      <w:bookmarkEnd w:id="92"/>
      <w:r>
        <w:rPr>
          <w:rtl w:val="true"/>
        </w:rPr>
        <w:t>بی اهمیتی به نظافت ناخن</w:t>
      </w:r>
      <w:bookmarkEnd w:id="93"/>
    </w:p>
    <w:p>
      <w:pPr>
        <w:pStyle w:val="BookText"/>
        <w:rPr/>
      </w:pPr>
      <w:r>
        <w:rPr>
          <w:rFonts w:ascii="IRNazanin" w:hAnsi="IRNazanin" w:eastAsia="IRNazanin"/>
          <w:color w:val="111111"/>
          <w:sz w:val="28"/>
          <w:sz w:val="28"/>
          <w:szCs w:val="28"/>
          <w:rtl w:val="true"/>
          <w:lang w:bidi="fa-IR"/>
        </w:rPr>
        <w:t xml:space="preserve">در برخی از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دستور می دهد تا ناخن خود را کوتاه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قُصُّوا أَظَافِيرَكُم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گویا این روایت حاکی از آن است که حد اقل گروهی به کوتاه کردن ناخن اهمیت نمی دادند؛ چرا که اگر آنان به این امر اهتمام داشتند، به صورت مستقیم به آن ها دستور به ناخن گرفتن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دلالت صریحی بر این مطلب دارد که در یک بازه زمانی حتی در دوره ظهور اسلام و عصر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بهداشت ناخن اهتمام نداشتند، به گونه ای که مدتی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نمی شود، مردم علت آن را جویا می شوند و حضرت عدم نظافت ناخن و مابین مفاصل انگشتان را علت انقطاع وحی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احْتَبَسَ الْوَحْيُ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احْتَبَسَ الْوَحْيُ عَنْكَ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يَحْتَبِسُ وَ أَنْتُمْ لَا تُقَلِّمُونَ أَظْفَارَكُمْ وَ لَا تُنَقُّونَ رَوَاجِبَكُمْ</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زمانی است که مردم با تعالیم اسلام آشنا شده اند، حال در زمان جاهلیت که مردم با تعالیم اسلام آشنایی ندارند، به نظر می رسد اهتمام چندانی به نظافت ناخن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حکمت صدور این نوع روایات پرهیز از چنین سنت های جاهلی باشد</w:t>
      </w:r>
      <w:r>
        <w:rPr>
          <w:rFonts w:eastAsia="IRNazanin" w:cs="IRNazanin"/>
          <w:color w:val="111111"/>
          <w:sz w:val="28"/>
          <w:szCs w:val="28"/>
          <w:rtl w:val="true"/>
          <w:lang w:bidi="fa-IR"/>
        </w:rPr>
        <w:t xml:space="preserve">. </w:t>
      </w:r>
      <w:bookmarkStart w:id="94" w:name="pg16651_192979"/>
    </w:p>
    <w:p>
      <w:pPr>
        <w:pStyle w:val="Heading5"/>
        <w:numPr>
          <w:ilvl w:val="4"/>
          <w:numId w:val="1"/>
        </w:numPr>
        <w:rPr/>
      </w:pPr>
      <w:bookmarkStart w:id="95" w:name="__RefHeading___Toc12040695_1280447820"/>
      <w:bookmarkStart w:id="96" w:name="_Toc36"/>
      <w:bookmarkEnd w:id="94"/>
      <w:bookmarkEnd w:id="95"/>
      <w:r>
        <w:rPr>
          <w:rtl w:val="true"/>
        </w:rPr>
        <w:t>بی اهمیتی به نظافت لباس</w:t>
      </w:r>
      <w:bookmarkEnd w:id="96"/>
    </w:p>
    <w:p>
      <w:pPr>
        <w:pStyle w:val="BookText"/>
        <w:rPr/>
      </w:pPr>
      <w:r>
        <w:rPr>
          <w:rFonts w:ascii="IRNazanin" w:hAnsi="IRNazanin" w:eastAsia="IRNazanin"/>
          <w:color w:val="111111"/>
          <w:sz w:val="28"/>
          <w:sz w:val="28"/>
          <w:szCs w:val="28"/>
          <w:rtl w:val="true"/>
          <w:lang w:bidi="fa-IR"/>
        </w:rPr>
        <w:t>بی شک نظافت لباس و پاکیزه نگه داشتن آن یکی از امور مهم بهداشتی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روایاتی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عنوان شده، به نظر می رسد لباس ها در دوره جاهلیت به گونه ای طراحی و دوخته می شد که روی زمین کشیده می شد، به همین جهت خداوند به پیامبر خود دستور به پاکیزه نگه داشتن لباس می دهد؛ چنانکه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این موضوع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گردآوری شده که دو روایت آن می تواند مؤید بحث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نخست معنای آیه شریفه چنین بیان شده که مقصود از تطهیر ثوب، بالا زدن و بالا نگه داشتن لباس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روایت دیگر همین باب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لباس هایی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دیوان خرید پرداخته و در ادامه در بیان این آیه شریفه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بالا نگه دار و روی زمین نکش</w:t>
      </w:r>
      <w:r>
        <w:rPr>
          <w:rFonts w:eastAsia="IRNazanin" w:cs="IRNazanin"/>
          <w:color w:val="111111"/>
          <w:sz w:val="28"/>
          <w:szCs w:val="28"/>
          <w:rtl w:val="true"/>
          <w:lang w:bidi="fa-IR"/>
        </w:rPr>
        <w:t>.</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دستور به بالا نگه داشتن لباس، با توجه به اینکه عرب ها از همان زمان لباس های بلندی همچون دشداشه های امروزی می پوشیدند، حکایت از </w:t>
      </w:r>
      <w:bookmarkStart w:id="97" w:name="pg16651_192980"/>
    </w:p>
    <w:p>
      <w:pPr>
        <w:pStyle w:val="BookText"/>
        <w:rPr/>
      </w:pPr>
      <w:bookmarkEnd w:id="97"/>
      <w:r>
        <w:rPr>
          <w:rFonts w:ascii="IRNazanin" w:hAnsi="IRNazanin" w:eastAsia="IRNazanin"/>
          <w:color w:val="111111"/>
          <w:sz w:val="28"/>
          <w:sz w:val="28"/>
          <w:szCs w:val="28"/>
          <w:rtl w:val="true"/>
          <w:lang w:bidi="fa-IR"/>
        </w:rPr>
        <w:t xml:space="preserve">این دارد که این کار در آن زمان رایج بوده است و از سویی چون خطاب های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است، پس در واقع روی سخن با دیگران و مردم آن دوران است که به برخورد لباس خود با زمین که ممکن است عنوان آلودگی ها را حمل کند، اهمیت نمی دادند</w:t>
      </w:r>
      <w:r>
        <w:rPr>
          <w:rFonts w:eastAsia="IRNazanin" w:cs="IRNazanin"/>
          <w:color w:val="111111"/>
          <w:sz w:val="28"/>
          <w:szCs w:val="28"/>
          <w:rtl w:val="true"/>
          <w:lang w:bidi="fa-IR"/>
        </w:rPr>
        <w:t>.</w:t>
      </w:r>
    </w:p>
    <w:p>
      <w:pPr>
        <w:pStyle w:val="Heading5"/>
        <w:numPr>
          <w:ilvl w:val="4"/>
          <w:numId w:val="1"/>
        </w:numPr>
        <w:rPr/>
      </w:pPr>
      <w:bookmarkStart w:id="98" w:name="__RefHeading___Toc12040697_1280447820"/>
      <w:bookmarkStart w:id="99" w:name="_Toc37"/>
      <w:bookmarkEnd w:id="98"/>
      <w:r>
        <w:rPr>
          <w:rtl w:val="true"/>
        </w:rPr>
        <w:t>بی اهمیتی به نظافت بدن</w:t>
      </w:r>
      <w:bookmarkEnd w:id="99"/>
    </w:p>
    <w:p>
      <w:pPr>
        <w:pStyle w:val="BookText"/>
        <w:rPr/>
      </w:pPr>
      <w:r>
        <w:rPr>
          <w:rFonts w:ascii="IRNazanin" w:hAnsi="IRNazanin" w:eastAsia="IRNazanin"/>
          <w:color w:val="111111"/>
          <w:sz w:val="28"/>
          <w:sz w:val="28"/>
          <w:szCs w:val="28"/>
          <w:rtl w:val="true"/>
          <w:lang w:bidi="fa-IR"/>
        </w:rPr>
        <w:t xml:space="preserve">در سنن نسائی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از غسل جمعه صحبت می شود و عائشه نیز حضور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عالیه</w:t>
      </w:r>
      <w:r>
        <w:rPr>
          <w:rStyle w:val="FootnoteAnchor"/>
          <w:rtl w:val="true"/>
        </w:rPr>
        <w:footnoteReference w:id="42"/>
      </w:r>
      <w:r>
        <w:rPr>
          <w:rFonts w:ascii="IRNazanin" w:hAnsi="IRNazanin" w:eastAsia="IRNazanin"/>
          <w:color w:val="111111"/>
          <w:sz w:val="28"/>
          <w:sz w:val="28"/>
          <w:szCs w:val="28"/>
          <w:rtl w:val="true"/>
          <w:lang w:bidi="fa-IR"/>
        </w:rPr>
        <w:t>ساکن بودند و برای نماز جمعه که می آمدند، چرکین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 به آنان می خورد و بوی بدشان ساطع می گشت مردم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نمی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شاید یکی از حکمت های صدور این روایت این باشد که عده ای از مردم هنگام حضور در نماز جمعه بدون اهتمام به نظافت بدن حاضر می شدند که منجر به آزار دیگران توسط بوی بد بدن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زمان جاهلیت نیز همین بر همین منوال بوده اند</w:t>
      </w:r>
      <w:r>
        <w:rPr>
          <w:rFonts w:eastAsia="IRNazanin" w:cs="IRNazanin"/>
          <w:color w:val="111111"/>
          <w:sz w:val="28"/>
          <w:szCs w:val="28"/>
          <w:rtl w:val="true"/>
          <w:lang w:bidi="fa-IR"/>
        </w:rPr>
        <w:t>.</w:t>
      </w:r>
    </w:p>
    <w:p>
      <w:pPr>
        <w:pStyle w:val="Heading4"/>
        <w:numPr>
          <w:ilvl w:val="3"/>
          <w:numId w:val="1"/>
        </w:numPr>
        <w:rPr/>
      </w:pPr>
      <w:bookmarkStart w:id="100" w:name="__RefHeading___Toc12040699_1280447820"/>
      <w:bookmarkStart w:id="101" w:name="_Toc38"/>
      <w:bookmarkEnd w:id="100"/>
      <w:r>
        <w:rPr>
          <w:rtl w:val="true"/>
        </w:rPr>
        <w:t>بهداشت روان در جاهلیت</w:t>
      </w:r>
      <w:bookmarkEnd w:id="101"/>
    </w:p>
    <w:p>
      <w:pPr>
        <w:pStyle w:val="Heading5"/>
        <w:numPr>
          <w:ilvl w:val="4"/>
          <w:numId w:val="1"/>
        </w:numPr>
        <w:rPr/>
      </w:pPr>
      <w:bookmarkStart w:id="102" w:name="__RefHeading___Toc12040701_1280447820"/>
      <w:bookmarkStart w:id="103" w:name="_Toc39"/>
      <w:bookmarkEnd w:id="102"/>
      <w:r>
        <w:rPr>
          <w:rtl w:val="true"/>
        </w:rPr>
        <w:t>اشاره</w:t>
      </w:r>
      <w:bookmarkEnd w:id="1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روان بدین معنا که انسان در آرامش روانی خاطر به سر ببرد تا در سایه آن زندگی روزمره خود را سامان دهد، با توجه به محیط های مختلف و شرائط مختلف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برخی از شرائط بهداشت روان تأمین و زندگی را از حیث روانی برای مردم سهل و آسان و بی دغدغه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این آرامش و </w:t>
      </w:r>
      <w:bookmarkStart w:id="104" w:name="pg16651_192981"/>
    </w:p>
    <w:p>
      <w:pPr>
        <w:pStyle w:val="BookText"/>
        <w:rPr/>
      </w:pPr>
      <w:bookmarkEnd w:id="104"/>
      <w:r>
        <w:rPr>
          <w:rFonts w:ascii="IRNazanin" w:hAnsi="IRNazanin" w:eastAsia="IRNazanin"/>
          <w:color w:val="111111"/>
          <w:sz w:val="28"/>
          <w:sz w:val="28"/>
          <w:szCs w:val="28"/>
          <w:rtl w:val="true"/>
          <w:lang w:bidi="fa-IR"/>
        </w:rPr>
        <w:t>بهداشت روان وجود نداشته و باعث به وجود آمدن انواع فشارهای روانی و فکری به فرد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گزاره های تاریخی می پردازیم که در نثر و نظم عصر جاهلی و حتی بعد از آن خودنمایی می کند و حاکی از اوضاع نا بسامان بهداشت روان در عصر جاهلی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بررسی برخی از اشعار و گزارش های دوره جاهلی که حاکی از عدم وجود مؤلفه های بهداشت روان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احساساتی که شاعران این دوره آن را در قالب سروده های خود ابراز کرده اند، می تواند تصویر گر فضای روانی غالب عصر جاهلی باشد، یا آنکه بر آن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عصر کنونی هنگامی که یک سرود یا شعری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و ماندگار می شود، محتوای آن نه تنها بر جو عمومی جامعه تأثیر می گذارد، بلکه حکایت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احساسات آن جو و فضا روانی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سرود مذکور اینگونه است که جو روانی غالب تشیع اظهار ارادت و ابراز شوق، آمادگی و تشنگی برای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شعر نیز دقیقا همان احساس جو روانی غالب جامعه شیعی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شاعر به عنوان نماد و نماینده فرهنگ یک جامعه است با بیان احساساتی درونی خود در واقع احساسات جو غالب جامعه را به تصویر می کشد</w:t>
      </w:r>
      <w:r>
        <w:rPr>
          <w:rFonts w:eastAsia="IRNazanin" w:cs="IRNazanin"/>
          <w:color w:val="111111"/>
          <w:sz w:val="28"/>
          <w:szCs w:val="28"/>
          <w:rtl w:val="true"/>
          <w:lang w:bidi="fa-IR"/>
        </w:rPr>
        <w:t>.</w:t>
      </w:r>
    </w:p>
    <w:p>
      <w:pPr>
        <w:pStyle w:val="Heading5"/>
        <w:numPr>
          <w:ilvl w:val="4"/>
          <w:numId w:val="1"/>
        </w:numPr>
        <w:rPr/>
      </w:pPr>
      <w:bookmarkStart w:id="105" w:name="__RefHeading___Toc12040703_1280447820"/>
      <w:bookmarkStart w:id="106" w:name="_Toc40"/>
      <w:bookmarkEnd w:id="105"/>
      <w:r>
        <w:rPr>
          <w:rtl w:val="true"/>
        </w:rPr>
        <w:t>فقدان ایمان به خدا و رواج بت پرستی</w:t>
      </w:r>
      <w:bookmarkEnd w:id="10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خود یکی از مهم ترین مؤلفه های بهداشت روان است که بر سایر مؤلفه ها تأثیر مستقیم دارد و باعث تقویت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خدا ایمان دارد ترس و ناراحتی در امور دنیوی برایش معنایی ندارد، چنانکه قرآن کریم نیز از این مطلب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 لا هُمْ يَحْزَنُون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ایمان به خدا و کار بست صحیح مستلزمات آن در زندگی بخش زیادی از بهداشت روان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رازقیت خدا دارد، دغدغه اصلی او مال اندوزی </w:t>
      </w:r>
      <w:bookmarkStart w:id="107" w:name="pg16651_192982"/>
    </w:p>
    <w:p>
      <w:pPr>
        <w:pStyle w:val="BookText"/>
        <w:rPr/>
      </w:pPr>
      <w:bookmarkEnd w:id="107"/>
      <w:r>
        <w:rPr>
          <w:rFonts w:ascii="IRNazanin" w:hAnsi="IRNazanin" w:eastAsia="IRNazanin"/>
          <w:color w:val="111111"/>
          <w:sz w:val="28"/>
          <w:sz w:val="28"/>
          <w:szCs w:val="28"/>
          <w:rtl w:val="true"/>
          <w:lang w:bidi="fa-IR"/>
        </w:rPr>
        <w:t>و ترس از فقر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به رحمت خدا ایمان داشته باشد، در مقابل گناهانی که مرتکب شده هر چند انبوه باشد نا امید نشده برای خلاصی از عذاب وجدان دست به اقداماتی همچون خود کشی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جاهلی دوره ای است که مردم آن از بی ایمانی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چوب هایی که قادر نیستند حتی از خود محافظت کنند، به عنوان خدا یا شریک خدا پرستیده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طلب روزی و استمداد از خدای یگانه سنگ و چوب های تراشیده شده واسطه روزی و بلکه روزی دهنده تلقی می شوند و در هنگام قحطی و خشک سالی برخی از این خدایان که روزی دهنده بودند، خود غذای گرسنگان عصر جاهلی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ایمان مهم ترین آسیب را در ناحیه بهداشت روان بر مردم عصر جاهلی و به ویژه طبقه فرودست وارد می کند</w:t>
      </w:r>
      <w:r>
        <w:rPr>
          <w:rFonts w:eastAsia="IRNazanin" w:cs="IRNazanin"/>
          <w:color w:val="111111"/>
          <w:sz w:val="28"/>
          <w:szCs w:val="28"/>
          <w:rtl w:val="true"/>
          <w:lang w:bidi="fa-IR"/>
        </w:rPr>
        <w:t>.</w:t>
      </w:r>
    </w:p>
    <w:p>
      <w:pPr>
        <w:pStyle w:val="Heading5"/>
        <w:numPr>
          <w:ilvl w:val="4"/>
          <w:numId w:val="1"/>
        </w:numPr>
        <w:rPr/>
      </w:pPr>
      <w:bookmarkStart w:id="108" w:name="__RefHeading___Toc12040705_1280447820"/>
      <w:bookmarkStart w:id="109" w:name="_Toc41"/>
      <w:bookmarkEnd w:id="108"/>
      <w:r>
        <w:rPr>
          <w:rtl w:val="true"/>
        </w:rPr>
        <w:t>یأس و نا امیدی</w:t>
      </w:r>
      <w:bookmarkEnd w:id="109"/>
    </w:p>
    <w:p>
      <w:pPr>
        <w:pStyle w:val="BookText"/>
        <w:rPr/>
      </w:pPr>
      <w:r>
        <w:rPr>
          <w:rFonts w:ascii="IRNazanin" w:hAnsi="IRNazanin" w:eastAsia="IRNazanin"/>
          <w:color w:val="111111"/>
          <w:sz w:val="28"/>
          <w:sz w:val="28"/>
          <w:szCs w:val="28"/>
          <w:rtl w:val="true"/>
          <w:lang w:bidi="fa-IR"/>
        </w:rPr>
        <w:t>یأس و نا امیدی از جمله موارد مخل به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امیدواری، خود از نشانه های بهداشت روان است و به معنی احساس امنیت ذهنی و روانی نسبت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اشعار دوره جاهلی روح یأس و نا امیدی موج می زند و یک موج منفی در خصوص این مسئله را به مخاطب القا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أسود بن يعفر نهشلي که از طبقه پنجم شعرای جاهلی به حساب می آید،</w:t>
      </w:r>
      <w:r>
        <w:rPr>
          <w:rStyle w:val="FootnoteAnchor"/>
          <w:rtl w:val="true"/>
        </w:rPr>
        <w:footnoteReference w:id="45"/>
      </w:r>
      <w:r>
        <w:rPr>
          <w:rFonts w:ascii="IRNazanin" w:hAnsi="IRNazanin" w:eastAsia="IRNazanin"/>
          <w:color w:val="111111"/>
          <w:sz w:val="28"/>
          <w:sz w:val="28"/>
          <w:szCs w:val="28"/>
          <w:rtl w:val="true"/>
          <w:lang w:bidi="fa-IR"/>
        </w:rPr>
        <w:t>در شعری چنین از احساس نا امیدی خود سخن به میان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الخليُّ وما أُحسّ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مُحتَضرٌ لَدَي وِبادي</w:t>
      </w:r>
    </w:p>
    <w:p>
      <w:pPr>
        <w:pStyle w:val="BookText"/>
        <w:rPr/>
      </w:pPr>
      <w:r>
        <w:rPr>
          <w:rFonts w:ascii="Amiri" w:hAnsi="Amiri" w:eastAsia="Amiri" w:cs="Amiri"/>
          <w:color w:val="111111"/>
          <w:sz w:val="28"/>
          <w:sz w:val="28"/>
          <w:szCs w:val="28"/>
          <w:rtl w:val="true"/>
          <w:lang w:bidi="ar-SA"/>
        </w:rPr>
        <w:t xml:space="preserve">أما تَريني قد بَليتُ وغاضَني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نيل من بَصَري ومن أجلادي</w:t>
      </w:r>
    </w:p>
    <w:p>
      <w:pPr>
        <w:pStyle w:val="BookText"/>
        <w:rPr/>
      </w:pPr>
      <w:r>
        <w:rPr>
          <w:rFonts w:ascii="Amiri" w:hAnsi="Amiri" w:eastAsia="Amiri" w:cs="Amiri"/>
          <w:color w:val="111111"/>
          <w:sz w:val="28"/>
          <w:sz w:val="28"/>
          <w:szCs w:val="28"/>
          <w:rtl w:val="true"/>
          <w:lang w:bidi="ar-SA"/>
        </w:rPr>
        <w:t xml:space="preserve">وعَصيتُ أَصحابَ الصَّبابةِ والصّبا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وأطعتُ عاذلتي ولانَ قِيادي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أروُح عَلى التّجار 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مَذِلاً بِمالي لَيِّناً أَجيادي</w:t>
      </w:r>
      <w:r>
        <w:rPr>
          <w:rStyle w:val="FootnoteAnchor"/>
          <w:rtl w:val="true"/>
        </w:rPr>
        <w:footnoteReference w:id="46"/>
      </w:r>
      <w:bookmarkStart w:id="110" w:name="pg16651_192983"/>
    </w:p>
    <w:p>
      <w:pPr>
        <w:pStyle w:val="BookText"/>
        <w:rPr/>
      </w:pPr>
      <w:bookmarkEnd w:id="1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غم و غصه در خواب رفت و من هنوز خوابم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نزد من حاضر شد و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مرا نمی بینی که پوسیدم و آنچه بر سر چشم و پوست من آمد، مرا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کودکی و جوانی جا ماندم و از آن سرباز زدم و در مقابل سرزنش سر فرودآورده ام و حکم رانی بر من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گشاده دستی به بازار می روم و به راحتی گردن خود را خم کرده و مالم را بذل و بخشش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ابیات از غم و غصه و فشارهایی که در زندگی بر او وارد شده کارش به جایی می رسد که با نا امیدی تمام، چون به مقصد و مقصود خود نرسیده حاضر است همه مال خود را بیهوده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یک نگاه نا امید به آینده است که این شاعر عصر جاهلی آن را از زندگی خود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بسیاری از موارد این امر دیده می شود که شاید این شاعر نیز به نمایندگی از جو زمانه خود این ابیات حاکی از نا امیدی را سروده است</w:t>
      </w:r>
      <w:r>
        <w:rPr>
          <w:rFonts w:eastAsia="IRNazanin" w:cs="IRNazanin"/>
          <w:color w:val="111111"/>
          <w:sz w:val="28"/>
          <w:szCs w:val="28"/>
          <w:rtl w:val="true"/>
          <w:lang w:bidi="fa-IR"/>
        </w:rPr>
        <w:t>.</w:t>
      </w:r>
    </w:p>
    <w:p>
      <w:pPr>
        <w:pStyle w:val="Heading5"/>
        <w:numPr>
          <w:ilvl w:val="4"/>
          <w:numId w:val="1"/>
        </w:numPr>
        <w:rPr/>
      </w:pPr>
      <w:bookmarkStart w:id="111" w:name="__RefHeading___Toc12040707_1280447820"/>
      <w:bookmarkStart w:id="112" w:name="_Toc42"/>
      <w:bookmarkEnd w:id="111"/>
      <w:r>
        <w:rPr>
          <w:rtl w:val="true"/>
        </w:rPr>
        <w:t>احساس فنا و نابودی</w:t>
      </w:r>
      <w:bookmarkEnd w:id="112"/>
    </w:p>
    <w:p>
      <w:pPr>
        <w:pStyle w:val="BookText"/>
        <w:rPr/>
      </w:pPr>
      <w:r>
        <w:rPr>
          <w:rFonts w:ascii="IRNazanin" w:hAnsi="IRNazanin" w:eastAsia="IRNazanin"/>
          <w:color w:val="111111"/>
          <w:sz w:val="28"/>
          <w:sz w:val="28"/>
          <w:szCs w:val="28"/>
          <w:rtl w:val="true"/>
          <w:lang w:bidi="fa-IR"/>
        </w:rPr>
        <w:t>یکی از مواردی که در بهداشت روان به آن بها داده می شود، بحث از احساس نشاط و امید برای بقای ادامه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اشعار جاهلی شاهد این هستیم که شاعر از احساس فنا و نابودی دم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مسجاج بن سباع در قصیده ای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طوّفت فی الآفاق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و قد أنّی لی لو أبید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أفنانی و لا یفنی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 کلّما یمضی یعود </w:t>
      </w:r>
      <w:bookmarkStart w:id="113" w:name="pg16651_192984"/>
    </w:p>
    <w:p>
      <w:pPr>
        <w:pStyle w:val="BookText"/>
        <w:rPr/>
      </w:pPr>
      <w:bookmarkEnd w:id="113"/>
      <w:r>
        <w:rPr>
          <w:rFonts w:ascii="IRNazanin" w:hAnsi="IRNazanin" w:eastAsia="IRNazanin"/>
          <w:color w:val="111111"/>
          <w:sz w:val="28"/>
          <w:sz w:val="28"/>
          <w:szCs w:val="28"/>
          <w:rtl w:val="true"/>
          <w:lang w:bidi="fa-IR"/>
        </w:rPr>
        <w:t xml:space="preserve">و شهر مستهل بعد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 بعده حول جدید</w:t>
      </w:r>
    </w:p>
    <w:p>
      <w:pPr>
        <w:pStyle w:val="BookText"/>
        <w:rPr/>
      </w:pPr>
      <w:r>
        <w:rPr>
          <w:rFonts w:ascii="IRNazanin" w:hAnsi="IRNazanin" w:eastAsia="IRNazanin"/>
          <w:color w:val="111111"/>
          <w:sz w:val="28"/>
          <w:sz w:val="28"/>
          <w:szCs w:val="28"/>
          <w:rtl w:val="true"/>
          <w:lang w:bidi="fa-IR"/>
        </w:rPr>
        <w:t xml:space="preserve">و مفقود عزیز الفقد 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منیّته و مأمول ولید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در آفاق گردیده ام تا اینکه پوسیده ام و آرزو دارم ای کاش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به فنا برد اما شب و روز تمامی ندارد و دوباره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پشت سر هم و سال ها نیز همچنین تجدید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مرگ به سراغ او می آید و از دست می رود و نوزادی در راه است که منتظر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شعر از احساس نابودی و پوچ بودن زندگی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 ای حاصل جهان بینی مادی و الحادی است که در عصر جاهلی حکومت دارد، اما آنچه زاییده جهان بینی الهی است، زمین تا آسمان با این اندیشه ها متفاوت است</w:t>
      </w:r>
      <w:r>
        <w:rPr>
          <w:rFonts w:eastAsia="IRNazanin" w:cs="IRNazanin"/>
          <w:color w:val="111111"/>
          <w:sz w:val="28"/>
          <w:szCs w:val="28"/>
          <w:rtl w:val="true"/>
          <w:lang w:bidi="fa-IR"/>
        </w:rPr>
        <w:t>.</w:t>
      </w:r>
    </w:p>
    <w:p>
      <w:pPr>
        <w:pStyle w:val="Heading5"/>
        <w:numPr>
          <w:ilvl w:val="4"/>
          <w:numId w:val="1"/>
        </w:numPr>
        <w:rPr/>
      </w:pPr>
      <w:bookmarkStart w:id="114" w:name="__RefHeading___Toc12040709_1280447820"/>
      <w:bookmarkStart w:id="115" w:name="_Toc43"/>
      <w:bookmarkEnd w:id="114"/>
      <w:r>
        <w:rPr>
          <w:rtl w:val="true"/>
        </w:rPr>
        <w:t>ترس</w:t>
      </w:r>
      <w:bookmarkEnd w:id="115"/>
    </w:p>
    <w:p>
      <w:pPr>
        <w:pStyle w:val="BookText"/>
        <w:rPr/>
      </w:pPr>
      <w:r>
        <w:rPr>
          <w:rFonts w:ascii="IRNazanin" w:hAnsi="IRNazanin" w:eastAsia="IRNazanin"/>
          <w:color w:val="111111"/>
          <w:sz w:val="28"/>
          <w:sz w:val="28"/>
          <w:szCs w:val="28"/>
          <w:rtl w:val="true"/>
          <w:lang w:bidi="fa-IR"/>
        </w:rPr>
        <w:t>یکی از مواردی که بهداشت روان را به خطر می اندازد، بحث از احساس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اشعار جاهلی شاهد این هستیم که شاعر از احساس ترس و خوف دم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قصده ای از مثقب عبدی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ظَلَلتُ أَوُدُّ العَينَ عَن عَبَراتِها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نَزَفَت كانَت سَريعاً جُمومُها</w:t>
      </w:r>
    </w:p>
    <w:p>
      <w:pPr>
        <w:pStyle w:val="BookText"/>
        <w:rPr/>
      </w:pPr>
      <w:r>
        <w:rPr>
          <w:rFonts w:ascii="Amiri" w:hAnsi="Amiri" w:eastAsia="Amiri" w:cs="Amiri"/>
          <w:color w:val="111111"/>
          <w:sz w:val="28"/>
          <w:sz w:val="28"/>
          <w:szCs w:val="28"/>
          <w:rtl w:val="true"/>
          <w:lang w:bidi="ar-SA"/>
        </w:rPr>
        <w:t xml:space="preserve">كَأَنّي أُقاسي مِن سَوابِقِ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لَيلَةٍ قَد ضافَ صَدري هُمومُها</w:t>
      </w:r>
    </w:p>
    <w:p>
      <w:pPr>
        <w:pStyle w:val="BookText"/>
        <w:rPr/>
      </w:pPr>
      <w:r>
        <w:rPr>
          <w:rFonts w:ascii="Amiri" w:hAnsi="Amiri" w:eastAsia="Amiri" w:cs="Amiri"/>
          <w:color w:val="111111"/>
          <w:sz w:val="28"/>
          <w:sz w:val="28"/>
          <w:szCs w:val="28"/>
          <w:rtl w:val="true"/>
          <w:lang w:bidi="ar-SA"/>
        </w:rPr>
        <w:t xml:space="preserve">تُرَدُّ بِأَثناءٍ كَأَنَّ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إِذا ما قُلتُ غابَ نُجومُها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أَضُمُّ الرُكبَتَينِ إِلى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راقي حَيَّةٍ أَو سَليمُها</w:t>
      </w:r>
      <w:r>
        <w:rPr>
          <w:rStyle w:val="FootnoteAnchor"/>
          <w:rtl w:val="true"/>
        </w:rPr>
        <w:footnoteReference w:id="48"/>
      </w:r>
      <w:bookmarkStart w:id="116" w:name="pg16651_192985"/>
    </w:p>
    <w:p>
      <w:pPr>
        <w:pStyle w:val="BookText"/>
        <w:rPr/>
      </w:pPr>
      <w:bookmarkEnd w:id="1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پاک کردن اشک چشم هایم هستم که چون شروع به اشک ریختن کند فراوان اشک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از اشک های گذشته رنج می برم و همچنین از شبی که سینه ام از غم و غصه هایش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از شب را پشت سر می گذارم که گویا ستاره های آن سرگردانند اگر نگویم ستاره هایش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زانوی غم به بغل کرده ام گویا از ترس نیش ماری ذکری می خوانم تا اینکه از آن جان سالم بدر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ابیات از احساس ترس خود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شب های او را فراگرفته و خود را در معرض نیش و زهر مار خطرناکی می بیند که برای خلاصی از آن با ترس زیر لب وِردی زمزمه می کند</w:t>
      </w:r>
      <w:r>
        <w:rPr>
          <w:rFonts w:eastAsia="IRNazanin" w:cs="IRNazanin"/>
          <w:color w:val="111111"/>
          <w:sz w:val="28"/>
          <w:szCs w:val="28"/>
          <w:rtl w:val="true"/>
          <w:lang w:bidi="fa-IR"/>
        </w:rPr>
        <w:t>.</w:t>
      </w:r>
    </w:p>
    <w:p>
      <w:pPr>
        <w:pStyle w:val="Heading5"/>
        <w:numPr>
          <w:ilvl w:val="4"/>
          <w:numId w:val="1"/>
        </w:numPr>
        <w:rPr/>
      </w:pPr>
      <w:bookmarkStart w:id="117" w:name="__RefHeading___Toc12040711_1280447820"/>
      <w:bookmarkStart w:id="118" w:name="_Toc44"/>
      <w:bookmarkEnd w:id="117"/>
      <w:r>
        <w:rPr>
          <w:rtl w:val="true"/>
        </w:rPr>
        <w:t>خرافه گرایی</w:t>
      </w:r>
      <w:bookmarkEnd w:id="118"/>
    </w:p>
    <w:p>
      <w:pPr>
        <w:pStyle w:val="BookText"/>
        <w:rPr/>
      </w:pPr>
      <w:r>
        <w:rPr>
          <w:rFonts w:ascii="IRNazanin" w:hAnsi="IRNazanin" w:eastAsia="IRNazanin"/>
          <w:color w:val="111111"/>
          <w:sz w:val="28"/>
          <w:sz w:val="28"/>
          <w:szCs w:val="28"/>
          <w:rtl w:val="true"/>
          <w:lang w:bidi="fa-IR"/>
        </w:rPr>
        <w:t>این مطلب از مشهورات و مسلمات است که عرب جاهلی درگیر امور خرافی و بی پایه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خرافه ترس بیهوده از عوامل و مرتبط دانستن عوامل نامربوط به یکدیگر است که رابطه آنها نه از نظر علم و عقل ثابت شده و نه از سوی دین تأیید شده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گرایش به خرافه موجب اختلال بهداشت روان بوده و زندگی را از مسیر آرامش روانی آن دور کرده و انسان را به جایی سوق می دهد که به جای واقع گرایی، به دنبال اوهام و خیالات و پندارهای غیر واقعی و غیر عقلانی گام بر می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بشر به خصوص در دوره جاهلیت با انواع مختلف خرافه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و اعمال بی اساسی که مورد قبول واقع شده و از آن به خرافه تعبیر می </w:t>
      </w:r>
      <w:bookmarkStart w:id="119" w:name="pg16651_192986"/>
    </w:p>
    <w:p>
      <w:pPr>
        <w:pStyle w:val="BookText"/>
        <w:rPr/>
      </w:pPr>
      <w:bookmarkEnd w:id="119"/>
      <w:r>
        <w:rPr>
          <w:rFonts w:ascii="IRNazanin" w:hAnsi="IRNazanin" w:eastAsia="IRNazanin"/>
          <w:color w:val="111111"/>
          <w:sz w:val="28"/>
          <w:sz w:val="28"/>
          <w:szCs w:val="28"/>
          <w:rtl w:val="true"/>
          <w:lang w:bidi="fa-IR"/>
        </w:rPr>
        <w:t>شود، قابل شمارش نیست؛ اما می توان خرافات را در سه محور اعتقادی، احکام و شرایع دین و آداب اجتماعی طبقه بندی 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از جمله موارد خرافی که جاهلیت درگیر آن بود می 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120" w:name="__RefHeading___Toc12040713_1280447820"/>
      <w:bookmarkStart w:id="121" w:name="_Toc45"/>
      <w:bookmarkEnd w:id="120"/>
      <w:r>
        <w:rPr>
          <w:rtl w:val="true"/>
        </w:rPr>
        <w:t xml:space="preserve">فال نیک و بد </w:t>
      </w:r>
      <w:r>
        <w:rPr>
          <w:rtl w:val="true"/>
        </w:rPr>
        <w:t>(</w:t>
      </w:r>
      <w:r>
        <w:rPr>
          <w:rtl w:val="true"/>
        </w:rPr>
        <w:t>تفأل و تطیّر</w:t>
      </w:r>
      <w:r>
        <w:rPr>
          <w:rtl w:val="true"/>
        </w:rPr>
        <w:t>)</w:t>
      </w:r>
      <w:bookmarkEnd w:id="121"/>
    </w:p>
    <w:p>
      <w:pPr>
        <w:pStyle w:val="BookText"/>
        <w:rPr/>
      </w:pPr>
      <w:r>
        <w:rPr>
          <w:rFonts w:ascii="IRNazanin" w:hAnsi="IRNazanin" w:eastAsia="IRNazanin"/>
          <w:color w:val="111111"/>
          <w:sz w:val="28"/>
          <w:sz w:val="28"/>
          <w:szCs w:val="28"/>
          <w:rtl w:val="true"/>
          <w:lang w:bidi="fa-IR"/>
        </w:rPr>
        <w:t xml:space="preserve">فال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و تطیّر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تطیّر به فال بد گرفتن و نحس دانستن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سخن، فعل یا چیز دیدنی است که مورد پسند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با به پرواز درآوردن پرندگان فال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پرندگانی که به پرواز در می آورند به سمت راست می رفتند، آن را نیک دانسته و کارهای مورد نظر خویش را انجام می دادند، اما اگر آن پرنده به سمت چپ می رفت، آن را شوم پنداشته، از کار مورد نظر باز می ماندند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22" w:name="__RefHeading___Toc12040715_1280447820"/>
      <w:bookmarkStart w:id="123" w:name="_Toc46"/>
      <w:bookmarkEnd w:id="122"/>
      <w:r>
        <w:rPr>
          <w:rtl w:val="true"/>
        </w:rPr>
        <w:t>آویختن اشیای جادویی برای درمان چشم زخم</w:t>
      </w:r>
      <w:bookmarkEnd w:id="1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جاهلي براي در امان ماندن از آزار ارواح خبیث، جنون و چشم زخم، آویزه هایی از استخوان مردگان، سنگ های جادویی و پارچه های آلوده به کثافات می آویختند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این عمل نشان دهنده این است که آنان از بهداشت روان کافی در این خصوص برخوردار نبودند و همواره ذهن و روان آنان درگیر مسائل همچون جن، اوراح خبیث و چشم زخم بود و برای خلاصی از آزار روانی که توهم آن را داشت به کارهای نا متعارف دست می زد</w:t>
      </w:r>
      <w:r>
        <w:rPr>
          <w:rFonts w:eastAsia="IRNazanin" w:cs="IRNazanin"/>
          <w:color w:val="111111"/>
          <w:sz w:val="28"/>
          <w:szCs w:val="28"/>
          <w:rtl w:val="true"/>
          <w:lang w:bidi="fa-IR"/>
        </w:rPr>
        <w:t xml:space="preserve">. </w:t>
      </w:r>
      <w:bookmarkStart w:id="124" w:name="pg16651_192987"/>
    </w:p>
    <w:p>
      <w:pPr>
        <w:pStyle w:val="Heading5"/>
        <w:numPr>
          <w:ilvl w:val="4"/>
          <w:numId w:val="1"/>
        </w:numPr>
        <w:rPr/>
      </w:pPr>
      <w:bookmarkStart w:id="125" w:name="__RefHeading___Toc12040717_1280447820"/>
      <w:bookmarkStart w:id="126" w:name="_Toc47"/>
      <w:bookmarkEnd w:id="124"/>
      <w:bookmarkEnd w:id="125"/>
      <w:r>
        <w:rPr>
          <w:rtl w:val="true"/>
        </w:rPr>
        <w:t>سعد و نحس ایام</w:t>
      </w:r>
      <w:bookmarkEnd w:id="126"/>
    </w:p>
    <w:p>
      <w:pPr>
        <w:pStyle w:val="BookText"/>
        <w:rPr/>
      </w:pPr>
      <w:r>
        <w:rPr>
          <w:rFonts w:ascii="IRNazanin" w:hAnsi="IRNazanin" w:eastAsia="IRNazanin"/>
          <w:color w:val="111111"/>
          <w:sz w:val="28"/>
          <w:sz w:val="28"/>
          <w:szCs w:val="28"/>
          <w:rtl w:val="true"/>
          <w:lang w:bidi="fa-IR"/>
        </w:rPr>
        <w:t>عرب جاهلی برخی از ایام را نحس و برخی دیگر را خوش یمن می دانست و کارهای مهم خود را به آن روزها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بر سعد و نحس ایام نمی توان برهانی اقامه کرد؛ چرا که اجزای زمان به لحاظ طبیعت مانند هم هستند و تفاوتی میان یک روز با روز دیگر نیست تا یکی را سعد و دیگری را نحس بدانیم</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27" w:name="__RefHeading___Toc12040719_1280447820"/>
      <w:bookmarkStart w:id="128" w:name="_Toc48"/>
      <w:bookmarkEnd w:id="127"/>
      <w:r>
        <w:rPr>
          <w:rtl w:val="true"/>
        </w:rPr>
        <w:t>عطسه کردن</w:t>
      </w:r>
      <w:bookmarkEnd w:id="128"/>
    </w:p>
    <w:p>
      <w:pPr>
        <w:pStyle w:val="BookText"/>
        <w:rPr/>
      </w:pPr>
      <w:r>
        <w:rPr>
          <w:rFonts w:ascii="IRNazanin" w:hAnsi="IRNazanin" w:eastAsia="IRNazanin"/>
          <w:color w:val="111111"/>
          <w:sz w:val="28"/>
          <w:sz w:val="28"/>
          <w:szCs w:val="28"/>
          <w:rtl w:val="true"/>
          <w:lang w:bidi="fa-IR"/>
        </w:rPr>
        <w:t>عرب جاهلی عطسه را شوم و نکبت زا می دانست و چون عطسه را علامت بلا و حادث تلخ می دانست، بلا فاصله بعد از عطسه دست به کاری نمی زد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خرافه همچنان در برخی از جوامع امروزی ما نیز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مذکور از خرافات دوره جاهلی حاکی از جو روانی مسموم و منفعل آنان دارد که بدون درنگ و اندیشه، وهم و خیال واهی را مبنای کارهای خود قرار داده و ثبات روانی مطلوبی نداشتند و بلکه از فقدان بهداشت روان در این خصوص رنج می بردند</w:t>
      </w:r>
      <w:r>
        <w:rPr>
          <w:rFonts w:eastAsia="IRNazanin" w:cs="IRNazanin"/>
          <w:color w:val="111111"/>
          <w:sz w:val="28"/>
          <w:szCs w:val="28"/>
          <w:rtl w:val="true"/>
          <w:lang w:bidi="fa-IR"/>
        </w:rPr>
        <w:t>.</w:t>
      </w:r>
    </w:p>
    <w:p>
      <w:pPr>
        <w:pStyle w:val="Heading4"/>
        <w:numPr>
          <w:ilvl w:val="3"/>
          <w:numId w:val="1"/>
        </w:numPr>
        <w:rPr/>
      </w:pPr>
      <w:bookmarkStart w:id="129" w:name="__RefHeading___Toc12040721_1280447820"/>
      <w:bookmarkStart w:id="130" w:name="_Toc49"/>
      <w:bookmarkEnd w:id="129"/>
      <w:r>
        <w:rPr>
          <w:rtl w:val="true"/>
        </w:rPr>
        <w:t>امنیت جنسی</w:t>
      </w:r>
      <w:bookmarkEnd w:id="130"/>
    </w:p>
    <w:p>
      <w:pPr>
        <w:pStyle w:val="Heading5"/>
        <w:numPr>
          <w:ilvl w:val="4"/>
          <w:numId w:val="1"/>
        </w:numPr>
        <w:rPr/>
      </w:pPr>
      <w:bookmarkStart w:id="131" w:name="__RefHeading___Toc12040723_1280447820"/>
      <w:bookmarkStart w:id="132" w:name="_Toc50"/>
      <w:bookmarkEnd w:id="131"/>
      <w:r>
        <w:rPr>
          <w:rtl w:val="true"/>
        </w:rPr>
        <w:t>اشاره</w:t>
      </w:r>
      <w:bookmarkEnd w:id="1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مؤلفه های بهداشت روان، امنیت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مؤلفه افراد جامعه در این حوزه با خیال آسوده به گذران زندگی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تأمین امنیت جنسی، قوانینی در قالب حلال، حرام و مستحب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دوره جاهلی، دوره افول و سقوط امنیت جنسی در قعر کارهای خلاف وجدان و </w:t>
      </w:r>
      <w:bookmarkStart w:id="133" w:name="pg16651_192988"/>
    </w:p>
    <w:p>
      <w:pPr>
        <w:pStyle w:val="BookText"/>
        <w:rPr/>
      </w:pPr>
      <w:bookmarkEnd w:id="133"/>
      <w:r>
        <w:rPr>
          <w:rFonts w:ascii="IRNazanin" w:hAnsi="IRNazanin" w:eastAsia="IRNazanin"/>
          <w:color w:val="111111"/>
          <w:sz w:val="28"/>
          <w:sz w:val="28"/>
          <w:szCs w:val="28"/>
          <w:rtl w:val="true"/>
          <w:lang w:bidi="fa-IR"/>
        </w:rPr>
        <w:t>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به ذکر آن پرداخته می شود، حاکی از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دو موضوع ازدواج و طلاق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 نکاح</w:t>
      </w:r>
    </w:p>
    <w:p>
      <w:pPr>
        <w:pStyle w:val="BookText"/>
        <w:rPr/>
      </w:pPr>
      <w:r>
        <w:rPr>
          <w:rFonts w:ascii="IRNazanin" w:hAnsi="IRNazanin" w:eastAsia="IRNazanin"/>
          <w:color w:val="111111"/>
          <w:sz w:val="28"/>
          <w:sz w:val="28"/>
          <w:szCs w:val="28"/>
          <w:rtl w:val="true"/>
          <w:lang w:bidi="fa-IR"/>
        </w:rPr>
        <w:t>شیوه های نکاح و ازدواج در جاهلیت و انواع روابط جنسی این مهم را به تصویر می کشد که زنان و مردان از امنیت جنسی برخوردار نبودند و بهداشت روان آنان در این حوزه تأمین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واضح شدن مطلب به بیان انواع روابط جنسی در دوره جاهلی می پردازیم</w:t>
      </w:r>
      <w:r>
        <w:rPr>
          <w:rFonts w:eastAsia="IRNazanin" w:cs="IRNazanin"/>
          <w:color w:val="111111"/>
          <w:sz w:val="28"/>
          <w:szCs w:val="28"/>
          <w:rtl w:val="true"/>
          <w:lang w:bidi="fa-IR"/>
        </w:rPr>
        <w:t>.</w:t>
      </w:r>
    </w:p>
    <w:p>
      <w:pPr>
        <w:pStyle w:val="Heading5"/>
        <w:numPr>
          <w:ilvl w:val="4"/>
          <w:numId w:val="1"/>
        </w:numPr>
        <w:rPr/>
      </w:pPr>
      <w:bookmarkStart w:id="134" w:name="__RefHeading___Toc12040725_1280447820"/>
      <w:bookmarkStart w:id="135" w:name="_Toc51"/>
      <w:bookmarkEnd w:id="134"/>
      <w:r>
        <w:rPr>
          <w:rtl w:val="true"/>
        </w:rPr>
        <w:t xml:space="preserve">نکاح ضیزن </w:t>
      </w:r>
      <w:r>
        <w:rPr>
          <w:rtl w:val="true"/>
        </w:rPr>
        <w:t>(</w:t>
      </w:r>
      <w:r>
        <w:rPr>
          <w:rtl w:val="true"/>
        </w:rPr>
        <w:t>نکاح مَقت، وراثتی</w:t>
      </w:r>
      <w:r>
        <w:rPr>
          <w:rtl w:val="true"/>
        </w:rPr>
        <w:t>)</w:t>
      </w:r>
      <w:bookmarkEnd w:id="135"/>
    </w:p>
    <w:p>
      <w:pPr>
        <w:pStyle w:val="BookText"/>
        <w:rPr/>
      </w:pPr>
      <w:r>
        <w:rPr>
          <w:rFonts w:ascii="IRNazanin" w:hAnsi="IRNazanin" w:eastAsia="IRNazanin"/>
          <w:color w:val="111111"/>
          <w:sz w:val="28"/>
          <w:sz w:val="28"/>
          <w:szCs w:val="28"/>
          <w:rtl w:val="true"/>
          <w:lang w:bidi="fa-IR"/>
        </w:rPr>
        <w:t xml:space="preserve">نکاح ضیزن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مَقت، وراثتی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نکاح و ازدواج در همه ادیان و اقوام امری رایج بوده و همچنان ادامه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گونه های ازدواج، باعث به خطر افتادن امنیت جنسی طرفین یا حد اقل یک 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نکاح ضیزن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نکاح، پسر، زنِ پدر را بعد از مرگ او ارث خود تلقی می کند و برای خود اولویت ازدواج با او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فرزندان ذکور، آینده چنین زنی به دست فرزند بزرگتر خواهد بود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پسر نبود، دیگر اقربای میت مالک نکاح زن می شدند و زن را خود به خود یا با نهادن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می گرفت، که در این صورت آن زن اجازه نداشت با کس دیگری ازدواج کند و بر همان حال باقی می ماند تا اجل، او را دریابد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به پسری که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59"/>
      </w:r>
      <w:bookmarkStart w:id="136" w:name="pg16651_192989"/>
    </w:p>
    <w:p>
      <w:pPr>
        <w:pStyle w:val="Heading5"/>
        <w:numPr>
          <w:ilvl w:val="4"/>
          <w:numId w:val="1"/>
        </w:numPr>
        <w:rPr/>
      </w:pPr>
      <w:bookmarkStart w:id="137" w:name="__RefHeading___Toc12040727_1280447820"/>
      <w:bookmarkStart w:id="138" w:name="_Toc52"/>
      <w:bookmarkEnd w:id="136"/>
      <w:bookmarkEnd w:id="137"/>
      <w:r>
        <w:rPr>
          <w:rtl w:val="true"/>
        </w:rPr>
        <w:t>جمع بیت الأختین</w:t>
      </w:r>
      <w:bookmarkEnd w:id="138"/>
    </w:p>
    <w:p>
      <w:pPr>
        <w:pStyle w:val="BookText"/>
        <w:rPr/>
      </w:pPr>
      <w:r>
        <w:rPr>
          <w:rFonts w:ascii="IRNazanin" w:hAnsi="IRNazanin" w:eastAsia="IRNazanin"/>
          <w:color w:val="111111"/>
          <w:sz w:val="28"/>
          <w:sz w:val="28"/>
          <w:szCs w:val="28"/>
          <w:rtl w:val="true"/>
          <w:lang w:bidi="fa-IR"/>
        </w:rPr>
        <w:t>عرب جاهلی همزمان با دو خواهر ازدواج می کرد</w:t>
      </w:r>
      <w:r>
        <w:rPr>
          <w:rStyle w:val="FootnoteAnchor"/>
          <w:rtl w:val="true"/>
        </w:rPr>
        <w:footnoteReference w:id="60"/>
      </w:r>
      <w:r>
        <w:rPr>
          <w:rFonts w:ascii="IRNazanin" w:hAnsi="IRNazanin" w:eastAsia="IRNazanin"/>
          <w:color w:val="111111"/>
          <w:sz w:val="28"/>
          <w:sz w:val="28"/>
          <w:szCs w:val="28"/>
          <w:rtl w:val="true"/>
          <w:lang w:bidi="fa-IR"/>
        </w:rPr>
        <w:t xml:space="preserve">که در زبان عربی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قرآن کریم نیز از آن نهی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ازدواج گاه با یک عقد و گاه در دو عقد مستقل انجام می 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گاه یک شخص همزمان با بیش از یک خواهر ازدواج می کرد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طبیعتا این کار باعث ایجاد کینه، نفرت، حسادت و در نهایت دشمنی میان خواهران شده و آرامش روانی آنان را سلب خواهد کرد</w:t>
      </w:r>
      <w:r>
        <w:rPr>
          <w:rFonts w:eastAsia="IRNazanin" w:cs="IRNazanin"/>
          <w:color w:val="111111"/>
          <w:sz w:val="28"/>
          <w:szCs w:val="28"/>
          <w:rtl w:val="true"/>
          <w:lang w:bidi="fa-IR"/>
        </w:rPr>
        <w:t>.</w:t>
      </w:r>
    </w:p>
    <w:p>
      <w:pPr>
        <w:pStyle w:val="Heading5"/>
        <w:numPr>
          <w:ilvl w:val="4"/>
          <w:numId w:val="1"/>
        </w:numPr>
        <w:rPr/>
      </w:pPr>
      <w:bookmarkStart w:id="139" w:name="__RefHeading___Toc12040729_1280447820"/>
      <w:bookmarkStart w:id="140" w:name="_Toc53"/>
      <w:bookmarkEnd w:id="139"/>
      <w:r>
        <w:rPr>
          <w:rtl w:val="true"/>
        </w:rPr>
        <w:t>نکاح شغار</w:t>
      </w:r>
      <w:bookmarkEnd w:id="140"/>
    </w:p>
    <w:p>
      <w:pPr>
        <w:pStyle w:val="BookText"/>
        <w:rPr/>
      </w:pPr>
      <w:r>
        <w:rPr>
          <w:rFonts w:ascii="IRNazanin" w:hAnsi="IRNazanin" w:eastAsia="IRNazanin"/>
          <w:color w:val="111111"/>
          <w:sz w:val="28"/>
          <w:sz w:val="28"/>
          <w:szCs w:val="28"/>
          <w:rtl w:val="true"/>
          <w:lang w:bidi="fa-IR"/>
        </w:rPr>
        <w:t>در این ازدواج مرد عرب دختر یا خواهرش را به نکاح فردی در می آورد و وی نیز در مقابل دختر یا خواهرش را به تزویج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مهریه ای در بین نبود و هر یک از زنان مهریه زن دیگر محسوب می 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شغار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ماندن است و چون در این نکاح زن از مهریه اش دور نگه داشته می شد به آن شغار گفته اند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41" w:name="__RefHeading___Toc12040731_1280447820"/>
      <w:bookmarkStart w:id="142" w:name="_Toc54"/>
      <w:bookmarkEnd w:id="141"/>
      <w:r>
        <w:rPr>
          <w:rtl w:val="true"/>
        </w:rPr>
        <w:t>نکاح بدل</w:t>
      </w:r>
      <w:bookmarkEnd w:id="1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از نکاح مردی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دست از همسرت بردار من نیز برای تو دست از همسرم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طرف مقابل قبول می کرد نکاح رخ می داده و همسران عوض و بدل می شدند و این مبادله ازدواج محسوب </w:t>
      </w:r>
      <w:bookmarkStart w:id="143" w:name="pg16651_192990"/>
    </w:p>
    <w:p>
      <w:pPr>
        <w:pStyle w:val="BookText"/>
        <w:rPr/>
      </w:pPr>
      <w:bookmarkEnd w:id="143"/>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 فرهنگ تا جایی ادامه داشت که عیینه بن حصن رئیس قبیله بنی فزاره از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چنین ازدواجی با یکی زنان ایشان می کند، اما حضرت در جواب می فرماید که چنین ازدواجی در شریعت مقدس حرام شده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44" w:name="__RefHeading___Toc12040733_1280447820"/>
      <w:bookmarkStart w:id="145" w:name="_Toc55"/>
      <w:bookmarkEnd w:id="144"/>
      <w:r>
        <w:rPr>
          <w:rtl w:val="true"/>
        </w:rPr>
        <w:t>نکاح استبضاع</w:t>
      </w:r>
      <w:bookmarkEnd w:id="145"/>
    </w:p>
    <w:p>
      <w:pPr>
        <w:pStyle w:val="BookText"/>
        <w:rPr/>
      </w:pPr>
      <w:r>
        <w:rPr>
          <w:rFonts w:ascii="IRNazanin" w:hAnsi="IRNazanin" w:eastAsia="IRNazanin"/>
          <w:color w:val="111111"/>
          <w:sz w:val="28"/>
          <w:sz w:val="28"/>
          <w:szCs w:val="28"/>
          <w:rtl w:val="true"/>
          <w:lang w:bidi="fa-IR"/>
        </w:rPr>
        <w:t xml:space="preserve">مرد عرب، هرگاه می خواست فرزندی شجاع، دلیر، بی باک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زن خود را وادار میکرد تا نزد مردی که چنین صفاتی را داراست رفته و با او مجامعت کند و خود او در این ایام از مجامعت با همسر خود دوری می کرد تا زنش از آن مرد باردار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فرزند به دنیا می آمد، آن را به شوهر اصلی منتسب می کردند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گاه نیز یک زن بی شوهر از یک مرد تقاضای چنین ازدواجی می کرد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همچنین برده داران نیز برده های خود را مجبور به چنین ازداوجی با مردان دلیر و نیرومند می کردند تا فرزندان نیرومند به دنیا بیاورند تا برای آنان سود بیشتری از فروش آن فرزندان حاصل شود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46" w:name="__RefHeading___Toc12040735_1280447820"/>
      <w:bookmarkStart w:id="147" w:name="_Toc56"/>
      <w:bookmarkEnd w:id="146"/>
      <w:r>
        <w:rPr>
          <w:rtl w:val="true"/>
        </w:rPr>
        <w:t>مضامده</w:t>
      </w:r>
      <w:bookmarkEnd w:id="1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عبارت از مجامعت زن با مرد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جاهلیت، در هنگامه قحطی، خشکسالی و ایام فقر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همسر خود را به بازاری مخصوص می آورد تا یک مرد ثروتمند او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در اختیار آن مرد غریبه قرار می گرفت و از این طریق، هم خود زن از شرّ </w:t>
      </w:r>
      <w:bookmarkStart w:id="148" w:name="pg16651_192991"/>
    </w:p>
    <w:p>
      <w:pPr>
        <w:pStyle w:val="BookText"/>
        <w:rPr/>
      </w:pPr>
      <w:bookmarkEnd w:id="148"/>
      <w:r>
        <w:rPr>
          <w:rFonts w:ascii="IRNazanin" w:hAnsi="IRNazanin" w:eastAsia="IRNazanin"/>
          <w:color w:val="111111"/>
          <w:sz w:val="28"/>
          <w:sz w:val="28"/>
          <w:szCs w:val="28"/>
          <w:rtl w:val="true"/>
          <w:lang w:bidi="fa-IR"/>
        </w:rPr>
        <w:t>گرسنگی نجات می یافت و هم پس از مدتی با مال و غذا به خانه همسرش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روی ناچاری بود و برخی از شعرای جاهلی این عمل را نکوهش کرده اند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49" w:name="__RefHeading___Toc12040737_1280447820"/>
      <w:bookmarkStart w:id="150" w:name="_Toc57"/>
      <w:bookmarkEnd w:id="149"/>
      <w:r>
        <w:rPr>
          <w:rtl w:val="true"/>
        </w:rPr>
        <w:t>مخادنه</w:t>
      </w:r>
      <w:bookmarkEnd w:id="150"/>
    </w:p>
    <w:p>
      <w:pPr>
        <w:pStyle w:val="BookText"/>
        <w:rPr/>
      </w:pPr>
      <w:r>
        <w:rPr>
          <w:rFonts w:ascii="IRNazanin" w:hAnsi="IRNazanin" w:eastAsia="IRNazanin"/>
          <w:color w:val="111111"/>
          <w:sz w:val="28"/>
          <w:sz w:val="28"/>
          <w:szCs w:val="28"/>
          <w:rtl w:val="true"/>
          <w:lang w:bidi="fa-IR"/>
        </w:rPr>
        <w:t>مخادنه به معنای دوست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برای خود، مردی را به دوستی می گرفت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 و آمد و نزدیکی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به دنیا می آمد، زن اعلام می کرد که فرزند برای فلانی است و آن مرد نیز آن زن را به عقد خود در می آورد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نوع رابطه بر خلاف زنا یک رابطه مخفیانه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قرآن کریم نیز اشاره ای بسیار گذرا به این سنت جاهلی داشته و به مؤمنان توصیه می کند با زنانی ازدواج نمایند که اهل مخادنه نباشند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عمل در زمانه ما نیز که برخی از اعمال به صورت جاهلیت مدرن ظهور و بروز پیدا کرده با نام ازدواج سفید شناخته می شود</w:t>
      </w:r>
      <w:r>
        <w:rPr>
          <w:rFonts w:eastAsia="IRNazanin" w:cs="IRNazanin"/>
          <w:color w:val="111111"/>
          <w:sz w:val="28"/>
          <w:szCs w:val="28"/>
          <w:rtl w:val="true"/>
          <w:lang w:bidi="fa-IR"/>
        </w:rPr>
        <w:t>.</w:t>
      </w:r>
    </w:p>
    <w:p>
      <w:pPr>
        <w:pStyle w:val="Heading5"/>
        <w:numPr>
          <w:ilvl w:val="4"/>
          <w:numId w:val="1"/>
        </w:numPr>
        <w:rPr/>
      </w:pPr>
      <w:bookmarkStart w:id="151" w:name="__RefHeading___Toc12040739_1280447820"/>
      <w:bookmarkStart w:id="152" w:name="_Toc58"/>
      <w:bookmarkEnd w:id="151"/>
      <w:r>
        <w:rPr>
          <w:rtl w:val="true"/>
        </w:rPr>
        <w:t>نکاح رهط</w:t>
      </w:r>
      <w:bookmarkEnd w:id="1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نکاح، گروهی از مردان که کمتر از ده نفر بودند، همگی با یک زن آمیزش می کردند، البته این عمل با رضایت زن و توافق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به دنیا می آمد، آن فرزند توسط زن به یکی از آن مردان منتسب می شد و فرد مخاطب نیز حق انکار نداشت</w:t>
      </w:r>
      <w:r>
        <w:rPr>
          <w:rFonts w:eastAsia="IRNazanin" w:cs="IRNazanin"/>
          <w:color w:val="111111"/>
          <w:sz w:val="28"/>
          <w:szCs w:val="28"/>
          <w:rtl w:val="true"/>
          <w:lang w:bidi="fa-IR"/>
        </w:rPr>
        <w:t>.</w:t>
      </w:r>
      <w:r>
        <w:rPr>
          <w:rStyle w:val="FootnoteAnchor"/>
          <w:rtl w:val="true"/>
        </w:rPr>
        <w:footnoteReference w:id="75"/>
      </w:r>
      <w:bookmarkStart w:id="153" w:name="pg16651_192992"/>
    </w:p>
    <w:p>
      <w:pPr>
        <w:pStyle w:val="Heading5"/>
        <w:numPr>
          <w:ilvl w:val="4"/>
          <w:numId w:val="1"/>
        </w:numPr>
        <w:rPr/>
      </w:pPr>
      <w:bookmarkStart w:id="154" w:name="__RefHeading___Toc12040741_1280447820"/>
      <w:bookmarkStart w:id="155" w:name="_Toc59"/>
      <w:bookmarkEnd w:id="153"/>
      <w:bookmarkEnd w:id="154"/>
      <w:r>
        <w:rPr>
          <w:rtl w:val="true"/>
        </w:rPr>
        <w:t>زنان صاحب رایه</w:t>
      </w:r>
      <w:bookmarkEnd w:id="155"/>
    </w:p>
    <w:p>
      <w:pPr>
        <w:pStyle w:val="BookText"/>
        <w:rPr/>
      </w:pPr>
      <w:r>
        <w:rPr>
          <w:rFonts w:ascii="IRNazanin" w:hAnsi="IRNazanin" w:eastAsia="IRNazanin"/>
          <w:color w:val="111111"/>
          <w:sz w:val="28"/>
          <w:sz w:val="28"/>
          <w:szCs w:val="28"/>
          <w:rtl w:val="true"/>
          <w:lang w:bidi="fa-IR"/>
        </w:rPr>
        <w:t>برخی از زنان فاجر و بدکار پرچمی داشتند که بر در خانه خود نصب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بود که هر مردی می تواند با آن زن مجامعت 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عنوان نمونه عمرو بن عاص از یک زن صاحب رایه متولد شده بود که پس از ولادت او مردانی همچون ابوسفیان و عاص بن وائل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به خصومت پرداختند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موارد مذکور از انواع روابط جنسی در عصر جاهلی بیانگر ابتذال فرهنگی و عدم وجود امنیت جنسی در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آرامش خاطر روانی برای دختران پاکدامن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است که قرآن کریم از اجبار دختران جوان پاکدامن به فحشا توسط اولیای آنان نهی کرده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گویا جو غالب روانی چنین بوده که با به کارگیری دختران جوان در فحشا و زنا، فوایدی عائد ولی دختر می شد، همانند آنچه در نکاح مضامده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طلاق در جاهلیت و انواع آن این مهم را به تصویر می کشد که زنان از امنیت جنسی برخوردار نبودند و بهداشت روان آنان در این حوزه تأمین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واضح شدن مطلب به بیان انواع طلاق و مسائل مربوط با طلاق در دوره جاهلی می پردازیم</w:t>
      </w:r>
      <w:r>
        <w:rPr>
          <w:rFonts w:eastAsia="IRNazanin" w:cs="IRNazanin"/>
          <w:color w:val="111111"/>
          <w:sz w:val="28"/>
          <w:szCs w:val="28"/>
          <w:rtl w:val="true"/>
          <w:lang w:bidi="fa-IR"/>
        </w:rPr>
        <w:t>.</w:t>
      </w:r>
      <w:r>
        <w:rPr>
          <w:rStyle w:val="FootnoteAnchor"/>
          <w:rtl w:val="true"/>
        </w:rPr>
        <w:footnoteReference w:id="79"/>
      </w:r>
      <w:bookmarkStart w:id="156" w:name="pg16651_192993"/>
    </w:p>
    <w:p>
      <w:pPr>
        <w:pStyle w:val="Heading5"/>
        <w:numPr>
          <w:ilvl w:val="4"/>
          <w:numId w:val="1"/>
        </w:numPr>
        <w:rPr/>
      </w:pPr>
      <w:bookmarkStart w:id="157" w:name="__RefHeading___Toc12040743_1280447820"/>
      <w:bookmarkStart w:id="158" w:name="_Toc60"/>
      <w:bookmarkEnd w:id="156"/>
      <w:bookmarkEnd w:id="157"/>
      <w:r>
        <w:rPr>
          <w:rtl w:val="true"/>
        </w:rPr>
        <w:t>اراده خود سرانه مرد در طلاق</w:t>
      </w:r>
      <w:bookmarkEnd w:id="158"/>
    </w:p>
    <w:p>
      <w:pPr>
        <w:pStyle w:val="BookText"/>
        <w:rPr/>
      </w:pPr>
      <w:r>
        <w:rPr>
          <w:rFonts w:ascii="IRNazanin" w:hAnsi="IRNazanin" w:eastAsia="IRNazanin"/>
          <w:color w:val="111111"/>
          <w:sz w:val="28"/>
          <w:sz w:val="28"/>
          <w:szCs w:val="28"/>
          <w:rtl w:val="true"/>
          <w:lang w:bidi="fa-IR"/>
        </w:rPr>
        <w:t>متارکه و طلاق در عصر جاهلی، همچون سنت ازدواج از رسوم نا عادلانه ای برخوردار بود که با اخلاق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به صورت کلی آنچه مهم بود اراده و میل مرد بود و اگر مرد بدون هیچ مقدمه و سببی اقدام به طلاق زن می کرد مشکلی پیش نمی آمد و می توانست با اندک بهانه ای رابطه زوجیت را پایان دهد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59" w:name="__RefHeading___Toc12040745_1280447820"/>
      <w:bookmarkStart w:id="160" w:name="_Toc61"/>
      <w:bookmarkEnd w:id="159"/>
      <w:r>
        <w:rPr>
          <w:rtl w:val="true"/>
        </w:rPr>
        <w:t>طلاق صریح و کنایی</w:t>
      </w:r>
      <w:bookmarkEnd w:id="160"/>
    </w:p>
    <w:p>
      <w:pPr>
        <w:pStyle w:val="BookText"/>
        <w:rPr/>
      </w:pPr>
      <w:r>
        <w:rPr>
          <w:rFonts w:ascii="IRNazanin" w:hAnsi="IRNazanin" w:eastAsia="IRNazanin"/>
          <w:color w:val="111111"/>
          <w:sz w:val="28"/>
          <w:sz w:val="28"/>
          <w:szCs w:val="28"/>
          <w:rtl w:val="true"/>
          <w:lang w:bidi="fa-IR"/>
        </w:rPr>
        <w:t>در این قسم از طلاق، مرد جملاتی را به زبان می آورد و با آن زن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نشان از منحط بودن شأن و مقام زن در دید مردِعصرِ جاهلی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جملات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حبلک علی غاربک؛ ریسمانت بر برگردن خودت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خلیت سبیلک فاذهبی حیث شئت؛ راهت را باز گذاشتم، پس هر جا که می خواهی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سرحتک؛ تور را آزاد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مخلّی هکذا البعیر؛ تو همچون این شتر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الحقی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خانواده ات برو</w:t>
      </w:r>
      <w:r>
        <w:rPr>
          <w:rFonts w:eastAsia="IRNazanin" w:cs="IRNazanin"/>
          <w:color w:val="111111"/>
          <w:sz w:val="28"/>
          <w:szCs w:val="28"/>
          <w:rtl w:val="true"/>
          <w:lang w:bidi="fa-IR"/>
        </w:rPr>
        <w:t>.</w:t>
      </w:r>
      <w:r>
        <w:rPr>
          <w:rStyle w:val="FootnoteAnchor"/>
          <w:rtl w:val="true"/>
        </w:rPr>
        <w:footnoteReference w:id="8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الفاظ نشانگر این است که اصلا به زن به عنوان کسی نگاه می شده که در بند و زندانی مرد است و حالا با اراده مرد از قید و بند مرد آزاد می شود</w:t>
      </w:r>
      <w:r>
        <w:rPr>
          <w:rFonts w:eastAsia="IRNazanin" w:cs="IRNazanin"/>
          <w:color w:val="111111"/>
          <w:sz w:val="28"/>
          <w:szCs w:val="28"/>
          <w:rtl w:val="true"/>
          <w:lang w:bidi="fa-IR"/>
        </w:rPr>
        <w:t xml:space="preserve">. </w:t>
      </w:r>
      <w:bookmarkStart w:id="161" w:name="pg16651_192994"/>
    </w:p>
    <w:p>
      <w:pPr>
        <w:pStyle w:val="BookText"/>
        <w:rPr/>
      </w:pPr>
      <w:bookmarkEnd w:id="161"/>
      <w:r>
        <w:rPr>
          <w:rFonts w:ascii="IRNazanin" w:hAnsi="IRNazanin" w:eastAsia="IRNazanin"/>
          <w:color w:val="111111"/>
          <w:sz w:val="28"/>
          <w:sz w:val="28"/>
          <w:szCs w:val="28"/>
          <w:rtl w:val="true"/>
          <w:lang w:bidi="fa-IR"/>
        </w:rPr>
        <w:t>در طلاق کنایی هر چند الفاظی که حکایتگر طلاق لفظی و صریح باشد دیده نمی شود اما با کنایه همین مقصود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طلاق در قالب ظهار و ایلاء محقق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مرد پشت زن خود را به پشت مادر یا خواهر خود تشبیه می کرد و یا قسم می خورد تا دیگر با او همبستر نشود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نوع از طلاق نیز با احساسات زن بازی شده و امنیت جنسی او در بعد تعلقات زناشویی و خانوادگی دچار آسیب می شد</w:t>
      </w:r>
      <w:r>
        <w:rPr>
          <w:rFonts w:eastAsia="IRNazanin" w:cs="IRNazanin"/>
          <w:color w:val="111111"/>
          <w:sz w:val="28"/>
          <w:szCs w:val="28"/>
          <w:rtl w:val="true"/>
          <w:lang w:bidi="fa-IR"/>
        </w:rPr>
        <w:t>.</w:t>
      </w:r>
    </w:p>
    <w:p>
      <w:pPr>
        <w:pStyle w:val="Heading5"/>
        <w:numPr>
          <w:ilvl w:val="4"/>
          <w:numId w:val="1"/>
        </w:numPr>
        <w:rPr/>
      </w:pPr>
      <w:bookmarkStart w:id="162" w:name="__RefHeading___Toc12040747_1280447820"/>
      <w:bookmarkStart w:id="163" w:name="_Toc62"/>
      <w:bookmarkEnd w:id="162"/>
      <w:r>
        <w:rPr>
          <w:rtl w:val="true"/>
        </w:rPr>
        <w:t>جلو گیری بستگان از ازدواج مجدد زن مطلقه</w:t>
      </w:r>
      <w:bookmarkEnd w:id="163"/>
    </w:p>
    <w:p>
      <w:pPr>
        <w:pStyle w:val="BookText"/>
        <w:rPr/>
      </w:pPr>
      <w:r>
        <w:rPr>
          <w:rFonts w:ascii="IRNazanin" w:hAnsi="IRNazanin" w:eastAsia="IRNazanin"/>
          <w:color w:val="111111"/>
          <w:sz w:val="28"/>
          <w:sz w:val="28"/>
          <w:szCs w:val="28"/>
          <w:rtl w:val="true"/>
          <w:lang w:bidi="fa-IR"/>
        </w:rPr>
        <w:t>یکی دیگر از آسیب های روانی در حوزه امنیت جنسی این بود که بستگان، از ازدواج مجدد زن مطلقه جلو گیری می کردند و به خود حق می دادند در این امر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همسر سابق زن از ازدواج مجدد او جلو گیری می کرد و این امر به علت غیرت بی جای او بر زن بود که غالبا در قبایل متمکن و ثروتمند رخ می داد که گاه به جنگ و خونریزی بین قبایل منجر می شد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64" w:name="__RefHeading___Toc12040749_1280447820"/>
      <w:bookmarkStart w:id="165" w:name="_Toc63"/>
      <w:bookmarkEnd w:id="164"/>
      <w:r>
        <w:rPr>
          <w:rtl w:val="true"/>
        </w:rPr>
        <w:t>طلاق و رجوع های مکرر</w:t>
      </w:r>
      <w:bookmarkEnd w:id="1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مرد زن را طلاق می داد و سپس رجوع می کرد و این روال چندین بار تکرار می شود و زن را در فشار روانی قرار می داد، به گونه ای که نه اجازه می داد با کس دیگری ازدواج کند و نه خود با او زندگی می کرد و تنها او را طلاق داده و مجددا و مکررا به او رجوع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طلاقت می دهم که </w:t>
      </w:r>
      <w:bookmarkStart w:id="166" w:name="pg16651_192995"/>
    </w:p>
    <w:p>
      <w:pPr>
        <w:pStyle w:val="BookText"/>
        <w:rPr/>
      </w:pPr>
      <w:bookmarkEnd w:id="166"/>
      <w:r>
        <w:rPr>
          <w:rFonts w:ascii="IRNazanin" w:hAnsi="IRNazanin" w:eastAsia="IRNazanin"/>
          <w:color w:val="111111"/>
          <w:sz w:val="28"/>
          <w:sz w:val="28"/>
          <w:szCs w:val="28"/>
          <w:rtl w:val="true"/>
          <w:lang w:bidi="fa-IR"/>
        </w:rPr>
        <w:t>رها شوی، نه تو را پناه می دهم و با تو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زمان پایان عده رسید رجوع خواهم کرد و این کار را مرتب تکرار می کنم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موارد مذکور در مورد طلاق نشانگر آن است که زن در عصر جاهلی از امنیت جنسی که یکی از مؤلفه های بهداشت روان است، برخوردار نیست</w:t>
      </w:r>
      <w:r>
        <w:rPr>
          <w:rFonts w:eastAsia="IRNazanin" w:cs="IRNazanin"/>
          <w:color w:val="111111"/>
          <w:sz w:val="28"/>
          <w:szCs w:val="28"/>
          <w:rtl w:val="true"/>
          <w:lang w:bidi="fa-IR"/>
        </w:rPr>
        <w:t>.</w:t>
      </w:r>
    </w:p>
    <w:p>
      <w:pPr>
        <w:pStyle w:val="Heading5"/>
        <w:numPr>
          <w:ilvl w:val="4"/>
          <w:numId w:val="1"/>
        </w:numPr>
        <w:rPr/>
      </w:pPr>
      <w:bookmarkStart w:id="167" w:name="__RefHeading___Toc12040751_1280447820"/>
      <w:bookmarkStart w:id="168" w:name="_Toc64"/>
      <w:bookmarkEnd w:id="167"/>
      <w:r>
        <w:rPr>
          <w:rtl w:val="true"/>
        </w:rPr>
        <w:t>عده طولانی مدت</w:t>
      </w:r>
      <w:bookmarkEnd w:id="168"/>
    </w:p>
    <w:p>
      <w:pPr>
        <w:pStyle w:val="BookText"/>
        <w:rPr/>
      </w:pPr>
      <w:r>
        <w:rPr>
          <w:rFonts w:ascii="IRNazanin" w:hAnsi="IRNazanin" w:eastAsia="IRNazanin"/>
          <w:color w:val="111111"/>
          <w:sz w:val="28"/>
          <w:sz w:val="28"/>
          <w:szCs w:val="28"/>
          <w:rtl w:val="true"/>
          <w:lang w:bidi="fa-IR"/>
        </w:rPr>
        <w:t>در تفسیر منسوب به علی بن ابراهیم قمی آمده هنگامی که شوهر زن در جاهلیت می مرد، آن زن باید یک سال عده نگه می داشت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حالی که این مدت در اسلام چهار ماه و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نسبتا طولانی به زن اجازه نمی دهد که قبل از گذشت یک سال ازدواج کند که امنیت جنسی زن را تهدید کرده و امکان ازدواج مجدد را در این مدت از او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درهمان منبع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يَحِلُّ لَكُمْ أَنْ تَرِثُوا النِّساءَ كَرْها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آمده که در جاهلیت اگر یکی از دوستان صمیمی فردی میمرد، آن فرد لباسی بر سر زن او می افکند و با این طریق وارث نکاح آن زن می شود با همان مَهری که همسر سابقش قرار داده بود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69" w:name="__RefHeading___Toc12040753_1280447820"/>
      <w:bookmarkStart w:id="170" w:name="_Toc65"/>
      <w:bookmarkEnd w:id="169"/>
      <w:r>
        <w:rPr>
          <w:rtl w:val="true"/>
        </w:rPr>
        <w:t>ترس از اسارت دختران</w:t>
      </w:r>
      <w:bookmarkEnd w:id="1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در جاهلیت، دختران را زنده به گور می کردند، تا جایی که قرآن کریم نیز از مورد سؤال قرار گرفتن دختران زنده به گور شده سخن گفته که از علت قتل آنان در روز قیامت سؤال خواهد 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این کار اهدافی پشت سر داشت 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مهترینِ آن، ترس از اسارت دختران در جنگ های بین قبایلی بود که بعد از اسارت برای قبایل دیگر فرزند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روایتی از کتاب کافی تأیید می کند،</w:t>
      </w:r>
      <w:r>
        <w:rPr>
          <w:rStyle w:val="FootnoteAnchor"/>
          <w:rtl w:val="true"/>
        </w:rPr>
        <w:footnoteReference w:id="89"/>
      </w:r>
      <w:r>
        <w:rPr>
          <w:rFonts w:ascii="IRNazanin" w:hAnsi="IRNazanin" w:eastAsia="IRNazanin"/>
          <w:color w:val="111111"/>
          <w:sz w:val="28"/>
          <w:sz w:val="28"/>
          <w:szCs w:val="28"/>
          <w:rtl w:val="true"/>
          <w:lang w:bidi="fa-IR"/>
        </w:rPr>
        <w:t xml:space="preserve">بدین سان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که شخصی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گناه زنده به گور کردن دختر خود صحبت می کند و از ایشان تقاضا دارد که اگر راهی برای توبه است به وی آموزش دهد، حضرت نیز نیکی به مادر و در صورت نبودن مادر، نیکی به خاله را که به منزله مادر است راه مغفرت این گناه عنوان می کند، سپس 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واقعه را می پرسد، ایشان نیز این کار یعنی زنده به گور کردن دختران را در دوره جاهلیت دانسته و علت آن را ترس از به اسارت درآمدن دختران در جنگ ها می داند که در نتیجه آن دختران برای قوم اسیر کننده زاد و ولد کرده و جمعیت آنان را افزایش خواهد داد</w:t>
      </w:r>
      <w:r>
        <w:rPr>
          <w:rFonts w:eastAsia="IRNazanin" w:cs="IRNazanin"/>
          <w:color w:val="111111"/>
          <w:sz w:val="28"/>
          <w:szCs w:val="28"/>
          <w:rtl w:val="true"/>
          <w:lang w:bidi="fa-IR"/>
        </w:rPr>
        <w:t>.</w:t>
      </w:r>
      <w:r>
        <w:rPr>
          <w:rStyle w:val="FootnoteAnchor"/>
          <w:rtl w:val="true"/>
        </w:rPr>
        <w:footnoteReference w:id="90"/>
      </w:r>
      <w:bookmarkStart w:id="171" w:name="pg16651_192997"/>
    </w:p>
    <w:p>
      <w:pPr>
        <w:pStyle w:val="Heading2"/>
        <w:numPr>
          <w:ilvl w:val="1"/>
          <w:numId w:val="1"/>
        </w:numPr>
        <w:rPr/>
      </w:pPr>
      <w:bookmarkStart w:id="172" w:name="__RefHeading___Toc12040755_1280447820"/>
      <w:bookmarkStart w:id="173" w:name="_Toc66"/>
      <w:bookmarkEnd w:id="171"/>
      <w:bookmarkEnd w:id="172"/>
      <w:r>
        <w:rPr>
          <w:rtl w:val="true"/>
        </w:rPr>
        <w:t xml:space="preserve">فصل سوم </w:t>
      </w:r>
      <w:r>
        <w:rPr>
          <w:rtl w:val="true"/>
        </w:rPr>
        <w:t xml:space="preserve">: </w:t>
      </w:r>
      <w:r>
        <w:rPr>
          <w:rtl w:val="true"/>
        </w:rPr>
        <w:t>سیره بهداشت جسمی</w:t>
      </w:r>
      <w:bookmarkEnd w:id="173"/>
    </w:p>
    <w:p>
      <w:pPr>
        <w:pStyle w:val="Heading3"/>
        <w:numPr>
          <w:ilvl w:val="2"/>
          <w:numId w:val="1"/>
        </w:numPr>
        <w:rPr/>
      </w:pPr>
      <w:bookmarkStart w:id="174" w:name="__RefHeading___Toc12040757_1280447820"/>
      <w:bookmarkStart w:id="175" w:name="_Toc67"/>
      <w:bookmarkEnd w:id="174"/>
      <w:r>
        <w:rPr>
          <w:rtl w:val="true"/>
        </w:rPr>
        <w:t>سیره بهداشت جسمی</w:t>
      </w:r>
      <w:bookmarkEnd w:id="1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به بررسی گزاره های بهداشت جسمی در بعد فردی و اجتماعی از منظر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پرداخته شده است</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651_192999"/>
      <w:bookmarkStart w:id="177" w:name="pg16651_192999"/>
      <w:bookmarkEnd w:id="177"/>
    </w:p>
    <w:p>
      <w:pPr>
        <w:pStyle w:val="Heading3"/>
        <w:numPr>
          <w:ilvl w:val="2"/>
          <w:numId w:val="1"/>
        </w:numPr>
        <w:rPr/>
      </w:pPr>
      <w:bookmarkStart w:id="178" w:name="pg16651_192999"/>
      <w:bookmarkStart w:id="179" w:name="__RefHeading___Toc12040759_1280447820"/>
      <w:bookmarkStart w:id="180" w:name="_Toc68"/>
      <w:bookmarkEnd w:id="178"/>
      <w:bookmarkEnd w:id="179"/>
      <w:r>
        <w:rPr>
          <w:rtl w:val="true"/>
        </w:rPr>
        <w:t>بهداشت عمومی بدن</w:t>
      </w:r>
      <w:bookmarkEnd w:id="180"/>
    </w:p>
    <w:p>
      <w:pPr>
        <w:pStyle w:val="Heading4"/>
        <w:numPr>
          <w:ilvl w:val="3"/>
          <w:numId w:val="1"/>
        </w:numPr>
        <w:rPr/>
      </w:pPr>
      <w:bookmarkStart w:id="181" w:name="__RefHeading___Toc12040761_1280447820"/>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بهداشت عمومی بدن همواره مورد تأکید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سیره آنان خود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غسل های مستحبی متعددی که در شرع وارد شده است نیز علاوه بر جنبه معنوی و عبادی به جنبه بهداشتی نیز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بهداشت عمومی بدن کار هایی مانند حمام کردن است که در آن بهداشت همه اعضای ظاهری بدن در نظر گرفته می شود</w:t>
      </w:r>
      <w:r>
        <w:rPr>
          <w:rFonts w:eastAsia="IRNazanin" w:cs="IRNazanin"/>
          <w:color w:val="111111"/>
          <w:sz w:val="28"/>
          <w:szCs w:val="28"/>
          <w:rtl w:val="true"/>
          <w:lang w:bidi="fa-IR"/>
        </w:rPr>
        <w:t>.</w:t>
      </w:r>
    </w:p>
    <w:p>
      <w:pPr>
        <w:pStyle w:val="Heading4"/>
        <w:numPr>
          <w:ilvl w:val="3"/>
          <w:numId w:val="1"/>
        </w:numPr>
        <w:rPr/>
      </w:pPr>
      <w:bookmarkStart w:id="183" w:name="__RefHeading___Toc12040763_1280447820"/>
      <w:bookmarkStart w:id="184" w:name="_Toc70"/>
      <w:bookmarkEnd w:id="183"/>
      <w:r>
        <w:rPr>
          <w:rtl w:val="true"/>
        </w:rPr>
        <w:t>حمام رفتن</w:t>
      </w:r>
      <w:bookmarkEnd w:id="184"/>
    </w:p>
    <w:p>
      <w:pPr>
        <w:pStyle w:val="Heading5"/>
        <w:numPr>
          <w:ilvl w:val="4"/>
          <w:numId w:val="1"/>
        </w:numPr>
        <w:rPr/>
      </w:pPr>
      <w:bookmarkStart w:id="185" w:name="__RefHeading___Toc12040765_1280447820"/>
      <w:bookmarkStart w:id="186" w:name="_Toc71"/>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حمام رفتن علاوه بر بهداشت فردی، بهداشت اجتماعی نیز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کتاب کافی باب مستقلی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که به نوعی به حمام ارتباط دارد در آن گنجانده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مکانی خوبی توصیف شده؛ چرا که هم چرک و کثیفی را ازبین می برد و هم انسان را به یاد آتش و حرارت جهنم می اندازد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87" w:name="__RefHeading___Toc12040767_1280447820"/>
      <w:bookmarkStart w:id="188" w:name="_Toc72"/>
      <w:bookmarkEnd w:id="187"/>
      <w:r>
        <w:rPr>
          <w:rtl w:val="true"/>
        </w:rPr>
        <w:t>آداب قبل از ورود به حمام</w:t>
      </w:r>
      <w:bookmarkEnd w:id="1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که ایشان قبل از ورود به حمام چیزی میل می کرد و با شکم خالی به حمام نمی رفت و نیز به برخی از یاران خود سفارش </w:t>
      </w:r>
      <w:bookmarkStart w:id="189" w:name="pg16651_193000"/>
    </w:p>
    <w:p>
      <w:pPr>
        <w:pStyle w:val="BookText"/>
        <w:rPr/>
      </w:pPr>
      <w:bookmarkEnd w:id="189"/>
      <w:r>
        <w:rPr>
          <w:rFonts w:ascii="IRNazanin" w:hAnsi="IRNazanin" w:eastAsia="IRNazanin"/>
          <w:color w:val="111111"/>
          <w:sz w:val="28"/>
          <w:sz w:val="28"/>
          <w:szCs w:val="28"/>
          <w:rtl w:val="true"/>
          <w:lang w:bidi="fa-IR"/>
        </w:rPr>
        <w:t>می کردند که با شکم خالی و همچنین با شکم سیر و پر وارد حمام نشوند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این در حالی است که مردم آن روزگار و شاید 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بر خلاف این سیره داشتند و با شکم خالی به حمام می رفتند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قبل از رفتن به حمام را موجب تسکین صفرا و فروکش کردن حرارت معده دانسته 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زمان حمام رفتن</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تعداد دفعات حمام رفتن نیز برای خود و اصحاب خود برنامه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جعفری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 که ایشان حمام رفتن را یک روز در میان سفارش می کرده و هر روز به حمام رفتن را موجب آب شدن قلوه پی می دانستند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همچنین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حمام کردن را موجب ابتلا به سل دانسته و حمام رفتن را یک روز در میان سفارش کرده اند و فائده آن را چاق شدن بیان فرموده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90" w:name="__RefHeading___Toc12040769_1280447820"/>
      <w:bookmarkStart w:id="191" w:name="_Toc73"/>
      <w:bookmarkEnd w:id="190"/>
      <w:r>
        <w:rPr>
          <w:rtl w:val="true"/>
        </w:rPr>
        <w:t>آداب داخل حمام</w:t>
      </w:r>
      <w:bookmarkEnd w:id="1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بهداشت موهای زائد بدن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bookmarkStart w:id="192" w:name="pg16651_193001"/>
    </w:p>
    <w:p>
      <w:pPr>
        <w:pStyle w:val="Heading5"/>
        <w:numPr>
          <w:ilvl w:val="4"/>
          <w:numId w:val="1"/>
        </w:numPr>
        <w:rPr/>
      </w:pPr>
      <w:bookmarkStart w:id="193" w:name="__RefHeading___Toc12040771_1280447820"/>
      <w:bookmarkStart w:id="194" w:name="_Toc74"/>
      <w:bookmarkEnd w:id="192"/>
      <w:bookmarkEnd w:id="193"/>
      <w:r>
        <w:rPr>
          <w:rtl w:val="true"/>
        </w:rPr>
        <w:t>بهداشت موهای زائد</w:t>
      </w:r>
      <w:bookmarkEnd w:id="194"/>
    </w:p>
    <w:p>
      <w:pPr>
        <w:pStyle w:val="BookText"/>
        <w:rPr/>
      </w:pPr>
      <w:r>
        <w:rPr>
          <w:rFonts w:ascii="IRNazanin" w:hAnsi="IRNazanin" w:eastAsia="IRNazanin"/>
          <w:color w:val="111111"/>
          <w:sz w:val="28"/>
          <w:sz w:val="28"/>
          <w:szCs w:val="28"/>
          <w:rtl w:val="true"/>
          <w:lang w:bidi="fa-IR"/>
        </w:rPr>
        <w:t xml:space="preserve">اهتمام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بهداشت در خصوص تمام اعضای بدن آنقدر قابل توجه است که نباید در صورت مواجهه با روایاتی که سیره آنان را در بهداشت زیر بغل گزارش می کند،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الإبط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جمله نو آوری های مرحوم کلینی در باب بندی بوده و در سایر کتب روایی متقدم شاهد آن نیستیم – سیره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خصوص استفاده از نوره برای زیر بغل گزارش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روایت چهارم این باب سعدان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بصیر در حمام بودیم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به زیر بغل خود نوره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ابو بصیر گفتم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او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تراشیدن موی زیر بغل بهتر است یا کندن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آن باعث ضعف می شود آن را بتراش</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با توجه به رویات ششم و هفتم این باب،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فقط به قصد نظافت زیر بغل و ازاله موهای زائد آن به حمام می رفت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دَخَلَ الْحَمَّامَ مُتَعَمِّداً يَطْلِي إِبْطَهُ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کلینی در کتاب الحج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لعقد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گزارش می کند که او و زراره در این مسئله که آیا کشیدن موهای زائد زیر بغل بهتر است یا تراشیدن آن گفت و گو می کردند و زراره معتقد بود که کشیدن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 گفت تراشیدن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ایشان اجازه گرفته و وارد حمام می شوند و می بینند که ایشان زیر بغل های خود نوره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به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تو را کافی نیست؟ زراره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علت دیگری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گذارند و ایشان سخن ابن ابی یعفور را تأیید و سخن زراره 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بهتر از کندن و نوره زدن بهتر از تراشیدن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آنان دستور می دهد که نوره بگذارند اما آنان عرضه می دارند که سه روز پیش چنین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بگذارید چرا که نوره پاکیزه کننده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مرحوم صدوق در علل الشرائع ادامه حدیث را نیز گزارش کرده است که در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متذکر می شوند که به نظر می رسد از جمله آداب داخل حمام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دراز کشیدن به پهلو؛ چرا که موجب آب شدن قلوه پی می شود</w:t>
      </w:r>
      <w:r>
        <w:rPr>
          <w:rFonts w:eastAsia="IRNazanin" w:cs="IRNazanin"/>
          <w:color w:val="111111"/>
          <w:sz w:val="28"/>
          <w:szCs w:val="28"/>
          <w:rtl w:val="true"/>
          <w:lang w:bidi="fa-IR"/>
        </w:rPr>
        <w:t>.</w:t>
      </w:r>
      <w:bookmarkStart w:id="195" w:name="pg16651_193003"/>
    </w:p>
    <w:p>
      <w:pPr>
        <w:pStyle w:val="BookText"/>
        <w:rPr/>
      </w:pPr>
      <w:bookmarkEnd w:id="1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دراز کشیدن به پشت؛ چرا که موجب ابتلا به نوعی بیمار در معده به نام دُبیله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6" w:name="__RefHeading___Toc12040773_1280447820"/>
      <w:bookmarkStart w:id="197" w:name="_Toc75"/>
      <w:bookmarkEnd w:id="196"/>
      <w:r>
        <w:rPr>
          <w:rtl w:val="true"/>
        </w:rPr>
        <w:t>روغن مالی</w:t>
      </w:r>
      <w:bookmarkEnd w:id="197"/>
    </w:p>
    <w:p>
      <w:pPr>
        <w:pStyle w:val="Heading5"/>
        <w:numPr>
          <w:ilvl w:val="4"/>
          <w:numId w:val="1"/>
        </w:numPr>
        <w:rPr/>
      </w:pPr>
      <w:bookmarkStart w:id="198" w:name="__RefHeading___Toc12040775_1280447820"/>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نوع دیگری از بهداشت عمومی بدن روغن مالی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 می بینیم که مردم و به ویژه زنان برای بهداشت و مراقب از پوست خود روغن مالی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این کار در سیره و توصیه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روغن مالی توصیه هایی به برخی از مراقبت های روغن مالی و پرهیزهای آن و نیز انواع روغن شده است که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الحج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يَجُوزُ لِلْمُحْرِمِ بَعْدَ اغْتِسَالِهِ مِنَ الطِّيبِ وَ الصَّيْدِ وَ غَيْرِ ذَلِكَ قَبْلَ أَنْ يُلَبِّي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روغن مالی بعد از غسل احرام گزارش شده 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00" w:name="__RefHeading___Toc12040777_1280447820"/>
      <w:bookmarkStart w:id="201" w:name="_Toc77"/>
      <w:bookmarkEnd w:id="200"/>
      <w:r>
        <w:rPr>
          <w:rtl w:val="true"/>
        </w:rPr>
        <w:t>فوائد روغن مالی</w:t>
      </w:r>
      <w:bookmarkEnd w:id="201"/>
    </w:p>
    <w:p>
      <w:pPr>
        <w:pStyle w:val="BookText"/>
        <w:rPr/>
      </w:pPr>
      <w:r>
        <w:rPr>
          <w:rFonts w:ascii="IRNazanin" w:hAnsi="IRNazanin" w:eastAsia="IRNazanin"/>
          <w:color w:val="111111"/>
          <w:sz w:val="28"/>
          <w:sz w:val="28"/>
          <w:szCs w:val="28"/>
          <w:rtl w:val="true"/>
          <w:lang w:bidi="fa-IR"/>
        </w:rPr>
        <w:t xml:space="preserve">برای روغن مالی بدن فوائدی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ذکر شده است که به ذکر موارد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کردن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مغز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کردن مجاری و عروق</w:t>
      </w:r>
      <w:r>
        <w:rPr>
          <w:rFonts w:eastAsia="IRNazanin" w:cs="IRNazanin"/>
          <w:color w:val="111111"/>
          <w:sz w:val="28"/>
          <w:szCs w:val="28"/>
          <w:rtl w:val="true"/>
          <w:lang w:bidi="fa-IR"/>
        </w:rPr>
        <w:t xml:space="preserve">. </w:t>
      </w:r>
      <w:bookmarkStart w:id="202" w:name="pg16651_193004"/>
    </w:p>
    <w:p>
      <w:pPr>
        <w:pStyle w:val="BookText"/>
        <w:rPr/>
      </w:pPr>
      <w:bookmarkEnd w:id="2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پوست کثیف و آلوده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جلای رنگ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 کردن صورت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أَحْمَدَ بْنِ مُحَمَّدٍ عَنْ عَلِيِّ بْنِ الْحَكَمِ عَنْ عَبْدِ اللَّهِ بْنِ جُنْدَبٍ عَنْ سُفْيَانَ بْنِ السِّمْطِ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يَذْهَبُ بِالسُّوءِ؛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مُحَمَّدِ بْنِ عِيسَى عَنْ عَبْدِ اللَّهِ بْنِ عَبْدِ الرَّحْمَنِ عَنْ شُعَيْبٍ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يُلَيِّنُ الْبَشَرَةَ وَ يَزِيدُ فِي الدِّمَاغِ الْقُوَّةَ وَ يُسَهِّلُ مَجَارِيَ الْمَاءِ وَ هُوَ يَذْهَبُ بِالْقَشَفِ وَ يُحَسِّنُ اللَّوْنَ؛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مَحْبُوبٍ عَنْ عَبْدِ اللَّهِ بْنِ سِنَانٍ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اللَّيْلِ يَجْرِي فِي الْعُرُوقِ وَ يُرَوِّي الْبَشَرَةَ وَ يُبَيِّضُ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این فوائد خود حاکی از آن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روغن مالی می کردند؛ چرا که دعوت کننده به یک کار مطلوب خود نیز باید عامل به آن باشد</w:t>
      </w:r>
      <w:r>
        <w:rPr>
          <w:rFonts w:eastAsia="IRNazanin" w:cs="IRNazanin"/>
          <w:color w:val="111111"/>
          <w:sz w:val="28"/>
          <w:szCs w:val="28"/>
          <w:rtl w:val="true"/>
          <w:lang w:bidi="fa-IR"/>
        </w:rPr>
        <w:t>.</w:t>
      </w:r>
    </w:p>
    <w:p>
      <w:pPr>
        <w:pStyle w:val="Heading4"/>
        <w:numPr>
          <w:ilvl w:val="3"/>
          <w:numId w:val="1"/>
        </w:numPr>
        <w:rPr/>
      </w:pPr>
      <w:bookmarkStart w:id="203" w:name="__RefHeading___Toc12040779_1280447820"/>
      <w:bookmarkStart w:id="204" w:name="_Toc78"/>
      <w:bookmarkEnd w:id="203"/>
      <w:r>
        <w:rPr>
          <w:rtl w:val="true"/>
        </w:rPr>
        <w:t>عطر زدن</w:t>
      </w:r>
      <w:bookmarkEnd w:id="2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عطر برای خوش بو کردن خود از جمله مصادیق بهداشت عمومی جسم است که هم جنبه فردی و هم جنبه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شاید بتوان عطر زدن را در بُعد روانی نیز قرار داد، اما قبل از آنکه برای بُعد روانی توصیه شود به بهداشت جسمی مربوط است؛ چرا که خوش بو بودن اولا و بالذات از جمله ابعاد بهداشت جسمی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عطر زدن آن قدر زیاد است که می توان ادعای تواتر معنوی در مورد روایات استفاده و سفارش به 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استفاده از </w:t>
      </w:r>
      <w:bookmarkStart w:id="205" w:name="pg16651_193005"/>
    </w:p>
    <w:p>
      <w:pPr>
        <w:pStyle w:val="BookText"/>
        <w:rPr/>
      </w:pPr>
      <w:bookmarkEnd w:id="205"/>
      <w:r>
        <w:rPr>
          <w:rFonts w:ascii="IRNazanin" w:hAnsi="IRNazanin" w:eastAsia="IRNazanin"/>
          <w:color w:val="111111"/>
          <w:sz w:val="28"/>
          <w:sz w:val="28"/>
          <w:szCs w:val="28"/>
          <w:rtl w:val="true"/>
          <w:lang w:bidi="fa-IR"/>
        </w:rPr>
        <w:t>عطر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باب های دیگری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کراهة ردّ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انواع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اصل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در مورد عطر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عطر زدن از جمله اخلاق انبیا دانسته شده</w:t>
      </w:r>
      <w:r>
        <w:rPr>
          <w:rStyle w:val="FootnoteAnchor"/>
          <w:rtl w:val="true"/>
        </w:rPr>
        <w:footnoteReference w:id="105"/>
      </w:r>
      <w:r>
        <w:rPr>
          <w:rFonts w:ascii="IRNazanin" w:hAnsi="IRNazanin" w:eastAsia="IRNazanin"/>
          <w:color w:val="111111"/>
          <w:sz w:val="28"/>
          <w:sz w:val="28"/>
          <w:szCs w:val="28"/>
          <w:rtl w:val="true"/>
          <w:lang w:bidi="fa-IR"/>
        </w:rPr>
        <w:t>که سیره انبیا را در استفاده از عطر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که محل سجده ایشان به بوی خوش عطر ایشان شناخته می 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 که برای عطر می کرد، بیش از هزینه ای بود که برای غذا می کرد</w:t>
      </w:r>
      <w:r>
        <w:rPr>
          <w:rStyle w:val="FootnoteAnchor"/>
          <w:rtl w:val="true"/>
        </w:rPr>
        <w:footnoteReference w:id="107"/>
      </w:r>
      <w:r>
        <w:rPr>
          <w:rFonts w:ascii="IRNazanin" w:hAnsi="IRNazanin" w:eastAsia="IRNazanin"/>
          <w:color w:val="111111"/>
          <w:sz w:val="28"/>
          <w:sz w:val="28"/>
          <w:szCs w:val="28"/>
          <w:rtl w:val="true"/>
          <w:lang w:bidi="fa-IR"/>
        </w:rPr>
        <w:t>و در صورتی که عطر نداشت روسری یکی از همسران خود را کمی مرطوب می کرد و سپس آن را به روی صورت خود می کشید؛</w:t>
      </w:r>
      <w:r>
        <w:rPr>
          <w:rStyle w:val="FootnoteAnchor"/>
          <w:rtl w:val="true"/>
        </w:rPr>
        <w:footnoteReference w:id="108"/>
      </w:r>
      <w:r>
        <w:rPr>
          <w:rFonts w:ascii="IRNazanin" w:hAnsi="IRNazanin" w:eastAsia="IRNazanin"/>
          <w:color w:val="111111"/>
          <w:sz w:val="28"/>
          <w:sz w:val="28"/>
          <w:szCs w:val="28"/>
          <w:rtl w:val="true"/>
          <w:lang w:bidi="fa-IR"/>
        </w:rPr>
        <w:t xml:space="preserve">این نکته به دلالت التزامی حاکی از آن است که همسران ایشان معمولا روسری خود را عطرآگین می کردند و این سیره به احتمال فراوان به تبعیت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معطعر کردن خویش بوده است</w:t>
      </w:r>
      <w:r>
        <w:rPr>
          <w:rFonts w:eastAsia="IRNazanin" w:cs="IRNazanin"/>
          <w:color w:val="111111"/>
          <w:sz w:val="28"/>
          <w:szCs w:val="28"/>
          <w:rtl w:val="true"/>
          <w:lang w:bidi="fa-IR"/>
        </w:rPr>
        <w:t>.</w:t>
      </w:r>
    </w:p>
    <w:p>
      <w:pPr>
        <w:pStyle w:val="Heading4"/>
        <w:numPr>
          <w:ilvl w:val="3"/>
          <w:numId w:val="1"/>
        </w:numPr>
        <w:rPr/>
      </w:pPr>
      <w:bookmarkStart w:id="206" w:name="__RefHeading___Toc12040781_1280447820"/>
      <w:bookmarkStart w:id="207" w:name="_Toc79"/>
      <w:bookmarkEnd w:id="206"/>
      <w:r>
        <w:rPr>
          <w:rtl w:val="true"/>
        </w:rPr>
        <w:t>حجامت</w:t>
      </w:r>
      <w:bookmarkEnd w:id="2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روی که برای حجامت فوائد فراوانی برشمرده شده، لذا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حجامت کردن را در بخش بهداشت عمومی بدن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نظر برسد که حجامت نوعی درمان است و ذکر آن به عنوان بهداشت </w:t>
      </w:r>
    </w:p>
    <w:p>
      <w:pPr>
        <w:pStyle w:val="BookText"/>
        <w:rPr/>
      </w:pPr>
      <w:r>
        <w:rPr>
          <w:rFonts w:ascii="IRNazanin" w:hAnsi="IRNazanin" w:eastAsia="IRNazanin"/>
          <w:color w:val="111111"/>
          <w:sz w:val="28"/>
          <w:sz w:val="28"/>
          <w:szCs w:val="28"/>
          <w:rtl w:val="true"/>
          <w:lang w:bidi="fa-IR"/>
        </w:rPr>
        <w:t>ناصواب باشد، اما باید خاطر نشان کرد که حجامت علاوه بر درمان بودن، نوعی پیشگیری است و پیشگیری ذیل بهداشت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کسب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به حجامت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مبنی بر آوردن حجامت از سوی جبرئیل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با توجه به روایات چنین بر می آید که حجامت به عنوان یک سیره مستمر برای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هنگام ضرورت به آن مبادرت می کردند و دیگران را نیز به آن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نوفلی حجامت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میل انار گزارش کرده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نقل می کند که 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تا ماهی تازه آماده کند چرا که ایشان قصد حجامت دارند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همچنین در روضه کافی، شعیب عقرقوفی، حجامت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چهارشنبه و در زندان گزارش می کند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که حاکی از اهتمام فراوان ایشان به بهداشت، حتی در زندان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دولابی، حجامت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روزه دار بوده اند، گزارش کرده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شیخ صدوق نیز حجامت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چهارشنبه گزارش می </w:t>
      </w:r>
      <w:bookmarkStart w:id="208" w:name="pg16651_193007"/>
    </w:p>
    <w:p>
      <w:pPr>
        <w:pStyle w:val="BookText"/>
        <w:rPr/>
      </w:pPr>
      <w:bookmarkEnd w:id="208"/>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به گزارش شیخ صدوق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حجامت بر این منوال بوده که روز دوشنبه عصر به این کار مبادرت می کردند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در روایت دیگری صدوق حجامت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پنجشنبه گزارش کرده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همو حجامت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جمعه گزارش کرده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09" w:name="__RefHeading___Toc12040783_1280447820"/>
      <w:bookmarkStart w:id="210" w:name="_Toc80"/>
      <w:bookmarkEnd w:id="209"/>
      <w:r>
        <w:rPr>
          <w:rtl w:val="true"/>
        </w:rPr>
        <w:t>بهداشت دهان و دندان</w:t>
      </w:r>
      <w:bookmarkEnd w:id="210"/>
    </w:p>
    <w:p>
      <w:pPr>
        <w:pStyle w:val="Heading4"/>
        <w:numPr>
          <w:ilvl w:val="3"/>
          <w:numId w:val="1"/>
        </w:numPr>
        <w:rPr/>
      </w:pPr>
      <w:bookmarkStart w:id="211" w:name="__RefHeading___Toc12040785_1280447820"/>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بهداشت دهان و دندان یکی از انواع بهداشت جسمی در بعد فردی است که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دهان و دندان شامل مواردی همچون مسواک زدن، خلال کردن، شست و شوی دهان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به بررسی هر یک خواهیم پرداخت</w:t>
      </w:r>
      <w:r>
        <w:rPr>
          <w:rFonts w:eastAsia="IRNazanin" w:cs="IRNazanin"/>
          <w:color w:val="111111"/>
          <w:sz w:val="28"/>
          <w:szCs w:val="28"/>
          <w:rtl w:val="true"/>
          <w:lang w:bidi="fa-IR"/>
        </w:rPr>
        <w:t>.</w:t>
      </w:r>
    </w:p>
    <w:p>
      <w:pPr>
        <w:pStyle w:val="Heading4"/>
        <w:numPr>
          <w:ilvl w:val="3"/>
          <w:numId w:val="1"/>
        </w:numPr>
        <w:rPr/>
      </w:pPr>
      <w:bookmarkStart w:id="213" w:name="__RefHeading___Toc12040787_1280447820"/>
      <w:bookmarkStart w:id="214" w:name="_Toc82"/>
      <w:bookmarkEnd w:id="213"/>
      <w:r>
        <w:rPr>
          <w:rtl w:val="true"/>
        </w:rPr>
        <w:t>مسواک زدن</w:t>
      </w:r>
      <w:bookmarkEnd w:id="214"/>
    </w:p>
    <w:p>
      <w:pPr>
        <w:pStyle w:val="Heading5"/>
        <w:numPr>
          <w:ilvl w:val="4"/>
          <w:numId w:val="1"/>
        </w:numPr>
        <w:rPr/>
      </w:pPr>
      <w:bookmarkStart w:id="215" w:name="__RefHeading___Toc12040789_1280447820"/>
      <w:bookmarkStart w:id="216" w:name="_Toc8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مسواک زدن در اسلام اهمیت بسیار زیادی دارد و یکی از انواع بهداشت دهان و دندان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کتاب کافی بابی ویژه برای مسواک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آن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وجود دارد که به انحای مختلفی به مسواک زدن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که در کتاب کافی نیز نقل شده بدین قرار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وَ عَلِيُّ بْنُ إِبْرَاهِيمَ، عَنْ أَبِيهِ جَمِيعاً، عَنْ جَعْفَرِ بْنِ مُحَمَّدٍ الْأَشْعَرِيِّ،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لَاأَنْ أَشُقَّ عَلى أُمَّتِي، لَأَمَرْتُهُمْ بِالسِّوَاكِ مَعَ كُلِّ صَلَاةٍ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روایت را که برقی و صدوق نیز گزارش کرده اند،</w:t>
      </w:r>
      <w:r>
        <w:rPr>
          <w:rStyle w:val="FootnoteAnchor"/>
          <w:rtl w:val="true"/>
        </w:rPr>
        <w:footnoteReference w:id="120"/>
      </w:r>
      <w:r>
        <w:rPr>
          <w:rFonts w:ascii="IRNazanin" w:hAnsi="IRNazanin" w:eastAsia="IRNazanin"/>
          <w:color w:val="111111"/>
          <w:sz w:val="28"/>
          <w:sz w:val="28"/>
          <w:szCs w:val="28"/>
          <w:rtl w:val="true"/>
          <w:lang w:bidi="fa-IR"/>
        </w:rPr>
        <w:t>هر چند از حیث سند مجهول است</w:t>
      </w:r>
      <w:r>
        <w:rPr>
          <w:rStyle w:val="FootnoteAnchor"/>
          <w:rtl w:val="true"/>
        </w:rPr>
        <w:footnoteReference w:id="121"/>
      </w:r>
      <w:r>
        <w:rPr>
          <w:rFonts w:ascii="IRNazanin" w:hAnsi="IRNazanin" w:eastAsia="IRNazanin"/>
          <w:color w:val="111111"/>
          <w:sz w:val="28"/>
          <w:sz w:val="28"/>
          <w:szCs w:val="28"/>
          <w:rtl w:val="true"/>
          <w:lang w:bidi="fa-IR"/>
        </w:rPr>
        <w:t>اما روایات دیگری وجود دارد که اهمیت مسواک را تأیید می کند</w:t>
      </w:r>
      <w:r>
        <w:rPr>
          <w:rStyle w:val="FootnoteAnchor"/>
          <w:rtl w:val="true"/>
        </w:rPr>
        <w:footnoteReference w:id="122"/>
      </w:r>
      <w:r>
        <w:rPr>
          <w:rFonts w:ascii="IRNazanin" w:hAnsi="IRNazanin" w:eastAsia="IRNazanin"/>
          <w:color w:val="111111"/>
          <w:sz w:val="28"/>
          <w:sz w:val="28"/>
          <w:szCs w:val="28"/>
          <w:rtl w:val="true"/>
          <w:lang w:bidi="fa-IR"/>
        </w:rPr>
        <w:t xml:space="preserve">و با توجه به فراوانی گزارش های تاریخی و روایی در مورد مسواک زدن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ابتدا فضیلت نماز خواندن با مسواک را بیان می کند که یک رکعت نماز با مسواک بهتر از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رکعت نماز بدون مسواک است، سپس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امت من سخت نمی آمد به آنها دستور می دادم هر نمازی را با مسواک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يُونُسَ بْنِ يَعْقُوبَ،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سُنَنِ الْمُرْسَلِينَ السِّوَاكُ</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مسواک را از سنت های پیامبران می داند که حاکی از سیره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مردم آن روزگار علاقه ی زیادی به سنت های پیامبران داشته و سعی بر التزام به آنها داشته 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از مهم ترین سنت های پیامبران را جهت تشویق مردم به انجام آن، باز گو می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سنت های پیامبران در این روایت مسواک زدن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مسواک زدن به قدری زیاد است که برای مسواک زدن دعا وارد شده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سیره مستمر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زدن حکایت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ایشان از کثرت مسواک زدن خود به توصیه جبرئیل خبر داده و از فرط مسواک زدن بر از بین رفتن دندان های خود بیمناک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روایت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که به آن اشاره خواهد شد، مسواک هدیه 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بنابر نقلی در قرب الاسناد حمیری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حالت روزه نیز مسواک می زد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کم ترین حد مسواک زدن در روایات، مسواک کردن با انگشت است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السِّوَاكِ أَنْ تَدْلُكَهُ بِإِصْبَعِكَ</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نیز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التَّسَوُّكُ بِالْإِبْهَامِ وَ الْمُسَبِّحَةِ عِنْدَ الْوُضُوءِ سِوَاكٌ</w:t>
      </w:r>
      <w:r>
        <w:rPr>
          <w:rFonts w:eastAsia="IRNazanin" w:cs="IRNazanin"/>
          <w:color w:val="111111"/>
          <w:sz w:val="28"/>
          <w:szCs w:val="28"/>
          <w:rtl w:val="true"/>
          <w:lang w:bidi="fa-IR"/>
        </w:rPr>
        <w:t>».</w:t>
      </w:r>
      <w:r>
        <w:rPr>
          <w:rStyle w:val="FootnoteAnchor"/>
          <w:rtl w:val="true"/>
        </w:rPr>
        <w:footnoteReference w:id="1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شب‌ها پيش از خواب و پس از بيدارى مسواک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پيامبر، همان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31"/>
      </w:r>
      <w:r>
        <w:rPr>
          <w:rFonts w:ascii="IRNazanin" w:hAnsi="IRNazanin" w:eastAsia="IRNazanin"/>
          <w:color w:val="111111"/>
          <w:sz w:val="28"/>
          <w:sz w:val="28"/>
          <w:szCs w:val="28"/>
          <w:rtl w:val="true"/>
          <w:lang w:bidi="fa-IR"/>
        </w:rPr>
        <w:t>كه در محكم كردن لثه‌هاى دندان و زدودن چرك و بقاياى غذا، نقش مؤثرى دارد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عايشه در حالى كه چوب سبز و تازه‌اى در دست داشت، براى عيادت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از نگاه‌هاى </w:t>
      </w:r>
    </w:p>
    <w:p>
      <w:pPr>
        <w:pStyle w:val="BookText"/>
        <w:rPr/>
      </w:pPr>
      <w:r>
        <w:rPr>
          <w:rFonts w:ascii="IRNazanin" w:hAnsi="IRNazanin" w:eastAsia="IRNazanin"/>
          <w:color w:val="111111"/>
          <w:sz w:val="28"/>
          <w:sz w:val="28"/>
          <w:szCs w:val="28"/>
          <w:rtl w:val="true"/>
          <w:lang w:bidi="fa-IR"/>
        </w:rPr>
        <w:t>پيامبر دريافت كه پيامبر مى‌خواهد با آن چوب مسواك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فورا آن را گرفت و در اختيار پيامبر گذاشت و پيامبر، با دقت دندان‌هاى خود را مسواك كرد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علاوه بر سيره مذكور در مسواك زدن رواياتي وجود دارد كه فوايد فراواني برای مسواک زدن بیان کرده که به نوعی مؤید سیره مسواک زدن است،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کننده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 دهنده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بلغم زدایی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حافظه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 کننده دندان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جرم دندان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کننده لثه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 آور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کننده عقل</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دهنده فصاحت زبان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بو کننده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چاق کننده لثه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برنده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کننده بیماری از بدن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برنده غم وغصه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بعضی از نسخه ها که به جای بلغم؛ الغم آمده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شادابی و نشاط</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برنده وسوسه ی درونی</w:t>
      </w:r>
      <w:r>
        <w:rPr>
          <w:rFonts w:eastAsia="IRNazanin" w:cs="IRNazanin"/>
          <w:color w:val="111111"/>
          <w:sz w:val="28"/>
          <w:szCs w:val="28"/>
          <w:rtl w:val="true"/>
          <w:lang w:bidi="fa-IR"/>
        </w:rPr>
        <w:t>.</w:t>
      </w:r>
      <w:r>
        <w:rPr>
          <w:rStyle w:val="FootnoteAnchor"/>
          <w:rtl w:val="true"/>
        </w:rPr>
        <w:footnoteReference w:id="1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کننده شیطان است</w:t>
      </w:r>
      <w:r>
        <w:rPr>
          <w:rFonts w:eastAsia="IRNazanin" w:cs="IRNazanin"/>
          <w:color w:val="111111"/>
          <w:sz w:val="28"/>
          <w:szCs w:val="28"/>
          <w:rtl w:val="true"/>
          <w:lang w:bidi="fa-IR"/>
        </w:rPr>
        <w:t>.</w:t>
      </w:r>
      <w:r>
        <w:rPr>
          <w:rStyle w:val="FootnoteAnchor"/>
          <w:rtl w:val="true"/>
        </w:rPr>
        <w:footnoteReference w:id="143"/>
      </w:r>
      <w:bookmarkStart w:id="217" w:name="pg16651_193012"/>
    </w:p>
    <w:p>
      <w:pPr>
        <w:pStyle w:val="Heading5"/>
        <w:numPr>
          <w:ilvl w:val="4"/>
          <w:numId w:val="1"/>
        </w:numPr>
        <w:rPr/>
      </w:pPr>
      <w:bookmarkStart w:id="218" w:name="__RefHeading___Toc12040791_1280447820"/>
      <w:bookmarkStart w:id="219" w:name="_Toc84"/>
      <w:bookmarkEnd w:id="217"/>
      <w:bookmarkEnd w:id="218"/>
      <w:r>
        <w:rPr>
          <w:rtl w:val="true"/>
        </w:rPr>
        <w:t>روش و وسیله مسواک زدن</w:t>
      </w:r>
      <w:bookmarkEnd w:id="219"/>
    </w:p>
    <w:p>
      <w:pPr>
        <w:pStyle w:val="BookText"/>
        <w:rPr/>
      </w:pPr>
      <w:r>
        <w:rPr>
          <w:rFonts w:ascii="IRNazanin" w:hAnsi="IRNazanin" w:eastAsia="IRNazanin"/>
          <w:color w:val="111111"/>
          <w:sz w:val="28"/>
          <w:sz w:val="28"/>
          <w:szCs w:val="28"/>
          <w:rtl w:val="true"/>
          <w:lang w:bidi="fa-IR"/>
        </w:rPr>
        <w:t xml:space="preserve">در باب نوادر کتاب الاطعمة کافی، کلینی در روایتی مرفوع گزارش می کند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بالا به پایین مسواک می زد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یعنی مسواک را در عرض دندان ها می کشید نه در طول آن؛ این روش باعث افزایش طول عمر مینا دندان و لثه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نقل شیخ صدوق در من لایحضره الفقیه،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چوب که آن ها را در کیسه ای چرمین نگه داری می کرد مسواک می زد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20" w:name="__RefHeading___Toc12040793_1280447820"/>
      <w:bookmarkStart w:id="221" w:name="_Toc85"/>
      <w:bookmarkEnd w:id="220"/>
      <w:r>
        <w:rPr>
          <w:rtl w:val="true"/>
        </w:rPr>
        <w:t>زمان مسواک زدن</w:t>
      </w:r>
      <w:bookmarkEnd w:id="221"/>
    </w:p>
    <w:p>
      <w:pPr>
        <w:pStyle w:val="BookText"/>
        <w:rPr/>
      </w:pPr>
      <w:r>
        <w:rPr>
          <w:rFonts w:ascii="IRNazanin" w:hAnsi="IRNazanin" w:eastAsia="IRNazanin"/>
          <w:color w:val="111111"/>
          <w:sz w:val="28"/>
          <w:sz w:val="28"/>
          <w:szCs w:val="28"/>
          <w:rtl w:val="true"/>
          <w:lang w:bidi="fa-IR"/>
        </w:rPr>
        <w:t xml:space="preserve">با توجه به سیره ای که کلینی با سندی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چنین به نظر می رسد که ایشان بعد از هر بار برخواستن از خواب برای نماز مسواک می زدند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با توجه به نقل شیخ صدوق در من لایحضره الفقیه،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مسواک می زد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22" w:name="__RefHeading___Toc12040795_1280447820"/>
      <w:bookmarkStart w:id="223" w:name="_Toc86"/>
      <w:bookmarkEnd w:id="222"/>
      <w:r>
        <w:rPr>
          <w:rtl w:val="true"/>
        </w:rPr>
        <w:t>نگه داری مناسب از مسواک</w:t>
      </w:r>
      <w:bookmarkEnd w:id="2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مسواک به دلیل آنکه با دندان های آدمی سر و کار دارد باید به خوبی نگه داری شود تا آلودگی به دندان و دهان و در نتیجه به بدن منتقل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هستیم که ایشان دستور می داد تا مسواکشان را در پارچه ای </w:t>
      </w:r>
      <w:bookmarkStart w:id="224" w:name="pg16651_193013"/>
    </w:p>
    <w:p>
      <w:pPr>
        <w:pStyle w:val="BookText"/>
        <w:rPr/>
      </w:pPr>
      <w:bookmarkEnd w:id="224"/>
      <w:r>
        <w:rPr>
          <w:rFonts w:ascii="IRNazanin" w:hAnsi="IRNazanin" w:eastAsia="IRNazanin"/>
          <w:color w:val="111111"/>
          <w:sz w:val="28"/>
          <w:sz w:val="28"/>
          <w:szCs w:val="28"/>
          <w:rtl w:val="true"/>
          <w:lang w:bidi="fa-IR"/>
        </w:rPr>
        <w:t>بپیچند و در بستر مبارکشان بالای سرشان بگذارند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اهتمام ایشان به پوشده بودن مسواک و در پارچه ای پیچیده شدن آن حاکی از سیره ایشان در نگه داری مناسب از مسواک و بهداشت خود مسواک است</w:t>
      </w:r>
      <w:r>
        <w:rPr>
          <w:rFonts w:eastAsia="IRNazanin" w:cs="IRNazanin"/>
          <w:color w:val="111111"/>
          <w:sz w:val="28"/>
          <w:szCs w:val="28"/>
          <w:rtl w:val="true"/>
          <w:lang w:bidi="fa-IR"/>
        </w:rPr>
        <w:t>.</w:t>
      </w:r>
    </w:p>
    <w:p>
      <w:pPr>
        <w:pStyle w:val="Heading4"/>
        <w:numPr>
          <w:ilvl w:val="3"/>
          <w:numId w:val="1"/>
        </w:numPr>
        <w:rPr/>
      </w:pPr>
      <w:bookmarkStart w:id="225" w:name="__RefHeading___Toc12040797_1280447820"/>
      <w:bookmarkStart w:id="226" w:name="_Toc87"/>
      <w:bookmarkEnd w:id="225"/>
      <w:r>
        <w:rPr>
          <w:rtl w:val="true"/>
        </w:rPr>
        <w:t>خلال</w:t>
      </w:r>
      <w:bookmarkEnd w:id="226"/>
    </w:p>
    <w:p>
      <w:pPr>
        <w:pStyle w:val="Heading5"/>
        <w:numPr>
          <w:ilvl w:val="4"/>
          <w:numId w:val="1"/>
        </w:numPr>
        <w:rPr/>
      </w:pPr>
      <w:bookmarkStart w:id="227" w:name="__RefHeading___Toc12040799_1280447820"/>
      <w:bookmarkStart w:id="228" w:name="_Toc8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خلال کردن را در آن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روایات معتبر در مورد استفاده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در این باب، اصل این سیره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و دوم این باب که هر دو از اعتبار کافی برخوردار هستند از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را ارمغان و هدیه جبرئیل به ایشان بیان می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فَضَّالٍ عَنْ أَبِي جَمِيلَةَ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 وَ الْخِلَالِ وَ الْحِجَامَةِ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بیانگر این مطلب است که راوی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خلال کردن مشاهده می کند و به نظر می رسد راوی با تعجب به ایشان می نگرد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متوجه تعجب او می شود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کردن را متذکر می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روایت چهارم این باب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خلالی به جعفر بن ابی طالب داده و او را به خلال کردن توصیه می کند و فوایدی همچون سلامت و مصلحت دهان یا 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روزی را برای خلال کردن بر می شمرد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خلال می دهد تا دندان هایش را خلال کند، خود نشان دهنده این است که خلال – به صورت آماده یا تکه های چوپ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ایشان بوده و ایشان به صورت مستمر از خلال استفاده می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ششم این باب چنین نقل شده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فضل بن یونس است و برای ایشان خلالی آورده می شود و ایشان خلال را شکانده و قطعه از آن را برداشته و قسمت دیگرش را پرتاب می کند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خود فضل بن يونس نيز روايتي نقل مي كند كه درآن براي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مي آورند و فضل نيز از ايشان سوالي در خصوص خلال مي پرسد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خلال کردن چیست؟ حضرت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دهانت باقی مانده و آن را با زبانت چرخاندی بخور و آنچه که در داخل دندان هایت مانده و با خلال خارج می کنی مختارهستی که آن را فرو ببری یا خارج کنی</w:t>
      </w:r>
      <w:r>
        <w:rPr>
          <w:rFonts w:eastAsia="IRNazanin" w:cs="IRNazanin"/>
          <w:color w:val="111111"/>
          <w:sz w:val="28"/>
          <w:szCs w:val="28"/>
          <w:rtl w:val="true"/>
          <w:lang w:bidi="fa-IR"/>
        </w:rPr>
        <w:t>».</w:t>
      </w:r>
      <w:r>
        <w:rPr>
          <w:rStyle w:val="FootnoteAnchor"/>
          <w:rtl w:val="true"/>
        </w:rPr>
        <w:footnoteReference w:id="153"/>
      </w:r>
      <w:bookmarkStart w:id="229" w:name="pg16651_193015"/>
    </w:p>
    <w:p>
      <w:pPr>
        <w:pStyle w:val="Heading5"/>
        <w:numPr>
          <w:ilvl w:val="4"/>
          <w:numId w:val="1"/>
        </w:numPr>
        <w:rPr/>
      </w:pPr>
      <w:bookmarkStart w:id="230" w:name="__RefHeading___Toc12040801_1280447820"/>
      <w:bookmarkStart w:id="231" w:name="_Toc89"/>
      <w:bookmarkEnd w:id="229"/>
      <w:bookmarkEnd w:id="230"/>
      <w:r>
        <w:rPr>
          <w:rtl w:val="true"/>
        </w:rPr>
        <w:t>وسیله خلال</w:t>
      </w:r>
      <w:bookmarkEnd w:id="231"/>
    </w:p>
    <w:p>
      <w:pPr>
        <w:pStyle w:val="BookText"/>
        <w:rPr/>
      </w:pPr>
      <w:r>
        <w:rPr>
          <w:rFonts w:ascii="IRNazanin" w:hAnsi="IRNazanin" w:eastAsia="IRNazanin"/>
          <w:color w:val="111111"/>
          <w:sz w:val="28"/>
          <w:sz w:val="28"/>
          <w:szCs w:val="28"/>
          <w:rtl w:val="true"/>
          <w:lang w:bidi="fa-IR"/>
        </w:rPr>
        <w:t xml:space="preserve">به نظر می رسد چنین نبوده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خلال کنند، بلکه حتی با هر چوبی نیز خلال نمی کردند و در انتخاب چوب خلال نیز دقت لازم را داشته و از خلال کردن با برخی از چوب ها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این مطلب می شود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که می یافت خلال می کرد جز با برگ خرما و نی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روایت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گزارشی از نهی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کردن به وسیله چوب انار، آس</w:t>
      </w:r>
      <w:r>
        <w:rPr>
          <w:rStyle w:val="FootnoteAnchor"/>
          <w:rtl w:val="true"/>
        </w:rPr>
        <w:footnoteReference w:id="155"/>
      </w:r>
      <w:r>
        <w:rPr>
          <w:rFonts w:ascii="IRNazanin" w:hAnsi="IRNazanin" w:eastAsia="IRNazanin"/>
          <w:color w:val="111111"/>
          <w:sz w:val="28"/>
          <w:sz w:val="28"/>
          <w:szCs w:val="28"/>
          <w:rtl w:val="true"/>
          <w:lang w:bidi="fa-IR"/>
        </w:rPr>
        <w:t>، و نی هستیم</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32" w:name="__RefHeading___Toc12040803_1280447820"/>
      <w:bookmarkStart w:id="233" w:name="_Toc90"/>
      <w:bookmarkEnd w:id="232"/>
      <w:r>
        <w:rPr>
          <w:rtl w:val="true"/>
        </w:rPr>
        <w:t>استفاده از مواد شوینده برای دندان</w:t>
      </w:r>
      <w:bookmarkEnd w:id="233"/>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الاُشنان و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از ابواب کتاب الأطعمه از ابواب ابو ولاد گزارش می کند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تسکین درد دندان خود از ماده ای به نام سُعد استفاده می کرد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نوعی گیاه سیاه رنگ معطر است که برای از بین بردن بوی بد دهان، سیر، پیاز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نظر می رسد از جمله مواد شوینده یِ عصرِ صدورِ روایت سُعد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شستن دهان با سُعد </w:t>
      </w:r>
      <w:bookmarkStart w:id="234" w:name="pg16651_193016"/>
    </w:p>
    <w:p>
      <w:pPr>
        <w:pStyle w:val="BookText"/>
        <w:rPr/>
      </w:pPr>
      <w:bookmarkEnd w:id="234"/>
      <w:r>
        <w:rPr>
          <w:rFonts w:ascii="IRNazanin" w:hAnsi="IRNazanin" w:eastAsia="IRNazanin"/>
          <w:color w:val="111111"/>
          <w:sz w:val="28"/>
          <w:sz w:val="28"/>
          <w:szCs w:val="28"/>
          <w:rtl w:val="true"/>
          <w:lang w:bidi="fa-IR"/>
        </w:rPr>
        <w:t>بعد از غذا سفارش شده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شستن دندان با سُعد نموده و برای آن فوائدی همچون خوش بو شدن دهان و افزایش نیروی جنسی بیان فرموده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با توجه به موارد مذکور به نظر می رسد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شست و شوی دهان و دندان با مواد شوینده اهمیت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سوی در روایات همین باب از کافی از خوردن برخی از مواد شوینده ی دهان همچون اُشنان با ذکر ضرر آن پرهیز داده شده</w:t>
      </w:r>
      <w:r>
        <w:rPr>
          <w:rStyle w:val="FootnoteAnchor"/>
          <w:rtl w:val="true"/>
        </w:rPr>
        <w:footnoteReference w:id="161"/>
      </w:r>
      <w:r>
        <w:rPr>
          <w:rFonts w:ascii="IRNazanin" w:hAnsi="IRNazanin" w:eastAsia="IRNazanin"/>
          <w:color w:val="111111"/>
          <w:sz w:val="28"/>
          <w:sz w:val="28"/>
          <w:szCs w:val="28"/>
          <w:rtl w:val="true"/>
          <w:lang w:bidi="fa-IR"/>
        </w:rPr>
        <w:t>که به نظر می رسد به نوعی مقابله با یک سنت غلط و سیره اشتباه را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روایت دیگری سیره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استفاده از اشنان را اینگونه گزارش می کند که ایشان هنگام استفاده از اشنان برای شست و شوی صورت، لب های خود را به هم می فشرد تا اشنان وارد دهان حضرت نگردد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این سیره خود حکایت از پرهیز آن بزرگوار از ورود مواد شوینده با داخل شکم دارد که در جای خود سیره ی بهداشتی بسیار پسندیده ای است</w:t>
      </w:r>
      <w:r>
        <w:rPr>
          <w:rFonts w:eastAsia="IRNazanin" w:cs="IRNazanin"/>
          <w:color w:val="111111"/>
          <w:sz w:val="28"/>
          <w:szCs w:val="28"/>
          <w:rtl w:val="true"/>
          <w:lang w:bidi="fa-IR"/>
        </w:rPr>
        <w:t>.</w:t>
      </w:r>
    </w:p>
    <w:p>
      <w:pPr>
        <w:pStyle w:val="Heading3"/>
        <w:numPr>
          <w:ilvl w:val="2"/>
          <w:numId w:val="1"/>
        </w:numPr>
        <w:rPr/>
      </w:pPr>
      <w:bookmarkStart w:id="235" w:name="__RefHeading___Toc12040805_1280447820"/>
      <w:bookmarkStart w:id="236" w:name="_Toc91"/>
      <w:bookmarkEnd w:id="235"/>
      <w:r>
        <w:rPr>
          <w:rtl w:val="true"/>
        </w:rPr>
        <w:t>بهداشت دست</w:t>
      </w:r>
      <w:bookmarkEnd w:id="236"/>
    </w:p>
    <w:p>
      <w:pPr>
        <w:pStyle w:val="Heading4"/>
        <w:numPr>
          <w:ilvl w:val="3"/>
          <w:numId w:val="1"/>
        </w:numPr>
        <w:rPr/>
      </w:pPr>
      <w:bookmarkStart w:id="237" w:name="__RefHeading___Toc12040807_1280447820"/>
      <w:bookmarkStart w:id="238" w:name="_Toc92"/>
      <w:bookmarkEnd w:id="237"/>
      <w:r>
        <w:rPr>
          <w:rtl w:val="true"/>
        </w:rPr>
        <w:t>اشاره</w:t>
      </w:r>
      <w:bookmarkEnd w:id="2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سیره بهداشتی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دست در مواقع مختلف است که به برخی از آنها پرداخته می شود</w:t>
      </w:r>
      <w:r>
        <w:rPr>
          <w:rFonts w:eastAsia="IRNazanin" w:cs="IRNazanin"/>
          <w:color w:val="111111"/>
          <w:sz w:val="28"/>
          <w:szCs w:val="28"/>
          <w:rtl w:val="true"/>
          <w:lang w:bidi="fa-IR"/>
        </w:rPr>
        <w:t xml:space="preserve">. </w:t>
      </w:r>
      <w:bookmarkStart w:id="239" w:name="pg16651_193017"/>
    </w:p>
    <w:p>
      <w:pPr>
        <w:pStyle w:val="Heading4"/>
        <w:numPr>
          <w:ilvl w:val="3"/>
          <w:numId w:val="1"/>
        </w:numPr>
        <w:rPr/>
      </w:pPr>
      <w:bookmarkStart w:id="240" w:name="__RefHeading___Toc12040809_1280447820"/>
      <w:bookmarkStart w:id="241" w:name="_Toc93"/>
      <w:bookmarkEnd w:id="239"/>
      <w:bookmarkEnd w:id="240"/>
      <w:r>
        <w:rPr>
          <w:rtl w:val="true"/>
        </w:rPr>
        <w:t>شستن دست</w:t>
      </w:r>
      <w:bookmarkEnd w:id="241"/>
    </w:p>
    <w:p>
      <w:pPr>
        <w:pStyle w:val="Heading5"/>
        <w:numPr>
          <w:ilvl w:val="4"/>
          <w:numId w:val="1"/>
        </w:numPr>
        <w:rPr/>
      </w:pPr>
      <w:bookmarkStart w:id="242" w:name="__RefHeading___Toc12040811_1280447820"/>
      <w:bookmarkStart w:id="243" w:name="_Toc94"/>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برخی از روایات کتاب کافی بر شستن دست در مواقع خاصی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روایات توصیه هایی به اصحاب بوده و گزارش مستقیم سیره نیست اما چنانکه در فصل اول متذکر شدیم سفارش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بهداشتی خود حاکی از آن است که خود آن بزرگواران نیز به آن عمل می کردند</w:t>
      </w:r>
      <w:r>
        <w:rPr>
          <w:rFonts w:eastAsia="IRNazanin" w:cs="IRNazanin"/>
          <w:color w:val="111111"/>
          <w:sz w:val="28"/>
          <w:szCs w:val="28"/>
          <w:rtl w:val="true"/>
          <w:lang w:bidi="fa-IR"/>
        </w:rPr>
        <w:t>.</w:t>
      </w:r>
    </w:p>
    <w:p>
      <w:pPr>
        <w:pStyle w:val="Heading5"/>
        <w:numPr>
          <w:ilvl w:val="4"/>
          <w:numId w:val="1"/>
        </w:numPr>
        <w:rPr/>
      </w:pPr>
      <w:bookmarkStart w:id="244" w:name="__RefHeading___Toc12040813_1280447820"/>
      <w:bookmarkStart w:id="245" w:name="_Toc95"/>
      <w:bookmarkEnd w:id="244"/>
      <w:r>
        <w:rPr>
          <w:rtl w:val="true"/>
        </w:rPr>
        <w:t>شستن دست بعد از خواب</w:t>
      </w:r>
      <w:bookmarkEnd w:id="245"/>
    </w:p>
    <w:p>
      <w:pPr>
        <w:pStyle w:val="BookText"/>
        <w:rPr/>
      </w:pPr>
      <w:r>
        <w:rPr>
          <w:rFonts w:ascii="IRNazanin" w:hAnsi="IRNazanin" w:eastAsia="IRNazanin"/>
          <w:color w:val="111111"/>
          <w:sz w:val="28"/>
          <w:sz w:val="28"/>
          <w:szCs w:val="28"/>
          <w:rtl w:val="true"/>
          <w:lang w:bidi="fa-IR"/>
        </w:rPr>
        <w:t>برخی از روایات کافی بر شستن دست بعد از بلند شدن از خواب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راوی از امام در مورد کسی سوال می کند که از خواب بیدا شده و قصد دارد دست خود را داخل ظرفی کند، امام جواب می دهد که این کار را نکند، بلکه ابتدا دست خود را بشوید؛ چرا که نمی داند در خواب دست خود را به کجا زده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شاید اینکه مادران فرزندان خود را قبل از خوردن صبحانه به شستن دست وادار می کنند به علت همین روایت یا سیره مرتکز در اذهان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 دیده می شود که بسیاری از نکات بهداشتی در میان خانواده ها و مخصوصاً قدیمی تر ها برگرفته از روایت و سیره است</w:t>
      </w:r>
      <w:r>
        <w:rPr>
          <w:rFonts w:eastAsia="IRNazanin" w:cs="IRNazanin"/>
          <w:color w:val="111111"/>
          <w:sz w:val="28"/>
          <w:szCs w:val="28"/>
          <w:rtl w:val="true"/>
          <w:lang w:bidi="fa-IR"/>
        </w:rPr>
        <w:t>.</w:t>
      </w:r>
    </w:p>
    <w:p>
      <w:pPr>
        <w:pStyle w:val="Heading5"/>
        <w:numPr>
          <w:ilvl w:val="4"/>
          <w:numId w:val="1"/>
        </w:numPr>
        <w:rPr/>
      </w:pPr>
      <w:bookmarkStart w:id="246" w:name="__RefHeading___Toc12040815_1280447820"/>
      <w:bookmarkStart w:id="247" w:name="_Toc96"/>
      <w:bookmarkEnd w:id="246"/>
      <w:r>
        <w:rPr>
          <w:rtl w:val="true"/>
        </w:rPr>
        <w:t>شستن دست قبل و بعد از غذا</w:t>
      </w:r>
      <w:bookmarkEnd w:id="2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اطعمه و اشربه کافی روایاتی مبنی بر شستن دست قبل و بعد از غذا و فوائد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يَدَهُ قَبْلَ الطَّعَامِ وَ بَعْدَهُ، عَاشَ فِي سَعَةٍ، وَ عُوفِيَ مِنْ بَلْوى فِي جَسَدِهِ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دست قبل از غذا مستحب است و دست را خشک نکند چرا که برکت در غذا است مادامی که دست خیس باشد اما بعد از غذا دستش را شسته و خشک کند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همین مضمون در قالب روایتی در کتاب مکارم الاخلاق نیز آمده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گویا مرحوم شهید اول نیز به آن روایت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ظاهر در این مطلب است که شستن دست قبل و بعد از غذا باعث وسعت رزق و عافیت از بلوی در بدن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ابتلا به بیماری است؛ چرا که ارتباط شستن دست و ابتلا، در پیشگیری از بیماری است و معنای دیگری برای بلوی در این موضع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 فرماید شستن دست باعث وسعت رزق می شود، ممکن است به این علت باشد که اگر انسان نظافت دست را مراعات کند، کمتر به بیماری مبتلا شده و لازم نیست فراوان به طبیب مراجعه کرده و برای آن هزینه کند در نتیجه احساس می کند رزق او وسعت گرفته است و می تواند هزینه های درمان را در موارد دیگری هزینه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مکارم الاخلاق طبرسی صفوان بن یحیی بیان می دارد که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سفره پهن بود، خادم برای حضرت آبی آورد و دستمالی آورد و </w:t>
      </w:r>
      <w:bookmarkStart w:id="248" w:name="pg16651_193019"/>
    </w:p>
    <w:p>
      <w:pPr>
        <w:pStyle w:val="BookText"/>
        <w:rPr/>
      </w:pPr>
      <w:bookmarkEnd w:id="248"/>
      <w:r>
        <w:rPr>
          <w:rFonts w:ascii="IRNazanin" w:hAnsi="IRNazanin" w:eastAsia="IRNazanin"/>
          <w:color w:val="111111"/>
          <w:sz w:val="28"/>
          <w:sz w:val="28"/>
          <w:szCs w:val="28"/>
          <w:rtl w:val="true"/>
          <w:lang w:bidi="fa-IR"/>
        </w:rPr>
        <w:t xml:space="preserve">روی دست ایشان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نیز با همان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همان منبع گزارش شده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که دست خود را می شست آن را با دستمال خشک نمی کرد اما بعد از غذا که می شست با دستمال خشک می 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همچنین طبرسی به نقل ازکتاب موالید الصادقین</w:t>
      </w:r>
      <w:r>
        <w:rPr>
          <w:rStyle w:val="FootnoteAnchor"/>
          <w:rtl w:val="true"/>
        </w:rPr>
        <w:footnoteReference w:id="169"/>
      </w:r>
      <w:r>
        <w:rPr>
          <w:rFonts w:ascii="IRNazanin" w:hAnsi="IRNazanin" w:eastAsia="IRNazanin"/>
          <w:color w:val="111111"/>
          <w:sz w:val="28"/>
          <w:sz w:val="28"/>
          <w:szCs w:val="28"/>
          <w:rtl w:val="true"/>
          <w:lang w:bidi="fa-IR"/>
        </w:rPr>
        <w:t xml:space="preserve">گزارش می کند که بعد از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پس از غذا می شست با باقی مانده آب دستان صورتش را لمس کرده و چنین دعا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وَ أَطْعَمَنَا وَ سَقَانَا وَ كُلَّ بَلَاءٍ صَالِحٍ أَوْلَانَا</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49" w:name="__RefHeading___Toc12040817_1280447820"/>
      <w:bookmarkStart w:id="250" w:name="_Toc97"/>
      <w:bookmarkEnd w:id="249"/>
      <w:r>
        <w:rPr>
          <w:rtl w:val="true"/>
        </w:rPr>
        <w:t>گرفتن ناخن</w:t>
      </w:r>
      <w:bookmarkEnd w:id="250"/>
    </w:p>
    <w:p>
      <w:pPr>
        <w:pStyle w:val="BookText"/>
        <w:rPr/>
      </w:pPr>
      <w:r>
        <w:rPr>
          <w:rFonts w:ascii="IRNazanin" w:hAnsi="IRNazanin" w:eastAsia="IRNazanin"/>
          <w:color w:val="111111"/>
          <w:sz w:val="28"/>
          <w:sz w:val="28"/>
          <w:szCs w:val="28"/>
          <w:rtl w:val="true"/>
          <w:lang w:bidi="fa-IR"/>
        </w:rPr>
        <w:t xml:space="preserve">در باب تقلیم الاظفار از کتاب الزّی و التجمل کافی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مبنی بر گرفتن ناخن گزارش شده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روایت پنجم این باب گرفتن ناخن را از سنت دانسته است که خود حکایت از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ناخن و اهمیت به نظافت ناخن ها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بهداشت ناخن های دست تا جایی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جویدن ناخن و گرفتن آن با دندان نهی فرموده</w:t>
      </w:r>
      <w:r>
        <w:rPr>
          <w:rStyle w:val="FootnoteAnchor"/>
          <w:rtl w:val="true"/>
        </w:rPr>
        <w:footnoteReference w:id="172"/>
      </w:r>
      <w:r>
        <w:rPr>
          <w:rFonts w:ascii="IRNazanin" w:hAnsi="IRNazanin" w:eastAsia="IRNazanin"/>
          <w:color w:val="111111"/>
          <w:sz w:val="28"/>
          <w:sz w:val="28"/>
          <w:szCs w:val="28"/>
          <w:rtl w:val="true"/>
          <w:lang w:bidi="fa-IR"/>
        </w:rPr>
        <w:t xml:space="preserve">و در گفت و گو با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نوعی وسواس تلقی کرده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فرزندان بسطام در طب الأئمة گزارش کرده 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 مبارک خود را روز پنجشنبه می گرفت، به این صورت که از ناخن انگشت کوچک دست راست شروع کرده و به انگشت کوچک دست چپ ختم می کرد و می فرمود این کار باعث پیشگیری از ورم ملتحمه چشم می شود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البته علامه مجلسی به نقل از رساله شهید ثانی نقل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قبل از خروج به سمت نماز جمعه ناخن خود را می گرفت</w:t>
      </w:r>
      <w:r>
        <w:rPr>
          <w:rStyle w:val="FootnoteAnchor"/>
          <w:rtl w:val="true"/>
        </w:rPr>
        <w:footnoteReference w:id="175"/>
      </w:r>
      <w:r>
        <w:rPr>
          <w:rFonts w:ascii="IRNazanin" w:hAnsi="IRNazanin" w:eastAsia="IRNazanin"/>
          <w:color w:val="111111"/>
          <w:sz w:val="28"/>
          <w:sz w:val="28"/>
          <w:szCs w:val="28"/>
          <w:rtl w:val="true"/>
          <w:lang w:bidi="fa-IR"/>
        </w:rPr>
        <w:t>که البته منافاتی با گزارش طب الأئمة ندارد؛ چرا که ممکن است ایشان گاهی در روز پنجشنبه و گاهی نیز در روز جمعه ناخن خود را می گرفته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در کتاب الأمان من أخطار الأسفار و الأزمان به نقل از مؤلف کتاب عوارف المعارف یکی از پنج چیزی 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 همراه خود داشتند، ناخن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در آن زمان ها چون سفر ها روز های نسبتاً زیادی به درازا می کشید به همین جهت نیاز بود تا مسافر برخی از وسایل بهداشتی همچون ناخن گیر را همراه خود داشته باشد،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حکایت از سیره بهداشتی ایشان و اهتمام فراوان به بهداشت ناخن دارد</w:t>
      </w:r>
      <w:r>
        <w:rPr>
          <w:rFonts w:eastAsia="IRNazanin" w:cs="IRNazanin"/>
          <w:color w:val="111111"/>
          <w:sz w:val="28"/>
          <w:szCs w:val="28"/>
          <w:rtl w:val="true"/>
          <w:lang w:bidi="fa-IR"/>
        </w:rPr>
        <w:t xml:space="preserve">. </w:t>
      </w:r>
      <w:bookmarkStart w:id="251" w:name="pg16651_193021"/>
    </w:p>
    <w:p>
      <w:pPr>
        <w:pStyle w:val="BookText"/>
        <w:rPr/>
      </w:pPr>
      <w:bookmarkEnd w:id="251"/>
      <w:r>
        <w:rPr>
          <w:rFonts w:ascii="IRNazanin" w:hAnsi="IRNazanin" w:eastAsia="IRNazanin"/>
          <w:color w:val="111111"/>
          <w:sz w:val="28"/>
          <w:sz w:val="28"/>
          <w:szCs w:val="28"/>
          <w:rtl w:val="true"/>
          <w:lang w:bidi="fa-IR"/>
        </w:rPr>
        <w:t>حنا زدن به ناخن ها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الحناء بعد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آمده است که حکم بن عتیبه می گوید من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دیدم که بر ناخن های خود حنا گذاشته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وی را در این خصوص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عرضه می دارد که جوانان چنین می کنند و گویا از 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است که در سن کهولت به ناخن های خود حنا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نوره باعث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ها شبیه ناخن های میت شود، پس با حنا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تغییر بده</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52" w:name="__RefHeading___Toc12040819_1280447820"/>
      <w:bookmarkStart w:id="253" w:name="_Toc98"/>
      <w:bookmarkEnd w:id="252"/>
      <w:r>
        <w:rPr>
          <w:rtl w:val="true"/>
        </w:rPr>
        <w:t>دفن کردن ناخن</w:t>
      </w:r>
      <w:bookmarkEnd w:id="253"/>
    </w:p>
    <w:p>
      <w:pPr>
        <w:pStyle w:val="BookText"/>
        <w:rPr/>
      </w:pPr>
      <w:r>
        <w:rPr>
          <w:rFonts w:ascii="IRNazanin" w:hAnsi="IRNazanin" w:eastAsia="IRNazanin"/>
          <w:color w:val="111111"/>
          <w:sz w:val="28"/>
          <w:sz w:val="28"/>
          <w:szCs w:val="28"/>
          <w:rtl w:val="true"/>
          <w:lang w:bidi="fa-IR"/>
        </w:rPr>
        <w:t>دفن کردن ناخن عملی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کافی بعد از آنکه کلینی بابی با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دفن الشعر و الظفرم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روایت آن را متذکر می 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شیخ صدوق نیز در من لایحضره الفقیه آن را از جمله سنت و سیره دانسته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54" w:name="__RefHeading___Toc12040821_1280447820"/>
      <w:bookmarkStart w:id="255" w:name="_Toc99"/>
      <w:bookmarkEnd w:id="254"/>
      <w:r>
        <w:rPr>
          <w:rtl w:val="true"/>
        </w:rPr>
        <w:t>بهداشت موها</w:t>
      </w:r>
      <w:bookmarkEnd w:id="255"/>
    </w:p>
    <w:p>
      <w:pPr>
        <w:pStyle w:val="Heading4"/>
        <w:numPr>
          <w:ilvl w:val="3"/>
          <w:numId w:val="1"/>
        </w:numPr>
        <w:rPr/>
      </w:pPr>
      <w:bookmarkStart w:id="256" w:name="__RefHeading___Toc12040823_1280447820"/>
      <w:bookmarkStart w:id="257" w:name="_Toc100"/>
      <w:bookmarkEnd w:id="256"/>
      <w:r>
        <w:rPr>
          <w:rtl w:val="true"/>
        </w:rPr>
        <w:t>اشاره</w:t>
      </w:r>
      <w:bookmarkEnd w:id="2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متعددی از ابواب مختلف کافی شاهد گزارش هایی از سیره بهداشت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بهداشت موها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می توان در کارهایی همچون شانه زدن، حنا زدن، فرق بازکردن، اصلاح موها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bookmarkStart w:id="258" w:name="pg16651_193022"/>
    </w:p>
    <w:p>
      <w:pPr>
        <w:pStyle w:val="Heading4"/>
        <w:numPr>
          <w:ilvl w:val="3"/>
          <w:numId w:val="1"/>
        </w:numPr>
        <w:rPr/>
      </w:pPr>
      <w:bookmarkStart w:id="259" w:name="__RefHeading___Toc12040825_1280447820"/>
      <w:bookmarkStart w:id="260" w:name="_Toc101"/>
      <w:bookmarkEnd w:id="258"/>
      <w:bookmarkEnd w:id="259"/>
      <w:r>
        <w:rPr>
          <w:rtl w:val="true"/>
        </w:rPr>
        <w:t>شستن سر</w:t>
      </w:r>
      <w:bookmarkEnd w:id="260"/>
    </w:p>
    <w:p>
      <w:pPr>
        <w:pStyle w:val="Heading5"/>
        <w:numPr>
          <w:ilvl w:val="4"/>
          <w:numId w:val="1"/>
        </w:numPr>
        <w:rPr/>
      </w:pPr>
      <w:bookmarkStart w:id="261" w:name="__RefHeading___Toc12040827_1280447820"/>
      <w:bookmarkStart w:id="262" w:name="_Toc10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به نظر می رسد یکی از اهداف شستن سر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موها است، هر چند شاید بهداشت خود سر با مجموعه اجزایی که دارد از جمله پوست سر نیز مقصود باشد اما شاید بتوان گفت در شستن سر آنچه اهمیت بیشتری دارد بهداشت موهای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روایات از شستن سر مجاز جز از کل باشد به این صورت که سر گفته شده و موهای سر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شستن سر در روایات کافی با شوینده های مختلفی از جمله سدر و خطمی توصیه شده است</w:t>
      </w:r>
      <w:r>
        <w:rPr>
          <w:rFonts w:eastAsia="IRNazanin" w:cs="IRNazanin"/>
          <w:color w:val="111111"/>
          <w:sz w:val="28"/>
          <w:szCs w:val="28"/>
          <w:rtl w:val="true"/>
          <w:lang w:bidi="fa-IR"/>
        </w:rPr>
        <w:t>.</w:t>
      </w:r>
    </w:p>
    <w:p>
      <w:pPr>
        <w:pStyle w:val="Heading5"/>
        <w:numPr>
          <w:ilvl w:val="4"/>
          <w:numId w:val="1"/>
        </w:numPr>
        <w:rPr/>
      </w:pPr>
      <w:bookmarkStart w:id="263" w:name="__RefHeading___Toc12040829_1280447820"/>
      <w:bookmarkStart w:id="264" w:name="_Toc103"/>
      <w:bookmarkEnd w:id="263"/>
      <w:r>
        <w:rPr>
          <w:rtl w:val="true"/>
        </w:rPr>
        <w:t>شستن سر با خطمی</w:t>
      </w:r>
      <w:bookmarkEnd w:id="264"/>
    </w:p>
    <w:p>
      <w:pPr>
        <w:pStyle w:val="BookText"/>
        <w:rPr/>
      </w:pPr>
      <w:r>
        <w:rPr>
          <w:rFonts w:ascii="IRNazanin" w:hAnsi="IRNazanin" w:eastAsia="IRNazanin"/>
          <w:color w:val="111111"/>
          <w:sz w:val="28"/>
          <w:sz w:val="28"/>
          <w:szCs w:val="28"/>
          <w:rtl w:val="true"/>
          <w:lang w:bidi="fa-IR"/>
        </w:rPr>
        <w:t>در چندین روایات به شستن سر با خطمی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روایت بر این مطلب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شستن سر با خطمی موجب از بین رفتن فقر و ازدیاد روزی، ایمنی از برص و جنون، از بین رفتن کثیفی و چرک و نوعی تعویذ</w:t>
      </w:r>
      <w:r>
        <w:rPr>
          <w:rStyle w:val="FootnoteAnchor"/>
          <w:rtl w:val="true"/>
        </w:rPr>
        <w:footnoteReference w:id="180"/>
      </w:r>
      <w:r>
        <w:rPr>
          <w:rFonts w:ascii="IRNazanin" w:hAnsi="IRNazanin" w:eastAsia="IRNazanin"/>
          <w:color w:val="111111"/>
          <w:sz w:val="28"/>
          <w:sz w:val="28"/>
          <w:szCs w:val="28"/>
          <w:rtl w:val="true"/>
          <w:lang w:bidi="fa-IR"/>
        </w:rPr>
        <w:t>برای حفظ فرد دانسته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فَضَّالٍ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فِي كُلِّ جُمُعَةٍ أَمَانٌ مِنَ الْبَرَصِ وَ الْجُنُونِ؛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الْقَاسِمِ بْنِ يَحْيَى عَنْ جَدِّهِ الْحَسَنِ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يَذْهَبُ بِالدَّرَنِ وَ يَنْفِي الْأَقْذَاء؛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مُحَمَّدِ بْنِ عَلِيٍّ عَنِ الْحَسَنِ بْنِ مُحَمَّدٍ الصَّيْرَفِيِّ عَنْ إِسْمَاعِيلَ بْنِ عَبْدِ الْخَالِقِ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کلینی، الکافی،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کتاب کافی در کتاب های محاسن،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تهذیب الاحکام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شاهد روایاتی</w:t>
      </w:r>
      <w:bookmarkStart w:id="265" w:name="pg16651_193023"/>
    </w:p>
    <w:p>
      <w:pPr>
        <w:pStyle w:val="BookText"/>
        <w:rPr/>
      </w:pPr>
      <w:bookmarkEnd w:id="265"/>
      <w:r>
        <w:rPr>
          <w:rFonts w:ascii="IRNazanin" w:hAnsi="IRNazanin" w:eastAsia="IRNazanin"/>
          <w:color w:val="111111"/>
          <w:sz w:val="28"/>
          <w:sz w:val="28"/>
          <w:szCs w:val="28"/>
          <w:rtl w:val="true"/>
          <w:lang w:bidi="fa-IR"/>
        </w:rPr>
        <w:t>هستیم که به شستن سر با خطمی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سفارش فراوان به شستن سر با خطمی به نظر می رسد این نوع نظافت موها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w:t>
      </w:r>
      <w:r>
        <w:rPr>
          <w:rFonts w:eastAsia="IRNazanin" w:cs="IRNazanin"/>
          <w:color w:val="111111"/>
          <w:sz w:val="28"/>
          <w:szCs w:val="28"/>
          <w:rtl w:val="true"/>
          <w:lang w:bidi="fa-IR"/>
        </w:rPr>
        <w:t>.</w:t>
      </w:r>
    </w:p>
    <w:p>
      <w:pPr>
        <w:pStyle w:val="Heading5"/>
        <w:numPr>
          <w:ilvl w:val="4"/>
          <w:numId w:val="1"/>
        </w:numPr>
        <w:rPr/>
      </w:pPr>
      <w:bookmarkStart w:id="266" w:name="__RefHeading___Toc12040831_1280447820"/>
      <w:bookmarkStart w:id="267" w:name="_Toc104"/>
      <w:bookmarkEnd w:id="266"/>
      <w:r>
        <w:rPr>
          <w:rtl w:val="true"/>
        </w:rPr>
        <w:t>شستن سر با سدر</w:t>
      </w:r>
      <w:bookmarkEnd w:id="267"/>
    </w:p>
    <w:p>
      <w:pPr>
        <w:pStyle w:val="BookText"/>
        <w:rPr/>
      </w:pP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که هنگامی که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اسلام را علنی کند و وحی پدیدار گشت، ایشان از کم بودن مسلمانان و زیادی مشرکان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با سدری از سدرة المنتهی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 خود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غم او برطرف گردید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روایت دیگری از باب غسل الرأس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سر با خطمی روزی را بسیار جلب می کند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68" w:name="__RefHeading___Toc12040833_1280447820"/>
      <w:bookmarkStart w:id="269" w:name="_Toc105"/>
      <w:bookmarkEnd w:id="268"/>
      <w:r>
        <w:rPr>
          <w:rtl w:val="true"/>
        </w:rPr>
        <w:t>شانه زدن</w:t>
      </w:r>
      <w:bookmarkEnd w:id="2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شانه زدن به موها، اعم از موهای سر و موهای ریش، مورد تأکید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سیره آنان به وضوح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شانه زدن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شانه زدن را گزارش می کند و برخی دیگر به فوائد شانه زدن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دوم از این باب سیره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که ایشان شانه مخصوصی در مسجد داشت که بعد از فراغت از نماز با آن شانه می زد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در روایت سوم سیره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شانه کردن با عاج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راوی اعتقاد اهل عراق را در خصوص شانه کردن با عاج مطرح می کند که آنان این عمل را صحیح نمی دانند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رد کرده و به شانه زدن با عاج سفارش می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مُشْطٌ أَوْ مُشْطَانِ ثُمَّ قَالَ تَمَشَّطُوا بِالْعَاجِ فَإِنَّ الْعَاجَ يَذْهَبُ بِالْوَبَاءِ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بکر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شانه زدن با عاج می بیند و برای ایشان شانه ای از عاج می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فوائد مورد اشاره این روایات برای شانه زدن می توان به امور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تب،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محکم شدن دندان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شانه کردن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روزی،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قدرت جنسی،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بردن بلغم، </w:t>
      </w:r>
      <w:bookmarkStart w:id="270" w:name="pg16651_193025"/>
    </w:p>
    <w:p>
      <w:pPr>
        <w:pStyle w:val="BookText"/>
        <w:rPr/>
      </w:pPr>
      <w:bookmarkEnd w:id="27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غم و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بعد از شانه کردن شانه را به سینه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شیطان</w:t>
      </w:r>
      <w:r>
        <w:rPr>
          <w:rStyle w:val="FootnoteAnchor"/>
          <w:rtl w:val="true"/>
        </w:rPr>
        <w:footnoteReference w:id="186"/>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ریش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شانه بزند و هر بار آن را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وبا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مَحْبُوبٍ عَنْ نَضْرِ بْنِ إِسْحَاقَ عَنْ عَنْبَسَةَ بْنِ سَعِيدٍ رَفَعَ الْحَدِيثَ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تَسْرِيحِ الرَّأْسِ تَذْهَبُ بِالْوَبَاءِ وَ تَجْلِبُ الرِّزْقَ وَ تَزِيدُ فِي الْجِمَاعِ؛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نُوحِ بْنِ شُعَيْبٍ عَنِ ابْنِ مَيَّاحٍ عَنْ يُونُسَ عَمَّنْ أَخْبَرَهُ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رَأْسَكَ وَ لِحْيَتَكَ فَأَمِرَّ الْمُشْطَ عَلَى صَدْرِكَ فَإِنَّهُ يَذْهَبُ بِالْهَمِّ وَ الْوَبَاءِ؛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التَّمَشُّطِ تُقَلِّلُ الْبَلْغَمَ؛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الْحَسَنِ بْنِ عَطِيَّةَ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سَبْعِينَ مَرَّةً وَ عَدَّهَا مَرَّةً مَرَّةً لَمْ يَقْرَبْهُ الشَّيْطَانُ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کلینی، الکافی،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2040835_1280447820"/>
      <w:bookmarkStart w:id="272" w:name="_Toc106"/>
      <w:bookmarkEnd w:id="271"/>
      <w:r>
        <w:rPr>
          <w:rtl w:val="true"/>
        </w:rPr>
        <w:t>رنگ کردن موها</w:t>
      </w:r>
      <w:bookmarkEnd w:id="2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 و باب السواد و 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شاهد روایاتی هستیم که از رنگ کردن موها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عمومی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حنا زدن به موها اهتمام داشتند، در این روایات شاهد آن هستیم که علاوه بر حنا از رنگ های دیگری همچون کَتم و وَسم یاد می شود که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استفاده از آنها مستقر بوده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از این روایات می توان استفاده کرد که استفاد از حنا یا رنگ سیاه برای مردان نوعی بهداشت مو بوده و شاید بیشتر جنبه زیبایی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پنجم و 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p>
    <w:p>
      <w:pPr>
        <w:pStyle w:val="BookText"/>
        <w:rPr/>
      </w:pPr>
      <w:r>
        <w:rPr>
          <w:rFonts w:ascii="IRNazanin" w:hAnsi="IRNazanin" w:eastAsia="IRNazanin"/>
          <w:color w:val="111111"/>
          <w:sz w:val="28"/>
          <w:sz w:val="28"/>
          <w:szCs w:val="28"/>
          <w:rtl w:val="true"/>
          <w:lang w:bidi="fa-IR"/>
        </w:rPr>
        <w:t>السواد و 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بیان شده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شهادت موهای مبارک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رنگ کرده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أَبِيهِ عَنْ يُونُسَ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الْخِضَابِ بِالْوَسِمَةِ فَقَالَ لَا بَأْسَ 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مُخْتَضِبٌ بِالْوَسِمَةِ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روایت سوم این باب چنین استفاده می شود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رنگ کردن موهای مبارک خود – و به ویژه ریش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که دندان های ایشان شُل شده بود و آن را با جویدن نوعی آدامس و بستن آن با طلا محکم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رنگ کردن موها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حنا نبوده، اما حنا زدن در سیره ایشان پر رنگ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است که برای خضاب کردن با حنا فوائدی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فوائدی که برای حنا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بیان شده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 دادن چشم؛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رویاندن مو؛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بو کردن و از بین بردن بوی 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شدن فرزند؛</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یائسگی زود رس؛ </w:t>
      </w:r>
      <w:bookmarkStart w:id="273" w:name="pg16651_193027"/>
    </w:p>
    <w:p>
      <w:pPr>
        <w:pStyle w:val="BookText"/>
        <w:rPr/>
      </w:pPr>
      <w:bookmarkEnd w:id="27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آرامش همسر؛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 کردن چهره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عَنِ الْعَلَاءِ عَنْ مُحَمَّدِ بْنِ مُسْلِمٍ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 يَشْعَلُ الشَّيْبَ؛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أَبِيهِ عَنْ فَضَالَةَ بْنِ أَيُّوبَ عَنْ حَرِيزٍ عَنْ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اخْتَضِبُوا بِالْحِنَّاءِ فَإِنَّهُ يَجْلُو الْبَصَرَ وَ يُنْبِتُ الشَّعْرَ وَ يُطَيِّبُ الرِّيحَ وَ يُسَكِّنُ الزَّوْجَةَ؛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عُبْدُوسِ بْنِ إِبْرَاهِيمَ الْبَغْدَادِيِّ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 وَ يَزِيدُ فِي مَاءِ الْوَجْهِ وَ يُطَيِّبُ النَّكْهَةَ وَ يُحَسِّنُ الْوَلَدَ؛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عَلِيِّ بْنِ سُلَيْمَانَ بْنِ رُشَيْدٍ عَنْ مَالِكِ بْنِ أَشْيَمَ عَنْ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فَتَاةً قَدِ ارْتَفَعَتْ عِلَّتُهَا فَقَالَ اخْضِبْ رَأْسَهَا بِالْحِنَّاءِ فَإِنَّ الْحَيْضَ سَيَعُودُ إِلَيْهَا قَالَ فَفَعَلْتُ ذَلِكَ فَعَادَ إِلَيْهَا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 محمد بن یعقوب، الکافی،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2040837_1280447820"/>
      <w:bookmarkStart w:id="275" w:name="_Toc107"/>
      <w:bookmarkEnd w:id="274"/>
      <w:r>
        <w:rPr>
          <w:rtl w:val="true"/>
        </w:rPr>
        <w:t>تراشیدن مو</w:t>
      </w:r>
      <w:bookmarkEnd w:id="275"/>
    </w:p>
    <w:p>
      <w:pPr>
        <w:pStyle w:val="BookText"/>
        <w:rPr/>
      </w:pPr>
      <w:r>
        <w:rPr>
          <w:rFonts w:ascii="IRNazanin" w:hAnsi="IRNazanin" w:eastAsia="IRNazanin"/>
          <w:color w:val="111111"/>
          <w:sz w:val="28"/>
          <w:sz w:val="28"/>
          <w:szCs w:val="28"/>
          <w:rtl w:val="true"/>
          <w:lang w:bidi="fa-IR"/>
        </w:rPr>
        <w:t xml:space="preserve">در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الشعر و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کافی شاهد روایاتی هستیم که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تراشیدن سر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سوم این باب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کند که اصحاب ما معتقدند تراشیدن سر تنها در حج و عمره جایز است و در غیر آن مُثله است، ایشان پاسخ می دهد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مناسک حج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تراشید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همین روایت را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کرده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ششم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بلند کردن موهای سر پرسش می کند و امام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می </w:t>
      </w:r>
    </w:p>
    <w:p>
      <w:pPr>
        <w:pStyle w:val="BookText"/>
        <w:rPr/>
      </w:pPr>
      <w:r>
        <w:rPr>
          <w:rFonts w:ascii="IRNazanin" w:hAnsi="IRNazanin" w:eastAsia="IRNazanin"/>
          <w:color w:val="111111"/>
          <w:sz w:val="28"/>
          <w:sz w:val="28"/>
          <w:szCs w:val="28"/>
          <w:rtl w:val="true"/>
          <w:lang w:bidi="fa-IR"/>
        </w:rPr>
        <w:t>تراشیدند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این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سیره اصحاب در تراشیدن سر است که می تواند به نوعی سیره خود ایشان نیز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روایت ابوبصیر که روایت هفتم این باب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دارند ایشان هر جمعه سر خود را می تراشد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البته فیض کاشانی احتمال داده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تراشیدن عانه باشد، هر چند در ادامه احتمال تراشیدن سر به دلیل انصراف اطلاق به آن را نیز داده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روایت عمار بن اسحاق از همین باب به فوائد زیر برای تراشیدن سر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کثیفی 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حشرات 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گردن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چشمان</w:t>
      </w:r>
      <w:r>
        <w:rPr>
          <w:rFonts w:eastAsia="IRNazanin" w:cs="IRNazanin"/>
          <w:color w:val="111111"/>
          <w:sz w:val="28"/>
          <w:szCs w:val="28"/>
          <w:rtl w:val="true"/>
          <w:lang w:bidi="fa-IR"/>
        </w:rPr>
        <w:t>.</w:t>
      </w:r>
      <w:r>
        <w:rPr>
          <w:rStyle w:val="FootnoteAnchor"/>
          <w:rtl w:val="true"/>
        </w:rPr>
        <w:footnoteReference w:id="19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فوق الذکر حاکی از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تراشیدن سر است</w:t>
      </w:r>
      <w:r>
        <w:rPr>
          <w:rFonts w:eastAsia="IRNazanin" w:cs="IRNazanin"/>
          <w:color w:val="111111"/>
          <w:sz w:val="28"/>
          <w:szCs w:val="28"/>
          <w:rtl w:val="true"/>
          <w:lang w:bidi="fa-IR"/>
        </w:rPr>
        <w:t xml:space="preserve">. </w:t>
      </w:r>
      <w:bookmarkStart w:id="276" w:name="pg16651_193029"/>
    </w:p>
    <w:p>
      <w:pPr>
        <w:pStyle w:val="BookText"/>
        <w:rPr/>
      </w:pPr>
      <w:bookmarkEnd w:id="276"/>
      <w:r>
        <w:rPr>
          <w:rFonts w:ascii="IRNazanin" w:hAnsi="IRNazanin" w:eastAsia="IRNazanin"/>
          <w:color w:val="111111"/>
          <w:sz w:val="28"/>
          <w:sz w:val="28"/>
          <w:szCs w:val="28"/>
          <w:rtl w:val="true"/>
          <w:lang w:bidi="fa-IR"/>
        </w:rPr>
        <w:t xml:space="preserve">در روایت چهارم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الشعر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عمرو بن ثابت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 شاید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پندارند که فرق گشودن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است؟ راوی ادامه می دهد که آنان چنین می پندارند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 خود را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 خود را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موی سر خود را بلند نمی کردند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این گزارش نیز می تواند مؤید این باشد که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 نگه داشتن موی سر نبوده بلکه بر تراشیدن موی سر بوده است</w:t>
      </w:r>
      <w:r>
        <w:rPr>
          <w:rFonts w:eastAsia="IRNazanin" w:cs="IRNazanin"/>
          <w:color w:val="111111"/>
          <w:sz w:val="28"/>
          <w:szCs w:val="28"/>
          <w:rtl w:val="true"/>
          <w:lang w:bidi="fa-IR"/>
        </w:rPr>
        <w:t>.</w:t>
      </w:r>
    </w:p>
    <w:p>
      <w:pPr>
        <w:pStyle w:val="Heading3"/>
        <w:numPr>
          <w:ilvl w:val="2"/>
          <w:numId w:val="1"/>
        </w:numPr>
        <w:rPr/>
      </w:pPr>
      <w:bookmarkStart w:id="277" w:name="__RefHeading___Toc12040839_1280447820"/>
      <w:bookmarkStart w:id="278" w:name="_Toc108"/>
      <w:bookmarkEnd w:id="277"/>
      <w:r>
        <w:rPr>
          <w:rtl w:val="true"/>
        </w:rPr>
        <w:t>بهداشت چشم</w:t>
      </w:r>
      <w:bookmarkEnd w:id="278"/>
    </w:p>
    <w:p>
      <w:pPr>
        <w:pStyle w:val="Heading4"/>
        <w:numPr>
          <w:ilvl w:val="3"/>
          <w:numId w:val="1"/>
        </w:numPr>
        <w:rPr/>
      </w:pPr>
      <w:bookmarkStart w:id="279" w:name="__RefHeading___Toc12040841_1280447820"/>
      <w:bookmarkStart w:id="280" w:name="_Toc10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چشم از جمله اعضای مهم بدن است که اهتمام به آن و بهداشت آن برای جلوگیری از ضعیف شدن و احیانا کور شدن و نیز سایر بیماری های چشم از جمله آب مروارید، آب سیاه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بیت در بهداشت چشم و رسیدگی به آن در قالب سرمه کشیدن و توصیه به استفاده از موادی که برای جلای چشم مفید است امری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به این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چشم خواهیم پرداخت</w:t>
      </w:r>
      <w:r>
        <w:rPr>
          <w:rFonts w:eastAsia="IRNazanin" w:cs="IRNazanin"/>
          <w:color w:val="111111"/>
          <w:sz w:val="28"/>
          <w:szCs w:val="28"/>
          <w:rtl w:val="true"/>
          <w:lang w:bidi="fa-IR"/>
        </w:rPr>
        <w:t>.</w:t>
      </w:r>
    </w:p>
    <w:p>
      <w:pPr>
        <w:pStyle w:val="Heading4"/>
        <w:numPr>
          <w:ilvl w:val="3"/>
          <w:numId w:val="1"/>
        </w:numPr>
        <w:rPr/>
      </w:pPr>
      <w:bookmarkStart w:id="281" w:name="__RefHeading___Toc12040843_1280447820"/>
      <w:bookmarkStart w:id="282" w:name="_Toc110"/>
      <w:bookmarkEnd w:id="281"/>
      <w:r>
        <w:rPr>
          <w:rtl w:val="true"/>
        </w:rPr>
        <w:t>سرمه کشیدن</w:t>
      </w:r>
      <w:bookmarkEnd w:id="2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 شاهد سیره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استفاده از سرمه، به ویژه هنگام خواب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استقاده از سرمه به نوعی بهداشت و مراقب از چشم در برابر ضعیف شدن و انواع بیماری های چشم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گزارش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نوعی سرمه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در روایت دیگری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استفاده از سرمه چنین گزارش شده که ایشان قبل از خواب چهار بار در چشم راست و سه بار در چشم چپ سرمه می کشید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این روایات به فوائد سرمه کشیدن چنین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کردن مژه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بو کردن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کردن طعم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رویاندن 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قوه جنسی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عَبْدِ اللَّهِ بْنِ الْفَضْلِ الْهَاشِمِيِّ عَنْ أَبِيهِ وَ عَمِّهِ قَالا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الِاكْتِحَالُ بِالْإِثْمِدِ يُطَيِّبُ النَّكْهَةَ وَ يَشُدُّ أَشْفَارَ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ابْنِ فَضَّالٍ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يُعْذِبُ الْفَمَ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أَبِيهِ عَنْ خَلَفِ بْنِ حَمَّادٍ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يُنْبِتُ الشَّعْرَ وَ يُحِدُّ الْبَصَرَ وَ يُعِينُ عَلَى طُولِ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فَضَّالٍ عَنْ عَلِيِّ بْنِ عُقْبَةَ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 يَجْلُو الْبَصَرَ وَ يُنْبِتُ الشَّعْرَ وَ يَذْهَبُ بِالدَّمْعَةِ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فَضَّالٍ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يَزِيدُ فِي الْمُبَاضَعَةِ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bookmarkStart w:id="283" w:name="pg16651_193031"/>
    </w:p>
    <w:p>
      <w:pPr>
        <w:pStyle w:val="Heading4"/>
        <w:numPr>
          <w:ilvl w:val="3"/>
          <w:numId w:val="1"/>
        </w:numPr>
        <w:rPr/>
      </w:pPr>
      <w:bookmarkStart w:id="284" w:name="__RefHeading___Toc12040845_1280447820"/>
      <w:bookmarkStart w:id="285" w:name="_Toc111"/>
      <w:bookmarkEnd w:id="283"/>
      <w:bookmarkEnd w:id="284"/>
      <w:r>
        <w:rPr>
          <w:rtl w:val="true"/>
        </w:rPr>
        <w:t>مسواک، کفش زرد، افطار با آب فاتر، شستن دست و گرفتن ناخن</w:t>
      </w:r>
      <w:bookmarkEnd w:id="285"/>
    </w:p>
    <w:p>
      <w:pPr>
        <w:pStyle w:val="BookText"/>
        <w:rPr/>
      </w:pPr>
      <w:r>
        <w:rPr>
          <w:rFonts w:ascii="IRNazanin" w:hAnsi="IRNazanin" w:eastAsia="IRNazanin"/>
          <w:color w:val="111111"/>
          <w:sz w:val="28"/>
          <w:sz w:val="28"/>
          <w:szCs w:val="28"/>
          <w:rtl w:val="true"/>
          <w:lang w:bidi="fa-IR"/>
        </w:rPr>
        <w:t>همچنین استفاده از مسواک،</w:t>
      </w:r>
      <w:r>
        <w:rPr>
          <w:rStyle w:val="FootnoteAnchor"/>
          <w:rtl w:val="true"/>
        </w:rPr>
        <w:footnoteReference w:id="204"/>
      </w:r>
      <w:r>
        <w:rPr>
          <w:rFonts w:ascii="IRNazanin" w:hAnsi="IRNazanin" w:eastAsia="IRNazanin"/>
          <w:color w:val="111111"/>
          <w:sz w:val="28"/>
          <w:sz w:val="28"/>
          <w:szCs w:val="28"/>
          <w:rtl w:val="true"/>
          <w:lang w:bidi="fa-IR"/>
        </w:rPr>
        <w:t>پوشیدن کفش زرد و پرهیز از پوشیدن کفش سیاه،</w:t>
      </w:r>
      <w:r>
        <w:rPr>
          <w:rStyle w:val="FootnoteAnchor"/>
          <w:rtl w:val="true"/>
        </w:rPr>
        <w:footnoteReference w:id="205"/>
      </w:r>
      <w:r>
        <w:rPr>
          <w:rFonts w:ascii="IRNazanin" w:hAnsi="IRNazanin" w:eastAsia="IRNazanin"/>
          <w:color w:val="111111"/>
          <w:sz w:val="28"/>
          <w:sz w:val="28"/>
          <w:szCs w:val="28"/>
          <w:rtl w:val="true"/>
          <w:lang w:bidi="fa-IR"/>
        </w:rPr>
        <w:t>افطار با آب فاتر</w:t>
      </w:r>
      <w:r>
        <w:rPr>
          <w:rStyle w:val="FootnoteAnchor"/>
          <w:rtl w:val="true"/>
        </w:rPr>
        <w:footnoteReference w:id="206"/>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شستن دست قبل و بعد از غذا،</w:t>
      </w:r>
      <w:r>
        <w:rPr>
          <w:rStyle w:val="FootnoteAnchor"/>
          <w:rtl w:val="true"/>
        </w:rPr>
        <w:footnoteReference w:id="208"/>
      </w:r>
      <w:r>
        <w:rPr>
          <w:rFonts w:ascii="IRNazanin" w:hAnsi="IRNazanin" w:eastAsia="IRNazanin"/>
          <w:color w:val="111111"/>
          <w:sz w:val="28"/>
          <w:sz w:val="28"/>
          <w:szCs w:val="28"/>
          <w:rtl w:val="true"/>
          <w:lang w:bidi="fa-IR"/>
        </w:rPr>
        <w:t>به عنوان عوامی برای جلای چشم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ها در روز پنجشنبه نیز عاملی جهت پیشگیری از درد چشم عنوان گردیده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عَنْ أَبِيهِ عَنْ عَبْدِ اللَّهِ بْنِ الْفَضْلِ النَّوْفَلِيِّ عَنْ أَبِيهِ وَ عَمِّهِ جَمِيعاً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أَخْذَ أَظْفَارِهِ كُلَّ خَمِيسٍ لَمْ تَرْمَدْ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به موارد مذکور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سیره خود آن بزرگواران در عمل به این موارد دارد</w:t>
      </w:r>
      <w:r>
        <w:rPr>
          <w:rFonts w:eastAsia="IRNazanin" w:cs="IRNazanin"/>
          <w:color w:val="111111"/>
          <w:sz w:val="28"/>
          <w:szCs w:val="28"/>
          <w:rtl w:val="true"/>
          <w:lang w:bidi="fa-IR"/>
        </w:rPr>
        <w:t>.</w:t>
      </w:r>
      <w:bookmarkStart w:id="286" w:name="pg16651_193032"/>
    </w:p>
    <w:p>
      <w:pPr>
        <w:pStyle w:val="Heading4"/>
        <w:numPr>
          <w:ilvl w:val="3"/>
          <w:numId w:val="1"/>
        </w:numPr>
        <w:rPr/>
      </w:pPr>
      <w:bookmarkStart w:id="287" w:name="__RefHeading___Toc12040847_1280447820"/>
      <w:bookmarkStart w:id="288" w:name="_Toc112"/>
      <w:bookmarkEnd w:id="286"/>
      <w:bookmarkEnd w:id="287"/>
      <w:r>
        <w:rPr>
          <w:rtl w:val="true"/>
        </w:rPr>
        <w:t>پرهیز از خوردن ماهی خام</w:t>
      </w:r>
      <w:bookmarkEnd w:id="288"/>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خام عاملی برای از بین رفتن و آب شدن پی چشم معرفی 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توجه به روایت دیگری که امام درخواست ماهی برای کباب کردن دارد</w:t>
      </w:r>
      <w:r>
        <w:rPr>
          <w:rStyle w:val="FootnoteAnchor"/>
          <w:rtl w:val="true"/>
        </w:rPr>
        <w:footnoteReference w:id="211"/>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حیتاناً 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بردند به نظر می رسد آنجا نیز ماهی خام مقصود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تازه است</w:t>
      </w:r>
      <w:r>
        <w:rPr>
          <w:rStyle w:val="FootnoteAnchor"/>
          <w:rtl w:val="true"/>
        </w:rPr>
        <w:footnoteReference w:id="212"/>
      </w:r>
      <w:r>
        <w:rPr>
          <w:rFonts w:ascii="IRNazanin" w:hAnsi="IRNazanin" w:eastAsia="IRNazanin"/>
          <w:color w:val="111111"/>
          <w:sz w:val="28"/>
          <w:sz w:val="28"/>
          <w:szCs w:val="28"/>
          <w:rtl w:val="true"/>
          <w:lang w:bidi="fa-IR"/>
        </w:rPr>
        <w:t>اما در این نوع روایات گویا مقصود ماهی خام است؛ چرا که ماهی خام نیز از تازگی و طراوت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سفارش اگر گفته شود دراینجا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است، این سوال مطرح می شود که پس یعنی ماهی مانده و خشک باید مصرف کرد که این خلاف متفاهم عرفی است، بلکه با توجه به مضراتی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الطریّ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برشمرده شده می توان به ظنّ قوی، آن را به معنای ماهی خام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 نظر می رسد که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پرهیز از خوردن ماهی خام است؛ چرا در روایتی امام قبل از حجامت ماهی خام طلب می کند و دستور می دهد تا آن را کباب کنند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289" w:name="__RefHeading___Toc12040849_1280447820"/>
      <w:bookmarkStart w:id="290" w:name="_Toc113"/>
      <w:bookmarkEnd w:id="289"/>
      <w:r>
        <w:rPr>
          <w:rtl w:val="true"/>
        </w:rPr>
        <w:t>بهداشت پا</w:t>
      </w:r>
      <w:bookmarkEnd w:id="2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شاهد اهتمام ویژه برای اعضای رئیسی و مهم بدن در سیره و توصیه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نیز یکی از اعضای مهم بدن بوده و مشهور است که گفته </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قلب دوم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و سیره اهل بیت نیز اهتمام زیادی نسبت به بهداشت پا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این اهتمام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کلینی را جلب کرده و دو باب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گشوده است که این نمونه از تبویب را در سایر کتاب های روایی متقدم شاهد و ناظر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نوع روایات بر پوشیدن کفش تأکید دارد که اولین و اساسی ترین بهداشت برای پا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از سیره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نوع کفش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از خانه خارج شد، دیدم کفشی قرمز رنگ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قرمز چیست که در پای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کفشی است که برای سفر انتخاب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در مقابل گِل و باران مقاوم تر و با دوام تر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و راه دور کفشی مناسب با آن انتخاب می کند و بعید نیست که با توجه به این روایت بتوان گفت که حضرت برای مکان های دیگر نیز کفش هایی مناسب با آن می پوشیدند</w:t>
      </w:r>
      <w:r>
        <w:rPr>
          <w:rFonts w:eastAsia="IRNazanin" w:cs="IRNazanin"/>
          <w:color w:val="111111"/>
          <w:sz w:val="28"/>
          <w:szCs w:val="28"/>
          <w:rtl w:val="true"/>
          <w:lang w:bidi="fa-IR"/>
        </w:rPr>
        <w:t xml:space="preserve">. </w:t>
      </w:r>
      <w:bookmarkStart w:id="291" w:name="pg16651_193034"/>
    </w:p>
    <w:p>
      <w:pPr>
        <w:pStyle w:val="BookText"/>
        <w:rPr/>
      </w:pPr>
      <w:bookmarkEnd w:id="291"/>
      <w:r>
        <w:rPr>
          <w:rFonts w:ascii="IRNazanin" w:hAnsi="IRNazanin" w:eastAsia="IRNazanin"/>
          <w:color w:val="111111"/>
          <w:sz w:val="28"/>
          <w:sz w:val="28"/>
          <w:szCs w:val="28"/>
          <w:rtl w:val="true"/>
          <w:lang w:bidi="fa-IR"/>
        </w:rPr>
        <w:t>در روایت اول این باب پوشیدن کفش به عنوان تقویت چشم</w:t>
      </w:r>
      <w:r>
        <w:rPr>
          <w:rStyle w:val="FootnoteAnchor"/>
          <w:rtl w:val="true"/>
        </w:rPr>
        <w:footnoteReference w:id="216"/>
      </w:r>
      <w:r>
        <w:rPr>
          <w:rFonts w:ascii="IRNazanin" w:hAnsi="IRNazanin" w:eastAsia="IRNazanin"/>
          <w:color w:val="111111"/>
          <w:sz w:val="28"/>
          <w:sz w:val="28"/>
          <w:szCs w:val="28"/>
          <w:rtl w:val="true"/>
          <w:lang w:bidi="fa-IR"/>
        </w:rPr>
        <w:t>و در روایت دوم و سوم پوشیدن کفش عاملی برای جلو گیری از بیماری سل دانسته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روایت ششم این باب پوشیدن مستمر و همیشگی کفش عاملی برای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گویا در آن روزگار به بهداشت پا و استفاده از کفش مناسب اهتمام جدّی وجود نداشته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بیانات می خواسته اهمیت پوشیدن کفش و مراقب از پا ها را متذکر گردد، در هر صورت این گزارش ها نشان از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محافظت بر بهداشت پا دارد</w:t>
      </w:r>
      <w:r>
        <w:rPr>
          <w:rFonts w:eastAsia="IRNazanin" w:cs="IRNazanin"/>
          <w:color w:val="111111"/>
          <w:sz w:val="28"/>
          <w:szCs w:val="28"/>
          <w:rtl w:val="true"/>
          <w:lang w:bidi="fa-IR"/>
        </w:rPr>
        <w:t>.</w:t>
      </w:r>
    </w:p>
    <w:p>
      <w:pPr>
        <w:pStyle w:val="Heading3"/>
        <w:numPr>
          <w:ilvl w:val="2"/>
          <w:numId w:val="1"/>
        </w:numPr>
        <w:rPr/>
      </w:pPr>
      <w:bookmarkStart w:id="292" w:name="__RefHeading___Toc12040851_1280447820"/>
      <w:bookmarkStart w:id="293" w:name="_Toc114"/>
      <w:bookmarkEnd w:id="292"/>
      <w:r>
        <w:rPr>
          <w:rtl w:val="true"/>
        </w:rPr>
        <w:t>بهداشت لباس</w:t>
      </w:r>
      <w:bookmarkEnd w:id="293"/>
    </w:p>
    <w:p>
      <w:pPr>
        <w:pStyle w:val="Heading4"/>
        <w:numPr>
          <w:ilvl w:val="3"/>
          <w:numId w:val="1"/>
        </w:numPr>
        <w:rPr/>
      </w:pPr>
      <w:bookmarkStart w:id="294" w:name="__RefHeading___Toc12040853_1280447820"/>
      <w:bookmarkStart w:id="295" w:name="_Toc11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در بحث از بهداشت لباس می توان در دو مقوله پاکیزه نگه داشتن لباس و انتخاب لباس مناسب و بهداشتی سخن راند</w:t>
      </w:r>
      <w:r>
        <w:rPr>
          <w:rFonts w:eastAsia="IRNazanin" w:cs="IRNazanin"/>
          <w:color w:val="111111"/>
          <w:sz w:val="28"/>
          <w:szCs w:val="28"/>
          <w:rtl w:val="true"/>
          <w:lang w:bidi="fa-IR"/>
        </w:rPr>
        <w:t>.</w:t>
      </w:r>
    </w:p>
    <w:p>
      <w:pPr>
        <w:pStyle w:val="Heading4"/>
        <w:numPr>
          <w:ilvl w:val="3"/>
          <w:numId w:val="1"/>
        </w:numPr>
        <w:rPr/>
      </w:pPr>
      <w:bookmarkStart w:id="296" w:name="__RefHeading___Toc12040855_1280447820"/>
      <w:bookmarkStart w:id="297" w:name="_Toc116"/>
      <w:bookmarkEnd w:id="296"/>
      <w:r>
        <w:rPr>
          <w:rtl w:val="true"/>
        </w:rPr>
        <w:t>پاکیزه بودن لباس</w:t>
      </w:r>
      <w:bookmarkEnd w:id="297"/>
    </w:p>
    <w:p>
      <w:pPr>
        <w:pStyle w:val="BookText"/>
        <w:rPr/>
      </w:pPr>
      <w:r>
        <w:rPr>
          <w:rFonts w:ascii="IRNazanin" w:hAnsi="IRNazanin" w:eastAsia="IRNazanin"/>
          <w:color w:val="111111"/>
          <w:sz w:val="28"/>
          <w:sz w:val="28"/>
          <w:szCs w:val="28"/>
          <w:rtl w:val="true"/>
          <w:lang w:bidi="fa-IR"/>
        </w:rPr>
        <w:t>پاکیزه بودن و رسیدگی به لباس و حتی استفاده از لباس مناسب برای بدن در بهداشت لباس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یا نامناسب بودن لباس باعث ایجاد بیماری برای فرد خواهد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چهار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نخست معنای آیه شریفه چنین بیان شده </w:t>
      </w:r>
    </w:p>
    <w:p>
      <w:pPr>
        <w:pStyle w:val="BookText"/>
        <w:rPr/>
      </w:pPr>
      <w:r>
        <w:rPr>
          <w:rFonts w:ascii="IRNazanin" w:hAnsi="IRNazanin" w:eastAsia="IRNazanin"/>
          <w:color w:val="111111"/>
          <w:sz w:val="28"/>
          <w:sz w:val="28"/>
          <w:szCs w:val="28"/>
          <w:rtl w:val="true"/>
          <w:lang w:bidi="fa-IR"/>
        </w:rPr>
        <w:t>که مقصود از تطهیر ثوب، بالا زدن و بالا نگه داشتن لباس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در روایت دیگر همین باب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لباس هایی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دیوان خرید پرداخته و در ادامه در بیان این آیه شریفه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بالا نگه دار و روی زمین نکش</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از این روایت به نظر می رسد 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شاید قبل از ایشان مردم لباس هایی می پوشیدند که روی زمین کشیده می شد و به آلودگی های روی زمین آلوده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خاطر نشان کردن آیه مذکور از این کار پرهیز داده و به رعایت بهداشت لباس تأکید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سوم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بود اما خداوند به او دستور می دهد تا آن را بالا زده و بالا نگه دارد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چهارم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خود را تطهیر نمی کنی؟ ایشان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کردیم چیزی به لباس ایشان چسبیده است تا اینکه </w:t>
      </w:r>
      <w:bookmarkStart w:id="298" w:name="pg16651_193036"/>
    </w:p>
    <w:p>
      <w:pPr>
        <w:pStyle w:val="BookText"/>
        <w:rPr/>
      </w:pPr>
      <w:bookmarkEnd w:id="298"/>
      <w:r>
        <w:rPr>
          <w:rFonts w:ascii="IRNazanin" w:hAnsi="IRNazanin" w:eastAsia="IRNazanin"/>
          <w:color w:val="111111"/>
          <w:sz w:val="28"/>
          <w:sz w:val="28"/>
          <w:szCs w:val="28"/>
          <w:rtl w:val="true"/>
          <w:lang w:bidi="fa-IR"/>
        </w:rPr>
        <w:t>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پیراهن ایشان چگونه بود؟ فرمود پیراهن او دراز بود و من دستور دادم تا آن را کوتاه کند؛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توجه به سایر روایات این باب بلند بودن لباس بیش تر از برآمدگی پا یا همان قوزک پا مطلوب نیست؛ چرا که روی زمین کشیده شده و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 تواند در مورد چادر و لباس زنان نیز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نباید چادر آنان به قدری بلند باشد که روی زمین کشده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از توجه به بهداشت لباس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توجه است</w:t>
      </w:r>
      <w:r>
        <w:rPr>
          <w:rFonts w:eastAsia="IRNazanin" w:cs="IRNazanin"/>
          <w:color w:val="111111"/>
          <w:sz w:val="28"/>
          <w:szCs w:val="28"/>
          <w:rtl w:val="true"/>
          <w:lang w:bidi="fa-IR"/>
        </w:rPr>
        <w:t>.</w:t>
      </w:r>
    </w:p>
    <w:p>
      <w:pPr>
        <w:pStyle w:val="Heading4"/>
        <w:numPr>
          <w:ilvl w:val="3"/>
          <w:numId w:val="1"/>
        </w:numPr>
        <w:rPr/>
      </w:pPr>
      <w:bookmarkStart w:id="299" w:name="__RefHeading___Toc12040857_1280447820"/>
      <w:bookmarkStart w:id="300" w:name="_Toc117"/>
      <w:bookmarkEnd w:id="299"/>
      <w:r>
        <w:rPr>
          <w:rtl w:val="true"/>
        </w:rPr>
        <w:t>ضد عفونی کردن با دود</w:t>
      </w:r>
      <w:bookmarkEnd w:id="30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روایاتی گزارش شده که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ضد عفونی کردن بدن یا لباس با دود و بخور بیان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چهارم این باب، مرازم چنین گزارش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به رختکن آمده و مجمری</w:t>
      </w:r>
      <w:r>
        <w:rPr>
          <w:rStyle w:val="FootnoteAnchor"/>
          <w:rtl w:val="true"/>
        </w:rPr>
        <w:footnoteReference w:id="224"/>
      </w:r>
      <w:r>
        <w:rPr>
          <w:rFonts w:ascii="IRNazanin" w:hAnsi="IRNazanin" w:eastAsia="IRNazanin"/>
          <w:color w:val="111111"/>
          <w:sz w:val="28"/>
          <w:sz w:val="28"/>
          <w:szCs w:val="28"/>
          <w:rtl w:val="true"/>
          <w:lang w:bidi="fa-IR"/>
        </w:rPr>
        <w:t>طلبید و با آن بخور و دود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بخور و دود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می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بیاید و بهره خود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225"/>
      </w:r>
      <w:bookmarkStart w:id="301" w:name="pg16651_193037"/>
    </w:p>
    <w:p>
      <w:pPr>
        <w:pStyle w:val="BookText"/>
        <w:rPr/>
      </w:pPr>
      <w:bookmarkEnd w:id="301"/>
      <w:r>
        <w:rPr>
          <w:rFonts w:ascii="IRNazanin" w:hAnsi="IRNazanin" w:eastAsia="IRNazanin"/>
          <w:color w:val="111111"/>
          <w:sz w:val="28"/>
          <w:sz w:val="28"/>
          <w:szCs w:val="28"/>
          <w:rtl w:val="true"/>
          <w:lang w:bidi="fa-IR"/>
        </w:rPr>
        <w:t xml:space="preserve">در روایت پنجم این باب احمد بن ابی خلف غلام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کند که اهل 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را با بخور و دود ذغال ضد عفونی می کردند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روایت سوم نیز حسن بن جهم گزارش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بوی زغال و دود از لباس ایشان استشمام می 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این گزارش می تواند حاکی از این باشد که امام در منزل، لباس خود را با دود ضد عفونی کرده است</w:t>
      </w:r>
      <w:r>
        <w:rPr>
          <w:rFonts w:eastAsia="IRNazanin" w:cs="IRNazanin"/>
          <w:color w:val="111111"/>
          <w:sz w:val="28"/>
          <w:szCs w:val="28"/>
          <w:rtl w:val="true"/>
          <w:lang w:bidi="fa-IR"/>
        </w:rPr>
        <w:t>.</w:t>
      </w:r>
    </w:p>
    <w:p>
      <w:pPr>
        <w:pStyle w:val="Heading3"/>
        <w:numPr>
          <w:ilvl w:val="2"/>
          <w:numId w:val="1"/>
        </w:numPr>
        <w:rPr/>
      </w:pPr>
      <w:bookmarkStart w:id="302" w:name="__RefHeading___Toc12040859_1280447820"/>
      <w:bookmarkStart w:id="303" w:name="_Toc118"/>
      <w:bookmarkEnd w:id="302"/>
      <w:r>
        <w:rPr>
          <w:rtl w:val="true"/>
        </w:rPr>
        <w:t>بهداشت منزل</w:t>
      </w:r>
      <w:bookmarkEnd w:id="303"/>
    </w:p>
    <w:p>
      <w:pPr>
        <w:pStyle w:val="BookText"/>
        <w:rPr/>
      </w:pPr>
      <w:r>
        <w:rPr>
          <w:rFonts w:ascii="IRNazanin" w:hAnsi="IRNazanin" w:eastAsia="IRNazanin"/>
          <w:color w:val="111111"/>
          <w:sz w:val="28"/>
          <w:sz w:val="28"/>
          <w:szCs w:val="28"/>
          <w:rtl w:val="true"/>
          <w:lang w:bidi="fa-IR"/>
        </w:rPr>
        <w:t xml:space="preserve">بهداشت منزل و تمیز نگهداشتن آن از جمله مهمترین مسائل بهداشتی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آن اهتمام داشته و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کافی در بابی از ابواب نوادر از کتاب الزی والتجمل در روایتی جارو کردن خانه موجب از بین رفتن فقر دانسته شده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همچنین روایت دیگری در همان باب از انباشتن خاک پشت در خانه نهی کرده، و آن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رها کردن خاکروبه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مأوای شیطان دانسته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همچنین در روایت دیگری از این باب، جارو نکردن حیاط خانه تشبّه به یهود عنوان شده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با </w:t>
      </w:r>
    </w:p>
    <w:p>
      <w:pPr>
        <w:pStyle w:val="BookText"/>
        <w:rPr/>
      </w:pPr>
      <w:r>
        <w:rPr>
          <w:rFonts w:ascii="IRNazanin" w:hAnsi="IRNazanin" w:eastAsia="IRNazanin"/>
          <w:color w:val="111111"/>
          <w:sz w:val="28"/>
          <w:sz w:val="28"/>
          <w:szCs w:val="28"/>
          <w:rtl w:val="true"/>
          <w:lang w:bidi="fa-IR"/>
        </w:rPr>
        <w:t xml:space="preserve">اسناد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الرجل في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کردن خانه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می 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گزارش این سیره علاوه بر تأکیدِ اهمیتِ کمک به همسر در امور منزل، اصل سیره ایشان را در نظافت خانه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دیگری که در بهداشت منزل مؤثر است، پرهیز از راه دادن برخی از حیوانات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روایات، راه دادن سگ در خانه ناپسند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فی الکعبة و فوقها و فی البیع و الکنائس و المواضع التی تکره فیها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تزویق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گزارش شده و حاکی از آن است که از جمله خانه هایی که فرشتگان</w:t>
      </w:r>
    </w:p>
    <w:p>
      <w:pPr>
        <w:pStyle w:val="BookText"/>
        <w:rPr/>
      </w:pPr>
      <w:r>
        <w:rPr>
          <w:rFonts w:ascii="IRNazanin" w:hAnsi="IRNazanin" w:eastAsia="IRNazanin"/>
          <w:color w:val="111111"/>
          <w:sz w:val="28"/>
          <w:sz w:val="28"/>
          <w:szCs w:val="28"/>
          <w:rtl w:val="true"/>
          <w:lang w:bidi="fa-IR"/>
        </w:rPr>
        <w:t>وارد آن نمی شوند خانه ای است که سگ در آن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عَنِ ابْنِ مُسْكَانَ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فَقَالَ إِنَّا مَعْشَرَ الْمَلَائِكَةِ لَا نَدْخُلُ بَيْتاً فِيهِ كَلْبٌ وَ لَا تِمْثَالُ جَسَدٍ وَ لَا إِنَاءٌ يُبَالُ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عَبْدِ اللَّهِ بْنِ مُحَمَّدِ بْنِ عِيسَى عَنْ عَلِيِّ بْنِ الْحَكَمِ عَنْ أَبَانِ بْنِ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إِنَّا لَا نَدْخُلُ بَيْتاً فِيهِ صُورَةٌ وَ لَا كَلْبٌ يَعْنِي صُورَةَ الْإِنْسَانِ وَ لَا بَيْتاً فِيهِ 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اینکه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و نزول همواره فرشتگان است، امکان ندارد که آنان چنین حیوانی را در خانه راه دهند، حیوانی که می تواند ناقل بیماری های زیادی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در کافی وارد شده که به صراحت از نگه داری سگ در خانه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نقل شده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گزارشی در محاسن برقی مبنی بر حضور توله سگی در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بازی می کرد وجود دارد که از حیث سند دچار اشکال بوده و قابل پذیرش نیست؛ چرا که در سند آن عمرو بن شمر واقع شده و دانشمندان رجال از جمله ابن غضائری</w:t>
      </w:r>
      <w:r>
        <w:rPr>
          <w:rStyle w:val="FootnoteAnchor"/>
          <w:rtl w:val="true"/>
        </w:rPr>
        <w:footnoteReference w:id="234"/>
      </w:r>
      <w:r>
        <w:rPr>
          <w:rFonts w:ascii="IRNazanin" w:hAnsi="IRNazanin" w:eastAsia="IRNazanin"/>
          <w:color w:val="111111"/>
          <w:sz w:val="28"/>
          <w:sz w:val="28"/>
          <w:szCs w:val="28"/>
          <w:rtl w:val="true"/>
          <w:lang w:bidi="fa-IR"/>
        </w:rPr>
        <w:t>و نجاشی</w:t>
      </w:r>
      <w:r>
        <w:rPr>
          <w:rStyle w:val="FootnoteAnchor"/>
          <w:rtl w:val="true"/>
        </w:rPr>
        <w:footnoteReference w:id="235"/>
      </w:r>
      <w:r>
        <w:rPr>
          <w:rFonts w:ascii="IRNazanin" w:hAnsi="IRNazanin" w:eastAsia="IRNazanin"/>
          <w:color w:val="111111"/>
          <w:sz w:val="28"/>
          <w:sz w:val="28"/>
          <w:szCs w:val="28"/>
          <w:rtl w:val="true"/>
          <w:lang w:bidi="fa-IR"/>
        </w:rPr>
        <w:t>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مرحوم کلینی که یکی از منابع وی در نگارش کافی، کتاب المحاسن برقی است با توجه به اینکه طبق تبویب محاسن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تزویق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تزویق البیوت و التصاویر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را نقل کرده، اما این روایت را گزارش نکرده، که حاکی از عدم اعتماد کلینی بر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محتوای آن نیز با شأن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قابل تصور است فرزندی که در خانه وحی رشد یافته، اهل بازی با توله سگ باشد؟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651_193041"/>
      <w:bookmarkStart w:id="305" w:name="pg16651_193041"/>
      <w:bookmarkEnd w:id="305"/>
    </w:p>
    <w:p>
      <w:pPr>
        <w:pStyle w:val="Heading2"/>
        <w:numPr>
          <w:ilvl w:val="1"/>
          <w:numId w:val="1"/>
        </w:numPr>
        <w:rPr/>
      </w:pPr>
      <w:bookmarkStart w:id="306" w:name="pg16651_193041"/>
      <w:bookmarkStart w:id="307" w:name="__RefHeading___Toc12040861_1280447820"/>
      <w:bookmarkStart w:id="308" w:name="_Toc119"/>
      <w:bookmarkEnd w:id="306"/>
      <w:bookmarkEnd w:id="307"/>
      <w:r>
        <w:rPr>
          <w:rtl w:val="true"/>
        </w:rPr>
        <w:t xml:space="preserve">فصل چهارم </w:t>
      </w:r>
      <w:r>
        <w:rPr>
          <w:rtl w:val="true"/>
        </w:rPr>
        <w:t xml:space="preserve">: </w:t>
      </w:r>
      <w:r>
        <w:rPr>
          <w:rtl w:val="true"/>
        </w:rPr>
        <w:t>سیره بهداشت روان</w:t>
      </w:r>
      <w:bookmarkEnd w:id="308"/>
    </w:p>
    <w:p>
      <w:pPr>
        <w:pStyle w:val="Heading3"/>
        <w:numPr>
          <w:ilvl w:val="2"/>
          <w:numId w:val="1"/>
        </w:numPr>
        <w:rPr/>
      </w:pPr>
      <w:bookmarkStart w:id="309" w:name="__RefHeading___Toc12040863_1280447820"/>
      <w:bookmarkStart w:id="310" w:name="_Toc120"/>
      <w:bookmarkEnd w:id="309"/>
      <w:r>
        <w:rPr>
          <w:rtl w:val="true"/>
        </w:rPr>
        <w:t>سیره بهداشت روان</w:t>
      </w:r>
      <w:bookmarkEnd w:id="31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به بررسی گزاره های بهداشت روان از منظر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پرداخته شده است</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6651_193043"/>
      <w:bookmarkStart w:id="312" w:name="pg16651_193043"/>
      <w:bookmarkEnd w:id="312"/>
    </w:p>
    <w:p>
      <w:pPr>
        <w:pStyle w:val="Heading3"/>
        <w:numPr>
          <w:ilvl w:val="2"/>
          <w:numId w:val="1"/>
        </w:numPr>
        <w:rPr/>
      </w:pPr>
      <w:bookmarkStart w:id="313" w:name="pg16651_193043"/>
      <w:bookmarkStart w:id="314" w:name="__RefHeading___Toc12040865_1280447820"/>
      <w:bookmarkStart w:id="315" w:name="_Toc121"/>
      <w:bookmarkEnd w:id="313"/>
      <w:bookmarkEnd w:id="314"/>
      <w:r>
        <w:rPr>
          <w:rtl w:val="true"/>
        </w:rPr>
        <w:t>درآمد</w:t>
      </w:r>
      <w:bookmarkEnd w:id="3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روان</w:t>
      </w:r>
      <w:r>
        <w:rPr>
          <w:rStyle w:val="FootnoteAnchor"/>
          <w:rtl w:val="true"/>
        </w:rPr>
        <w:footnoteReference w:id="236"/>
      </w:r>
      <w:r>
        <w:rPr>
          <w:rFonts w:ascii="IRNazanin" w:hAnsi="IRNazanin" w:eastAsia="IRNazanin"/>
          <w:color w:val="111111"/>
          <w:sz w:val="28"/>
          <w:sz w:val="28"/>
          <w:szCs w:val="28"/>
          <w:rtl w:val="true"/>
          <w:lang w:bidi="fa-IR"/>
        </w:rPr>
        <w:t>ابعاد متنوع و مؤلفه های گوناگونی دارد که به کارگیری آن ها در زندگی فردی و اجتماعی ضامن سلامت روان بوده و تا حدود زیادی موجب آسودگی خیال در گذران امور زندگی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گستره زیادی دارد و می توان بسیاری از امور را که به شیرین تر شدن زندگی کمک کرده و روح و جان را تسلی می دهد در زمره گستره بهداشت روان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و فطرت بشری بر بسیاری از مؤلفه های بهداشت روان صحه می گذارد و از سویی دیگر دین مبین اسلام و به تبع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مؤلفه های بهداشت روان را نه تنها تأیید کرده، بلکه بدان جامعه عمل نیز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 در زندگی فردی و اجتماعی در دو حیطه ایجابی و سلبی نقش 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ایجابی همچون، سخا و بخشش، حلم و صبر، عفو و گذشت، توکل، وفای به عهد، تواضع، رفتار شایسته با اطرافیان، عیادت بیمار، حضور در انواع اجتماع ها همچون تشییع جنازه و تسلی دادن داغدار، همچنین کمک به فقرا، مساکین و ایتام، سرکشی به ایتام و تلاش برای پر کردن جای خالی پدر، رفتار های شایسته در زندگی مشترک، عفت، احسان، رأفت و عطوفت، احترام به والدین، خیر خواهی برای دیگران، رفتار نیک با همسایگان، صله رحم، خوش برخوردی و خوش رویی، رعایت حقوق دیگران، مشورت خواهی، احترام به بزرگ تر ها، میهمان نوازی، رفع حاجت دیگران، پناه دادن به ضعیفان، رعایت آداب </w:t>
      </w:r>
      <w:bookmarkStart w:id="316" w:name="pg16651_193044"/>
    </w:p>
    <w:p>
      <w:pPr>
        <w:pStyle w:val="BookText"/>
        <w:rPr/>
      </w:pPr>
      <w:bookmarkEnd w:id="316"/>
      <w:r>
        <w:rPr>
          <w:rFonts w:ascii="IRNazanin" w:hAnsi="IRNazanin" w:eastAsia="IRNazanin"/>
          <w:color w:val="111111"/>
          <w:sz w:val="28"/>
          <w:sz w:val="28"/>
          <w:szCs w:val="28"/>
          <w:rtl w:val="true"/>
          <w:lang w:bidi="fa-IR"/>
        </w:rPr>
        <w:t>سفره همچون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برخي از امور مذكور كه در بهداشت روان نقش سازنده دارد و در سيره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خودنمايي مي كند پرداخته شده است</w:t>
      </w:r>
      <w:r>
        <w:rPr>
          <w:rFonts w:eastAsia="IRNazanin" w:cs="IRNazanin"/>
          <w:color w:val="111111"/>
          <w:sz w:val="28"/>
          <w:szCs w:val="28"/>
          <w:rtl w:val="true"/>
          <w:lang w:bidi="fa-IR"/>
        </w:rPr>
        <w:t>.</w:t>
      </w:r>
    </w:p>
    <w:p>
      <w:pPr>
        <w:pStyle w:val="Heading3"/>
        <w:numPr>
          <w:ilvl w:val="2"/>
          <w:numId w:val="1"/>
        </w:numPr>
        <w:rPr/>
      </w:pPr>
      <w:bookmarkStart w:id="317" w:name="__RefHeading___Toc12040867_1280447820"/>
      <w:bookmarkStart w:id="318" w:name="_Toc122"/>
      <w:bookmarkEnd w:id="317"/>
      <w:r>
        <w:rPr>
          <w:rtl w:val="true"/>
        </w:rPr>
        <w:t>سیره بهداشت روان در بعد فردی</w:t>
      </w:r>
      <w:bookmarkEnd w:id="318"/>
    </w:p>
    <w:p>
      <w:pPr>
        <w:pStyle w:val="BookText"/>
        <w:rPr/>
      </w:pPr>
      <w:r>
        <w:rPr>
          <w:rFonts w:ascii="IRNazanin" w:hAnsi="IRNazanin" w:eastAsia="IRNazanin"/>
          <w:color w:val="111111"/>
          <w:sz w:val="28"/>
          <w:sz w:val="28"/>
          <w:szCs w:val="28"/>
          <w:rtl w:val="true"/>
          <w:lang w:bidi="fa-IR"/>
        </w:rPr>
        <w:t xml:space="preserve">در این بخش به برخی از اموری که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بهداشت روان بوده و بعد فردی آن ملحوظ است با تمرکز بر روایات کتاب کافی، پرداخته شده است</w:t>
      </w:r>
      <w:r>
        <w:rPr>
          <w:rFonts w:eastAsia="IRNazanin" w:cs="IRNazanin"/>
          <w:color w:val="111111"/>
          <w:sz w:val="28"/>
          <w:szCs w:val="28"/>
          <w:rtl w:val="true"/>
          <w:lang w:bidi="fa-IR"/>
        </w:rPr>
        <w:t>.</w:t>
      </w:r>
    </w:p>
    <w:p>
      <w:pPr>
        <w:pStyle w:val="Heading3"/>
        <w:numPr>
          <w:ilvl w:val="2"/>
          <w:numId w:val="1"/>
        </w:numPr>
        <w:rPr/>
      </w:pPr>
      <w:bookmarkStart w:id="319" w:name="__RefHeading___Toc12040869_1280447820"/>
      <w:bookmarkStart w:id="320" w:name="_Toc123"/>
      <w:bookmarkEnd w:id="319"/>
      <w:r>
        <w:rPr>
          <w:rtl w:val="true"/>
        </w:rPr>
        <w:t>صبر</w:t>
      </w:r>
      <w:bookmarkEnd w:id="320"/>
    </w:p>
    <w:p>
      <w:pPr>
        <w:pStyle w:val="BookText"/>
        <w:rPr/>
      </w:pPr>
      <w:r>
        <w:rPr>
          <w:rFonts w:ascii="IRNazanin" w:hAnsi="IRNazanin" w:eastAsia="IRNazanin"/>
          <w:color w:val="111111"/>
          <w:sz w:val="28"/>
          <w:sz w:val="28"/>
          <w:szCs w:val="28"/>
          <w:rtl w:val="true"/>
          <w:lang w:bidi="fa-IR"/>
        </w:rPr>
        <w:t>صبر در روایات کافی بسیار ستوده شده و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به عنوان سر نسبت به بدن تلقی شده و چنین بیان شده که در صورت از بین رفتن صبر ایمان نیز از بین می رود</w:t>
      </w:r>
      <w:r>
        <w:rPr>
          <w:rFonts w:eastAsia="IRNazanin" w:cs="IRNazanin"/>
          <w:color w:val="111111"/>
          <w:sz w:val="28"/>
          <w:szCs w:val="28"/>
          <w:rtl w:val="true"/>
          <w:lang w:bidi="fa-IR"/>
        </w:rPr>
        <w:t>.</w:t>
      </w:r>
      <w:r>
        <w:rPr>
          <w:rStyle w:val="FootnoteAnchor"/>
          <w:rtl w:val="true"/>
        </w:rPr>
        <w:footnoteReference w:id="2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کتاب کافی باب مخصوصی برای روایات صبر گشوده و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صبر در روایات و نیز دیدگاه کلینی تا حدی بوده که باب الصبر را ذیل کتاب الإیمان و الکفر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روایت باب الصبر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صبور معرفی کرده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یکی از زیارت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فَلَقَدْ صَدَقْتَ وَ صَبَرْتَ وَ أَنْتَ الصَّادِقُ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یعنی به راستی که تو راست گفته و صبر نمودی و تو راستگوی تصدیق شده ای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سوم باب الصبر کافی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کرده و او را به صبر و رفق دستور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عَلى ما يَقُولُونَ وَ اهْجُرْهُمْ هَجْراً جَمِيلًا وَ ذَرْنِي وَ الْمُكَذِّبِينَ أُولِي النَّعْمَةِ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الَّذِي بَيْنَكَ وَ بَيْنَهُ عَداوَةٌ كَأَنَّهُ وَلِيٌّ حَمِيمٌ وَ ما يُلَقَّاها إِلَّا الَّذِينَ صَبَرُوا وَ ما يُلَقَّاها إِلَّا ذُو حَظٍّ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 تا جایی که او را با استخوان مورد حمله قرار دادند و سینه اش به تنگ امد، آنگاه خداوند متعال بر او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أَنَّكَ يَضِيقُ صَدْرُكَ بِما يَقُولُونَ فَسَبِّحْ بِحَمْدِ رَبِّكَ وَ كُنْ مِنَ السَّاجِدِينَ</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سپس او را تکذیب کرده و راندند، او از این کار ناراحت شد، خداوند متعال آیه ای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إِنَّهُ لَيَحْزُنُكَ الَّذِي يَقُولُونَ فَإِنَّهُمْ لا يُكَذِّبُونَكَ وَ لكِنَّ الظَّالِمِينَ بِآياتِ اللَّهِ يَجْحَدُونَ وَ لَقَدْ كُذِّبَتْ رُسُلٌ مِنْ قَبْلِكَ فَصَبَرُوا عَلى ما كُذِّبُوا وَ أُوذُوا حَتَّى أَتاهُمْ نَصْرُنا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ایشان خدا را به صبر ملتزم کرد، اما آنان دشمنی و تعدّی کردند و او خدا را یاد کرد اما یاد خدا را تکذیب کردند،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در راه جانم، اهل و عیال و آبرویم صبر کردم اما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الهی صبر نخواهم کرد، در این هنگام خداوند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السَّماواتِ وَ الْأَرْضَ وَ ما بَيْنَهُما </w:t>
      </w:r>
    </w:p>
    <w:p>
      <w:pPr>
        <w:pStyle w:val="BookText"/>
        <w:rPr/>
      </w:pPr>
      <w:r>
        <w:rPr>
          <w:rFonts w:ascii="Amiri" w:hAnsi="Amiri" w:eastAsia="Amiri" w:cs="Amiri"/>
          <w:color w:val="111111"/>
          <w:sz w:val="28"/>
          <w:sz w:val="28"/>
          <w:szCs w:val="28"/>
          <w:rtl w:val="true"/>
          <w:lang w:bidi="ar-SA"/>
        </w:rPr>
        <w:t>فِي سِتَّةِ أَيَّامٍ وَ ما مَسَّنا مِنْ لُغُوبٍ فَاصْبِرْ عَلى ما يَقُولُونَ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صبر پیشه کرد تا اینکه به امامت عترتش بشارت داده شد و آنان نیز به صبر وصف شدند،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این روایت حاکی از آن است که صبر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جدی و بارزی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نهم این باب، نبود صبر در کارها موجب تباهی کارها عنوان شده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فرمایند که هنگام شهادت پدر بزرگوارشان امام </w:t>
      </w:r>
      <w:bookmarkStart w:id="321" w:name="pg16651_193047"/>
    </w:p>
    <w:p>
      <w:pPr>
        <w:pStyle w:val="BookText"/>
        <w:rPr/>
      </w:pPr>
      <w:bookmarkEnd w:id="321"/>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وصیتی کردند که پدرانشان نیز همان وصیت را کرده بودندکه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صبر کن حتی اگر تلخ 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با توجه به این روایت نه تنها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امور بوده بلکه به آن وصیت نیز می کردند و از آنجا که وصیت به امور مهم تعلق می گیرد، صبر یکی از مهم ترین مؤلفه های بهداشت روان است که مورد وصیت و توصیه و عمل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شانزدهم این باب یونس بن یعقوب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وفات اسماعیل پسر بزرگتر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تا نزد مفضل بن عمر رفته و به جهت وفات اسماعیل به او تسلیت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مفضل، اسماعیل را بسیار دوست داشت و او را به عنوان امام بعد از پدرش قبول داشت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به من فرمود به او سلام برسان و بگو ما به خاطر اسماعیل مصیبت زده هستیم اما صبر کردیم، تو نیز همچون ما صبر کن، ما چیزی می خواستیم اما خداوند چیز دیگری خواست، پس ما به خواست خداوند متعال تسلیم شدیم</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322" w:name="__RefHeading___Toc12040871_1280447820"/>
      <w:bookmarkStart w:id="323" w:name="_Toc124"/>
      <w:bookmarkEnd w:id="322"/>
      <w:r>
        <w:rPr>
          <w:rtl w:val="true"/>
        </w:rPr>
        <w:t>کظم غیظ</w:t>
      </w:r>
      <w:bookmarkEnd w:id="3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مؤلفه های بهداشت روان، کظم غیظ است که به فروبردن خشم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شدن در برخی از حالات ممکن است اختیاری نباشد </w:t>
      </w:r>
    </w:p>
    <w:p>
      <w:pPr>
        <w:pStyle w:val="BookText"/>
        <w:rPr/>
      </w:pPr>
      <w:r>
        <w:rPr>
          <w:rFonts w:ascii="IRNazanin" w:hAnsi="IRNazanin" w:eastAsia="IRNazanin"/>
          <w:color w:val="111111"/>
          <w:sz w:val="28"/>
          <w:sz w:val="28"/>
          <w:szCs w:val="28"/>
          <w:rtl w:val="true"/>
          <w:lang w:bidi="fa-IR"/>
        </w:rPr>
        <w:t>و انسان با مشاهده برخی از کارهایی که برای او ناخوشایند است عصبانی و خشمگین می شود، اما فروبردن خشم در اختیار انسان است و می تواند خشم خود را کنترل کند و در خارج ظهور و و بروز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مراتبی دارد و نسبت به انسان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باب مستقلی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کظم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آن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روایت این باب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خود را وصف کرده و کظم غیظ را دوست داشتنی تر از شتران سرخ موی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فروبردن غیظ و خشم را به یک نوشیدنی تشبیه کرده فرو بردن آن را بهترین چیزی عنوان می کند که در عمر خود جرعه جرعه نوشیده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روایات دیگر این باب فوائد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کظم غیظ ذکر شده است، به عنوان مثال در روایت ششم و هفتم کظم غیظ باعث آرامش</w:t>
      </w:r>
      <w:r>
        <w:rPr>
          <w:rStyle w:val="FootnoteAnchor"/>
          <w:rtl w:val="true"/>
        </w:rPr>
        <w:footnoteReference w:id="251"/>
      </w:r>
      <w:r>
        <w:rPr>
          <w:rFonts w:ascii="IRNazanin" w:hAnsi="IRNazanin" w:eastAsia="IRNazanin"/>
          <w:color w:val="111111"/>
          <w:sz w:val="28"/>
          <w:sz w:val="28"/>
          <w:szCs w:val="28"/>
          <w:rtl w:val="true"/>
          <w:lang w:bidi="fa-IR"/>
        </w:rPr>
        <w:t>و رضایت خاطر</w:t>
      </w:r>
      <w:r>
        <w:rPr>
          <w:rStyle w:val="FootnoteAnchor"/>
          <w:rtl w:val="true"/>
        </w:rPr>
        <w:footnoteReference w:id="252"/>
      </w:r>
      <w:r>
        <w:rPr>
          <w:rFonts w:ascii="IRNazanin" w:hAnsi="IRNazanin" w:eastAsia="IRNazanin"/>
          <w:color w:val="111111"/>
          <w:sz w:val="28"/>
          <w:sz w:val="28"/>
          <w:szCs w:val="28"/>
          <w:rtl w:val="true"/>
          <w:lang w:bidi="fa-IR"/>
        </w:rPr>
        <w:t>در روز قیامت یاد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 ایشان کنیزی داشت، روزی برای وضو برای ایشان آب می ریخت، کنیز خمیازه ای کشید و آبریز از دستش افتاد و سر امام را زخمی کرد، تا ایشان سر بلند کردند جاریه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324" w:name="pg16651_193049"/>
    </w:p>
    <w:p>
      <w:pPr>
        <w:pStyle w:val="BookText"/>
        <w:rPr/>
      </w:pPr>
      <w:bookmarkEnd w:id="324"/>
      <w:r>
        <w:rPr>
          <w:rFonts w:ascii="IRNazanin" w:hAnsi="IRNazanin" w:eastAsia="IRNazanin"/>
          <w:color w:val="111111"/>
          <w:sz w:val="28"/>
          <w:sz w:val="28"/>
          <w:szCs w:val="28"/>
          <w:rtl w:val="true"/>
          <w:lang w:bidi="fa-IR"/>
        </w:rPr>
        <w:t>تو را بخشید،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آزادی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کظم غیظ ایشان علاوه بر آرامش خاطر خود به آزادی و آرامش خاطر یک انسان دیگر نیز می انجامد که در نوع خود یکی از بی نظیر ترین الگوهای بهداشت روان است</w:t>
      </w:r>
      <w:r>
        <w:rPr>
          <w:rFonts w:eastAsia="IRNazanin" w:cs="IRNazanin"/>
          <w:color w:val="111111"/>
          <w:sz w:val="28"/>
          <w:szCs w:val="28"/>
          <w:rtl w:val="true"/>
          <w:lang w:bidi="fa-IR"/>
        </w:rPr>
        <w:t>.</w:t>
      </w:r>
    </w:p>
    <w:p>
      <w:pPr>
        <w:pStyle w:val="Heading3"/>
        <w:numPr>
          <w:ilvl w:val="2"/>
          <w:numId w:val="1"/>
        </w:numPr>
        <w:rPr/>
      </w:pPr>
      <w:bookmarkStart w:id="325" w:name="__RefHeading___Toc12040873_1280447820"/>
      <w:bookmarkStart w:id="326" w:name="_Toc125"/>
      <w:bookmarkEnd w:id="325"/>
      <w:r>
        <w:rPr>
          <w:rtl w:val="true"/>
        </w:rPr>
        <w:t>حفظ زبان</w:t>
      </w:r>
      <w:bookmarkEnd w:id="326"/>
    </w:p>
    <w:p>
      <w:pPr>
        <w:pStyle w:val="BookText"/>
        <w:rPr/>
      </w:pPr>
      <w:r>
        <w:rPr>
          <w:rFonts w:ascii="IRNazanin" w:hAnsi="IRNazanin" w:eastAsia="IRNazanin"/>
          <w:color w:val="111111"/>
          <w:sz w:val="28"/>
          <w:sz w:val="28"/>
          <w:szCs w:val="28"/>
          <w:rtl w:val="true"/>
          <w:lang w:bidi="fa-IR"/>
        </w:rPr>
        <w:t>یکی مهم ترین مؤلفه های بهداشت روان که شاید اصلی ترین مؤلفه و زیر بنای دیگر مؤلفه های بهداشت روان به شمار می رود، سکوت و حفظ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باعث می شود کمتر دلی بشکند، اما اگر زبان انسان به سخن روان باشد خوب و بد به زبان می آید و ممکن است بهداشت روان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روایات به معنای لب فروبستن مطلق و هیچ سخن گفتن نیست، بلکه به معنای اکتفای به مقدار ضرورت و با تفکر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 و کم حرف بودن در اکثر جوامع پسندیده است و در مقابل پرچانگی و پرگویی مذموم است و باعث آسیب به بهداشت روان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روانی سکوت تا جایی است که در روایتی از کافی مسلمان کسی معرفی شده که سایرمسلمانان از دست و زبان او در امان باشند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الصمت و حفظ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 آن جای داده که در آنها به سکوت و نیز حفظ زبان و کم گویی </w:t>
      </w:r>
      <w:bookmarkStart w:id="327" w:name="pg16651_193050"/>
    </w:p>
    <w:p>
      <w:pPr>
        <w:pStyle w:val="BookText"/>
        <w:rPr/>
      </w:pPr>
      <w:bookmarkEnd w:id="327"/>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سفارش فراوان به سکوت و کم گویی خود حاکی از عمل حضرات معصومان به این سفارش و حاکی از سیره آنان است؛ چنانکه این بزرگوران غالب اوقات خود را به ذکر و یاد خدا می پرداختند و کلام از سخن بیهوده و اضافی بر می بستند و هر سخنی که می گفتند درّ و گوهر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کافی در باب مذکور، سکوت از علامات فقه و بابی از ابواب حکمت عنوان شده، شیعه کسانی معرفی شده اند که آنقدر سکوت پیشه می کنند که گویی لال هستند، سکوت طلا و کلام نقره دانسته شده، حقیقت ایمان تنها با حفظ زبان قابل درک است، نجات مؤمن در حفظ زبان او است، سخن زیاد تنها در ذکر و یاد خدا ممدوح است، سایر اعضا و جوارح از زبان شکایت می کنند، سخن نا به جا ممکن است موجب ریخته شدن خون ها، غارت اموال و هتک حرمت نوامیس گردد، سخن گفتن در آنچه به فرد ارتباطی ندارد مذموم است</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328" w:name="__RefHeading___Toc12040875_1280447820"/>
      <w:bookmarkStart w:id="329" w:name="_Toc126"/>
      <w:bookmarkEnd w:id="328"/>
      <w:r>
        <w:rPr>
          <w:rtl w:val="true"/>
        </w:rPr>
        <w:t>رضا به قضای الهی</w:t>
      </w:r>
      <w:bookmarkEnd w:id="3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بودن به تقدیر و قضای الهی یکی دیگر از مؤلفه های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خود کشی ها به خاطر راضی نبودن به سرنوشتی است که خداوند برای فرد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عزیز ترین کس خود را از دست می دهد که وابستگی شدیدی به او دارد، اگر به این سرنوشت راضی نباشد ممکن است به دنبال راهی برای خلاصی از آن بگردد که یک گزینه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دست زدن به خود کشی می خواهد از این سرنوشت به ظاهر شوم و بدفرجام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آن راضی باشد و بداند که حکمت های پشت صحنه این سرنوشت تماما به </w:t>
      </w:r>
      <w:bookmarkStart w:id="330" w:name="pg16651_193051"/>
    </w:p>
    <w:p>
      <w:pPr>
        <w:pStyle w:val="BookText"/>
        <w:rPr/>
      </w:pPr>
      <w:bookmarkEnd w:id="330"/>
      <w:r>
        <w:rPr>
          <w:rFonts w:ascii="IRNazanin" w:hAnsi="IRNazanin" w:eastAsia="IRNazanin"/>
          <w:color w:val="111111"/>
          <w:sz w:val="28"/>
          <w:sz w:val="28"/>
          <w:szCs w:val="28"/>
          <w:rtl w:val="true"/>
          <w:lang w:bidi="fa-IR"/>
        </w:rPr>
        <w:t>جهت رشد معنوی و روانی فرد است هرگز اقدام به خود کشی نخواهد کرد و بهداشت روان خود را در این مورد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الرضاء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رضا به قضای الهی رأس اطاعت معرفی شده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روایت تقدیر الهی را که برای بنده مؤمن مقدر گردیده دارای مصلحت و بهترین وجه ممکن به حال بنده می داند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همچنین استجابت دعا برای شخص راضی به قضای الهی از سوی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خصوص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رضا به قضای الهی در 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از کافی چنین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نسبت به کاری که انجام شده اعتراض نداشت و نمی گفت ای کاش اتفاق دیگری می افتاد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دعای آخرین شب شعبان از خداوند رضا به قضای او را خواهان است</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331" w:name="__RefHeading___Toc12040877_1280447820"/>
      <w:bookmarkStart w:id="332" w:name="_Toc127"/>
      <w:bookmarkEnd w:id="331"/>
      <w:r>
        <w:rPr>
          <w:rtl w:val="true"/>
        </w:rPr>
        <w:t>توکل</w:t>
      </w:r>
      <w:bookmarkEnd w:id="3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یکی دیگر از مؤلفه های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زندگی توکل دارد، چون پشت او به منبعی لایزال و بی نهایت گرم است در ناملایمات زندگی پا پس نمی کشد و احساس شکست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بابی با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التفویض الی الله و التوکل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آن جای داده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در این روایات هر چند به صراحت به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توکل پرداخته نشده و تنها به برخی از سفارشات به توکل بر خدا اشاره دارد اما از آنجا که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عاملان به گفته خود هستند از این رو می توان به سیره آنان در این خصوص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توکل بر خدا از همان داستان معروف روشن می گردد که ایشان بعد از یکی از غزوات زیر درختی آرمیده بود که فردی شمشیر بر ایشان کشید و گفت حال چه کسی مانع من خواهد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یاران خود که می گفتند آیا شما را از شر اینان محافظت نکنیم،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توانید مرا از آسمان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خثعمی جواب منفی داده و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فرمان از آسمان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شیخ عباس قمی در منتهی الآمال به نقل از مناقب ابن شهرآشوب و مدینة المعاجز در باب توکل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آورده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ادهم و فتح موصلى هر يك جداگانه روايت كرده‌اند، در بيابان با قافله راه مى‌برديم، پس مرا حاجتى افتاد، از قافله دور شدم، به ناگاه كودكى را ديدم در بيابان روان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در چنين بيابانى پهناور راه </w:t>
      </w:r>
    </w:p>
    <w:p>
      <w:pPr>
        <w:pStyle w:val="BookText"/>
        <w:rPr/>
      </w:pPr>
      <w:r>
        <w:rPr>
          <w:rFonts w:ascii="IRNazanin" w:hAnsi="IRNazanin" w:eastAsia="IRNazanin"/>
          <w:color w:val="111111"/>
          <w:sz w:val="28"/>
          <w:sz w:val="28"/>
          <w:szCs w:val="28"/>
          <w:rtl w:val="true"/>
          <w:lang w:bidi="fa-IR"/>
        </w:rPr>
        <w:t>مى‌سپارد، سپس نزديك او شدم و بر او سلام كردم و جواب شنيدم،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قصد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 تو كودكى و بر تو اداى فرض و سنّتى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نديدى كه از من كوچك‌ترها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زادى تقواى، و راحلتى رجلاى، و قصدى مولاى؛ توشه من پرهيزكارى من است، و راحله من دو پاى من، و مقصود من مولاى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با تو نمى‌بينم؟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پسنديده است كه تو را كسى به خانه خود بر خوان خود بخواند و تو با خود طعام و خوردنى ببرى؟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دعوت فرموده مرا طعام مى‌خوراند و سيراب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 بردار و تعجيل كن تا به قافله خود را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الجهاد و عليه الابلاغ؛ بر من است كوشش و بر خدا است مرا رسانيدن، مگر نشنيده‌اى قول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جاهَدُوا فِينا لَنَهْدِيَنَّهُمْ سُبُلَنا وَ إِنَّ اللَّهَ لَمَعَ الْمُحْسِنِينَ</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آنان كه كوشش كردند در ما هرآينه بنمايانيم ايشان را راه هاى خود، و بدرستى كه خداى با نيكوكاران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بر اين منوال بوديم ناگاه جوانى خوش‌رو با جامه‌هاى سفيد روى آورد و به آن كودك معانقه نمود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آن جوان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آن كه تو را نيكو خلق فرموده كه اين كودك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نمى‌شناسى؟ اين على بن الحسين بن علىّ بن ابى طالب عليهم السّلام 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33" w:name="pg16651_193054"/>
    </w:p>
    <w:p>
      <w:pPr>
        <w:pStyle w:val="BookText"/>
        <w:rPr/>
      </w:pPr>
      <w:bookmarkEnd w:id="333"/>
      <w:r>
        <w:rPr>
          <w:rFonts w:ascii="IRNazanin" w:hAnsi="IRNazanin" w:eastAsia="IRNazanin"/>
          <w:color w:val="111111"/>
          <w:sz w:val="28"/>
          <w:sz w:val="28"/>
          <w:szCs w:val="28"/>
          <w:rtl w:val="true"/>
          <w:lang w:bidi="fa-IR"/>
        </w:rPr>
        <w:t xml:space="preserve">همچنین بسیاری از حکایت هایی که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خلوت کردن آنان با خدا در تنهایی ودشت و بیابان نقل شده</w:t>
      </w:r>
      <w:r>
        <w:rPr>
          <w:rStyle w:val="FootnoteAnchor"/>
          <w:rtl w:val="true"/>
        </w:rPr>
        <w:footnoteReference w:id="270"/>
      </w:r>
      <w:r>
        <w:rPr>
          <w:rFonts w:ascii="IRNazanin" w:hAnsi="IRNazanin" w:eastAsia="IRNazanin"/>
          <w:color w:val="111111"/>
          <w:sz w:val="28"/>
          <w:sz w:val="28"/>
          <w:szCs w:val="28"/>
          <w:rtl w:val="true"/>
          <w:lang w:bidi="fa-IR"/>
        </w:rPr>
        <w:t>همه حاکی از توکل آنان بر خدای متعال است که با کمترین زاد و توشه ای سر به بیابان می گذارند</w:t>
      </w:r>
      <w:r>
        <w:rPr>
          <w:rFonts w:eastAsia="IRNazanin" w:cs="IRNazanin"/>
          <w:color w:val="111111"/>
          <w:sz w:val="28"/>
          <w:szCs w:val="28"/>
          <w:rtl w:val="true"/>
          <w:lang w:bidi="fa-IR"/>
        </w:rPr>
        <w:t>.</w:t>
      </w:r>
    </w:p>
    <w:p>
      <w:pPr>
        <w:pStyle w:val="Heading3"/>
        <w:numPr>
          <w:ilvl w:val="2"/>
          <w:numId w:val="1"/>
        </w:numPr>
        <w:rPr/>
      </w:pPr>
      <w:bookmarkStart w:id="334" w:name="__RefHeading___Toc12040879_1280447820"/>
      <w:bookmarkStart w:id="335" w:name="_Toc128"/>
      <w:bookmarkEnd w:id="334"/>
      <w:r>
        <w:rPr>
          <w:rtl w:val="true"/>
        </w:rPr>
        <w:t>حسن خلق</w:t>
      </w:r>
      <w:bookmarkEnd w:id="335"/>
    </w:p>
    <w:p>
      <w:pPr>
        <w:pStyle w:val="BookText"/>
        <w:rPr/>
      </w:pPr>
      <w:r>
        <w:rPr>
          <w:rFonts w:ascii="IRNazanin" w:hAnsi="IRNazanin" w:eastAsia="IRNazanin"/>
          <w:color w:val="111111"/>
          <w:sz w:val="28"/>
          <w:sz w:val="28"/>
          <w:szCs w:val="28"/>
          <w:rtl w:val="true"/>
          <w:lang w:bidi="fa-IR"/>
        </w:rPr>
        <w:t>اخلاق نیکو و حَسَن یکی از مهم ترین مؤلفه های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سوء خلق برخوردار است، در این بُعد از بهداشت روان دچار مشکل خواهد بود و مشکلات روانی برای اطرافیان خود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هر چند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حسن خلق گزارش نمی کند اما از این باب که آن بزرگواران پیش از همه به سفارشات خود عامل بوده اند، از این رو می توان به سیره آنان در حفظ حسن خلق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به حسن خلق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رفتار یک کنیز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آمده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 يك دخترى از انصار آمد و خود او هم ايستاده بود، آن دخترك گوشه جامه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برخاست ولى آن دخترك چيزى نگفت و پيغمبر به او چيزى نگفت، تا سه بار اين كار را كرد و پيغمبر در بار چهارم براى آن دخترك برخاست كه پشت سرش بود و آن دخترك رشته‌اى از جامه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 و برگشت،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تو كند آنچه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نفرين به آن دخترك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رسول خدا را گرفتار خود كردى و نه چيزى به او گفتى و نه چيزى به تو </w:t>
      </w:r>
    </w:p>
    <w:p>
      <w:pPr>
        <w:pStyle w:val="BookText"/>
        <w:rPr/>
      </w:pPr>
      <w:r>
        <w:rPr>
          <w:rFonts w:ascii="IRNazanin" w:hAnsi="IRNazanin" w:eastAsia="IRNazanin"/>
          <w:color w:val="111111"/>
          <w:sz w:val="28"/>
          <w:sz w:val="28"/>
          <w:szCs w:val="28"/>
          <w:rtl w:val="true"/>
          <w:lang w:bidi="fa-IR"/>
        </w:rPr>
        <w:t>گفت، چه كار با او 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خانه بيمارى داريم و خانواده‌ام مرا فرستادند تا رشته‌اى از جامه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برگيرم براى استشفا بدان، چون خواستم آن را برگيرم، مرا ديد و از جا برخاست و من شرم كردم كه آن را برگيرم در برابر چشم آن حضرت و نخواستم به او تكليف كنم كه خود آن را برگيرد، و به من دهد، پس آن را برگرفتم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رفتار کنیز با حضرت رفتار ناپسندی بود به ویژه آنکه برای کار خود هیچ توضیحی نمی دهد، اما رفتار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عکس العمل منفی و پرخاشگرانه از خود نشان نمی دهد نمونه ای از سیره ایشان در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حسن خلق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عقلا هیچ اختلافی نیست که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مردمان از حیث اخلاق بود تا جایی که به خاطر اخلاق خوب و رفتار خوب با یارانش به شوخی و دعابه معروف بود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محسن امین بر این باور است که حسن خلق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بین مردم آن روزگار بود و هر چه دشمنان به دنبال یافتن عیبی در او بودند چیزی نمی یافتند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ascii="IRNazanin" w:hAnsi="IRNazanin" w:eastAsia="IRNazanin"/>
          <w:color w:val="111111"/>
          <w:sz w:val="28"/>
          <w:sz w:val="28"/>
          <w:szCs w:val="28"/>
          <w:rtl w:val="true"/>
          <w:lang w:bidi="fa-IR"/>
        </w:rPr>
        <w:t>صدق در گفتار و راستگویی یکی دیگر از مؤلفه های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کار خود را با دروغ پیش می برد همواره با روانی پریشان و درد وجدان هر چند خفیف مواجه است و اطرافیان نیز به او اعتماد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الصدق و 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همه انبیا را ملازم با صدق در گفتار و راستگویی عنوان فرموده اند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در روایت پنجم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پیامی به عبد الله بن ابی یعفور او را به صدق و راستگویی سفارش می کند و این شیوه را شیوه ای می داند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کمال آن فراگرفته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را فردی راستگو معرفی می کند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فردی می داند که راستگوتر از ابوذر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راستی و صدق دروغگویی است که بهداشت روان را به شدت به خطر می اندازد تا جایی که از امام عسکری نقل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الْخَبَائِثُ فِي بَيْتٍ، وَ جُعِلَ مِفْتَاحُهُ الْكَذِب؛ پلیدی ها در خانه نهاده شده و کلید آن دروغ </w:t>
      </w:r>
      <w:bookmarkStart w:id="336" w:name="pg16651_193057"/>
    </w:p>
    <w:p>
      <w:pPr>
        <w:pStyle w:val="BookText"/>
        <w:rPr/>
      </w:pPr>
      <w:bookmarkEnd w:id="3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با این وصف دروغگویی یکی از مهم ترین عاومل مختل وتهدید کننده بهداشت روان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دروغگو مورد اعتماد و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دقت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میابیم یکی از عوامل مهم اطاعت و فرمانبرداری و حتی محبوبیت آنان در میان شیعیان زمان خود ویژگی صدق و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حاکی از نقش والا و پر رنگ راستی و راستگویی در تقویت بهداشت روان فرد و جامعه دارد</w:t>
      </w:r>
      <w:r>
        <w:rPr>
          <w:rFonts w:eastAsia="IRNazanin" w:cs="IRNazanin"/>
          <w:color w:val="111111"/>
          <w:sz w:val="28"/>
          <w:szCs w:val="28"/>
          <w:rtl w:val="true"/>
          <w:lang w:bidi="fa-IR"/>
        </w:rPr>
        <w:t>.</w:t>
      </w:r>
    </w:p>
    <w:p>
      <w:pPr>
        <w:pStyle w:val="Heading3"/>
        <w:numPr>
          <w:ilvl w:val="2"/>
          <w:numId w:val="1"/>
        </w:numPr>
        <w:rPr/>
      </w:pPr>
      <w:bookmarkStart w:id="337" w:name="__RefHeading___Toc12040881_1280447820"/>
      <w:bookmarkStart w:id="338" w:name="_Toc129"/>
      <w:bookmarkEnd w:id="337"/>
      <w:r>
        <w:rPr>
          <w:rtl w:val="true"/>
        </w:rPr>
        <w:t>تواضع</w:t>
      </w:r>
      <w:bookmarkEnd w:id="338"/>
    </w:p>
    <w:p>
      <w:pPr>
        <w:pStyle w:val="BookText"/>
        <w:rPr/>
      </w:pPr>
      <w:r>
        <w:rPr>
          <w:rFonts w:ascii="IRNazanin" w:hAnsi="IRNazanin" w:eastAsia="IRNazanin"/>
          <w:color w:val="111111"/>
          <w:sz w:val="28"/>
          <w:sz w:val="28"/>
          <w:szCs w:val="28"/>
          <w:rtl w:val="true"/>
          <w:lang w:bidi="fa-IR"/>
        </w:rPr>
        <w:t>فروتنی و تواضع نقش بسیار زیادی در تأمین بهداشت روان فردی داشته و با تواضع فرد، بهداشت روان جامعه نیز تا حدودی تقویت می شود، بدین سان که مردم از تواضع یک عده هم الگو برداری کرده و هم حس خوبی به آن ها منتقل خواهد شد، در مقابل طبع آنان از تکبر افراد نفرت داشته و حس بدی نسبت به آن دارند و فرد متکبر را دوست ندارند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پنجم جبرئیل از سوی خدا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مخیر می کند بین اینکه بنده ای متواضع و فرستاده شده باشد یا اینکه فرشته ای فرستاده شده باشد،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متواضع بودن را بر فرشته بودن ترجیح می دهد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در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کراهیة استخدام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کافی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 اجازه نمی دهد تا کار و حاجت ایشان را برآورده کند بلکه خود ایشان به انجام کار خود می پردازد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کارگیری مهمان نهی کرده است</w:t>
      </w:r>
      <w:r>
        <w:rPr>
          <w:rFonts w:eastAsia="IRNazanin" w:cs="IRNazanin"/>
          <w:color w:val="111111"/>
          <w:sz w:val="28"/>
          <w:szCs w:val="28"/>
          <w:rtl w:val="true"/>
          <w:lang w:bidi="fa-IR"/>
        </w:rPr>
        <w:t>.</w:t>
      </w:r>
      <w:r>
        <w:rPr>
          <w:rStyle w:val="FootnoteAnchor"/>
          <w:rtl w:val="true"/>
        </w:rPr>
        <w:footnoteReference w:id="279"/>
      </w:r>
      <w:bookmarkStart w:id="339" w:name="pg16651_193058"/>
    </w:p>
    <w:p>
      <w:pPr>
        <w:pStyle w:val="BookText"/>
        <w:rPr/>
      </w:pPr>
      <w:bookmarkEnd w:id="339"/>
      <w:r>
        <w:rPr>
          <w:rFonts w:ascii="IRNazanin" w:hAnsi="IRNazanin" w:eastAsia="IRNazanin"/>
          <w:color w:val="111111"/>
          <w:sz w:val="28"/>
          <w:sz w:val="28"/>
          <w:szCs w:val="28"/>
          <w:rtl w:val="true"/>
          <w:lang w:bidi="fa-IR"/>
        </w:rPr>
        <w:t xml:space="preserve">ابن شهر آشوب گزارش می کند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گروهی که روی زمین نشسته و مشغول خوردن نان خشک بودند را قبول کرده و با آنان غذا خورد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همین گزارش در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صدوق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و ممالیک و حتی دربان و اسطبل بان خود را بر سر سفره خود نشانده و همراه با آنان غذا می خورد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ترین فرد در مقابل کوچک و بزرگ دانسته شده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و نوکران و زنان شوهر مرده همراه می شد و حوائج آنان را برآورده می کرد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همچنان ایشان روز فتح مکه چانه مبارک خود را با حالت خشوع و تواضع بر مرکب نهاده بود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بر کوچک و بزرگ سلام می کرد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با بندگان غذا می خورد، پیراهن و کفش خویش به دست خود وصله می زد، روی زمین می نشست، به خادم خویش برای آسیاب کردن آرد هنگام خستگی وی کمک می کرد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40" w:name="__RefHeading___Toc12040883_1280447820"/>
      <w:bookmarkStart w:id="341" w:name="_Toc130"/>
      <w:bookmarkEnd w:id="340"/>
      <w:r>
        <w:rPr>
          <w:rtl w:val="true"/>
        </w:rPr>
        <w:t>قناعت</w:t>
      </w:r>
      <w:bookmarkEnd w:id="3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طبع قانع و اکتفا کردن به داشته های خود و چشم نداشتن به آنچه مردم در اختیار دارند، از جمله مؤلفه های بهداشت روان است که زندگی با آرامشی را برای انسان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نداشتن این ویژگی روحی – روانی </w:t>
      </w:r>
    </w:p>
    <w:p>
      <w:pPr>
        <w:pStyle w:val="BookText"/>
        <w:rPr/>
      </w:pPr>
      <w:r>
        <w:rPr>
          <w:rFonts w:ascii="IRNazanin" w:hAnsi="IRNazanin" w:eastAsia="IRNazanin"/>
          <w:color w:val="111111"/>
          <w:sz w:val="28"/>
          <w:sz w:val="28"/>
          <w:szCs w:val="28"/>
          <w:rtl w:val="true"/>
          <w:lang w:bidi="fa-IR"/>
        </w:rPr>
        <w:t>باعث اخلال در زندگی شده و آرامش فکری، روحی و روانی را از فرد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مستمر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قناعت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این باب به قناعت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تا جایی که غذای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شیرینی ایشان خرما و سوخت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گرم کردن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درخت خرما معرفی شده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در روایت هفتم، آموزش سیره قناعتی به دیگران در قالب مراجعه یکی از صحابه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درخواست کمک وی از ایشان گزارش شده که در نهایت با تکرار این کار و نصیحت حضرت، این صحابی به قناعت و کار و تلاش روی می آورد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کافی یکی از ویژگی های مؤمن قناعت به آنچه خدا به او روزی کرده، عنوان شده است</w:t>
      </w:r>
      <w:r>
        <w:rPr>
          <w:rStyle w:val="FootnoteAnchor"/>
          <w:rtl w:val="true"/>
        </w:rPr>
        <w:footnoteReference w:id="290"/>
      </w:r>
      <w:r>
        <w:rPr>
          <w:rFonts w:ascii="IRNazanin" w:hAnsi="IRNazanin" w:eastAsia="IRNazanin"/>
          <w:color w:val="111111"/>
          <w:sz w:val="28"/>
          <w:sz w:val="28"/>
          <w:szCs w:val="28"/>
          <w:rtl w:val="true"/>
          <w:lang w:bidi="fa-IR"/>
        </w:rPr>
        <w:t xml:space="preserve">و از آنجا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اولین مؤمنان و در رأس مؤمنان قرار دارند، با این روایت نیز سیره قناعتی آنان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القاب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91"/>
      </w:r>
      <w:r>
        <w:rPr>
          <w:rFonts w:ascii="IRNazanin" w:hAnsi="IRNazanin" w:eastAsia="IRNazanin"/>
          <w:color w:val="111111"/>
          <w:sz w:val="28"/>
          <w:sz w:val="28"/>
          <w:szCs w:val="28"/>
          <w:rtl w:val="true"/>
          <w:lang w:bidi="fa-IR"/>
        </w:rPr>
        <w:t>که ناظر به سیره ایشان در قناعت است</w:t>
      </w:r>
      <w:r>
        <w:rPr>
          <w:rFonts w:eastAsia="IRNazanin" w:cs="IRNazanin"/>
          <w:color w:val="111111"/>
          <w:sz w:val="28"/>
          <w:szCs w:val="28"/>
          <w:rtl w:val="true"/>
          <w:lang w:bidi="fa-IR"/>
        </w:rPr>
        <w:t xml:space="preserve">. </w:t>
      </w:r>
      <w:bookmarkStart w:id="342" w:name="pg16651_193060"/>
    </w:p>
    <w:p>
      <w:pPr>
        <w:pStyle w:val="Heading3"/>
        <w:numPr>
          <w:ilvl w:val="2"/>
          <w:numId w:val="1"/>
        </w:numPr>
        <w:rPr/>
      </w:pPr>
      <w:bookmarkStart w:id="343" w:name="__RefHeading___Toc12040885_1280447820"/>
      <w:bookmarkStart w:id="344" w:name="_Toc131"/>
      <w:bookmarkEnd w:id="342"/>
      <w:bookmarkEnd w:id="343"/>
      <w:r>
        <w:rPr>
          <w:rtl w:val="true"/>
        </w:rPr>
        <w:t>سیره بهداشت روان در بعد اجتماعی</w:t>
      </w:r>
      <w:bookmarkEnd w:id="344"/>
    </w:p>
    <w:p>
      <w:pPr>
        <w:pStyle w:val="BookText"/>
        <w:rPr/>
      </w:pPr>
      <w:r>
        <w:rPr>
          <w:rFonts w:ascii="IRNazanin" w:hAnsi="IRNazanin" w:eastAsia="IRNazanin"/>
          <w:color w:val="111111"/>
          <w:sz w:val="28"/>
          <w:sz w:val="28"/>
          <w:szCs w:val="28"/>
          <w:rtl w:val="true"/>
          <w:lang w:bidi="fa-IR"/>
        </w:rPr>
        <w:t xml:space="preserve">در این بخش به برخی از اموری که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بهداشت روان بوده و بعد اجتماعی آن ملحوظ است با تمرکز بر روایات کتاب کافی، پرداخته شده است</w:t>
      </w:r>
      <w:r>
        <w:rPr>
          <w:rFonts w:eastAsia="IRNazanin" w:cs="IRNazanin"/>
          <w:color w:val="111111"/>
          <w:sz w:val="28"/>
          <w:szCs w:val="28"/>
          <w:rtl w:val="true"/>
          <w:lang w:bidi="fa-IR"/>
        </w:rPr>
        <w:t>.</w:t>
      </w:r>
    </w:p>
    <w:p>
      <w:pPr>
        <w:pStyle w:val="Heading3"/>
        <w:numPr>
          <w:ilvl w:val="2"/>
          <w:numId w:val="1"/>
        </w:numPr>
        <w:rPr/>
      </w:pPr>
      <w:bookmarkStart w:id="345" w:name="__RefHeading___Toc12040887_1280447820"/>
      <w:bookmarkStart w:id="346" w:name="_Toc132"/>
      <w:bookmarkEnd w:id="345"/>
      <w:r>
        <w:rPr>
          <w:rtl w:val="true"/>
        </w:rPr>
        <w:t>محبت، رحم و عطوفت</w:t>
      </w:r>
      <w:bookmarkEnd w:id="346"/>
    </w:p>
    <w:p>
      <w:pPr>
        <w:pStyle w:val="BookText"/>
        <w:rPr/>
      </w:pPr>
      <w:r>
        <w:rPr>
          <w:rFonts w:ascii="IRNazanin" w:hAnsi="IRNazanin" w:eastAsia="IRNazanin"/>
          <w:color w:val="111111"/>
          <w:sz w:val="28"/>
          <w:sz w:val="28"/>
          <w:szCs w:val="28"/>
          <w:rtl w:val="true"/>
          <w:lang w:bidi="fa-IR"/>
        </w:rPr>
        <w:t xml:space="preserve">سه مؤلفه عنوان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رحم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باهم ارتباط شدید و قوی دارند از جمله مؤلفه های بهداشت روان بوده و در تقویت امنیت و بهداشت روان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دوستان و خویشاوندان این سه مؤلفه ایجاد و تقویت گردد بسیاری از ناهنجاری های فردی و اجتماعی همچون احساس تنهایی، دلتنگی، بی کسی، غم و اندوه و حتی افسردگی رخت بر می بندد و احساس مهم بودن، مورد توجه قرار گرفتن، محبوب بودن و دوست داشته شدن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بابی تحت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التعاطف و التراحم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سفارش به محبت و عطوفت نسبت به یکدیگر مورد سفارش و تأکید قرار داده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هر چند در این باب به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ابراز محبت و عطوفت به دیگران اشاره نشده اما دستور آن حضرات به این کار خود نشان از عمل آنان به این سفارش قبل از هر کسی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رحمتی برای جهانیان معرفی کرده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در باب المصافحه از کتاب کافی و نیز روضه کافی آمده است که هیچ شخصی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نمی داد مگر آنکه ایشان دستش را نمی کشید و نگه می داشت </w:t>
      </w:r>
    </w:p>
    <w:p>
      <w:pPr>
        <w:pStyle w:val="BookText"/>
        <w:rPr/>
      </w:pPr>
      <w:r>
        <w:rPr>
          <w:rFonts w:ascii="IRNazanin" w:hAnsi="IRNazanin" w:eastAsia="IRNazanin"/>
          <w:color w:val="111111"/>
          <w:sz w:val="28"/>
          <w:sz w:val="28"/>
          <w:szCs w:val="28"/>
          <w:rtl w:val="true"/>
          <w:lang w:bidi="fa-IR"/>
        </w:rPr>
        <w:t>تا آنکه آن شخص دست خود را بکشد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این عمل خود نشان دهنده ابراز محبت و عطوفت از سوی ایشان نسبت به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خنجی در وسیلة الخادم الی المخدوم در خصوص عطوفت و مهربانی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العطش من الأكباد الصّوادى؛ آن حضرت بازنشاننده تشنگى است از جگرهاى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اشارتست به اخلاق و مكارم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روايت كرده‌اند آن حضرت نسبت به محتاجان در غايت عطوفت و مهربانى بود و هر كس را بدان حضرت حاجتى و مقصدى بود آن حضرت با او به طريق ملاطفه و ترحّم زندگانى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همچو آب زلال تشنگى جگرهاى تشنه را به زلال مرحمت و افضال ساكن مى‌گردانيد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هر زمان از اخلاق ائمه هدى بوده</w:t>
      </w:r>
      <w:r>
        <w:rPr>
          <w:rFonts w:eastAsia="IRNazanin" w:cs="IRNazanin"/>
          <w:color w:val="111111"/>
          <w:sz w:val="28"/>
          <w:szCs w:val="28"/>
          <w:rtl w:val="true"/>
          <w:lang w:bidi="fa-IR"/>
        </w:rPr>
        <w:t>».</w:t>
      </w:r>
      <w:r>
        <w:rPr>
          <w:rStyle w:val="FootnoteAnchor"/>
          <w:rtl w:val="true"/>
        </w:rPr>
        <w:footnoteReference w:id="29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سفيان ثورى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خدمت آن حضرت رسيد آن جناب را متغيّرانه ديدار كرد، سبب تغيّر رنگ را پرسيد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نهى كرده بودم كه در خانه كسى بالاى بام برود، اين وقت داخل خانه شدم يكى از كنيزان را كه تربيت يكى از اولادهاى مرا مى‌نمود يافتم كه طفل مرا در بر دارد و بالاى نردبان است، چون نگاهش به من افتاد متحيّر شد و لرزيد و طفل از دست او افتاد بر زمين و بمرد و تغيّر رنگ من از جهت غصّه مردن طفل نيست بلكه به سبب آن ترسى است كه آن كنيزك از من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آن حضرت كنيزك را فرموده بود تو را به جهت خدا آزاد كردم باكى بر تو نيست، باكى نباشد تو را</w:t>
      </w:r>
      <w:r>
        <w:rPr>
          <w:rFonts w:eastAsia="IRNazanin" w:cs="IRNazanin"/>
          <w:color w:val="111111"/>
          <w:sz w:val="28"/>
          <w:szCs w:val="28"/>
          <w:rtl w:val="true"/>
          <w:lang w:bidi="fa-IR"/>
        </w:rPr>
        <w:t>.</w:t>
      </w:r>
      <w:r>
        <w:rPr>
          <w:rStyle w:val="FootnoteAnchor"/>
          <w:rtl w:val="true"/>
        </w:rPr>
        <w:footnoteReference w:id="296"/>
      </w:r>
      <w:bookmarkStart w:id="347" w:name="pg16651_193062"/>
    </w:p>
    <w:p>
      <w:pPr>
        <w:pStyle w:val="Heading3"/>
        <w:numPr>
          <w:ilvl w:val="2"/>
          <w:numId w:val="1"/>
        </w:numPr>
        <w:rPr/>
      </w:pPr>
      <w:bookmarkStart w:id="348" w:name="__RefHeading___Toc12040889_1280447820"/>
      <w:bookmarkStart w:id="349" w:name="_Toc133"/>
      <w:bookmarkEnd w:id="347"/>
      <w:bookmarkEnd w:id="348"/>
      <w:r>
        <w:rPr>
          <w:rtl w:val="true"/>
        </w:rPr>
        <w:t>تکریم و احترام بزرگ تر</w:t>
      </w:r>
      <w:bookmarkEnd w:id="349"/>
    </w:p>
    <w:p>
      <w:pPr>
        <w:pStyle w:val="BookText"/>
        <w:rPr/>
      </w:pPr>
      <w:r>
        <w:rPr>
          <w:rFonts w:ascii="IRNazanin" w:hAnsi="IRNazanin" w:eastAsia="IRNazanin"/>
          <w:color w:val="111111"/>
          <w:sz w:val="28"/>
          <w:sz w:val="28"/>
          <w:szCs w:val="28"/>
          <w:rtl w:val="true"/>
          <w:lang w:bidi="fa-IR"/>
        </w:rPr>
        <w:t xml:space="preserve">در روایات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اجلال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سه روایت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هر یک به نحوی به احترام بزرگ تر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اند کسی که بزرگ آنان را احترام نکند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به نظر می رسد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هر چند در بدو امر به بزرگان از خاندان عصمت و طهارت اشاره دارد، اما بعید نیست که مقصود بزرگان و ریش سفیدان شیعه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داخل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که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بزرگ تر هاست و به همین جهت کسی را که بزرگ تر ها را اکرام و احترام نکند از خود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سیره احترام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گزارش می کند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مقابل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گویا پیش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نمی گوشد تا احترام ایشان را حفظ کرده باشد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بزرگان هم در بهداشت روان آنان آثار مثبتی دارد و هم در بهداشت روان شخص تکریم کننده؛ چرا که احترام به دیگران به ویژه بزرگ ترها به خودی خود موجبات آرامش و احساس خوب را در طرفین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 احترامی به آنان موجبات ناراحتی و تشویش خاطر را هر چند برای مدت زمان کمی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بی احترامی می کند بعداً تأسف خواهد خورد و شخصی که مورد بی احترامی واقع شده احساس بدی از این رفتار در خود </w:t>
      </w:r>
      <w:bookmarkStart w:id="350" w:name="pg16651_193063"/>
    </w:p>
    <w:p>
      <w:pPr>
        <w:pStyle w:val="BookText"/>
        <w:rPr/>
      </w:pPr>
      <w:bookmarkEnd w:id="350"/>
      <w:r>
        <w:rPr>
          <w:rFonts w:ascii="IRNazanin" w:hAnsi="IRNazanin" w:eastAsia="IRNazanin"/>
          <w:color w:val="111111"/>
          <w:sz w:val="28"/>
          <w:sz w:val="28"/>
          <w:szCs w:val="28"/>
          <w:rtl w:val="true"/>
          <w:lang w:bidi="fa-IR"/>
        </w:rPr>
        <w:t>احساس خواهد کرد و چه بسا احساس کند که به او ارزشی که لازم بوده داده نشده است</w:t>
      </w:r>
      <w:r>
        <w:rPr>
          <w:rFonts w:eastAsia="IRNazanin" w:cs="IRNazanin"/>
          <w:color w:val="111111"/>
          <w:sz w:val="28"/>
          <w:szCs w:val="28"/>
          <w:rtl w:val="true"/>
          <w:lang w:bidi="fa-IR"/>
        </w:rPr>
        <w:t>.</w:t>
      </w:r>
    </w:p>
    <w:p>
      <w:pPr>
        <w:pStyle w:val="Heading3"/>
        <w:numPr>
          <w:ilvl w:val="2"/>
          <w:numId w:val="1"/>
        </w:numPr>
        <w:rPr/>
      </w:pPr>
      <w:bookmarkStart w:id="351" w:name="__RefHeading___Toc12040891_1280447820"/>
      <w:bookmarkStart w:id="352" w:name="_Toc134"/>
      <w:bookmarkEnd w:id="351"/>
      <w:r>
        <w:rPr>
          <w:rtl w:val="true"/>
        </w:rPr>
        <w:t>زدودن غم و غصه مؤمن</w:t>
      </w:r>
      <w:bookmarkEnd w:id="352"/>
    </w:p>
    <w:p>
      <w:pPr>
        <w:pStyle w:val="BookText"/>
        <w:rPr/>
      </w:pPr>
      <w:r>
        <w:rPr>
          <w:rFonts w:ascii="IRNazanin" w:hAnsi="IRNazanin" w:eastAsia="IRNazanin"/>
          <w:color w:val="111111"/>
          <w:sz w:val="28"/>
          <w:sz w:val="28"/>
          <w:szCs w:val="28"/>
          <w:rtl w:val="true"/>
          <w:lang w:bidi="fa-IR"/>
        </w:rPr>
        <w:t>تلاش در جهت زدودن غم و غصه مؤمن از جمله کارهایی است که اثر مثبت متقابل در بهداشت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کرب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خصوص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با بیان ثواب و پاداش غم زدایی از دل مؤمن به این کار تشویق شده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طبیعی است که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زدودن غم از دل دیگران قدم بر می داشتند؛ چرا که دعوت کننده به کاری نیک باید عامل له 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مصادیق زدودن غم از دل مؤمن در قالب باب 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اطعام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کسا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تبویب گردیده و به روایات آن پرداخته شده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این دو باب دقیقاً بعد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کرب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مطلب فوق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مقدس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اطعام و لباس پوشانیدن به مؤمنان نیازمند همواره پیش قدم بوده اند و نمونه های آن از حد احصا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ذات البین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پسندیده اصلاح ذات البین و درست کردن میانه خراب یا رو به خراب بین مردم از جمله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تأثیر آن در بهداشت روان فردی و اجتماعی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این باب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بین دو نفر اصلاح انجام دهم بهتر از آن </w:t>
      </w:r>
      <w:bookmarkStart w:id="353" w:name="pg16651_193064"/>
    </w:p>
    <w:p>
      <w:pPr>
        <w:pStyle w:val="BookText"/>
        <w:rPr/>
      </w:pPr>
      <w:bookmarkEnd w:id="353"/>
      <w:r>
        <w:rPr>
          <w:rFonts w:ascii="IRNazanin" w:hAnsi="IRNazanin" w:eastAsia="IRNazanin"/>
          <w:color w:val="111111"/>
          <w:sz w:val="28"/>
          <w:sz w:val="28"/>
          <w:szCs w:val="28"/>
          <w:rtl w:val="true"/>
          <w:lang w:bidi="fa-IR"/>
        </w:rPr>
        <w:t>است که دو دینار صدقه بدهم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این فرمایش به صورت غیر مستقیم اشاره به سیره ایشان در اصلاح ذات البین دارد</w:t>
      </w:r>
      <w:r>
        <w:rPr>
          <w:rFonts w:eastAsia="IRNazanin" w:cs="IRNazanin"/>
          <w:color w:val="111111"/>
          <w:sz w:val="28"/>
          <w:szCs w:val="28"/>
          <w:rtl w:val="true"/>
          <w:lang w:bidi="fa-IR"/>
        </w:rPr>
        <w:t>.</w:t>
      </w:r>
    </w:p>
    <w:p>
      <w:pPr>
        <w:pStyle w:val="Heading3"/>
        <w:numPr>
          <w:ilvl w:val="2"/>
          <w:numId w:val="1"/>
        </w:numPr>
        <w:rPr/>
      </w:pPr>
      <w:bookmarkStart w:id="354" w:name="__RefHeading___Toc12040893_1280447820"/>
      <w:bookmarkStart w:id="355" w:name="_Toc135"/>
      <w:bookmarkEnd w:id="354"/>
      <w:r>
        <w:rPr>
          <w:rtl w:val="true"/>
        </w:rPr>
        <w:t>ادخال سرور</w:t>
      </w:r>
      <w:bookmarkEnd w:id="355"/>
    </w:p>
    <w:p>
      <w:pPr>
        <w:pStyle w:val="BookText"/>
        <w:rPr/>
      </w:pPr>
      <w:r>
        <w:rPr>
          <w:rFonts w:ascii="IRNazanin" w:hAnsi="IRNazanin" w:eastAsia="IRNazanin"/>
          <w:color w:val="111111"/>
          <w:sz w:val="28"/>
          <w:sz w:val="28"/>
          <w:szCs w:val="28"/>
          <w:rtl w:val="true"/>
          <w:lang w:bidi="fa-IR"/>
        </w:rPr>
        <w:t xml:space="preserve">ادخال سرور یا همان خوش حال کردن مؤمن یکی از صفات پسندیده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به آن عمل می کردند و هم شیعیان خود را به آن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ادخال السرور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خصوص ادخال سرور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محبوب ترین کار در نزد خداوند متعال را ادخال سرور بیان داشته اند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برخی دیگر از روایات این باب، خوش حال کردن مؤمن را به منزله خوش حال کردن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دانسته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ادخال سرور با زدودن غم از دل مؤمن یکی است، اما باید دقت داشت که در ادخال سرور لازم نیست قبل از آن غم و غصه ای باشد، اما در زدودن غم از دل مؤمن لزوماً غم و غصه در کار است که به برطرف کردن آن مبادرت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ادخال سرور ممکن است مؤمن غمگین مورد ادخال سرور قرار گیرد و به خوش حالی مؤمن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زدودن غم و غصه اخص از ادخال سرور است</w:t>
      </w:r>
      <w:r>
        <w:rPr>
          <w:rFonts w:eastAsia="IRNazanin" w:cs="IRNazanin"/>
          <w:color w:val="111111"/>
          <w:sz w:val="28"/>
          <w:szCs w:val="28"/>
          <w:rtl w:val="true"/>
          <w:lang w:bidi="fa-IR"/>
        </w:rPr>
        <w:t xml:space="preserve">. </w:t>
      </w:r>
      <w:bookmarkStart w:id="356" w:name="pg16651_193065"/>
    </w:p>
    <w:p>
      <w:pPr>
        <w:pStyle w:val="Heading3"/>
        <w:numPr>
          <w:ilvl w:val="2"/>
          <w:numId w:val="1"/>
        </w:numPr>
        <w:rPr/>
      </w:pPr>
      <w:bookmarkStart w:id="357" w:name="__RefHeading___Toc12040895_1280447820"/>
      <w:bookmarkStart w:id="358" w:name="_Toc136"/>
      <w:bookmarkEnd w:id="356"/>
      <w:bookmarkEnd w:id="357"/>
      <w:r>
        <w:rPr>
          <w:rtl w:val="true"/>
        </w:rPr>
        <w:t>دیدار برادر</w:t>
      </w:r>
      <w:bookmarkEnd w:id="3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برادر</w:t>
      </w:r>
      <w:r>
        <w:rPr>
          <w:rStyle w:val="FootnoteAnchor"/>
          <w:rtl w:val="true"/>
        </w:rPr>
        <w:footnoteReference w:id="304"/>
      </w:r>
      <w:r>
        <w:rPr>
          <w:rFonts w:ascii="IRNazanin" w:hAnsi="IRNazanin" w:eastAsia="IRNazanin"/>
          <w:color w:val="111111"/>
          <w:sz w:val="28"/>
          <w:sz w:val="28"/>
          <w:szCs w:val="28"/>
          <w:rtl w:val="true"/>
          <w:lang w:bidi="fa-IR"/>
        </w:rPr>
        <w:t>ایمانی رفت و آمد و دیدار با برادارن ایمانی یکی از موجبات تقویت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تنها خود و خانواده خود را می پسندد و تنها با آنها ارتباط داشته و با دیگران و به ویژه مؤمنان ارتباط ندارد در معرض آسیب های جدی روانی همچون حسد و خود خواهی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به چنین سیره ای اهتمام داشتند، شیعیان خود را نیز بدان دعوت و تشویق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تذاکر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در مورد دیدار برادر ایمانی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از این باب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زیارت و دیدار با یکدیگر سفارش کرده و آن را موجب احیا و زنده نگه داشتن قلب ها می داند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در روایت پنجم از این باب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 می پرسد که آیا با یکدیگر نشست و برخاست دارید و باهم گفت و گو می کنی؟ بعد از دریافت پاسخ مثبت از وی حضرت اظهار تمایل به شرکت در این جلسات و دیدار ها می کند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همچنین در روایت هفتم این باب هیچ چیزی برای ابلیس بدتر از دیدار مؤمنان – البته برای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نشده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خطیب بغدادی به نقل از انس بن مالک چنین گزارش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و دیدار </w:t>
      </w:r>
      <w:bookmarkStart w:id="359" w:name="pg16651_193066"/>
    </w:p>
    <w:p>
      <w:pPr>
        <w:pStyle w:val="BookText"/>
        <w:rPr/>
      </w:pPr>
      <w:bookmarkEnd w:id="359"/>
      <w:r>
        <w:rPr>
          <w:rFonts w:ascii="IRNazanin" w:hAnsi="IRNazanin" w:eastAsia="IRNazanin"/>
          <w:color w:val="111111"/>
          <w:sz w:val="28"/>
          <w:sz w:val="28"/>
          <w:szCs w:val="28"/>
          <w:rtl w:val="true"/>
          <w:lang w:bidi="fa-IR"/>
        </w:rPr>
        <w:t>انصار می رفت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همچنین در احوال و سیره ایشان چنین آمده که اگر یکی از دوستان حضرت سه روز غایب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مسجد نمی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حال او خبر می گرفت،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 برای او دعا می کرد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به دیدار او می رفت و در صورتی که بیمار می شد به عیادت او می رفت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360" w:name="__RefHeading___Toc12040897_1280447820"/>
      <w:bookmarkStart w:id="361" w:name="_Toc137"/>
      <w:bookmarkEnd w:id="360"/>
      <w:r>
        <w:rPr>
          <w:rtl w:val="true"/>
        </w:rPr>
        <w:t>صله رحم</w:t>
      </w:r>
      <w:bookmarkEnd w:id="3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به معنای برقرار نگه داشتن ارتباط با خویشاوندانی که از طریق نسب و رحم با انسان نسبت دارند، همچون پدر، مادر، برادر، خواهر، عمه، عمو، دایی و خاله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صله رحم را به معنای شریک ساختن رحم و خویشان در مال و مقام و دیگر خیرات که آدمی به آن دست می یابد، دانسته اند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صله رحم در تحکیم روابط اجتماعی – خانوادگی بسیار مؤثر بوده و یکی از عوامل تقویت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ارحام و خویشان نسبی خود قطع رابطه کند از لحاظ روانی دچار کمبودها، احساس نارضایتی از زندگی اجتماعی – خانوادگی و گوشه 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برقراری ارتباط با خویشان نسبی در حالات روانی انسان همچون احساس محبت متقابل، احساس دوست داشته شدن از سوی خویشان، احساس اهمیت داشتن برای دیگران و سایر موارد تأثیر مثبت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اینکه در روایات، صله رحم به عنوان یکی از عوامل افزایش عمر دانسته شده، بحث روانی آن باشد، چرا که مناسب بودن شرایط روانی فرد در طول عمر او نیز تأثیر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حجم فراوان </w:t>
      </w:r>
    </w:p>
    <w:p>
      <w:pPr>
        <w:pStyle w:val="BookText"/>
        <w:rPr/>
      </w:pPr>
      <w:r>
        <w:rPr>
          <w:rFonts w:ascii="IRNazanin" w:hAnsi="IRNazanin" w:eastAsia="IRNazanin"/>
          <w:color w:val="111111"/>
          <w:sz w:val="28"/>
          <w:sz w:val="28"/>
          <w:szCs w:val="28"/>
          <w:rtl w:val="true"/>
          <w:lang w:bidi="fa-IR"/>
        </w:rPr>
        <w:t xml:space="preserve">از روایات صله رحم نشان از اهمیت این موضوع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که بی شک از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صله رحم نیز پرده برمی دارد، چنانچه در روایت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صله رحم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وی با عبدالله بن حسن گزارش شده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همچنین در روایت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سیره خود در صله رحم 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من دوست دارم خداوند بداند که من گردن خود را در راه صله رحم خاشع گرداندم و من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پیش از آنان صله رحم می کنم، پیش از آنکه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ارتباط دیگران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 نیاز گردند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روایات این باب، فوائدی برای صله رحم بر شمرده شده که در ذیل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عمر</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شدن عمل</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 شدن رزق و روزی</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بلا</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حساب روز قیامت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شدن اخلاق</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دست شدن</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نفس و پاکی جان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شدن در بین خانواده</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آبادی خانه و دیار</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بازداری از ارتکاب گناهان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بازداری از حوادث ناگوار</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مقابل در همین روایات قاطع رحم به شدت ذم و نکوهش شده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خداوند متعال به او در خصوص صله رحم خبر می دهد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از آنجا که تخلف ایشان از امر خداوند ممکن نیست پس این خبر می تواند خبر از سیره ایشان در صله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های مناقب </w:t>
      </w:r>
      <w:bookmarkStart w:id="362" w:name="pg16651_193069"/>
    </w:p>
    <w:p>
      <w:pPr>
        <w:pStyle w:val="BookText"/>
        <w:rPr/>
      </w:pPr>
      <w:bookmarkEnd w:id="362"/>
      <w:r>
        <w:rPr>
          <w:rFonts w:ascii="IRNazanin" w:hAnsi="IRNazanin" w:eastAsia="IRNazanin"/>
          <w:color w:val="111111"/>
          <w:sz w:val="28"/>
          <w:sz w:val="28"/>
          <w:szCs w:val="28"/>
          <w:rtl w:val="true"/>
          <w:lang w:bidi="fa-IR"/>
        </w:rPr>
        <w:t>همچون مناقب ابن شهرآشوب صله رحم ایشان گزارش شده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شیخ مفید در الارشاد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معرفی کرده که از همه اهل زمان خود بیشتر اهل صله رحم بود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363" w:name="__RefHeading___Toc12040899_1280447820"/>
      <w:bookmarkStart w:id="364" w:name="_Toc138"/>
      <w:bookmarkEnd w:id="363"/>
      <w:r>
        <w:rPr>
          <w:rtl w:val="true"/>
        </w:rPr>
        <w:t>مدارا</w:t>
      </w:r>
      <w:bookmarkEnd w:id="364"/>
    </w:p>
    <w:p>
      <w:pPr>
        <w:pStyle w:val="BookText"/>
        <w:rPr/>
      </w:pPr>
      <w:r>
        <w:rPr>
          <w:rFonts w:ascii="IRNazanin" w:hAnsi="IRNazanin" w:eastAsia="IRNazanin"/>
          <w:color w:val="111111"/>
          <w:sz w:val="28"/>
          <w:sz w:val="28"/>
          <w:szCs w:val="28"/>
          <w:rtl w:val="true"/>
          <w:lang w:bidi="fa-IR"/>
        </w:rPr>
        <w:t>مدارا در لغت به معنای ملایمت، آرامی، آهستگی، نرمی، رفق، مماشات، تسامح، بردباری، تحمل، ملایمت آمده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مدارا با مردم از جمله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مدارا و سخت نگرفتن در مقابل رفتار دیگران، آسیب روانی کمتری به انسان وارد می شود تا اینکه سخت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 آن جای داده که برخی از آنها بیانگر سیره مداراتی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روایت دوم این باب چنین بیان شده که جبرئیل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را رسانده و دستور خداوند مبنی بر مدارا با خلق را به ایشان ابلاغ می کند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چهارم این باب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مدارا با مردم دستور داد، همانگونه که به انجام واجبات دستور داد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در روایت پنجم نیز مدارا با مردم نیمی از ایمان عنوان شده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بیهقی در دلائل النبوة با سند خود از انس بن مالک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من اُف نگفت، برای کاری که می کردم نمی گفت چرا این کار را کردی و اگر کاری را انجام نمی دادم، نمی فرمود چرا آن را انجام ندادی</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همچنین 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رفتم و بر دوش او بُردی یمانی بود که اطراف آن ضخیم بود، یک اعرابی به پیامبر رسید و اطراف بُرد را به شدت کشید وقتی به دوش پیامبر نگاه کردم دیدم اثر بُرد بر اثر کشش روی شانه ایشان نقش بسته،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دستور بده تا برایم از مال خدا که نزد توست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برگشته و خندید و دستور داد تا به او عطایی ببخشند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ابن هشام در سیره خودبا سند خود از ابو ایوب چنین گزارش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بر ما وارد شد و در خانه ما منزل گزید، طبقه پایین را برای خود برگزید و من و ام ایوب در طبقه بالا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خوش ندارم و بر من سنگین است که من بالا و تو در پایین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بالا بیا و ما پایین منزل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 برای ما و آنکه پیش ماست بهتر آن است که در پایین باشیم</w:t>
      </w:r>
      <w:r>
        <w:rPr>
          <w:rFonts w:eastAsia="IRNazanin" w:cs="IRNazanin"/>
          <w:color w:val="111111"/>
          <w:sz w:val="28"/>
          <w:szCs w:val="28"/>
          <w:rtl w:val="true"/>
          <w:lang w:bidi="fa-IR"/>
        </w:rPr>
        <w:t>».</w:t>
      </w:r>
      <w:r>
        <w:rPr>
          <w:rStyle w:val="FootnoteAnchor"/>
          <w:rtl w:val="true"/>
        </w:rPr>
        <w:footnoteReference w:id="3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حاکی از آن است که چون رفت و آمد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بوده، اگر در طبقه بالای خانه ابو ایوب مسکن می گزید باعث آزار و اذیت ابو ایوب می </w:t>
      </w:r>
      <w:bookmarkStart w:id="365" w:name="pg16651_193071"/>
    </w:p>
    <w:p>
      <w:pPr>
        <w:pStyle w:val="BookText"/>
        <w:rPr/>
      </w:pPr>
      <w:bookmarkEnd w:id="365"/>
      <w:r>
        <w:rPr>
          <w:rFonts w:ascii="IRNazanin" w:hAnsi="IRNazanin" w:eastAsia="IRNazanin"/>
          <w:color w:val="111111"/>
          <w:sz w:val="28"/>
          <w:sz w:val="28"/>
          <w:szCs w:val="28"/>
          <w:rtl w:val="true"/>
          <w:lang w:bidi="fa-IR"/>
        </w:rPr>
        <w:t>شد، اما در طبقه پایین بودن ایشان به نفع ابو ایوب بوده و اهل و عیال ایشان از امنیت روانی بیشتری بهره مند خواهند بود</w:t>
      </w:r>
      <w:r>
        <w:rPr>
          <w:rFonts w:eastAsia="IRNazanin" w:cs="IRNazanin"/>
          <w:color w:val="111111"/>
          <w:sz w:val="28"/>
          <w:szCs w:val="28"/>
          <w:rtl w:val="true"/>
          <w:lang w:bidi="fa-IR"/>
        </w:rPr>
        <w:t>.</w:t>
      </w:r>
    </w:p>
    <w:p>
      <w:pPr>
        <w:pStyle w:val="Heading3"/>
        <w:numPr>
          <w:ilvl w:val="2"/>
          <w:numId w:val="1"/>
        </w:numPr>
        <w:rPr/>
      </w:pPr>
      <w:bookmarkStart w:id="366" w:name="__RefHeading___Toc12040901_1280447820"/>
      <w:bookmarkStart w:id="367" w:name="_Toc139"/>
      <w:bookmarkEnd w:id="366"/>
      <w:r>
        <w:rPr>
          <w:rtl w:val="true"/>
        </w:rPr>
        <w:t>عفو و گذشت</w:t>
      </w:r>
      <w:bookmarkEnd w:id="367"/>
    </w:p>
    <w:p>
      <w:pPr>
        <w:pStyle w:val="BookText"/>
        <w:rPr/>
      </w:pPr>
      <w:r>
        <w:rPr>
          <w:rFonts w:ascii="IRNazanin" w:hAnsi="IRNazanin" w:eastAsia="IRNazanin"/>
          <w:color w:val="111111"/>
          <w:sz w:val="28"/>
          <w:sz w:val="28"/>
          <w:szCs w:val="28"/>
          <w:rtl w:val="true"/>
          <w:lang w:bidi="fa-IR"/>
        </w:rPr>
        <w:t>گذشت از خطا های دیگران یکی از مؤلفه های مهم در بهداشت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از اشتباهات دیگران گذشت می کند هم روان خود و هم طرف مقابل را به سوی آسودگی و راحتی سوق می دهد، اما اصرار بر عدم گذشت و عفو ناراحتی روانی بر هر دو دو طرف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عفو و گذشت بهترین ملکه نفسانی،</w:t>
      </w:r>
      <w:r>
        <w:rPr>
          <w:rStyle w:val="FootnoteAnchor"/>
          <w:rtl w:val="true"/>
        </w:rPr>
        <w:footnoteReference w:id="336"/>
      </w:r>
      <w:r>
        <w:rPr>
          <w:rFonts w:ascii="IRNazanin" w:hAnsi="IRNazanin" w:eastAsia="IRNazanin"/>
          <w:color w:val="111111"/>
          <w:sz w:val="28"/>
          <w:sz w:val="28"/>
          <w:szCs w:val="28"/>
          <w:rtl w:val="true"/>
          <w:lang w:bidi="fa-IR"/>
        </w:rPr>
        <w:t>بهترین اخلاق</w:t>
      </w:r>
      <w:r>
        <w:rPr>
          <w:rStyle w:val="FootnoteAnchor"/>
          <w:rtl w:val="true"/>
        </w:rPr>
        <w:footnoteReference w:id="337"/>
      </w:r>
      <w:r>
        <w:rPr>
          <w:rFonts w:ascii="IRNazanin" w:hAnsi="IRNazanin" w:eastAsia="IRNazanin"/>
          <w:color w:val="111111"/>
          <w:sz w:val="28"/>
          <w:sz w:val="28"/>
          <w:szCs w:val="28"/>
          <w:rtl w:val="true"/>
          <w:lang w:bidi="fa-IR"/>
        </w:rPr>
        <w:t>و مایه عزت</w:t>
      </w:r>
      <w:r>
        <w:rPr>
          <w:rStyle w:val="FootnoteAnchor"/>
          <w:rtl w:val="true"/>
        </w:rPr>
        <w:footnoteReference w:id="338"/>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سیره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عفو و گذشت در این باب از کافی به نقل از معتّب چنین آمده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خرمایی داشت، روزی دیدم که نوجوانی مقداری از خرما ها را چیده و به بیرون باغ پرتاب کرد، نزد او آمده، او را گرفته و نزد امام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نوجوان را در چنین کاری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گرسنه یا عریانی؟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خواست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آن برای توست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باز کنید تا برود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این گزارش، سیره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بدون هیچ مؤاخذه و سوال و جواب اضافی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دیگری در همین باب از کافی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پیامیر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عفو و گذشت چنین گزارش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زن یهودی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زهر آگین کرده بود تا ایشان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تا چنین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 آن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آسیبی به او نمی رسید و اگر پادشاهی بود مردم را از شر او خلاص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عفو و گذشت از کسی که قصد جان آدمی را دارد، هنر بسیاری است که در بهداشت روان هر دو طرف اثرات نیک فراوانی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گذشت از کسی که سخن ناروا به او زد،</w:t>
      </w:r>
      <w:r>
        <w:rPr>
          <w:rStyle w:val="FootnoteAnchor"/>
          <w:rtl w:val="true"/>
        </w:rPr>
        <w:footnoteReference w:id="341"/>
      </w:r>
      <w:r>
        <w:rPr>
          <w:rFonts w:ascii="IRNazanin" w:hAnsi="IRNazanin" w:eastAsia="IRNazanin"/>
          <w:color w:val="111111"/>
          <w:sz w:val="28"/>
          <w:sz w:val="28"/>
          <w:szCs w:val="28"/>
          <w:rtl w:val="true"/>
          <w:lang w:bidi="fa-IR"/>
        </w:rPr>
        <w:t xml:space="preserve">گذشت ایشان از مروان بن حکم در جنگ جمل با آنکه وی از دشمن ترین </w:t>
      </w:r>
      <w:bookmarkStart w:id="368" w:name="pg16651_193073"/>
    </w:p>
    <w:p>
      <w:pPr>
        <w:pStyle w:val="BookText"/>
        <w:rPr/>
      </w:pPr>
      <w:bookmarkEnd w:id="368"/>
      <w:r>
        <w:rPr>
          <w:rFonts w:ascii="IRNazanin" w:hAnsi="IRNazanin" w:eastAsia="IRNazanin"/>
          <w:color w:val="111111"/>
          <w:sz w:val="28"/>
          <w:sz w:val="28"/>
          <w:szCs w:val="28"/>
          <w:rtl w:val="true"/>
          <w:lang w:bidi="fa-IR"/>
        </w:rPr>
        <w:t>دشمنان ایشان بود</w:t>
      </w:r>
      <w:r>
        <w:rPr>
          <w:rStyle w:val="FootnoteAnchor"/>
          <w:rtl w:val="true"/>
        </w:rPr>
        <w:footnoteReference w:id="342"/>
      </w:r>
      <w:r>
        <w:rPr>
          <w:rFonts w:ascii="IRNazanin" w:hAnsi="IRNazanin" w:eastAsia="IRNazanin"/>
          <w:color w:val="111111"/>
          <w:sz w:val="28"/>
          <w:sz w:val="28"/>
          <w:szCs w:val="28"/>
          <w:rtl w:val="true"/>
          <w:lang w:bidi="fa-IR"/>
        </w:rPr>
        <w:t>و گذشت ایشان از نعیم بن دجاجه اسدی،</w:t>
      </w:r>
      <w:r>
        <w:rPr>
          <w:rStyle w:val="FootnoteAnchor"/>
          <w:rtl w:val="true"/>
        </w:rPr>
        <w:footnoteReference w:id="343"/>
      </w:r>
      <w:r>
        <w:rPr>
          <w:rFonts w:ascii="IRNazanin" w:hAnsi="IRNazanin" w:eastAsia="IRNazanin"/>
          <w:color w:val="111111"/>
          <w:sz w:val="28"/>
          <w:sz w:val="28"/>
          <w:szCs w:val="28"/>
          <w:rtl w:val="true"/>
          <w:lang w:bidi="fa-IR"/>
        </w:rPr>
        <w:t xml:space="preserve">گذشت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و مسموم کننده خود،</w:t>
      </w:r>
      <w:r>
        <w:rPr>
          <w:rStyle w:val="FootnoteAnchor"/>
          <w:rtl w:val="true"/>
        </w:rPr>
        <w:footnoteReference w:id="344"/>
      </w:r>
      <w:r>
        <w:rPr>
          <w:rFonts w:ascii="IRNazanin" w:hAnsi="IRNazanin" w:eastAsia="IRNazanin"/>
          <w:color w:val="111111"/>
          <w:sz w:val="28"/>
          <w:sz w:val="28"/>
          <w:szCs w:val="28"/>
          <w:rtl w:val="true"/>
          <w:lang w:bidi="fa-IR"/>
        </w:rPr>
        <w:t>نمونه هایی از سیره عفو و گذشت ایشان است</w:t>
      </w:r>
      <w:r>
        <w:rPr>
          <w:rFonts w:eastAsia="IRNazanin" w:cs="IRNazanin"/>
          <w:color w:val="111111"/>
          <w:sz w:val="28"/>
          <w:szCs w:val="28"/>
          <w:rtl w:val="true"/>
          <w:lang w:bidi="fa-IR"/>
        </w:rPr>
        <w:t>.</w:t>
      </w:r>
    </w:p>
    <w:p>
      <w:pPr>
        <w:pStyle w:val="Heading3"/>
        <w:numPr>
          <w:ilvl w:val="2"/>
          <w:numId w:val="1"/>
        </w:numPr>
        <w:rPr/>
      </w:pPr>
      <w:bookmarkStart w:id="369" w:name="__RefHeading___Toc12040903_1280447820"/>
      <w:bookmarkStart w:id="370" w:name="_Toc140"/>
      <w:bookmarkEnd w:id="369"/>
      <w:r>
        <w:rPr>
          <w:rtl w:val="true"/>
        </w:rPr>
        <w:t>عیادت بیمار</w:t>
      </w:r>
      <w:bookmarkEnd w:id="370"/>
    </w:p>
    <w:p>
      <w:pPr>
        <w:pStyle w:val="BookText"/>
        <w:rPr/>
      </w:pPr>
      <w:r>
        <w:rPr>
          <w:rFonts w:ascii="IRNazanin" w:hAnsi="IRNazanin" w:eastAsia="IRNazanin"/>
          <w:color w:val="111111"/>
          <w:sz w:val="28"/>
          <w:sz w:val="28"/>
          <w:szCs w:val="28"/>
          <w:rtl w:val="true"/>
          <w:lang w:bidi="fa-IR"/>
        </w:rPr>
        <w:t>عیادت بیماری و جویا شدن احوال او از جمله مورادی است که در بهداشت روان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اگر تنها در خانه باشد از طرفی باید با درد بیماری مبارزه کند و از سویی فشار های عصبی و روانی او را آزار خواهد داد، اما اگر عده ای به عیادت او بیایند روحیه او تغییر کرده و این امر حتی در تسریع در بهبودی او نیز مؤثر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کافی شریف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عیادة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آن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عیادت مریض تشویق شده و ثواب فراوانی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نکاتی که در این روایات در خصوص عیادت مریض خاطر نشان شده این است که عیادت کننده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همراهی می کند</w:t>
      </w:r>
      <w:r>
        <w:rPr>
          <w:rStyle w:val="FootnoteAnchor"/>
          <w:rtl w:val="true"/>
        </w:rPr>
        <w:footnoteReference w:id="345"/>
      </w:r>
      <w:r>
        <w:rPr>
          <w:rFonts w:ascii="IRNazanin" w:hAnsi="IRNazanin" w:eastAsia="IRNazanin"/>
          <w:color w:val="111111"/>
          <w:sz w:val="28"/>
          <w:sz w:val="28"/>
          <w:szCs w:val="28"/>
          <w:rtl w:val="true"/>
          <w:lang w:bidi="fa-IR"/>
        </w:rPr>
        <w:t>که نشان از فراونی اجر و ثواب عیادت مریض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به چنین عمل نیکویی سفارش می کردند بی شک خود آنان اولین عمل کنندگان به این سیره بوده اند،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روایاتی نقل شده که عیادت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اصحاب همچون سلمان و عیادت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صعصعة بن صوهان را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حلبی و او نیز با سند خود عیادت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کرده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گزارش شده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همچنین در احوالات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اگر یکی از اصحاب بیمار می شد به عیادت وی می رفت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همچنین مقریزی عیادت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معاذ را گزارش کرده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ابن شهرآشوب نیز عیادت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شدّاد لیثی را گزارش می کند که در آن با ورود امام به منزل وی تب او فروکش می کند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ابو داود در سنن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المعتکف یعود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اعتکاف بود نیز به عیادت مریض می رفت،</w:t>
      </w:r>
      <w:r>
        <w:rPr>
          <w:rStyle w:val="FootnoteAnchor"/>
          <w:rtl w:val="true"/>
        </w:rPr>
        <w:footnoteReference w:id="354"/>
      </w:r>
      <w:r>
        <w:rPr>
          <w:rFonts w:ascii="IRNazanin" w:hAnsi="IRNazanin" w:eastAsia="IRNazanin"/>
          <w:color w:val="111111"/>
          <w:sz w:val="28"/>
          <w:sz w:val="28"/>
          <w:szCs w:val="28"/>
          <w:rtl w:val="true"/>
          <w:lang w:bidi="fa-IR"/>
        </w:rPr>
        <w:t>حال که ایشان در حال اعتکاف که احکام خاصی دارد و اقتضا دارد که معتکف از مسجد خارج نشود اما عیادت مریض و مواردی دیگر از آن استثنا شده، به عیادت بیمار می رود، یقیناً در غیر اعتکاف نیز این سیره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ترمذی در سنن خود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بر عیادت از مریض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355"/>
      </w:r>
      <w:r>
        <w:rPr>
          <w:rFonts w:ascii="IRNazanin" w:hAnsi="IRNazanin" w:eastAsia="IRNazanin"/>
          <w:color w:val="111111"/>
          <w:sz w:val="28"/>
          <w:sz w:val="28"/>
          <w:szCs w:val="28"/>
          <w:rtl w:val="true"/>
          <w:lang w:bidi="fa-IR"/>
        </w:rPr>
        <w:t>و در جای خود در ادب عربی گفته شده است که اگر کان بر سر فعل مضارع بیاید افاده استمرار دارد</w:t>
      </w:r>
      <w:r>
        <w:rPr>
          <w:rFonts w:eastAsia="IRNazanin" w:cs="IRNazanin"/>
          <w:color w:val="111111"/>
          <w:sz w:val="28"/>
          <w:szCs w:val="28"/>
          <w:rtl w:val="true"/>
          <w:lang w:bidi="fa-IR"/>
        </w:rPr>
        <w:t xml:space="preserve">. </w:t>
      </w:r>
      <w:bookmarkStart w:id="371" w:name="pg16651_193075"/>
    </w:p>
    <w:p>
      <w:pPr>
        <w:pStyle w:val="Heading3"/>
        <w:numPr>
          <w:ilvl w:val="2"/>
          <w:numId w:val="1"/>
        </w:numPr>
        <w:rPr/>
      </w:pPr>
      <w:bookmarkStart w:id="372" w:name="__RefHeading___Toc12040905_1280447820"/>
      <w:bookmarkStart w:id="373" w:name="_Toc141"/>
      <w:bookmarkEnd w:id="371"/>
      <w:bookmarkEnd w:id="372"/>
      <w:r>
        <w:rPr>
          <w:rtl w:val="true"/>
        </w:rPr>
        <w:t>وفای به عهد</w:t>
      </w:r>
      <w:bookmarkEnd w:id="373"/>
    </w:p>
    <w:p>
      <w:pPr>
        <w:pStyle w:val="BookText"/>
        <w:rPr/>
      </w:pPr>
      <w:r>
        <w:rPr>
          <w:rFonts w:ascii="IRNazanin" w:hAnsi="IRNazanin" w:eastAsia="IRNazanin"/>
          <w:color w:val="111111"/>
          <w:sz w:val="28"/>
          <w:sz w:val="28"/>
          <w:szCs w:val="28"/>
          <w:rtl w:val="true"/>
          <w:lang w:bidi="fa-IR"/>
        </w:rPr>
        <w:t>یکی دیگر از مؤلفه های بسیار مهم بهداشت روان وفای به عهد و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وعده دهنده به وعده خود عمل کند، بهداشت روان خود و طرف مقابل را حفظ و بلکه تقویت کرده است، اما در صورت خلف وعده، طرف مقابل از حیث روانی با مشکلاتی همچون دلشوره، تردید، هدر رفتن وقت و حیرت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خلف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دو روایت را در آن جای داده است که روایت اول از خلف وعده به شدت پرهیز می دهد و آن را خلف وعده با خدا و متعرض خشم و غضب او شدن دانسته و روایت دوم نیز به مؤمنان به خدا و روز قیامت تأکید می کند که به عهد خود وفا کنند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وفای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مکارم الاخلاق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الترهیب و 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که ابوالحمیساء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مبعث وعده ای می گذارد، اما ابوالحمیساء خلف وعده می کند، وی بعد از دو روز به محل وعده رفته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یابد، ایشان ابراز می دارد که ای جوان مرا به دشواری افکندی؛ چرا که سه روز است که من اینجا هستم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پایبندترین مردم به عهد و پیمان ذکر شده اند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به گزارش نصر بن مزاحم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امضای حکمیت، محرز بن جریش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آیا راهی برای نقض این پیمان وجود دارد؟ چرا که من می ترسم ذلت به بار آورد،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دهند که آیا بعد از نوشتن، آن را </w:t>
      </w:r>
    </w:p>
    <w:p>
      <w:pPr>
        <w:pStyle w:val="BookText"/>
        <w:rPr/>
      </w:pPr>
      <w:r>
        <w:rPr>
          <w:rFonts w:ascii="IRNazanin" w:hAnsi="IRNazanin" w:eastAsia="IRNazanin"/>
          <w:color w:val="111111"/>
          <w:sz w:val="28"/>
          <w:sz w:val="28"/>
          <w:szCs w:val="28"/>
          <w:rtl w:val="true"/>
          <w:lang w:bidi="fa-IR"/>
        </w:rPr>
        <w:t>نقض کنیم؟ این پیمان نقض نخواهد شد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این واکنش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وفای ایشان به عهدها و پیمان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تشییع جنازه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مؤلفه های بهداشت روان در بعد اجتماعی شرکت در تشییع جنازه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هر چند فوائد و آثار معنوی زیادی برای تشییع کننده دارد که در روایات به آن تصریح شده و کلینی نیز دربابی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من مشی مع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ذکر کرده است،</w:t>
      </w:r>
      <w:r>
        <w:rPr>
          <w:rStyle w:val="FootnoteAnchor"/>
          <w:rtl w:val="true"/>
        </w:rPr>
        <w:footnoteReference w:id="360"/>
      </w:r>
      <w:r>
        <w:rPr>
          <w:rFonts w:ascii="IRNazanin" w:hAnsi="IRNazanin" w:eastAsia="IRNazanin"/>
          <w:color w:val="111111"/>
          <w:sz w:val="28"/>
          <w:sz w:val="28"/>
          <w:szCs w:val="28"/>
          <w:rtl w:val="true"/>
          <w:lang w:bidi="fa-IR"/>
        </w:rPr>
        <w:t>اما غیر از بُعد فردی، باید به بُعد اجتماعی آن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چنینی می توان ابراز داشت که اصرار و تشویق فراوان بر تشییع جنازه انگیزه ای برای تسلی دادن داغداران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که عزیز خود را از دست داده در وضعیت روحی نا مناسبی قرار دارد که ضرورت دارد تسلی خاطر یابد، یکی از مهمترین راهکار های تسلی دادن به وی حضور در تشییع جنازه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به شرکت در تشییع جنازه سفارش کرده اند،</w:t>
      </w:r>
      <w:r>
        <w:rPr>
          <w:rStyle w:val="FootnoteAnchor"/>
          <w:rtl w:val="true"/>
        </w:rPr>
        <w:footnoteReference w:id="361"/>
      </w:r>
      <w:r>
        <w:rPr>
          <w:rFonts w:ascii="IRNazanin" w:hAnsi="IRNazanin" w:eastAsia="IRNazanin"/>
          <w:color w:val="111111"/>
          <w:sz w:val="28"/>
          <w:sz w:val="28"/>
          <w:szCs w:val="28"/>
          <w:rtl w:val="true"/>
          <w:lang w:bidi="fa-IR"/>
        </w:rPr>
        <w:t xml:space="preserve">خود نیز در تشییع جنازه حضور داشتند؛ چنانکه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یتبع جنازة ثمّ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نقل می کند که از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جنازة حکایت دارد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المشی مع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کراهیة الرکوب مع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نقل کرده که حاکی از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w:t>
      </w:r>
      <w:r>
        <w:rPr>
          <w:rStyle w:val="FootnoteAnchor"/>
          <w:rtl w:val="true"/>
        </w:rPr>
        <w:footnoteReference w:id="364"/>
      </w:r>
      <w:r>
        <w:rPr>
          <w:rFonts w:ascii="IRNazanin" w:hAnsi="IRNazanin" w:eastAsia="IRNazanin"/>
          <w:color w:val="111111"/>
          <w:sz w:val="28"/>
          <w:sz w:val="28"/>
          <w:szCs w:val="28"/>
          <w:rtl w:val="true"/>
          <w:lang w:bidi="fa-IR"/>
        </w:rPr>
        <w:t>ابن ماجه در سنن،</w:t>
      </w:r>
      <w:r>
        <w:rPr>
          <w:rStyle w:val="FootnoteAnchor"/>
          <w:rtl w:val="true"/>
        </w:rPr>
        <w:footnoteReference w:id="365"/>
      </w:r>
      <w:r>
        <w:rPr>
          <w:rFonts w:ascii="IRNazanin" w:hAnsi="IRNazanin" w:eastAsia="IRNazanin"/>
          <w:color w:val="111111"/>
          <w:sz w:val="28"/>
          <w:sz w:val="28"/>
          <w:szCs w:val="28"/>
          <w:rtl w:val="true"/>
          <w:lang w:bidi="fa-IR"/>
        </w:rPr>
        <w:t>بیهقی در دلائل النبوة،</w:t>
      </w:r>
      <w:r>
        <w:rPr>
          <w:rStyle w:val="FootnoteAnchor"/>
          <w:rtl w:val="true"/>
        </w:rPr>
        <w:footnoteReference w:id="366"/>
      </w:r>
      <w:r>
        <w:rPr>
          <w:rFonts w:ascii="IRNazanin" w:hAnsi="IRNazanin" w:eastAsia="IRNazanin"/>
          <w:color w:val="111111"/>
          <w:sz w:val="28"/>
          <w:sz w:val="28"/>
          <w:szCs w:val="28"/>
          <w:rtl w:val="true"/>
          <w:lang w:bidi="fa-IR"/>
        </w:rPr>
        <w:t>ابن شهرآشوب در مناقب</w:t>
      </w:r>
      <w:r>
        <w:rPr>
          <w:rStyle w:val="FootnoteAnchor"/>
          <w:rtl w:val="true"/>
        </w:rPr>
        <w:footnoteReference w:id="367"/>
      </w:r>
      <w:r>
        <w:rPr>
          <w:rFonts w:ascii="IRNazanin" w:hAnsi="IRNazanin" w:eastAsia="IRNazanin"/>
          <w:color w:val="111111"/>
          <w:sz w:val="28"/>
          <w:sz w:val="28"/>
          <w:szCs w:val="28"/>
          <w:rtl w:val="true"/>
          <w:lang w:bidi="fa-IR"/>
        </w:rPr>
        <w:t>و ابن ابی الدنیا در رسائل،</w:t>
      </w:r>
      <w:r>
        <w:rPr>
          <w:rStyle w:val="FootnoteAnchor"/>
          <w:rtl w:val="true"/>
        </w:rPr>
        <w:footnoteReference w:id="368"/>
      </w:r>
      <w:r>
        <w:rPr>
          <w:rFonts w:ascii="IRNazanin" w:hAnsi="IRNazanin" w:eastAsia="IRNazanin"/>
          <w:color w:val="111111"/>
          <w:sz w:val="28"/>
          <w:sz w:val="28"/>
          <w:szCs w:val="28"/>
          <w:rtl w:val="true"/>
          <w:lang w:bidi="fa-IR"/>
        </w:rPr>
        <w:t xml:space="preserve">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تشییع جنازه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شهرآشوب اهتمام و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به تشییع جنازه را گزارش کرده است</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6651_193081"/>
      <w:bookmarkStart w:id="375" w:name="pg16651_193081"/>
      <w:bookmarkEnd w:id="375"/>
    </w:p>
    <w:p>
      <w:pPr>
        <w:pStyle w:val="Heading2"/>
        <w:numPr>
          <w:ilvl w:val="1"/>
          <w:numId w:val="1"/>
        </w:numPr>
        <w:rPr/>
      </w:pPr>
      <w:bookmarkStart w:id="376" w:name="pg16651_193081"/>
      <w:bookmarkStart w:id="377" w:name="__RefHeading___Toc12040907_1280447820"/>
      <w:bookmarkStart w:id="378" w:name="_Toc142"/>
      <w:bookmarkEnd w:id="376"/>
      <w:bookmarkEnd w:id="377"/>
      <w:r>
        <w:rPr>
          <w:rtl w:val="true"/>
        </w:rPr>
        <w:t>منابع</w:t>
      </w:r>
      <w:bookmarkEnd w:id="37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 بسطام، حسین و عبدالله، طب الائمة،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خرسان،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 الحميد بن هبة الله، شرح نهج البلاغة، قم، کتابخانه آقای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الدنیا، عبد الله بن محمد، رسائل ابن ابی الدنیا فی الزهد و الرقائق و الورع، امارات، المنتدی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اشعث، محمد بن محمد، 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النینوی الحدیثة،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الاعمال و عقاب الاعمال،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دارالشریف الرضی،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مسند الامام احمد بن حنبل، بیروت، مؤسسة الرسالة،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درید، محمد بن حسن</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روزبهان، فضل، وسيلة الخادم إلى المخدوم در شرح صلوات چهارده معصوم عليهم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محمد،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حسین بن عبدالله، القانون فی الطب،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محمد بن علی،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سید علی بن موسی، الأمان من أخطار الأسفار و الأزمان،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 احمد بن حسین، رجال ابن غضائری،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عبد الله بن مسلم، غریب الحدیث، بغداد، مطبعة العاني،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جعفربن محمد،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محمد بن یزید، سنن ابن ماجه،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مزاحم، نصر، وقعة صفین،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 محمد بن جعفر، المزار الکبیر،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 حلی، حسن بن یوسف، كشف اليقين،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عبد الملک، السیرة النبویة،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سليمان بن اشعث، سنن ابو داود،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 عبدالله بن محمد، کتاب الماء،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ایران،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عاملی، سید محسن، اعیان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 سيد هاشم بن سليمان، البرهان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محمد بن حبیب، المحبّر،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احمد بن حسین، دلائل النبوة،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مهدی و فریده، گونه های طلاق در جاهلیت و تحول نظام طلاق جاهلی با ظهور اسلام، مجله تاریخ در آیینه پژوهش، پاییز</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مهدی، تاریخ اسلام، قم، معارف،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ترمانینی، الزواج عند العرب فی الجاهلیة و الاسلام،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 بی تا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الملایین،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احمد عبد الغفور،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نيسابوري، محمد بن عبدالله، 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حلوانى، حسين بن محمد، نزهة الناظر و 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تعالى فرجه الشريف،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احمد بن علی، تاریخ بغداد،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منش، ابوالفضل، زبان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سید ابوالقاسم، معجم رجال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الثقافة الإسلامیة فی العالم،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دولابی، ابوبشر، الذریة الطاهرة،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سعید بن هبة الله،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الحزین،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محمد بن محمد، تاج العروس،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 خیر الدین، الاعلام،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سالاری، مهدی، اوضاع عرب جاهلی در نهج البلاغه، فصلنامه جستار، تابستان و پاییز</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فروغ ابدیت، چاپ سی و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کافی کافی نیست، کتاب ماه دین، ش</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آلوسی، محمود، بلوغ الأرب فی معرفة أحوال العرب، بیروت، دار الکتب العلمیة،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اسماعیل بن عباد، المحیط فی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ضیف، شوقی، تاریخ الأدب العرب العصر الجاهلی، دارالمعارف،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اعلام الوری بأعلام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جامع البیان عن تأویل آی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أمالی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خرسان،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سید جعفر مرتضی، الصحیح فی سیرة النبی الأعظم،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شیخ حر، اثبات الهداة بالنصوص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محمد بن مکی، الدروس الشرعیة فی فقه الإمامیة،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 قرب الاسناد، قرب الإسناد،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نژاد، سید حیدر، قرآن و خرافه باوری، مجله پژوهش های قرآنی،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جواد، المفصل فی تاریخ العرب قبل الاسلام، چاپ دوم، بی جا، بی نا،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فاتحی نژاد، عنایت الله، فرهنگ معاصر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چاپ پنجم، تهران، انتشارات فرهنگ معاصر،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زاده، فتحیه، مبارزه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آداب و رسوم خرافی، فصلنامه شیعه شناسی، سال ششم،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حجت الله، سیره قضایی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ارشد دانشگاه باقرالعلوم، به راهنمایی سید محمد حسین فلاح زاده و مشاوره حسین ایزدی،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سید مرتضی، فضائل الخمسة،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محمد محسن، الوافی،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منتهی الآمال فی تواریخ النبی و الآل،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کلابی، عبدالوهاب بن حسن، مناقب کلابی،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هشام بن محمد، مثالب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محمد بن سلیمان، مناقب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احیاء الثقافة الاسلامیة،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 صالح، شرح الکافی، تحقیق ابوالحسن شعرانی،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مرآۀ العقول فی شرح أخبار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مجموع آثار، سیری در سیره نبوی،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الارشاد فی معرفة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تقی الدین، إمتاع الأسماع بما للنبي من الأحوال و الأموال و الحفدة و المتاع،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حامد، گونه های ازدواج در عصر جاهلی، تاریخ اسلام در آینه پژوهش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نجف،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الخیام،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احمد بن علی، رجال 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التابعه لجامعة المدرسين بقم المشرفه، چاپ ششم،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احمد بن علی، السنن الكبرى،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نهشلی، اسود بن یعفر، دیوان شعر،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حسین بن محمد تقی،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یحیی، جاهلیت و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مطالعات و تحقیقلت اسلامی،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یحیی، اسلام و آراء و عقائد بشری، مؤسسه فراهانی، چاپ دوم،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علی، المرأة فی الشعر الجاهلی،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المعارف،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های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بهداشت دانشگاه علوم پزشکی تبریز، برگرفته شده از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https://eazphcp.tbzmed.ac.ir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محمد بن محمد، تاج العروس،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اسماعیل بن عباد، المحیط فی اللغة،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ابن منظور، محمد بن مکرم، لسان العرب،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زبیدی، محمد بن محمد،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محمد بن محمد، 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 البلاغه،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فضلی، سیره قضایی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نامه ارشد دانشگاه باقرالعلوم،،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 آثار، سیری در سیره نبوی،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فاتحی نژاد، عنایت الله، فرهنگ معاصر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چاپ پنجم، تهران، انتشارات فرهنگ معاصر،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بهداشت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بن عبدالله، القانون فی الطب،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بهداشت دانشگاه علوم پزشکی تبریز، برگرفته شده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https://eazphcp.tbzmed.ac.ir</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آقا بزرگ، 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غفار، عبد الرسول، الکافی والکلینی،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موسوی، سید کاظم،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کتب معتر علمای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معارف اسلامی، آبان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عمیدی، ثامر هاشم حبیب، دفاع از کافی،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قنبری، محمد، شناخت نامه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همو، کتاب شناسی کلینی و الکافی،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کافی کافی نیست، کتاب ماه دین، ش</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منش، ابوالفضل، زبان 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حوزه و دانشگاه،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منش، ابوالفضل، زبان قرآن،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 شوقی، تاریخ الأدب العرب العصر الجاهلی، دارالمعارف،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سالاری، مهدی، اوضاع عرب جاهلی در نهج البلاغه، فصلنامه جستار، تابستان و پاییز</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العرب قبل الاسلام، چاپ دوم، بی جا، بی نا،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 جعفر مرتضی، الصحیح فی سیرة النبی الأعظم،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تاریخ اسلام، قم، معارف، بی تا،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شکری محمود، بلوغ الأرب فی معرفة أحوال العرب، بیروت، دار الکتب العلمیة،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عبد الحميد بن هبة الله، شرح نهج البلاغة، قم، کتابخانه آقای مرعشی،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عبد الله بن مسلم، غریب الحدیث، بغداد، مطبعة العاني،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بن درید، 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حمیری، قرب الاسناد،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عِدَّةٍ مِنْ أَصْحَابِنَا عَنْ عَلِيِّ بْنِ أَسْبَاطٍ عَنْ عَمِّهِ يَعْقُوبَ بْنِ سَالِمٍ رَفَعَهُ 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تُؤْوُوا مِنْدِيلَ الْغَمَرِ فِي الْبَيْتِ فَإِنَّهُ مَرْبِضٌ لِلشَّيَاطِينِ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ثِيابَكَ فَطَهِّرْ قَالَ فَشَمِّرْ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الْحَسَنِ بْنِ عَلِيٍّ الْوَشَّاءِ عَنْ أَحْمَدَ بْنِ عَائِذٍ عَنْ أَبِي خَدِيجَةَ عَنْ مُعَلَّى بْنِ خُنَيْسٍ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عِنْدَكُمْ فَأَتَى بَنِي دِيوَانٍ وَ اشْتَرَى ثَلَاثَةَ أَثْوَابٍ بِدِينَارٍ الْقَمِيصَ إِلَى فَوْقِ الْكَعْبِ وَ الْإِزَارَ إِلَى نِصْفِ السَّاقِ وَ الرِّدَاءَ مِنْ بَيْنِ يَدَيْهِ إِلَى ثَدْيَيْهِ وَ مِنْ خَلْفِهِ إِلَى أَلْيَتَيْهِ ثُمَّ رَفَعَ يَدَهُ إِلَى السَّمَاءِ فَلَمْ يَزَلْ يَحْمَدُ اللَّهَ عَلَى مَا كَسَاهُ حَتَّى دَخَلَ مَنْزِلَهُ ثُمَّ قَالَ هَذَا اللِّبَاسُ الَّذِي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لِلْمُسْلِمِينَ أَنْ يَلْبَسُوهُ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لَا يَقْدِرُونَ أَنْ يَلْبَسُوا هَذَا الْيَوْمَ وَ لَوْ فَعَلْنَاهُ لَقَالُوا مَجْنُونٌ وَ لَقَالُوا مُرَاءٍ وَ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ثِيابَكَ فَطَهِّرْ قَالَ وَ ثِيَابَكَ ارْفَعْهَا وَ لَا تَجُرَّهَا وَ إِذَا قَامَ قَائِمُنَا كَانَ هَذَا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سيد هاشم بن سليمان، البرهان فی تفسیر القرآن،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بعثه،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اطراف شهر مدینه، امروزه نیز به همین اسم شناخته می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 بن علی، السنن الكبرى،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خیر الدین، الاعلام،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للملایین،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نهشلی، اسود بن یعفر، دیوان شعر،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شرح دیوان الحماسة،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 عبدی، دیوان،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نژاد، سید حیدر، قرآن و خرافه باوری، مجله پژوهش های قرآنی،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زاده، فتحیه، مبارزه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آداب و رسوم خرافی، فصلنامه شیعه شناسی، سال ششم،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زاده، مبارزه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آداب و رسوم خرافی،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الملایین،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احمد عبد الغفور،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فتاحی زاده، فتحیه، مبارزه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آداب و رسوم خرافی،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یحیی، جاهلیت و 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مطالعات و تحقیقلت اسلامی،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فی تفسیر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اعلمی،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فتاحی زاده، مبارزه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آداب و رسوم خرافی،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مقدم، حامد، گونه های ازدواج در عصر جاهلی، تاریخ اسلام در آینه پژوهش زمستان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عن تأویل آی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محمد بن حبیب، المحبّر،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 الجدیدة، بی تا،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حُرِّمَتْ عَلَيْكُمْ أُمَّهاتُكُم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تَجْمَعُوا بَيْنَ الْأُخْتَيْنِ إِلاَّ ما قَدْ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علی، المرأة فی الشعر الجاهلی،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المعارف،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شکری محمود، بلوغ الأرب،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شکری محمود، بلوغ الأرب،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ترمانینی، الزواج عند العرب فی الجاهلیة و الاسلام،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طلاس، بی تا،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شکری محمود، بلوغ الأرب،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ترمانینی، الزواج عند العرب فی الجاهلیة و الاسلام،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جواد، المفصل فی تاریخ العرب قبل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ترمانینی، الزواج عند العرب فی الجاهلیة و الاسلام،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محمد بن حبیب، المحبّر،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شکری محمود، بلوغ الأرب،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هشام بن محمد، مثالب العرب،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مورد گونه های طلاق در جاهلیت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و فریده، گونه های طلاق در جاهلیت و تحول نظام طلاق جاهلی با ظهور اسلام، مجله تاریخ در آیینه پژوهش، پاییز</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یحیی، اسلام و آراء و عقائد بشری، موسه فراهانی، چاپ دوم،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جواد، المفصل فی تاریخ العرب قبل الاسلام،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شکری محمود، بلوغ الأرب،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علی، جواد، المفصل فی تاریخ العرب قبل الاسلام،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یحیی، اسلام و آراء و عقائد بشری،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الْوَشَّاءُ عَنْ أَحْمَدَ بْنِ عَائِذٍ عَنْ أَبِي خَدِيجَةَ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إِنِّي قَدْ وَلَدْتُ بِنْتاً وَ رَبَّيْتُهَا حَتَّى إِذَا بَلَغَتْ فَأَلْبَسْتُهَا وَ حَلَّيْتُهَا ثُمَّ جِئْتُ بِهَا إِلَى قَلِيبٍ فَدَفَعْتُهَا فِي جَوْفِهِ وَ كَانَ آخِرُ مَا سَمِعْتُ مِنْهَا وَ هِيَ تَقُولُ يَا أَبَتَاهْ فَمَا كَفَّارَةُ ذَلِكَ قَالَ أَ لَكَ أُمٌّ حَيَّةٌ قَالَ لَا قَالَ فَلَكَ خَالَةٌ حَيَّةٌ قَالَ نَعَمْ قَالَ فَابْرَرْهَا فَإِنَّهَا بِمَنْزِلَةِ الْأُمِّ يُكَفِّرْ عَنْكَ مَا صَنَعْتَ قَالَ أَبُو خَدِيجَةَ فَقُلْتُ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كَانَ هَذَا فَقَالَ كَانَ فِي الْجَاهِلِيَّةِ وَ كَانُوا يَقْتُلُونَ الْبَنَاتِ مَخَافَةَ أَنْ يُسْبَيْنَ فَيَلِدْنَ فِي قَوْمٍ آخَرِينَ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چاپ چهارم، دار الکتب الاسلامیة،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أَبِيهِ أَوْ غَيْرِهِ عَنْ مُحَمَّدِ بْنِ أَسْلَمَ الْجَبَلِيِّ رَفَعَهُ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الْبَيْتُ الْحَمَّامُ يُذَكِّرُ النَّارَ وَ يَذْهَبُ بِالدَّرَنِ وَ قَالَ عُمَرُ بِئْسَ الْبَيْتُ الْحَمَّامُ يُبْدِي الْعَوْرَةَ وَ يَهْتِكُ السِّتْرَ قَالَ وَ نَسَبَ النَّاسُ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عُمَرَ وَ قَوْلَ عُمَرَ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عَلِيِّ بْنِ الْحَكَمِ عَنِ الْمُثَنَّى بْنِ الْوَلِيدِ الْحَنَّاطِ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 الْحَمَّامَ إِلَّا وَ فِي جَوْفِكَ شَيْ‌ءٌ يُطْفَأُ بِهِ عَنْكَ وَهَجُ الْمَعِدَةِ وَ هُوَ أَقْوَى لِلْبَدَنِ وَ لَا تَدْخُلْهُ وَ أَنْتَ مُمْتَلِئٌ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الْحَكَمِ عَنْ رِفَاعَةَ بْنِ مُوسَى عَمَّنْ أَخْبَرَهُ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إِذَا أَرَادَ دُخُولَ الْحَمَّامِ تَنَاوَلَ شَيْئاً فَأَكَلَهُ قَالَ قُلْتُ لَهُ إِنَّ النَّاسَ عِنْدَنَا يَقُولُونَ إِنَّهُ عَلَى الرِّيقِ أَجْوَدُ مَا يَكُونُ قَالَ لَا بَلْ يُؤْكَلُ شَيْ‌ءٌ قَبْلَهُ يُطْفِئُ الْمَرَارَةَ وَ يُسَكِّنُ حَرَارَةَ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عَلِيِّ بْنِ الْحَكَمِ وَ عَلِيِّ بْنِ حَسَّانَ عَنْ سُلَيْمَانَ الْجَعْفَرِيِّ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يَوْمٌ وَ يَوْمٌ لَا يُكْثِرُ اللَّحْمَ وَ إِدْمَانُهُ فِي كُلِّ يَوْمٍ يُذِيبُ شَحْمَ الْكُلْيَتَيْنِ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عَبْدِ اللَّهِ بْنِ مُحَمَّدٍ الْحَجَّالِ عَنْ سُلَيْمَانَ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مَرِضْتُ حَتَّى ذَهَبَ لَحْمِي فَدَخَلْتُ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 يَسُرُّكَ أَنْ يَعُودَ إِلَيْكَ لَحْمُكَ قُلْتُ بَلَى قَالَ الْزَمِ الْحَمَّامَ غِبّاً فَإِنَّهُ يَعُودُ إِلَيْكَ لَحْمُكَ وَ إِيَّاكَ أَنْ تُدْمِنَهُ فَإِنَّ إِدْمَانَهُ يُورِثُ السِّلَّ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ابوبصیر نابینا بوده لذا این ماجرا را نمی دیده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عَنْ مُحَمَّدِ بْنِ عَلِيٍّ عَنْ سَعْدَانَ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بَصِيرٍ فِي الْحَمَّامِ فَرَأَيْتُ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يَطْلِي إِبْطَهُ فَأَخْبَرْتُ بِذَلِكَ أَبَا بَصِيرٍ فَقَالَ لَهُ جُعِلْتُ فِدَاكَ أَيُّمَا أَفْضَلُ نَتْفُ الْإِبْطِ أَوْ حَلْقُهُ فَقَالَ يَا أَبَا مُحَمَّدٍ إِنَّ نَتْفَ الْإِبْطِ يُوهِي أَوْ يُضْعِفُ احْلِقْهُ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ابْنِ مَحْبُوبٍ عَنْ يُونُسَ بْنِ يَعْقُوبَ أَنَّ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يَدْخُلُ الْحَمَّامَ فَيَطْلِي إِبْطَهُ وَحْدَهُ إِذَا احْتَاجَ إِلَى ذَلِكَ وَحْدَهُ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عَنِ ابْنِ جُمْهُورٍ عَنْ مُحَمَّدِ بْنِ الْقَاسِمِ عَنْ عَبْدِ اللَّهِ 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بِالْمَدِينَةِ فَلَاحَانِي زُرَارَةُ فِي نَتْفِ الْإِبْطِ وَ حَلْقِهِ فَقُلْتُ حَلْقُهُ أَفْضَلُ وَ قَالَ زُرَارَةُ نَتْفُهُ أَفْضَلُ فَاسْتَأْذَنَّا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 لَنَا وَ هُوَ فِي الْحَمَّامِ يَطَّلِي وَ قَدِ اطَّلَى إِبْطَيْهِ فَقُلْتُ لِزُرَارَةَ يَكْفِيكَ قَالَ لَا لَعَلَّهُ فَعَلَ هَذَا لِمَا لَا يَجُوزُ لِي أَنْ أَفْعَلَهُ فَقَالَ فِيمَا أَنْتُمَا فَقُلْتُ إِنَّ زُرَارَةَ لَاحَانِي فِي نَتْفِ الْإِبْطِ وَ حَلْقِهِ قُلْتُ حَلْقُهُ أَفْضَلُ وَ قَالَ زُرَارَةُ نَتْفُهُ أَفْضَلُ فَقَالَ أَصَبْتَ السُّنَّةَ وَ أَخْطَأَهَا زُرَارَةُ حَلْقُهُ أَفْضَلُ مِنْ نَتْفِهِ وَ طَلْيُهُ أَفْضَلُ مِنْ حَلْقِهِ ثُمَّ قَالَ لَنَا اطَّلِيَا فَقُلْنَا فَعَلْنَا مُنْذُ ثَلَاثٍ فَقَالَ أَعِيدَا فَإِنَّ الِاطِّلَاءَ طَهُورٌ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عَنْ عَلِيِّ بْنِ الْحَكَمِ عَنِ الْحُسَيْنِ بْنِ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الرَّجُلِ الْمُحْرِمِ يَدَّهِنُ بَعْدَ الْغُسْلِ قَالَ نَعَمْ فَادَّهَنَّا عِنْدَهُ بِسَلِيخَةِ بَانٍ وَ ذَكَرَ أَنَّ أَبَاهُ كَانَ يَدَّهِنُ بَعْدَ مَا يَغْتَسِلُ لِلْإِحْرَامِ وَ أَنَّهُ يَدَّهِنُ بِالدُّهْنِ مَا لَمْ يَكُنْ غَالِيَةً أَوْ دُهْناً فِيهِ مِسْكٌ أَوْ عَنْبَر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عَنِ الْقَاسِمِ بْنِ يَحْيَى عَنْ جَدِّهِ الْحَسَنِ بْنِ رَاشِدٍ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 يُلَيِّنُ الْبَشَرَةَ وَ يَزِيدُ فِي الدِّمَاغِ وَ يُسَهِّلُ مَجَارِيَ الْمَاءِ وَ يُذْهِبُ الْقَشَفَ وَ يُسْفِرُ اللَّوْنَ؛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أَحْمَدَ بْنِ مُحَمَّدِ بْنِ أَبِي نَصْرٍ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مِنْ أَخْلَاقِ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وَ عِدَّةٌ مِنْ أَصْحَابِنَا عَنْ سَهْلِ بْنِ زِيَادٍ جَمِيعاً عَنِ الْحَسَنِ بْنِ عَلِيٍّ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يُعْرَفُ مَوْضِعُ سُجُودِ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بِطِيبِ 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الْحُسَيْنِ عَنْ سُلَيْمَانَ بْنِ مُحَمَّدٍ الْخَثْعَمِيِّ عَنْ إِسْحَاقَ الطَّوِيلِ الْعَطَّارِ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يُنْفِقُ فِي الطِّيبِ أَكْثَرَ مِمَّا يُنْفِقُ فِي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مُحَمَّدِ بْنِ مُوسَى بْنِ الْفُرَاتِ عَنْ عَلِيِّ بْنِ مَطَرٍ عَنِ السَّكَنِ الْخَزَّازِ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الْجُمُعَةِ وَ لَمْ يَكُنْ عِنْدَهُ طِيبٌ دَعَا بِبَعْضِ خُمُرِ نِسَائِهِ فَبَلَّهَا بِالْمَاءِ ثُمَّ وَضَعَهَا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عَنْ مُحَمَّدِ بْنِ عَبْدِ الْجَبَّارِ عَنْ أَحْمَدَ بْنِ النَّضْرِ عَنْ عَمْرِو بْنِ شِمْرٍ 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ابْنِ فَضَّالٍ عَنْ أَبِي جَمِيلَةَ قَالَ 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بِالسِّوَاكِ وَ الْخِلَالِ وَ الْحِجَامَة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وَ مُحَمَّدِ بْنِ الْحُسَيْنِ جَمِيعاً عَنْ مُحَمَّدِ بْنِ إِسْمَاعِيلَ بْنِ بَزِيعٍ عَنْ صَالِحِ بْنِ عُقْبَةَ عَنْ يَزِيدَ بْنِ عَبْدِ الْمَلِكِ النَّوْفَلِيِّ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يَدِهِ رُمَّانَةٌ فَقَالَ يَا مُعَتِّبُ أَعْطِهِ رُمَّانَةً فَإِنِّي لَمْ أُشْرَكْ فِي شَيْ‌ءٍ أَبْغَضَ إِلَيَّ مِنْ أَنْ أُشْرَكَ فِي رُمَّانَةٍ ثُمَّ احْتَجَم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مُحَمَّدِ بْنِ عَلِيٍّ الْهَمَذَانِيِّ عَنْ مُعَتِّبٍ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يَوْماً يَا مُعَتِّبُ اطْلُبْ لَنَا حِيتَاناً طَرِيَّةً فَإِنِّي أُرِيدُ أَنْ أَحْتَجِمَ فَطَلَبْتُهَا ثُمَّ أَتَيْتُهُ بِهَا فَقَالَ لِي يَا مُعَتِّبُ سَكْبِجْ لَنَا شَطْرَهَا وَ اشْوِ لَنَا شَطْرَهَا فَتَغَدَّى مِنْهَا وَ تَعَشَّى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دولابی، ابوبشر، الذریة الطاهرة،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بابويه،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خالد برقی، المحاسن،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محدث،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محمد بن على بن بابویه، علل الشرائع،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فروشی داوری،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مرآۀ العقول فی شرح أخبار آل الرسول،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محلاتی،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سعید بن هبة الله،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الحزین،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حمیری، قرب الاسناد،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تهذیب الأحکام،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الموسوی خرسان، چاپ چهارم،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چاپ چهارم،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فروغ ابدیت، چاپ سی و ششم،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سعد، الطبقات الکبری،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السِّوَاكِ اثْنَتَا عَشْرَةَ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هُوَمِنَ السُّنَّةِ، وَ مَطْهَرَةٌ لِلْفَمِ، وَ مَجْلَاةٌ لِلْبَصَرِ، وَ يُرْضِي الرَّبَ، وَ يَذْهَبُ بِالْبَلْغَمِ، وَ يَزِيدُ فِي الْحِفْظِ، وَ يُبَيِّضُ الْأَسْنَانَ، وَ يُضَاعِفُ الْحَسَنَاتِ، وَ يَذْهَبُ بِالْحَفْرِ، وَ يَشُدُّ اللِّثَةَ، وَ يُشَهِّي الطَّعَامَ، وَ تَفْرَحُ بِهِ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یزید فی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ثواب الاعمال و عقاب الاعمال،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دارالشریف الرضی،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السواک یزید الرجل 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یجلو الاسنان و یطیب النکهة و یشد اللثة و یسمنها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نجف،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الخیام،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السواک یذهب بالدمعة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محمد بن یعقوب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ثَلَاثَةٌ يَزِدْنَ فِي الْحِفْظِ وَ يَذْهَبْنَ السُّقْمَ اللُّبَانُ وَ السِّوَاكُ وَ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بابويه، الخصال،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ویذهب بالغم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وسائل الشیعة،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النشرة فی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بالسواک فانه یذهب وسوسة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أمالی طوسی،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یرغم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هبة الله راوندی، الدعوات،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يَسْتَاكُ عَرْضاً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لایحضره الفقیه،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اسلامى وابسته به جامعه مدرسين حوزه علميه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حَمَّادٍ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صَلَّى الْعِشَاءَ الْآخِرَةَ أَمَرَ بِوَضُوئِهِ وَ سِوَاكِهِ يُوضَعُ عِنْدَ رَأْسِهِ مُخَمَّراً فَيَرْقُدُ مَا شَاءَ اللَّهُ ثُمَّ يَقُومُ فَيَسْتَاكُ وَ يَتَوَضَّأُ وَ يُصَلِّي أَرْبَعَ رَكَعَات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حَمَّادٍ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صَلَّى الْعِشَاءَ الْآخِرَةَ أَمَرَ بِوَضُوئِهِ وَ سِوَاكِهِ يُوضَعُ عِنْدَ رَأْسِهِ مُخَمَّراً فَيَرْقُدُ مَا شَاءَ اللَّهُ ثُمَّ يَقُومُ فَيَسْتَاكُ وَ يَتَوَضَّأُ وَ يُصَلِّي أَرْبَعَ رَكَعَات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هِشَامِ بْنِ سَالِمٍ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بِالْخِلَالِ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ابْنِ مَحْبُوبٍ عَنْ وَهْبِ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يَتَخَلَّلُ فَنَظَرْتُ إِلَيْهِ فَقَالَ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يَتَخَلَّلُ وَ هُوَ يُطَيِّبُ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إِبْرَاهِيمَ الْحَذَّاءِ عَنْ أَحْمَدَ بْنِ عَبْدِ اللَّهِ الْأَسَدِيِّ عَنْ رَجُلٍ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خِلَالًا فَقَالَ لَهُ يَا جَعْفَرُ تَخَلَّلْ فَإِنَّهُ مَصْلَحَةٌ لِلْفَمِ أَوْ قَالَ لِلِّثَةِ وَ مَجْلَبَةٌ لِلرِّزْقِ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أَبِيهِ عَنْ عَلِيِّ بْنِ النُّعْمَانِ عَنْ يَعْقُوبَ بْنِ شُعَيْبٍ عَمَّنْ أَخْبَرَهُ أَنَّ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أُتِيَ بِخِلَالٍ مِنَ الْأَخِلَّةِ الْمُهَيَّأَةِ وَ هُوَ فِي مَنْزِلِ فَضْلِ بْنِ يُونُسَ فَأَخَذَ مِنْهَا شَظِيَّةً وَ رَمَى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أَبِيهِ عَنْ عَبْدِ اللَّهِ بْنِ الْفَضْلِ النَّوْفَلِيِّ عَنِ الْفَضْلِ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تَغَدَّى عِنْدِي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فَرَغَ مِنَ الطَّعَامِ أُتِيَ بِالْخِلَالِ فَقُلْتُ جُعِلْتُ فِدَاكَ مَا حَدُّ هَذَا الْخِلَالِ فَقَالَ يَا فَضْلُ كُلُّ مَا بَقِيَ فِي فَمِكَ فَمَا أَدَرْتَ عَلَيْهِ لِسَانَكَ فَكُلْهُ وَ مَا اسْتَكَنَّ فَأَخْرِجْهُ بِالْخِلَالِ فَأَنْتَ فِيهِ بِالْخِيَارِ إِنْ شِئْتَ أَكَلْتَهُ وَ إِنْ شِئْتَ طَرَحْتَهُ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مُحَمَّدِ بْنِ عِيسَى عَنِ الدِّهْقَانِ عَنْ دُرُسْتَ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يَتَخَلَّلُ بِكُلِّ مَا أَصَابَ مَا خَلَا الْخُوصَ وَ الْقَصَبَ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همیشه سرسبز و دارای برگ‌های ریز و معطّر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احمد بن 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رَوَاهُ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التَّخَلُّلِ بِالرُّمَّانِ وَ الْآسِ وَ الْقَصَبِ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إِنَّهُنَّ يُحَرِّكْنَ عِرْقَ الْآكِلَةِ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ازدی،کتاب الماء،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علوم پزشکی ایران،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عَلِيِّ بْنِ الْحَسَنِ بْنِ عَلِيٍّ عَنْ أَحْمَدَ بْنِ الْحُسَيْنِ بْنِ عُمَرَ عَنْ عَمِّهِ مُحَمَّدِ بْنِ عُمَرَ عَنْ رَجُلٍ عَنْ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اسْتَنْجَى بِالسُّعْدِ بَعْدَ الْغَائِطِ وَ غَسَلَ بِهِ فَمَهُ بَعْدَ الطَّعَامِ لَمْ تُصِبْهُ عِلَّةٌ فِي فَمِهِ وَ لَمْ يَخَفْ شَيْئاً مِنْ أَرْيَاحِ الْبَوَاسِيرِ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أَبِي الْخَزْرَجِ الْحَسَنِ بْنِ الزِّبْرِقَانِ الْأَنْصَارِيِّ عَنِ الْفَضْلِ بْنِ عُثْمَانَ عَنْ أَبِي عَزِيزٍ الْمُرَادِيِّ قَالَ وَ هُوَ خَالُ أُمِّي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اتَّخِذُوا فِي أَسْنَانِكُمُ السُّعْدَ فَإِنَّهُ يُطَيِّبُ الْفَمَ وَ يَزِيدُ فِي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عَنْ جَعْفَرِ بْنِ إِبْرَاهِيمَ الْحَضْرَمِيِّ عَنْ سَعْدِ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نَأْكُلُ الْأُشْنَانَ فَقَالَ كَانَ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تَوَضَّأَ ضَمَّ شَفَتَيْه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مُحَمَّدِ بْنِ سِنَانٍ عَنِ ابْنِ مُسْكَانَ عَنْ أَبِي بَصِيرٍ عَنْ عَبْدِ الْكَرِيمِ بْنِ عُتْبَةَ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الشَّيْخَ عَنِ الرَّجُلِ يَسْتَيْقِظُ مِنْ نَوْمِهِ وَ لَمْ يَبُلْ أَ يُدْخِلُ يَدَهُ فِي الْإِنَاءِ قَبْلَ أَنْ يَغْسِلَهَا قَالَ لَا لِأَنَّهُ لَا يَدْرِي أَيْنَ كَانَتْ يَدُهُ فَلْيَغْسِلْهَا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محمد بن مکی، الدروس الشرعیة فی فقه الإمامیة،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محمد بن ابراهیم بن اسحاق طالقانی از مشایخ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مشیخه بر او ترضی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الثقافة الإسلامیة فی العالم،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کتاب هم اکنون در دست نیست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بن بابویه،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ششم،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بابويه،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بسطام، حسین و عبدالله، طب الائمة،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خرسان، چاپ دوم،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الجامعة لدرر أخبار أئمة الاطهار، چاپ دوم،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سید علی بن موسی، الأمان من أخطار الأسفار و الأزمان،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عَلِيِّ بْنِ الْحَكَمِ عَنْ مُعَاوِيَةَ بْنِ مَيْسَرَةَ عَنِ الْحَكَمِ بْنِ عُتَيْبَةَ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أَخَذَ الْحِنَّاءَ وَ جَعَلَهُ عَلَى أَظَافِيرِهِ فَقَالَ يَا حَكَمُ مَا تَقُولُ فِي هَذَا فَقُلْتُ مَا عَسَيْتُ أَنْ أَقُولَ فِيهِ وَ أَنْتَ تَفْعَلُهُ وَ إِنَّ عِنْدَنَا يَفْعَلُهُ الشُّبَّانُ فَقَالَ يَا حَكَمُ إِنَّ الْأَظَافِيرَ إِذَا أَصَابَتْهَا النُّورَةُ غَيَّرَتْهَا حَتَّى تُشْبِهَ أَظَافِيرَ الْمَوْتَى فَغَيِّرْهَا بِالْحِنَّاءِ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تعویذ به معنای خواندن دعا برای محفوظ ماندن فرد از بیماری و خطرات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سُفْيَانَ بْنِ السِّمْطِ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تَقْلِيمُ الْأَظْفَارِ وَ الْأَخْذُ مِنَ الشَّارِبِ وَ غَسْلُ الرَّأْسِ بِالْخِطْمِيِّ يَنْفِي الْفَقْرَ وَ يَزِيدُ فِي الرِّزْقِ؛</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احمد بن 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عَنْ مَنْصُورِ بْنِ بُزُرْجَ قَالَ 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الرَّأْسِ بِالسِّدْرِ يَجْلِبُ الرِّزْقَ جَلْبا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زِيَادٍ عَنِ الْحَسَنِ بْنِ مُحَمَّدِ بْنِ سَمَاعَةَ عَنْ أَحْمَدَ بْنِ الْحَسَنِ الْمِيثَمِيِّ عَنْ مُحَمَّدِ بْنِ إِسْحَاقَ عَنْ عَمَّارٍ النَّوْفَلِيِّ عَنْ أَبِيهِ قَالَ 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الْمَشْطُ يَذْهَبُ بِالْوَبَاءِ وَ كَانَ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مُشْطٌ فِي الْمَسْجِدِ يَتَمَشَّطُ بِهِ إِذَا فَرَغَ مِنْ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الْحُسَيْنِ بْنِ الْحَسَنِ بْنِ عَاصِمٍ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يَدِهِ مُشْطُ عَاجٍ يَتَمَشَّطُ بِهِ فَقُلْتُ لَهُ جُعِلْتُ فِدَاكَ إِنَّ عِنْدَنَا بِالْعِرَاقِ مَنْ يَزْعُمُ أَنَّهُ لَا يَحِلُّ التَّمَشُّطُ بِالْعَاجِ قَالَ وَ لِمَ فَقَدْ كَانَ</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که مقصود از شیطان در اینجا میکروب باشد یا حد اقل شامل میکروب هم 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عَبْدِ اللَّهِ بْنِ جُنْدَبٍ عَنْ سُفْيَانَ بْنِ السِّمْطِ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النَّقِيُّ يَكْبِتُ الْعَدُوَّ وَ الدُّهْنُ يَذْهَبُ بِالْبُؤْسِ وَ الْمَشْطُ لِلرَّأْسِ يَذْهَبُ بِالْوَبَاءِ قَالَ قُلْتُ وَ مَا الْوَبَاءُ قَالَ الْحُمَّى وَ الْمَشْطُ لِلِّحْيَةِ يَشُدُّ الْأَضْرَاسَ؛</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نوعی درخت است که به عنوان خضاب استفاده می شود؛ ازهری، محمد بن احمد، 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عِدَّةٍ مِنْ أَصْحَابِهِ عَنْ عَلِيِّ بْنِ أَسْبَاطٍ عَنْ عَمِّهِ يَعْقُوبَ بْنِ سَالِمٍ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مُخْتَضِبٌ بِالْوَسِمَةِ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احتمالا توصیه ای در خصوص زن حامله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هِشَامِ بْنِ الْحَكَمِ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الْحِنَّاءُ يَزِيدُ فِي مَاءِ الْوَجْهِ وَ يُكْثِرُ الشَّيْبَ؛</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أَصْحَابَنَا يَرْوُونَ أَنَّ حَلْقَ الرَّأْسِ فِي غَيْرِ حَجٍّ وَ لَا عُمْرَةٍ مُثْلَةٌ فَقَالَ كَانَ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قَضَى مَنَاسِكَهُ عَدَلَ إِلَى قَرْيَةٍ يُقَالُ لَهَا سَايَةُ فَحَلَقَ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 عَنْ صَفْوَانَ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تَقُولُ فِي إِطَالَةِ الشَّعْرِ فَقَالَ كَانَ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مُشْعِرِينَ يَعْنِي الطَّمَّ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عَلِيِّ بْنِ الْحَكَمِ عَنْ سَعْدَانَ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لَأَحْلِقُ كُلَّ جُمُعَةٍ فِيمَا بَيْنَ الطَّلْيَةِ إِلَى الطَّلْيَةِ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محمد محسن، الوافی،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امام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مُحَمَّدِ بْنِ أَبِي حَمْزَةَ عَنْ إِسْحَاقَ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قَالَ لِي اسْتَأْصِلْ شَعْرَكَ يَقِلُّ دَرَنُهُ وَ دَوَابُّهُ وَ وَسَخُهُ وَ تَغْلُظُ رَقَبَتُكَ وَ يَجْلُو بَصَرَكَ وَ فِي رِوَايَةٍ أُخْرَى وَ يَسْتَرِيحُ بَدَنُكَ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مُحَمَّدِ بْنِ عِيسَى عَنْ عَمْرِو بْنِ إِبْرَاهِيمَ عَنْ خَلَفِ بْنِ حَمَّادٍ عَنْ عَمْرِو بْنِ ثَابِتٍ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إِنَّهُمْ يَرْوُونَ أَنَّ الْفَرْقَ مِنَ السُّنَّةِ قَالَ مِنَ السُّنَّةِ قُلْتُ يَزْعُمُونَ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قَالَ مَا فَرَقَ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كَانَ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تُمْسِكُ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اثمد سنگ معروفی است که از آن سرمه سیاه تهیه می کنند و بهترین نوع آن اثمد اصفهانی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ازدی،کتاب الماء،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وَ مُحَمَّدُ بْنُ يَحْيَى عَنْ أَحْمَدَ بْنِ مُحَمَّدِ بْنِ عِيسَى عَنِ ابْنِ أَبِي عُمَيْرٍ عَنْ سُلَيْمٍ الْفَرَّاءِ عَنْ رَجُلٍ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يَكْتَحِلُ بِالْإِثْمِدِ إِذَا أَوَى إِلَى فِرَاشِهِ وَتْراً وَتْراً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احمد بن 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الْقَاسِمِ عَنْ صَفْوَانَ 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يَكْتَحِلُ قَبْلَ أَنْ يَنَامَ أَرْبَعاً فِي الْيُمْنَى وَ ثَلَاثاً فِي الْيُسْرَى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مُحَمَّدِ بْنِ سِنَانٍ عَنْ حَمَّادِ بْنِ عُثْمَانَ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 يُنْبِتُ الشَّعْرَ وَ يُجَفِّفُ الدَّمْعَةَ وَ وَ يُعْذِبُ الرِّيقَ وَ يَجْلُو الْبَصَرَ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زِيَادٍ عَنْ مُحَمَّدِ بْنِ عِيسَى عَنِ الْحَسَنِ بْنِ بَحْرٍ عَنْ مِهْزَمٍ الْأَسَدِيِّ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فِي السِّوَاكِ عَشَرَةُ خِصَالٍ مَطْهَرَةٌ لِلْفَمِ وَ مَرْضَاةٌ لِلرَّبِّ وَ مَفْرَحَةٌ لِلْمَلَائِكَةِ وَ هُوَ مِنَ السُّنَّةِ وَ يَشُدُّ اللِّثَةَ وَ يَجْلُو الْبَصَرَ وَ يَذْهَبُ بِالْبَلْغَمِ وَ يَذْهَبُ بِالْحَفْرِ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عِيسَى عَنْ مُحَمَّدِ بْنِ عَلِيٍّ الْهَمَذَانِيِّ عَنْ حَنَانِ بْنِ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رِجْلِي نَعْلٌ سَوْدَاءُ فَقَالَ يَا حَنَانُ مَا لَكَ وَ لِلسَّوْدَاءِ أَ مَا عَلِمْتَ أَنَّ فِيهَا ثَلَاثَ خِصَالٍ تُضْعِفُ الْبَصَرَ وَ تُرْخِي الذَّكَرَ وَ تُورِثُ الْهَمَّ وَ مَعَ ذَلِكَ مِنْ لِبَاسِ الْجَبَّارِينَ قَالَ فَقُلْتُ فَمَا أَلْبَسُ مِنَ النِّعَالِ قَالَ عَلَيْكَ بِالصَّفْرَاءِ فَإِنَّ فِيهَا ثَلَاثَ خِصَالٍ تَجْلُو الْبَصَرَ وَ تَشُدُّ الذَّكَرَ وَ تَدْرَأُ الْهَمَّ وَ هِيَ مَعَ ذَلِكَ مِنْ لِبَاسِ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که بعد از جوش آمدن ولرم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رَجُلٍ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أَفْطَرَ الرَّجُلُ عَلَى الْمَاءِ الْفَاتِرِ نَقَّى كَبِدَهُ وَ غَسَلَ الذُّنُوبَ مِنَ الْقَلْبِ وَ قَوَّى الْبَصَرَ وَ الْحَدَقَ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الْقَاسِمِ بْنِ يَحْيَى عَنْ جَدِّهِ الْحَسَنِ بْنِ رَاشِدٍ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غَسْلُ الْيَدَيْنِ قَبْلَ الطَّعَامِ وَ بَعْدَهُ زِيَادَةٌ فِي الْعُمُرِ وَ إِمَاطَةٌ لِلْغَمَرِ عَنِ الثِّيَابِ وَ يَجْلُو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عَنْ عَلِيِّ بْنِ أَسْبَاطٍ عَنْ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رَآنِي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بِخُرَاسَانَ وَ أَنَا أَشْتَكِي عَيْنِي فَقَالَ أَ لَا أَدُلُّكَ عَلَى شَيْ‌ءٍ إِنْ فَعَلْتَهُ لَمْ تَشْتَكِ عَيْنَكَ فَقُلْتُ بَلَى فَقَالَ خُذْ مِنْ أَظْفَارِكَ فِي كُلِّ خَمِيسٍ قَالَ فَفَعَلْتُ فَمَا اشْتَكَيْتُ عَيْنِي إِلَى يَوْمَ أَخْبَرْتُكَ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ذیل کلمه طریّ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یَنبُع شهری در غرب مدینه است که به چشمه‌های فراوان آن شهرت داشته و کوه رَضْویٰ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سال دوم هجری به تصرف مسلمانان درآمد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مَنْ ذَكَرَهُ عَنْ مُحَمَّدِ بْنِ سِنَانٍ 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يَنْبُعَ فَلَمَّا خَرَجَ رَأَيْتُ عَلَيْهِ خُفّاً أَحْمَرَ فَقُلْتُ لَهُ جُعِلْتُ فِدَاكَ مَا هَذَا الْخُفُّ الْأَحْمَرُ الَّذِي أَرَاهُ عَلَيْكَ فَقَالَ خُفٌّ اتَّخَذْتُهُ لِلسَّفَرِ وَ هُوَ أَبْقَى عَلَى الطِّينِ وَ الْمَطَرِ وَ أَحْمَل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مُحَمَّدِ بْنِ عِيسَى عَنْ سَلَمَةَ بْنِ أَبِي حَبَّةَ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الْخُفِّ يَزِيدُ فِي قُوَّةِ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الْعُوسِيِّ عَنْ أَبِي جَعْفَرٍ الْمُسْلِيِّ عَنْ سُلَيْمَانَ بْنِ سَعْدٍ عَنْ مَنِيعٍ 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لُبْسُ الْخُفِّ أَمَانٌ مِنَ السِّلِّ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مُحَمَّدِ بْنِ عَبْدِ اللَّهِ عَنْ عَلِيٍّ الْبَغْدَادِيِّ عَنْ أَبِي الْحَسَنِ الضَّرِيرِ عَنْ أَبِي سَلَمَةَ السَّرَّاجِ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إِدْمَانُ الْخُفِّ يَقِي مِيتَةَ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ثِيابَكَ فَطَهِّرْ قَالَ فَشَمِّرْ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الْحَسَنِ بْنِ عَلِيٍّ الْوَشَّاءِ عَنْ أَحْمَدَ بْنِ عَائِذٍ عَنْ أَبِي خَدِيجَةَ عَنْ مُعَلَّى بْنِ خُنَيْسٍ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عِنْدَكُمْ فَأَتَى بَنِي دِيوَانٍ وَ اشْتَرَى ثَلَاثَةَ أَثْوَابٍ بِدِينَارٍ الْقَمِيصَ إِلَى فَوْقِ الْكَعْبِ وَ الْإِزَارَ إِلَى نِصْفِ السَّاقِ وَ الرِّدَاءَ مِنْ بَيْنِ يَدَيْهِ إِلَى ثَدْيَيْهِ وَ مِنْ خَلْفِهِ إِلَى أَلْيَتَيْهِ ثُمَّ رَفَعَ يَدَهُ إِلَى السَّمَاءِ فَلَمْ يَزَلْ يَحْمَدُ اللَّهَ عَلَى مَا كَسَاهُ حَتَّى دَخَلَ مَنْزِلَهُ ثُمَّ قَالَ هَذَا اللِّبَاسُ الَّذِي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لِلْمُسْلِمِينَ أَنْ يَلْبَسُوهُ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لَا يَقْدِرُونَ أَنْ يَلْبَسُوا هَذَا الْيَوْمَ وَ لَوْ فَعَلْنَاهُ لَقَالُوا مَجْنُونٌ وَ لَقَالُوا مُرَاءٍ وَ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ثِيابَكَ فَطَهِّرْ قَالَ وَ ثِيَابَكَ ارْفَعْهَا وَ لَا تَجُرَّهَا وَ إِذَا قَامَ قَائِمُنَا كَانَ هَذَا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عَلِيِّ بْنِ الْحَكَمِ عَنْ عَبْدِ الرَّحْمَنِ بْنِ عُثْمَانَ عَنْ رَجُلٍ مِنْ أَهْلِ الْيَمَامَةِ كَانَ مَعَ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أَيَّامَ حُبِسَ بِبَغْدَادَ قَالَ قَالَ لِي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قَالَ لِنَبِيِّهِ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ثِيابَكَ فَطَهِّرْ وَ كَانَتْ ثِيَابُهُ طَاهِرَةً وَ إِنَّمَا أَمَرَهُ بِالتَّشْمِيرِ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مُحَمَّدِ بْنِ عَلِيٍّ عَنْ رَجُلٍ عَنْ سَلَمَةَ بَيَّاعِ الْقَلَانِسِ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دَخَلَ عَلَيْهِ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أَ لَا تُطَهِّرُ قَمِيصَكَ فَذَهَبَ فَظَنَنَّا أَنَّ ثَوْبَهُ قَدْ أَصَابَهُ شَيْ‌ءٌ فَرَجَعَ فَقَالَ إِنَّهُ هَكَذَا فَقُلْنَا جَعَلَنَا اللَّهُ فِدَاكَ مَا لِقَمِيصِهِ قَالَ كَانَ قَمِيصُهُ طَوِيلًا وَ أَمَرْتُهُ أَنْ يُقَصِّرَ إِنَّ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ثِيابَكَ فَطَهِّرْ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که در آن ذغال قرار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 ذیل ماده جمر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مُرَازِمٍ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فَلَمَّا خَرَجَ إِلَى الْمَسْلَخِ دَعَا بِمِجْمَرَةٍ فَتَجَمَّرَ بِهَا ثُمَّ قَالَ جَمِّرُوا مُرَازِمُ قَالَ قُلْتُ مَنْ أَرَادَ أَنْ يَأْخُذَ نَصِيبَهُ يَأْخُذُ قَالَ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أَحْمَدَ عَنْ عَلِيِّ بْنِ الرَّيَّانِ عَنْ أَحْمَدَ بْنِ أَبِي خَلَفٍ مَوْلَى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اشْتَرَاهُ وَ أَبَاهُ وَ أُمَّهُ وَ أَخَاهُ فَأَعْتَقَهُمْ وَ اسْتَكْتَبَ أَحْمَدَ وَ جَعَلَهُ قَهْرَمَانَهُ فَقَالَ أَحْمَدُ كَانَ نِسَاءُ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تَبَخَّرْنَ أَخَذْنَ نَوَاةً مِنْ نَوَى الصَّيْحَانِي مَمْسُوحَةً مِنَ التَّمْرِ مُنْقَاةَ التَّمْرِ وَ الْقُشَارَةِ فَأَلْقَيْنَهَا عَلَى النَّارِ قَبْلَ الْبَخُورِ فَإِذَا دَخَنَتِ النَّوَاةُ أَدْنَى الدُّخَانِ رَمَيْنَ النَّوَاةَ وَ تَبَخَّرْنَ مِنْ بَعْدُ وَ كُنَّ يَقُلْنَ هُوَ أَعْبَقُ وَ أَطْيَبُ لِلْبَخُورِ وَ كُنَّ يَأْمُرْنَ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عَنْ مُوسَى بْنِ الْقَاسِمِ عَنْ عَلِيِّ بْنِ أَسْبَاطٍ عَنِ الْحَسَنِ بْنِ 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فَوَجَدْتُ مِنْهُ رَائِحَةَ التَّجْمِيرِ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احمد بن ابی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رَفَعَهُ إِلَى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كَنْسُ الْبَيْتِ يَنْفِي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عَلِيِّ بْنِ أَسْبَاطٍ عَنْ عَمِّهِ يَعْقُوبَ بْنِ سَالِمٍ رَفَعَهُ 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تُؤْوُوا التُّرَابَ خَلْفَ الْبَابِ فَإِنَّهُ مَأْوَى الشَّيَاطِينِ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أَحْمَدَ بْنِ إِسْحَاقَ عَنْ سَعْدَانَ بْنِ مُسْلِمٍ عَنْ إِسْحَاقَ بْنِ عَمَّارٍ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اكْنُسُوا أَفْنِيَتَكُمْ وَ لَا تَشَبَّهُوا بِالْيَهُودِ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صَلَوَاتُ اللَّهِ عَلَيْهِ يَحْتَطِبُ وَ يَسْتَقِي وَ يَكْنُسُ وَ كَانَتْ فَاطِمَةُ سَلَامُ اللَّهِ عَلَيْهَا تَطْحَنُ وَ تَعْجِنُ وَ تَخْبِزُ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الْحَسَنِ بْنِ عَلِيٍّ الْوَشَّاءِ عَنْ أَبَانٍ عَنْ عَمْرِو بْنِ خَالِدٍ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رَسُولَ اللَّهِ إِنَّا لَا نَدْخُلُ بَيْتاً فِيهِ صُورَةُ إِنْسَانٍ وَ لَا بَيْتاً يُبَالُ فِيهِ وَ لَا بَيْتاً فِيهِ 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الْكَلْبِ نُمْسِكُهُ فِي الدَّارِ قَالَ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احمد بن حسین، رجال ابن غضائری،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رضا حسینی جلالی،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نجاشی،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التابعه لجامعة المدرسين بقم المشرفه، چاپ ششم،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بهداشت روان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بهداشت روانی اندرو ساپینگتون،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حسین شاهی برواتی؛ روانشناسی سلامت، حسین آزاد؛ بهداشت روان در اسلام، حمید فتاحی؛ بهداشت روان در سفرهای زیارتی، عبد الامام هویزاوی و عزیز الله تاجیک اسماعیلی؛ نقش دین در بهداشت روان از منظر قرآن، مصطفی محمدی بختیاری؛ نقش دعا و زیارت در بهداشت روان، کامران علوی و هما کاظمی؛ بهداشت و سلامت روان با نگرشی به آموزه های دین و سیره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سلیمان قاسمی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عَنْ أَحْمَدَ بْنِ مُحَمَّدِ بْنِ عِيسَى عَنْ مُحَمَّدِ بْنِ سِنَانٍ عَنِ الْعَلَاءِ بْنِ فُضَيْلٍ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مِنَ الْإِيمَانِ بِمَنْزِلَةِ الرَّأْسِ مِنَ الْجَسَدِ فَإِذَا ذَهَبَ الرَّأْسُ ذَهَبَ الْجَسَدُ كَذَلِكَ إِذَا ذَهَبَ الصَّبْرُ ذَهَبَ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عَنْ مُعَلَّى بْنِ مُحَمَّدٍ عَنِ الْوَشَّاءِ 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صُبُرٌ وَ شِيعَتُنَا أَصْبَرُ مِنَّا قُلْتُ جُعِلْتُ فِدَاكَ كَيْفَ صَارَ شِيعَتُكُمْ أَصْبَرَ مِنْكُمْ قَالَ لِأَنَّا نَصْبِرُ عَلَى مَا نَعْلَمُ وَ شِيعَتُنَا يَصْبِرُونَ عَلَى 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المرتضویة،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وَ عَلِيِّ بْنِ مُحَمَّدٍ الْقَاسَانِيِّ جَمِيعاً عَنِ الْقَاسِمِ بْنِ مُحَمَّدٍ الْأَصْبَهَانِيِّ عَنْ سُلَيْمَانَ بْنِ دَاوُدَ الْمِنْقَرِيِّ عَنْ حَفْصِ بْنِ غِيَاثٍ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حَفْصُ إِنَّ مَنْ صَبَرَ صَبَرَ قَلِيلًا وَ إِنَّ مَنْ جَزِعَ جَزِعَ قَلِيلًا ثُمَّ قَالَ عَلَيْكَ بِالصَّبْرِ فِي جَمِيعِ أُمُورِكَ فَإِنَّ اللَّهَ عَزَّ وَ جَلَّ بَعَثَ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بِالصَّبْرِ وَ الرِّفْقِ فَقَالَ وَ اصْبِرْ عَلى ما يَقُولُونَ وَ اهْجُرْهُمْ هَجْراً جَمِيلًا وَ ذَرْنِي وَ الْمُكَذِّبِينَ أُولِي النَّعْمَةِ وَ قَالَ تَبَارَكَ وَ تَعَالَى ادْفَعْ بِالَّتِي هِيَ 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الَّذِي بَيْنَكَ وَ بَيْنَهُ عَداوَةٌ كَأَنَّهُ وَلِيٌّ حَمِيمٌ وَ ما يُلَقَّاها إِلَّا الَّذِينَ صَبَرُوا وَ ما يُلَقَّاها إِلَّا ذُو حَظٍّ عَظِيمٍ فَصَبَرَ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نَالُوهُ بِالْعَظَائِمِ وَ رَمَوْهُ بِهَا فَضَاقَ صَدْرُهُ فَأَنْزَلَ اللَّهُ عَزَّ وَ جَلَّ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نَعْلَمُ أَنَّكَ يَضِيقُ صَدْرُكَ بِما يَقُولُونَ فَسَبِّحْ بِحَمْدِ رَبِّكَ وَ كُنْ مِنَ السَّاجِدِينَ ثُمَّ كَذَّبُوهُ وَ رَمَوْهُ فَحَزِنَ لِذَلِكَ فَأَنْزَلَ اللَّهُ عَزَّ وَ جَلَّ قَدْ نَعْلَمُ إِنَّهُ لَيَحْزُنُكَ الَّذِي يَقُولُونَ فَإِنَّهُمْ لا يُكَذِّبُونَكَ وَ لكِنَّ الظَّالِمِينَ بِآياتِ اللَّهِ يَجْحَدُونَ وَ لَقَدْ كُذِّبَتْ رُسُلٌ مِنْ قَبْلِكَ فَصَبَرُوا عَلى ما كُذِّبُوا وَ أُوذُوا حَتَّى أَتاهُمْ نَصْرُنا فَأَلْزَمَ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الصَّبْرَ فَتَعَدَّوْا فَذَكَرَ اللَّهَ تَبَارَكَ وَ تَعَالَى وَ كَذَّبُوهُ فَقَالَ قَدْ صَبَرْتُ فِي نَفْسِي وَ أَهْلِي وَ عِرْضِي وَ لَا صَبْرَ لِي عَلَى ذِكْرِ إِلَهِي فَأَنْزَلَ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السَّماواتِ وَ الْأَرْضَ وَ ما بَيْنَهُما فِي سِتَّةِ أَيَّامٍ وَ ما مَسَّنا مِنْ لُغُوبٍ فَاصْبِرْ عَلى ما يَقُولُونَ فَصَبَرَ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أَحْوَالِهِ ثُمَّ بُشِّرَ فِي عِتْرَتِهِ بِالْأَئِمَّةِ وَ وُصِفُوا بِالصَّبْرِ فَقَالَ جَلَّ ثَنَاؤُهُ وَ جَعَلْنا مِنْهُمْ أَئِمَّةً يَهْدُونَ بِأَمْرِنا لَمَّا صَبَرُوا وَ كانُوا بِآياتِنا يُوقِنُون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أَبِيهِ عَنْ جَعْفَرِ بْنِ مُحَمَّدٍ الْأَشْعَرِيِّ عَنْ عَبْدِ اللَّهِ بْنِ مَيْمُونٍ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فَإِذَا هُوَ بِرَجُلٍ عَلَى بَابِ الْمَسْجِدِ كَئِيبٍ حَزِينٍ 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لَكَ قَالَ يَا أَمِيرَ الْمُؤْمِنِينَ أُصِبْتُ بِأَبِي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أَخِي وَ أَخْشَى أَنْ أَكُونَ قَدْ وَجِلْتُ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 بِتَقْوَى اللَّهِ وَ الصَّبْرِ تَقْدَمْ عَلَيْهِ غَداً وَ الصَّبْرُ فِي الْأُمُورِ بِمَنْزِلَةِ الرَّأْسِ مِنَ الْجَسَدِ فَإِذَا فَارَقَ الرَّأْسُ الْجَسَدَ فَسَدَ الْجَسَدُ وَ إِذَا فَارَقَ الصَّبْرُ الْأُمُورَ فَسَدَتِ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إِسْمَاعِيلَ بْنِ مِهْرَانَ عَنْ دُرُسْتَ بْنِ أَبِي مَنْصُورٍ عَنْ عِيسَى بْنِ بَشِيرٍ عَنْ أَبِي حَمْزَةَ 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حَضَرَتْ أَبِي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ضَمَّنِي إِلَى صَدْرِهِ وَ قَالَ يَا بُنَيَّ أُوصِيكَ بِمَا أَوْصَانِي بِهِ أَبِي حِينَ حَضَرَتْهُ الْوَفَاةُ وَ بِمَا ذَكَرَ أَنَّ أَبَاهُ أَوْصَاهُ بِهِ يَا بُنَيَّ اصْبِرْ عَلَى الْحَقِّ وَ إِنْ كَانَ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محمد صالح، شرح الکافی، تحقیق ابوالحسن شعرانی،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الاسلامیة،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 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آتِيَ الْمُفَضَّلَ وَ أُعَزِّيَهُ بِإِسْمَاعِيلَ وَ قَالَ أَقْرِئِ الْمُفَضَّلَ السَّلَامَ وَ قُلْ لَهُ إِنَّا قَدْ أُصِبْنَا بِإِسْمَاعِيلَ فَصَبَرْنَا فَاصْبِرْ كَمَا صَبَرْنَا إِنَّا أَرَدْنَا أَمْراً وَ أَرَادَ اللَّهُ عَزَّ وَ جَلَّ أَمْراً فَسَلَّمْنَا لِأَمْرِ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حَمَّادٍ عَنْ رِبْعِيٍّ عَمَّنْ حَدَّثَهُ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قَالَ لِي أَبِي يَا بُنَيَّ مَا مِنْ شَيْ‌ءٍ أَقَرَّ لِعَيْنِ أَبِيكَ مِنْ جُرْعَةِ غَيْظٍ عَاقِبَتُهَا صَبْرٌ وَ مَا مِنْ شَيْ‌ءٍ يَسُرُّنِي أَنَّ لِي بِذُلِّ نَفْسِي حُمْرَ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عَنْ مُحَمَّدِ بْنِ عَبْدِ الْجَبَّارِ عَنِ ابْنِ فَضَّالٍ عَنْ غَالِبِ بْنِ عُثْمَانَ عَنْ عَبْدِ اللَّهِ بْنِ مُنْذِرٍ عَنِ الْوَصَّافِيِّ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كَظَمَ غَيْظاً وَ هُوَ يَقْدِرُ عَلَى إِمْضَائِهِ حَشَا اللَّهُ قَلْبَهُ أَمْناً وَ إِيمَاناً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إِسْمَاعِيلَ بْنِ مِهْرَانَ عَنْ سَيْفِ بْنِ عَمِيرَةَ قَالَ حَدَّثَنِي مَنْ سَمِعَ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مَنْ كَظَمَ غَيْظاً وَ لَوْ شَاءَ أَنْ يُمْضِيَهُ أَمْضَاهُ أَمْلَأَ اللَّهُ قَلْبَهُ يَوْمَ الْقِيَامَةِ 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بن بابویه،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مفید، محمد بن محمد، الارشاد فی معرفة حجج الله علی العباد،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إِبْرَاهِيمَ بْنِ أَبِي الْبِلَادِ عَنْ عَاصِمِ بْنِ حُمَيْدٍ عَنْ أَبِي حَمْزَةَ الثُّمَالِيِّ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وَ الرِّضَا عَنِ اللَّهِ رَأْسُ طَاعَةِ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مُحَمَّدِ بْنِ عَلِيٍّ عَنْ عَلِيِّ بْنِ أَسْبَاطٍ عَمَّنْ ذَكَرَهُ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الْحَسَنُ بْنُ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فَقَالَ يَا عَبْدَ اللَّهِ كَيْفَ يَكُونُ الْمُؤْمِنُ مُؤْمِناً وَ هُوَ يَسْخَطُ قِسْمَهُ وَ يُحَقِّرُ مَنْزِلَتَهُ وَ الْحَاكِمُ عَلَيْهِ اللَّهُ وَ أَنَا الضَّامِنُ لِمَنْ لَمْ يَهْجُسْ فِي قَلْبِهِ إِلَّا الرِّضَا أَنْ يَدْعُوَ اللَّهَ فَيُسْتَجَابَ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أَبِيهِ عَنِ ابْنِ سِنَانٍ عَنِ الْحُسَيْنِ بْنِ الْمُخْتَارِ عَنْ عَبْدِ اللَّهِ 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لِشَيْ‌ءٍ قَدْ مَضَى لَوْ كَانَ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مشهدی، محمد بن جعفر، المزار الکبیر،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سید مرتضی، فضائل الخمسة،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به نقل از صحیح مسلم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کلابی، عبدالوهاب بن حسن، مناقب کلابی،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الأضواء،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منتهی الآمال فی تواریخ النبی و الآل،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روزبهان، فضل، وسيلة الخادم إلى المخدوم در شرح صلوات چهارده معصوم عليهم السلام،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عَنْ أَبِيهِ عَنْ حَمَّادِ بْنِ عِيسَى عَنْ حَرِيزِ بْنِ عَبْدِ اللَّهِ عَنْ بَحْرٍ السَّقَّاءِ قَالَ 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بَحْرُ حُسْنُ الْخُلُقِ يُسْرٌ ثُمَّ قَالَ أَ لَا أُخْبِرُكَ بِحَدِيثٍ مَا هُوَ فِي يَدَيْ أَحَدٍ مِنْ أَهْلِ الْمَدِينَةِ قُلْتُ بَلَى قَالَ 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يَوْمٍ جَالِسٌ فِي الْمَسْجِدِ إِذْ جَاءَتْ جَارِيَةٌ لِبَعْضِ الْأَنْصَارِ وَ هُوَ قَائِمٌ فَأَخَذَتْ بِطَرَفِ ثَوْبِهِ فَقَامَ 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تَقُلْ شَيْئاً وَ لَمْ يَقُلْ 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حَتَّى فَعَلَتْ ذَلِكَ ثَلَاثَ مَرَّاتٍ فَقَامَ لَهَا النَّبِيُّ فِي الرَّابِعَةِ وَ هِيَ خَلْفَهُ فَأَخَذَتْ هُدْبَةً مِنْ ثَوْبِهِ ثُمَّ رَجَعَتْ فَقَالَ لَهَا النَّاسُ فَعَلَ اللَّهُ بِكِ وَ فَعَلَ حَبَسْتِ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لَا تَقُولِينَ لَهُ شَيْئاً وَ لَا هُوَ يَقُولُ لَكِ شَيْئاً مَا كَانَتْ حَاجَتُكِ إِلَيْهِ قَالَتْ إِنَّ لَنَا مَرِيضاً فَأَرْسَلَنِي أَهْلِي لآِخُذَ هُدْبَةً مِنْ ثَوْبِهِ لِيَسْتَشْفِيَ بِهَا فَلَمَّا أَرَدْتُ أَخْذَهَا رَآنِي فَقَامَ فَاسْتَحْيَيْتُ مِنْهُ أَنْ آخُذَهَا وَ هُوَ يَرَانِي وَ أَكْرَهُ أَنْ أَسْتَأْمِرَهُ فِي أَخْذِهَا فَأَخَذْتُهَا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مطهر حلی، حسن بن یوسف، كشف اليقين،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سید محسن، اعیان الشیعة،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التعارف،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عَنْ عَلِيِّ بْنِ الْحَكَمِ عَنِ الْحُسَيْنِ بْنِ أَبِي الْعَلَاءِ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لَمْ يَبْعَثْ نَبِيّاً إِلَّا بِصِدْقِ الْحَدِيثِ وَ أَدَاءِ الْأَمَانَةِ إِلَى الْبَرِّ وَ الْفَاجِرِ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مَحْبُوبٍ عَنْ أَبِي كَهْمَسٍ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يَعْفُورٍ يُقْرِئُكَ السَّلَامَ قَالَ عَلَيْكَ وَ عَلَيْهِ السَّلَامُ إِذَا أَتَيْتَ عَبْدَ اللَّهِ فَأَقْرِئْهُ السَّلَامَ وَ قُلْ لَهُ إِنَّ جَعْفَرَ بْنَ مُحَمَّدٍ يَقُولُ لَكَ انْظُرْ مَا بَلَغَ 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فَالْزَمْهُ فَإِنَّ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بَلَغَ مَا بَلَغَ بِهِ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بِصِدْقِ الْحَدِيثِ وَ أَدَاءِ الْأَمَانَةِ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محمد بن سلیمان، مناقب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احیاء الثقافة الاسلامیة،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حلوانى، حسين بن محمد، نزهة الناظر و تنبیه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عجل الله تعالى فرجه الشريف،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بیهقی، احمد بن حسین، 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 يُسْتَخْدَمَ الضَّيْفُ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محمد بن على،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سید محسن،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سید محسن،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احمد بن حسین، 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حسین بن محمد تقی، مستدرک الوسائل،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به نقل از لب اللباب قطب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طباطبایی، سید محمد حسین، سنن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عَنْ مُحَمَّدِ بْنِ سِنَانٍ عَنْ عَمَّارِ بْنِ مَرْوَانَ عَنْ زَيْدٍ الشَّحَّامِ عَنْ عَمْرِو بْنِ هِلَالٍ 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أَنْ تُطْمِحَ بَصَرَكَ إِلَى مَنْ فَوْقَكَ فَكَفَى بِمَا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تُعْجِبْكَ أَمْوالُهُم وَ لا أَوْلادُهُمْ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تَمُدَّنَّ عَيْنَيْكَ إِلى ما مَتَّعْنا بِهِ أَزْواجاً مِنْهُمْ زَهْرَةَ الْحَياةِ الدُّنْيا فَإِنْ دَخَلَكَ مِنْ ذَلِكَ شَيْ‌ءٌ فَاذْكُرْ عَيْشَ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كَانَ قُوتُهُ الشَّعِيرَ وَ حَلْوَاهُ التَّمْرَ وَ وَقُودُهُ السَّعَفَ إِذَا وَجَدَهُ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عَنِ الْحَسَنِ بْنِ مَحْبُوبٍ عَنْ جَمِيلِ بْنِ صَالِحٍ عَنْ عَبْدِ الْمَلِكِ بْنِ غَالِبٍ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لِلْمُؤْمِنِ أَنْ يَكُونَ فِيهِ 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قَانِعاً بِمَا رَزَقَهُ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سید محسن، اعیان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مِهْرَانَ عَنْ أَيْمَنَ بْنِ مُحْرِزٍ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صَافَحَ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قَطُّ فَنَزَعَ يَدَهُ حَتَّى يَكُونَ هُوَ الَّذِي يَنْزِعُ يَدَهُ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روزبهان، فضل، وسيلة الخادم إلى المخدوم،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منتهی الآمال فی تواریخ النبی و الآل،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به نقل از ابن شهر آشوب مازندرانى، محمد بن على،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رَفَعَهُ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مِنَّا مَنْ لَمْ يُوَقِّرْ كَبِيرَنَا وَ يَرْحَمْ صَغِيرَنَا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تَكَلَّمَ الْحُسَيْنُ بَيْنَ يَدَيِ الْحَسَنِ إِعْظَاماً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 محمد بن علی،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أُصْلِحَ بَيْنَ اثْنَيْنِ أَحَبُّ إِلَيَّ مِنْ أَنْ أَتَصَدَّقَ بِدِينَارَيْنِ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وَ مُحَمَّدُ بْنُ إِسْمَاعِيلَ عَنِ الْفَضْلِ بْنِ شَاذَانَ جَمِيعاً عَنِ ابْنِ أَبِي عُمَيْرٍ عَنْ إِبْرَاهِيمَ بْنِ عَبْدِ الْحَمِيدِ عَنْ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يَقُولُ إِنَّ أَحَبَّ الْأَعْمَالِ إِلَى اللَّهِ عَزَّ وَ جَلَّ إِدْخَالُ السُّرُورِ عَلَى الْمُؤْمِن شَبْعَةُ مُسْلِمٍ أَوْ قَضَاءُ 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برادار صرفاً جنس مرد نیست بلکه خواهر ایمانی را نیز شامل می شود و از باب غلبه است، چنانکه در قرآن کریم نیز از باب غلبه مثلا تعبیر مؤمن را بیان می کند که البته و زن مؤمن نیز مقصود قرآن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الْحُسَيْنِ عَنْ مُحَمَّدِ بْنِ إِسْمَاعِيلَ بْنِ بَزِيعٍ عَنْ صَالِحِ بْنِ عُقْبَةَ عَنْ يَزِيدَ بْنِ عَبْدِ الْمَلِكِ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تَزَاوَرُوا فَإِنَّ فِي زِيَارَتِكُمْ إِحْيَاءً لِقُلُوبِكُم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أَحْمَدَ بْنِ مُحَمَّدٍ عَنِ ابْنِ فَضَّالٍ عَنِ ابْنِ مُسْكَانَ عَنْ مُيَسِّرٍ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 تَخْلُونَ وَ تَتَحَدَّثُونَ وَ تَقُولُونَ مَا شِئْتُمْ فَقُلْتُ إِي وَ اللَّهِ إِنَّا لَنَخْلُو وَ نَتَحَدَّثُ وَ نَقُولُ مَا شِئْنَا فَقَالَ أَمَا وَ اللَّهِ لَوَدِدْتُ أَنِّي مَعَكُمْ فِي بَعْضِ تِلْكَ الْمَوَاطِنِ أَمَا وَ اللَّهِ إِنِّي لَأُحِبُّ رِيحَكُمْ وَ أَرْوَاحَكُمْ وَ إِنَّكُمْ عَلَى دِينِ اللَّهِ وَ دِينِ مَلَائِكَتِهِ فَأَعِينُوا بِوَرَعٍ وَ 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عَنْ مُحَمَّدِ بْنِ سُلَيْمَانَ عَنْ مُحَمَّدِ بْنِ مَحْفُوظٍ عَنْ أَبِي الْمَغْرَاءِ قَالَ 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لَيْسَ شَيْ‌ءٌ أَنْكَى لِإِبْلِيسَ وَ جُنُودِهِ مِنْ زِيَارَةِ الْإِخْوَانِ فِي اللَّهِ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احمد بن علی، تاریخ بغداد،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سید مرتضی، فضائل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عَلِيِّ بْنِ الْحَكَمِ 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بَيْنَ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عَبْدِ اللَّهِ بْنِ الْحَسَنِ كَلَامٌ حَتَّى وَقَعَتِ الضَّوْضَاءُ بَيْنَهُمْ وَ اجْتَمَعَ النَّاسُ فَافْتَرَقَا عَشِيَّتَهُمَا بِذَلِكَ وَ غَدَوْتُ فِي حَاجَةٍ فَإِذَا أَنَا بِأَبِي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بَابِ عَبْدِ اللَّهِ بْنِ الْحَسَنِ وَ هُوَ يَقُولُ يَا جَارِيَةُ قُولِي لِأَبِي مُحَمَّدٍ يَخْرُجُ قَالَ فَخَرَجَ فَقَالَ يَا أَبَا عَبْدِ اللَّهِ مَا بَكَّرَ بِكَ فَقَالَ إِنِّي تَلَوْتُ آيَةً مِنْ كِتَابِ اللَّهِ عَزَّ وَ جَلَّ الْبَارِحَةَ فَأَقْلَقَتْنِي قَالَ وَ مَا هِيَ قَالَ قَوْلُ اللَّهِ جَلَّ وَ عَزَّ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يَصِلُونَ ما أَمَرَ اللَّهُ بِهِ أَنْ يُوصَلَ وَ يَخْشَوْنَ رَبَّهُمْ وَ يَخافُونَ سُوءَ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صَدَقْتَ لَكَأَنِّي لَمْ أَقْرَأْ هَذِهِ الْآيَةَ مِنْ كِتَابِ اللَّهِ جَلَّ وَ عَزَّ قَطُّ فَاعْتَنَقَا وَ بَكَيَا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عَلِيِّ بْنِ الْحَكَمِ عَنْ دَاوُدَ بْنِ فَرْقَدٍ قَالَ 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أُحِبُّ أَنْ يَعْلَمَ اللَّهُ أَنِّي قَدْ أَذْلَلْتُ رَقَبَتِي فِي رَحِمِي وَ أَنِّي لَأُبَادِرُ أَهْلَ بَيْتِي أَصِلُهُمْ قَبْلَ أَنْ يَسْتَغْنُوا 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تُنْسِئُ فِي 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صِلَةَ الرَّحِمِ تُزَكِّي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تَزِيدُ فِي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تَدْفَعُ الْبَلْوَى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صِلَةَ الرَّحِمِ وَ الْبِرَّ لَيُهَوِّنَانِ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الْأَرْحَامِ تُحَسِّنُ الْخُلُقَ وَ تُسَمِّحُ الْكَفَّ وَ تُطَيِّبُ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تُسَمِّحُ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تُطَيِّبُ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صِلَةُ 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تُحَبِّبُ فِي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وَ حُسْنُ الْجِوَارِ يَعْمُرَانِ الدِّيَار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صِلَةَ الرَّحِمِ وَ الْبِرَّ لَيُهَوِّنَانِ الْحِسَابَ وَ يَعْصِمَانِ مِنَ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 مَصَارِعَ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برحمی و إن قطعنی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حنبل، احمد، مسند ابن حنبل،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محمد بن على،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ذیل کلمه مدارا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عَنْ عَلِيِّ بْنِ الْحَكَمِ عَنِ الْحُسَيْنِ بْنِ الْحَسَنِ قَالَ سَمِعْتُ جَعْفَراً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جَاءَ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مُحَمَّدُ رَبُّكَ يُقْرِئُكَ السَّلَامَ وَ يَقُولُ لَكَ دَارِ خَلْقِي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عَنْ مُحَمَّدِ بْنِ عَبْدِ الْجَبَّارِ عَنْ مُحَمَّدِ بْنِ إِسْمَاعِيلَ بْنِ بَزِيعٍ عَنْ حَمْزَةَ بْنِ بَزِيعٍ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رَبِّي بِمُدَارَاةِ النَّاسِ كَمَا أَمَرَنِي بِأَدَاءِ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هَارُونَ بْنِ مُسْلِمٍ 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مُدَارَاةُ النَّاسِ نِصْفُ الْإِيمَان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احمد بن حسین، 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الملک، السیرة النبویة،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أَ لَا أُخْبِرُكُمْ بِخَيْرِ خَلَائِقِ الدُّنْيَا وَ الْآخِرَةِ الْعَفْوُ عَمَّنْ ظَلَمَكَ وَ تَصِلُ مَنْ قَطَعَكَ وَ الْإِحْسَانُ إِلَى مَنْ أَسَاءَ إِلَيْكَ وَ إِعْطَاءُ مَنْ حَرَمَكَ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مُحَمَّدِ بْنِ عَبْدِ الْحَمِيدِ عَنْ يُونُسَ بْنِ يَعْقُوبَ عَنْ غُرَّةَ بْنِ دِينَارٍ الرَّقِّيِّ عَنْ أَبِي إِسْحَاقَ السَّبِيعِيِّ رَفَعَهُ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أَدُلُّكُمْ عَلَى خَيْرِ أَخْلَاقِ الدُّنْيَا وَ الْآخِرَةِ تَصِلُ مَنْ قَطَعَكَ وَ تُعْطِي مَنْ حَرَمَكَ وَ تَعْفُو عَمَّنْ ظَلَمَكَ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مُحَمَّدِ بْنِ عِيسَى عَنْ يُونُسَ عَنْ عَمْرِو بْنِ شِمْر 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لَا يَزِيدُ اللَّهُ بِهِنَّ الْمَرْءَ الْمُسْلِمَ إِلَّا عِزّاً الصَّفْحُ عَمَّنْ ظَلَمَهُ وَ إِعْطَاءُ مَنْ حَرَمَهُ وَ الصِّلَةُ لِمَنْ 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عَنْ سَعْدَانَ عَنْ مُعَتِّبٍ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حَائِطٍ لَهُ يَصْرِمُ فَنَظَرْتُ إِلَى غُلَامٍ لَهُ قَدْ أَخَذَ كَارَةً مِنْ تَمْرٍ فَرَمَى بِهَا وَرَاءَ الْحَائِطِ فَأَتَيْتُهُ وَ أَخَذْتُهُ وَ ذَهَبْتُ بِهِ إِلَيْهِ فَقُلْتُ جُعِلْتُ فِدَاكَ إِنِّي وَجَدْتُ هَذَا وَ هَذِهِ الْكَارَةَ فَقَالَ لِلْغُلَامِ يَا فُلَانُ قَالَ لَبَّيْكَ قَالَ أَ تَجُوعُ قَالَ لَا يَا سَيِّدِي قَالَ فَتَعْرَى قَالَ لَا يَا سَيِّدِي قَالَ فَلِأَيِّ شَيْ‌ءٍ أَخَذْتَ هَذِهِ قَالَ اشْتَهَيْتُ ذَلِكَ قَالَ اذْهَبْ فَهِيَ لَكَ وَ قَالَ خَلُّوا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عَنِ ابْنِ فَضَّالٍ عَنِ ابْنِ بُكَيْرٍ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بِالْيَهُودِيَّةِ الَّتِي سَمَّتِ الشَّاةَ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مَا حَمَلَكِ عَلَى مَا صَنَعْتِ فَقَالَتْ قُلْتُ إِنْ كَانَ نَبِيّاً لَمْ يَضُرَّهُ وَ إِنْ كَانَ مَلِكاً أَرَحْتُ النَّاسَ مِنْهُ قَالَ فَعَفَا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المناقب،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فی معرفة حجج الله علی العباد،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اشعث، محمد بن محمد،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النینوی الحدیثة، بی تا،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فیضی، آصف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علیهم السلام،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اثبات الهداة بالنصوص و المعجزات،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اعلمی،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اعلام الوری بأعلام الهدی،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تقی الدین، إمتاع الأسماع بما للنبي من الأحوال و الأموال و الحفدة و المتاع،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امین عاملی، سید محسن،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تقی الدین، إمتاع الأسماع،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سليمان بن اشعث، سنن ابو داود،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محمد بن عيسى، الجامع الصحیح،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احمد بن حسین، 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امین عاملی، سید محسن،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نصر، وقعة صفین،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مرعشی،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عیاشی، محمد بن مسعود، تفسیر العیاشی،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العلمیة،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محمد بن علی بن بابویه،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محمد بن علی ابن بابویه، ثواب الاعمال،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جِنَازَةٍ لِبَعْضِ قَرَابَتِه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جَنَازَةٍ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محمد بن عبد الله،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محمد بن یزید، سنن ابن ماجه،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احمد بن حسین، دلائل النبوة،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 عبد الله بن محمد، رسائل ابن ابی الدنیا فی الزهد و الرقائق و الورع، امارات، المنتدی الاسلامی،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36644</Words>
  <Characters>139083</Characters>
  <CharactersWithSpaces>174546</CharactersWithSpaces>
  <Paragraphs>1663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2026-08-25T16:38:33Z</dcterms:created>
  <dc:creator>ghaemiyeh.com</dc:creator>
  <dc:description/>
  <dc:language>en-US</dc:language>
  <cp:lastModifiedBy/>
  <dcterms:modified xsi:type="dcterms:W3CDTF">2026-08-25T20:08:42Z</dcterms:modified>
  <cp:revision>1</cp:revision>
  <dc:subject/>
  <dc:title>بهداشت جسم و روان در سیره معصومان علیهم السلام براساس روایات کتاب کافی</dc:title>
</cp:coreProperties>
</file>

<file path=docProps/custom.xml><?xml version="1.0" encoding="utf-8"?>
<Properties xmlns="http://schemas.openxmlformats.org/officeDocument/2006/custom-properties" xmlns:vt="http://schemas.openxmlformats.org/officeDocument/2006/docPropsVTypes"/>
</file>