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البحوث الهامة فی المکاسب المحرمة مرتضی انصاری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104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28510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5108_1280447820">
            <w:r>
              <w:rPr>
                <w:webHidden/>
                <w:rStyle w:val="IndexLink"/>
                <w:rtl w:val="true"/>
              </w:rPr>
              <w:t>البحوث الهامة</w:t>
            </w:r>
            <w:r>
              <w:rPr>
                <w:rStyle w:val="IndexLink"/>
                <w:rtl w:val="true"/>
              </w:rPr>
              <w:tab/>
            </w:r>
            <w:r>
              <w:rPr>
                <w:rStyle w:val="IndexLink"/>
              </w:rPr>
              <w:t>12</w:t>
            </w:r>
          </w:hyperlink>
        </w:p>
        <w:p>
          <w:pPr>
            <w:pStyle w:val="Contents2"/>
            <w:tabs>
              <w:tab w:val="clear" w:pos="8743"/>
              <w:tab w:val="right" w:pos="9026" w:leader="dot"/>
            </w:tabs>
            <w:rPr/>
          </w:pPr>
          <w:hyperlink w:anchor="__RefHeading___Toc285110_1280447820">
            <w:r>
              <w:rPr>
                <w:webHidden/>
                <w:rStyle w:val="IndexLink"/>
                <w:rtl w:val="true"/>
              </w:rPr>
              <w:t>المسألة العاشرة التشريح</w:t>
            </w:r>
            <w:r>
              <w:rPr>
                <w:rStyle w:val="IndexLink"/>
                <w:rtl w:val="true"/>
              </w:rPr>
              <w:tab/>
            </w:r>
            <w:r>
              <w:rPr>
                <w:rStyle w:val="IndexLink"/>
              </w:rPr>
              <w:t>14</w:t>
            </w:r>
          </w:hyperlink>
        </w:p>
        <w:p>
          <w:pPr>
            <w:pStyle w:val="Contents3"/>
            <w:tabs>
              <w:tab w:val="clear" w:pos="8459"/>
              <w:tab w:val="right" w:pos="9026" w:leader="dot"/>
            </w:tabs>
            <w:rPr/>
          </w:pPr>
          <w:hyperlink w:anchor="__RefHeading___Toc285112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85114_1280447820">
            <w:r>
              <w:rPr>
                <w:webHidden/>
                <w:rStyle w:val="IndexLink"/>
                <w:rtl w:val="true"/>
              </w:rPr>
              <w:t>المقام الأوّل</w:t>
            </w:r>
            <w:r>
              <w:rPr>
                <w:rStyle w:val="IndexLink"/>
                <w:rtl w:val="true"/>
              </w:rPr>
              <w:t xml:space="preserve">: </w:t>
            </w:r>
            <w:r>
              <w:rPr>
                <w:rStyle w:val="IndexLink"/>
                <w:rtl w:val="true"/>
              </w:rPr>
              <w:t>في تشريح أجساد الكفّار</w:t>
            </w:r>
            <w:r>
              <w:rPr>
                <w:rStyle w:val="IndexLink"/>
                <w:rtl w:val="true"/>
              </w:rPr>
              <w:tab/>
            </w:r>
            <w:r>
              <w:rPr>
                <w:rStyle w:val="IndexLink"/>
              </w:rPr>
              <w:t>14</w:t>
            </w:r>
          </w:hyperlink>
        </w:p>
        <w:p>
          <w:pPr>
            <w:pStyle w:val="Contents3"/>
            <w:tabs>
              <w:tab w:val="clear" w:pos="8459"/>
              <w:tab w:val="right" w:pos="9026" w:leader="dot"/>
            </w:tabs>
            <w:rPr/>
          </w:pPr>
          <w:hyperlink w:anchor="__RefHeading___Toc285116_1280447820">
            <w:r>
              <w:rPr>
                <w:webHidden/>
                <w:rStyle w:val="IndexLink"/>
                <w:rtl w:val="true"/>
              </w:rPr>
              <w:t>المقام الثاني</w:t>
            </w:r>
            <w:r>
              <w:rPr>
                <w:rStyle w:val="IndexLink"/>
                <w:rtl w:val="true"/>
              </w:rPr>
              <w:t xml:space="preserve">: </w:t>
            </w:r>
            <w:r>
              <w:rPr>
                <w:rStyle w:val="IndexLink"/>
                <w:rtl w:val="true"/>
              </w:rPr>
              <w:t>في تشريح أجساد المسلمين و المؤمنين</w:t>
            </w:r>
            <w:r>
              <w:rPr>
                <w:rStyle w:val="IndexLink"/>
                <w:rtl w:val="true"/>
              </w:rPr>
              <w:tab/>
            </w:r>
            <w:r>
              <w:rPr>
                <w:rStyle w:val="IndexLink"/>
              </w:rPr>
              <w:t>18</w:t>
            </w:r>
          </w:hyperlink>
        </w:p>
        <w:p>
          <w:pPr>
            <w:pStyle w:val="Contents4"/>
            <w:tabs>
              <w:tab w:val="clear" w:pos="8176"/>
              <w:tab w:val="right" w:pos="9026" w:leader="dot"/>
            </w:tabs>
            <w:rPr/>
          </w:pPr>
          <w:hyperlink w:anchor="__RefHeading___Toc285118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85120_1280447820">
            <w:r>
              <w:rPr>
                <w:webHidden/>
                <w:rStyle w:val="IndexLink"/>
                <w:rtl w:val="true"/>
              </w:rPr>
              <w:t>موارد مستثناة من حرمة التشريح</w:t>
            </w:r>
            <w:r>
              <w:rPr>
                <w:rStyle w:val="IndexLink"/>
                <w:rtl w:val="true"/>
              </w:rPr>
              <w:t>:</w:t>
              <w:tab/>
            </w:r>
            <w:r>
              <w:rPr>
                <w:rStyle w:val="IndexLink"/>
              </w:rPr>
              <w:t>21</w:t>
            </w:r>
          </w:hyperlink>
        </w:p>
        <w:p>
          <w:pPr>
            <w:pStyle w:val="Contents5"/>
            <w:tabs>
              <w:tab w:val="clear" w:pos="7892"/>
              <w:tab w:val="right" w:pos="9026" w:leader="dot"/>
            </w:tabs>
            <w:rPr/>
          </w:pPr>
          <w:hyperlink w:anchor="__RefHeading___Toc285122_1280447820">
            <w:r>
              <w:rPr>
                <w:webHidden/>
                <w:rStyle w:val="IndexLink"/>
                <w:rtl w:val="true"/>
              </w:rPr>
              <w:t>المورد الأوّل</w:t>
            </w:r>
            <w:r>
              <w:rPr>
                <w:rStyle w:val="IndexLink"/>
                <w:rtl w:val="true"/>
              </w:rPr>
              <w:t xml:space="preserve">: </w:t>
            </w:r>
            <w:r>
              <w:rPr>
                <w:rStyle w:val="IndexLink"/>
                <w:rtl w:val="true"/>
              </w:rPr>
              <w:t>اذا توقّف حفظ حياة المسلم على تشريح جسد ميت مسلم آخر</w:t>
            </w:r>
            <w:r>
              <w:rPr>
                <w:rStyle w:val="IndexLink"/>
                <w:rtl w:val="true"/>
              </w:rPr>
              <w:tab/>
            </w:r>
            <w:r>
              <w:rPr>
                <w:rStyle w:val="IndexLink"/>
              </w:rPr>
              <w:t>21</w:t>
            </w:r>
          </w:hyperlink>
        </w:p>
        <w:p>
          <w:pPr>
            <w:pStyle w:val="Contents5"/>
            <w:tabs>
              <w:tab w:val="clear" w:pos="7892"/>
              <w:tab w:val="right" w:pos="9026" w:leader="dot"/>
            </w:tabs>
            <w:rPr/>
          </w:pPr>
          <w:hyperlink w:anchor="__RefHeading___Toc285124_1280447820">
            <w:r>
              <w:rPr>
                <w:webHidden/>
                <w:rStyle w:val="IndexLink"/>
                <w:rtl w:val="true"/>
              </w:rPr>
              <w:t>المورد الثاني</w:t>
            </w:r>
            <w:r>
              <w:rPr>
                <w:rStyle w:val="IndexLink"/>
                <w:rtl w:val="true"/>
              </w:rPr>
              <w:t xml:space="preserve">: </w:t>
            </w:r>
            <w:r>
              <w:rPr>
                <w:rStyle w:val="IndexLink"/>
                <w:rtl w:val="true"/>
              </w:rPr>
              <w:t>اذا توقّف غرض اهم من حرمة الميت المسلم على التشريح و التقطيع</w:t>
            </w:r>
            <w:r>
              <w:rPr>
                <w:rStyle w:val="IndexLink"/>
                <w:rtl w:val="true"/>
              </w:rPr>
              <w:tab/>
            </w:r>
            <w:r>
              <w:rPr>
                <w:rStyle w:val="IndexLink"/>
              </w:rPr>
              <w:t>23</w:t>
            </w:r>
          </w:hyperlink>
        </w:p>
        <w:p>
          <w:pPr>
            <w:pStyle w:val="Contents5"/>
            <w:tabs>
              <w:tab w:val="clear" w:pos="7892"/>
              <w:tab w:val="right" w:pos="9026" w:leader="dot"/>
            </w:tabs>
            <w:rPr/>
          </w:pPr>
          <w:hyperlink w:anchor="__RefHeading___Toc285126_1280447820">
            <w:r>
              <w:rPr>
                <w:webHidden/>
                <w:rStyle w:val="IndexLink"/>
                <w:rtl w:val="true"/>
              </w:rPr>
              <w:t>المورد الثالث</w:t>
            </w:r>
            <w:r>
              <w:rPr>
                <w:rStyle w:val="IndexLink"/>
                <w:rtl w:val="true"/>
              </w:rPr>
              <w:t xml:space="preserve">: </w:t>
            </w:r>
            <w:r>
              <w:rPr>
                <w:rStyle w:val="IndexLink"/>
                <w:rtl w:val="true"/>
              </w:rPr>
              <w:t>اذا كانت مصلحة التقطيع أو الكسر عائدة إلى الميّت</w:t>
            </w:r>
            <w:r>
              <w:rPr>
                <w:rStyle w:val="IndexLink"/>
                <w:rtl w:val="true"/>
              </w:rPr>
              <w:tab/>
            </w:r>
            <w:r>
              <w:rPr>
                <w:rStyle w:val="IndexLink"/>
              </w:rPr>
              <w:t>26</w:t>
            </w:r>
          </w:hyperlink>
        </w:p>
        <w:p>
          <w:pPr>
            <w:pStyle w:val="Contents5"/>
            <w:tabs>
              <w:tab w:val="clear" w:pos="7892"/>
              <w:tab w:val="right" w:pos="9026" w:leader="dot"/>
            </w:tabs>
            <w:rPr/>
          </w:pPr>
          <w:hyperlink w:anchor="__RefHeading___Toc285128_1280447820">
            <w:r>
              <w:rPr>
                <w:webHidden/>
                <w:rStyle w:val="IndexLink"/>
                <w:rtl w:val="true"/>
              </w:rPr>
              <w:t>المورد الرابع</w:t>
            </w:r>
            <w:r>
              <w:rPr>
                <w:rStyle w:val="IndexLink"/>
                <w:rtl w:val="true"/>
              </w:rPr>
              <w:t xml:space="preserve">: </w:t>
            </w:r>
            <w:r>
              <w:rPr>
                <w:rStyle w:val="IndexLink"/>
                <w:rtl w:val="true"/>
              </w:rPr>
              <w:t>اذا أوصى مسلم بتشريح جسده بعد الموت لترقيع بدن المحتاجين</w:t>
            </w:r>
            <w:r>
              <w:rPr>
                <w:rStyle w:val="IndexLink"/>
                <w:rtl w:val="true"/>
              </w:rPr>
              <w:tab/>
            </w:r>
            <w:r>
              <w:rPr>
                <w:rStyle w:val="IndexLink"/>
              </w:rPr>
              <w:t>27</w:t>
            </w:r>
          </w:hyperlink>
        </w:p>
        <w:p>
          <w:pPr>
            <w:pStyle w:val="Contents5"/>
            <w:tabs>
              <w:tab w:val="clear" w:pos="7892"/>
              <w:tab w:val="right" w:pos="9026" w:leader="dot"/>
            </w:tabs>
            <w:rPr/>
          </w:pPr>
          <w:hyperlink w:anchor="__RefHeading___Toc285130_1280447820">
            <w:r>
              <w:rPr>
                <w:webHidden/>
                <w:rStyle w:val="IndexLink"/>
                <w:rtl w:val="true"/>
              </w:rPr>
              <w:t>المورد الخامس</w:t>
            </w:r>
            <w:r>
              <w:rPr>
                <w:rStyle w:val="IndexLink"/>
                <w:rtl w:val="true"/>
              </w:rPr>
              <w:t xml:space="preserve">: </w:t>
            </w:r>
            <w:r>
              <w:rPr>
                <w:rStyle w:val="IndexLink"/>
                <w:rtl w:val="true"/>
              </w:rPr>
              <w:t>اذا شكّ فى بدن أنّه لمسلم أو كافر غير ذمى أو معاهد</w:t>
            </w:r>
            <w:r>
              <w:rPr>
                <w:rStyle w:val="IndexLink"/>
                <w:rtl w:val="true"/>
              </w:rPr>
              <w:tab/>
            </w:r>
            <w:r>
              <w:rPr>
                <w:rStyle w:val="IndexLink"/>
              </w:rPr>
              <w:t>29</w:t>
            </w:r>
          </w:hyperlink>
        </w:p>
        <w:p>
          <w:pPr>
            <w:pStyle w:val="Contents5"/>
            <w:tabs>
              <w:tab w:val="clear" w:pos="7892"/>
              <w:tab w:val="right" w:pos="9026" w:leader="dot"/>
            </w:tabs>
            <w:rPr/>
          </w:pPr>
          <w:hyperlink w:anchor="__RefHeading___Toc285132_1280447820">
            <w:r>
              <w:rPr>
                <w:webHidden/>
                <w:rStyle w:val="IndexLink"/>
                <w:rtl w:val="true"/>
              </w:rPr>
              <w:t>المورد السادس</w:t>
            </w:r>
            <w:r>
              <w:rPr>
                <w:rStyle w:val="IndexLink"/>
                <w:rtl w:val="true"/>
              </w:rPr>
              <w:t xml:space="preserve">: </w:t>
            </w:r>
            <w:r>
              <w:rPr>
                <w:rStyle w:val="IndexLink"/>
                <w:rtl w:val="true"/>
              </w:rPr>
              <w:t>هل يكون الجنين الميّت المسلم بحكم من مات من الأحياء؟</w:t>
            </w:r>
            <w:r>
              <w:rPr>
                <w:rStyle w:val="IndexLink"/>
                <w:rtl w:val="true"/>
              </w:rPr>
              <w:tab/>
            </w:r>
            <w:r>
              <w:rPr>
                <w:rStyle w:val="IndexLink"/>
              </w:rPr>
              <w:t>32</w:t>
            </w:r>
          </w:hyperlink>
        </w:p>
        <w:p>
          <w:pPr>
            <w:pStyle w:val="Contents5"/>
            <w:tabs>
              <w:tab w:val="clear" w:pos="7892"/>
              <w:tab w:val="right" w:pos="9026" w:leader="dot"/>
            </w:tabs>
            <w:rPr/>
          </w:pPr>
          <w:hyperlink w:anchor="__RefHeading___Toc285134_1280447820">
            <w:r>
              <w:rPr>
                <w:webHidden/>
                <w:rStyle w:val="IndexLink"/>
                <w:rtl w:val="true"/>
              </w:rPr>
              <w:t>المورد السابع</w:t>
            </w:r>
            <w:r>
              <w:rPr>
                <w:rStyle w:val="IndexLink"/>
                <w:rtl w:val="true"/>
              </w:rPr>
              <w:t xml:space="preserve">: </w:t>
            </w:r>
            <w:r>
              <w:rPr>
                <w:rStyle w:val="IndexLink"/>
                <w:rtl w:val="true"/>
              </w:rPr>
              <w:t>لو بلع احد مالاً لغيره</w:t>
            </w:r>
            <w:r>
              <w:rPr>
                <w:rStyle w:val="IndexLink"/>
                <w:rtl w:val="true"/>
              </w:rPr>
              <w:t xml:space="preserve">... </w:t>
            </w:r>
            <w:r>
              <w:rPr>
                <w:rStyle w:val="IndexLink"/>
                <w:rtl w:val="true"/>
              </w:rPr>
              <w:t>مع بقاء عينه فى بطنه و موته هل يجوز شق بطنه‌؟</w:t>
            </w:r>
            <w:r>
              <w:rPr>
                <w:rStyle w:val="IndexLink"/>
                <w:rtl w:val="true"/>
              </w:rPr>
              <w:tab/>
            </w:r>
            <w:r>
              <w:rPr>
                <w:rStyle w:val="IndexLink"/>
              </w:rPr>
              <w:t>33</w:t>
            </w:r>
          </w:hyperlink>
        </w:p>
        <w:p>
          <w:pPr>
            <w:pStyle w:val="Contents5"/>
            <w:tabs>
              <w:tab w:val="clear" w:pos="7892"/>
              <w:tab w:val="right" w:pos="9026" w:leader="dot"/>
            </w:tabs>
            <w:rPr/>
          </w:pPr>
          <w:hyperlink w:anchor="__RefHeading___Toc285136_1280447820">
            <w:r>
              <w:rPr>
                <w:webHidden/>
                <w:rStyle w:val="IndexLink"/>
                <w:rtl w:val="true"/>
              </w:rPr>
              <w:t>المورد الثامن</w:t>
            </w:r>
            <w:r>
              <w:rPr>
                <w:rStyle w:val="IndexLink"/>
                <w:rtl w:val="true"/>
              </w:rPr>
              <w:t xml:space="preserve">: </w:t>
            </w:r>
            <w:r>
              <w:rPr>
                <w:rStyle w:val="IndexLink"/>
                <w:rtl w:val="true"/>
              </w:rPr>
              <w:t>لو بلع مالاً لنفسه هل يجوز ان يشق بطنه بعد الموت‌؟</w:t>
            </w:r>
            <w:r>
              <w:rPr>
                <w:rStyle w:val="IndexLink"/>
                <w:rtl w:val="true"/>
              </w:rPr>
              <w:tab/>
            </w:r>
            <w:r>
              <w:rPr>
                <w:rStyle w:val="IndexLink"/>
              </w:rPr>
              <w:t>35</w:t>
            </w:r>
          </w:hyperlink>
        </w:p>
        <w:p>
          <w:pPr>
            <w:pStyle w:val="Contents3"/>
            <w:tabs>
              <w:tab w:val="clear" w:pos="8459"/>
              <w:tab w:val="right" w:pos="9026" w:leader="dot"/>
            </w:tabs>
            <w:rPr/>
          </w:pPr>
          <w:hyperlink w:anchor="__RefHeading___Toc285138_1280447820">
            <w:r>
              <w:rPr>
                <w:webHidden/>
                <w:rStyle w:val="IndexLink"/>
                <w:rtl w:val="true"/>
              </w:rPr>
              <w:t>تنبيهات</w:t>
            </w:r>
            <w:r>
              <w:rPr>
                <w:rStyle w:val="IndexLink"/>
                <w:rtl w:val="true"/>
              </w:rPr>
              <w:tab/>
            </w:r>
            <w:r>
              <w:rPr>
                <w:rStyle w:val="IndexLink"/>
              </w:rPr>
              <w:t>36</w:t>
            </w:r>
          </w:hyperlink>
        </w:p>
        <w:p>
          <w:pPr>
            <w:pStyle w:val="Contents4"/>
            <w:tabs>
              <w:tab w:val="clear" w:pos="8176"/>
              <w:tab w:val="right" w:pos="9026" w:leader="dot"/>
            </w:tabs>
            <w:rPr/>
          </w:pPr>
          <w:hyperlink w:anchor="__RefHeading___Toc285140_1280447820">
            <w:r>
              <w:rPr>
                <w:webHidden/>
                <w:rStyle w:val="IndexLink"/>
                <w:rtl w:val="true"/>
              </w:rPr>
              <w:t>التنبيه الأوّل</w:t>
            </w:r>
            <w:r>
              <w:rPr>
                <w:rStyle w:val="IndexLink"/>
                <w:rtl w:val="true"/>
              </w:rPr>
              <w:t xml:space="preserve">: </w:t>
            </w:r>
            <w:r>
              <w:rPr>
                <w:rStyle w:val="IndexLink"/>
                <w:rtl w:val="true"/>
              </w:rPr>
              <w:t>الظاهر أنّ لجسد الميت المسلم دية كدية جنين المسلم قبل ولوج الروح</w:t>
            </w:r>
            <w:r>
              <w:rPr>
                <w:rStyle w:val="IndexLink"/>
                <w:rtl w:val="true"/>
              </w:rPr>
              <w:tab/>
            </w:r>
            <w:r>
              <w:rPr>
                <w:rStyle w:val="IndexLink"/>
              </w:rPr>
              <w:t>36</w:t>
            </w:r>
          </w:hyperlink>
        </w:p>
        <w:p>
          <w:pPr>
            <w:pStyle w:val="Contents4"/>
            <w:tabs>
              <w:tab w:val="clear" w:pos="8176"/>
              <w:tab w:val="right" w:pos="9026" w:leader="dot"/>
            </w:tabs>
            <w:rPr/>
          </w:pPr>
          <w:hyperlink w:anchor="__RefHeading___Toc285142_1280447820">
            <w:r>
              <w:rPr>
                <w:webHidden/>
                <w:rStyle w:val="IndexLink"/>
                <w:rtl w:val="true"/>
              </w:rPr>
              <w:t>التنبيه الثاني</w:t>
            </w:r>
            <w:r>
              <w:rPr>
                <w:rStyle w:val="IndexLink"/>
                <w:rtl w:val="true"/>
              </w:rPr>
              <w:t xml:space="preserve">: </w:t>
            </w:r>
            <w:r>
              <w:rPr>
                <w:rStyle w:val="IndexLink"/>
                <w:rtl w:val="true"/>
              </w:rPr>
              <w:t>لايجوز نظر الرجل الى المرأة و بالعكس فى موارد جواز التشريح</w:t>
            </w:r>
            <w:r>
              <w:rPr>
                <w:rStyle w:val="IndexLink"/>
                <w:rtl w:val="true"/>
              </w:rPr>
              <w:tab/>
            </w:r>
            <w:r>
              <w:rPr>
                <w:rStyle w:val="IndexLink"/>
              </w:rPr>
              <w:t>39</w:t>
            </w:r>
          </w:hyperlink>
        </w:p>
        <w:p>
          <w:pPr>
            <w:pStyle w:val="Contents4"/>
            <w:tabs>
              <w:tab w:val="clear" w:pos="8176"/>
              <w:tab w:val="right" w:pos="9026" w:leader="dot"/>
            </w:tabs>
            <w:rPr/>
          </w:pPr>
          <w:hyperlink w:anchor="__RefHeading___Toc285144_1280447820">
            <w:r>
              <w:rPr>
                <w:webHidden/>
                <w:rStyle w:val="IndexLink"/>
                <w:rtl w:val="true"/>
              </w:rPr>
              <w:t>التنبيه الثالث</w:t>
            </w:r>
            <w:r>
              <w:rPr>
                <w:rStyle w:val="IndexLink"/>
                <w:rtl w:val="true"/>
              </w:rPr>
              <w:t xml:space="preserve">: </w:t>
            </w:r>
            <w:r>
              <w:rPr>
                <w:rStyle w:val="IndexLink"/>
                <w:rtl w:val="true"/>
              </w:rPr>
              <w:t>اللازم فى موارد جواز التشريح و نحوه الاكتفاء بالارفق فالارفق</w:t>
            </w:r>
            <w:r>
              <w:rPr>
                <w:rStyle w:val="IndexLink"/>
                <w:rtl w:val="true"/>
              </w:rPr>
              <w:tab/>
            </w:r>
            <w:r>
              <w:rPr>
                <w:rStyle w:val="IndexLink"/>
              </w:rPr>
              <w:t>40</w:t>
            </w:r>
          </w:hyperlink>
        </w:p>
        <w:p>
          <w:pPr>
            <w:pStyle w:val="Contents4"/>
            <w:tabs>
              <w:tab w:val="clear" w:pos="8176"/>
              <w:tab w:val="right" w:pos="9026" w:leader="dot"/>
            </w:tabs>
            <w:rPr/>
          </w:pPr>
          <w:hyperlink w:anchor="__RefHeading___Toc285146_1280447820">
            <w:r>
              <w:rPr>
                <w:webHidden/>
                <w:rStyle w:val="IndexLink"/>
                <w:rtl w:val="true"/>
              </w:rPr>
              <w:t>التنبيه الرابع</w:t>
            </w:r>
            <w:r>
              <w:rPr>
                <w:rStyle w:val="IndexLink"/>
                <w:rtl w:val="true"/>
              </w:rPr>
              <w:t xml:space="preserve">: </w:t>
            </w:r>
            <w:r>
              <w:rPr>
                <w:rStyle w:val="IndexLink"/>
                <w:rtl w:val="true"/>
              </w:rPr>
              <w:t>تجب خياطة مواضع التشريح</w:t>
            </w:r>
            <w:r>
              <w:rPr>
                <w:rStyle w:val="IndexLink"/>
                <w:rtl w:val="true"/>
              </w:rPr>
              <w:tab/>
            </w:r>
            <w:r>
              <w:rPr>
                <w:rStyle w:val="IndexLink"/>
              </w:rPr>
              <w:t>40</w:t>
            </w:r>
          </w:hyperlink>
        </w:p>
        <w:p>
          <w:pPr>
            <w:pStyle w:val="Contents4"/>
            <w:tabs>
              <w:tab w:val="clear" w:pos="8176"/>
              <w:tab w:val="right" w:pos="9026" w:leader="dot"/>
            </w:tabs>
            <w:rPr/>
          </w:pPr>
          <w:hyperlink w:anchor="__RefHeading___Toc285148_1280447820">
            <w:r>
              <w:rPr>
                <w:webHidden/>
                <w:rStyle w:val="IndexLink"/>
                <w:rtl w:val="true"/>
              </w:rPr>
              <w:t>التنبيه الخامس</w:t>
            </w:r>
            <w:r>
              <w:rPr>
                <w:rStyle w:val="IndexLink"/>
                <w:rtl w:val="true"/>
              </w:rPr>
              <w:t xml:space="preserve">: </w:t>
            </w:r>
            <w:r>
              <w:rPr>
                <w:rStyle w:val="IndexLink"/>
                <w:rtl w:val="true"/>
              </w:rPr>
              <w:t>حكم العضو من اعضاء المسلم كحكم جسده الكامل</w:t>
            </w:r>
            <w:r>
              <w:rPr>
                <w:rStyle w:val="IndexLink"/>
                <w:rtl w:val="true"/>
              </w:rPr>
              <w:tab/>
            </w:r>
            <w:r>
              <w:rPr>
                <w:rStyle w:val="IndexLink"/>
              </w:rPr>
              <w:t>40</w:t>
            </w:r>
          </w:hyperlink>
        </w:p>
        <w:p>
          <w:pPr>
            <w:pStyle w:val="Contents4"/>
            <w:tabs>
              <w:tab w:val="clear" w:pos="8176"/>
              <w:tab w:val="right" w:pos="9026" w:leader="dot"/>
            </w:tabs>
            <w:rPr/>
          </w:pPr>
          <w:hyperlink w:anchor="__RefHeading___Toc285150_1280447820">
            <w:r>
              <w:rPr>
                <w:webHidden/>
                <w:rStyle w:val="IndexLink"/>
                <w:rtl w:val="true"/>
              </w:rPr>
              <w:t>التنبيه السادس</w:t>
            </w:r>
            <w:r>
              <w:rPr>
                <w:rStyle w:val="IndexLink"/>
                <w:rtl w:val="true"/>
              </w:rPr>
              <w:t xml:space="preserve">: </w:t>
            </w:r>
            <w:r>
              <w:rPr>
                <w:rStyle w:val="IndexLink"/>
                <w:rtl w:val="true"/>
              </w:rPr>
              <w:t>تغسيل الميت واجب و مقدم على التشريح</w:t>
            </w:r>
            <w:r>
              <w:rPr>
                <w:rStyle w:val="IndexLink"/>
                <w:rtl w:val="true"/>
              </w:rPr>
              <w:tab/>
            </w:r>
            <w:r>
              <w:rPr>
                <w:rStyle w:val="IndexLink"/>
              </w:rPr>
              <w:t>41</w:t>
            </w:r>
          </w:hyperlink>
        </w:p>
        <w:p>
          <w:pPr>
            <w:pStyle w:val="Contents2"/>
            <w:tabs>
              <w:tab w:val="clear" w:pos="8743"/>
              <w:tab w:val="right" w:pos="9026" w:leader="dot"/>
            </w:tabs>
            <w:rPr/>
          </w:pPr>
          <w:hyperlink w:anchor="__RefHeading___Toc285152_1280447820">
            <w:r>
              <w:rPr>
                <w:webHidden/>
                <w:rStyle w:val="IndexLink"/>
                <w:rtl w:val="true"/>
              </w:rPr>
              <w:t>المسألة الحادية عشر</w:t>
            </w:r>
            <w:r>
              <w:rPr>
                <w:rStyle w:val="IndexLink"/>
                <w:rtl w:val="true"/>
              </w:rPr>
              <w:t xml:space="preserve">: </w:t>
            </w:r>
            <w:r>
              <w:rPr>
                <w:rStyle w:val="IndexLink"/>
                <w:rtl w:val="true"/>
              </w:rPr>
              <w:t xml:space="preserve">في تصفية الوقف الذريّ </w:t>
            </w:r>
            <w:r>
              <w:rPr>
                <w:rStyle w:val="IndexLink"/>
                <w:rtl w:val="true"/>
              </w:rPr>
              <w:t>(</w:t>
            </w:r>
            <w:r>
              <w:rPr>
                <w:rStyle w:val="IndexLink"/>
                <w:rtl w:val="true"/>
              </w:rPr>
              <w:t>النسلي</w:t>
            </w:r>
            <w:r>
              <w:rPr>
                <w:rStyle w:val="IndexLink"/>
                <w:rtl w:val="true"/>
              </w:rPr>
              <w:t>)</w:t>
              <w:tab/>
            </w:r>
            <w:r>
              <w:rPr>
                <w:rStyle w:val="IndexLink"/>
              </w:rPr>
              <w:t>42</w:t>
            </w:r>
          </w:hyperlink>
        </w:p>
        <w:p>
          <w:pPr>
            <w:pStyle w:val="Contents2"/>
            <w:tabs>
              <w:tab w:val="clear" w:pos="8743"/>
              <w:tab w:val="right" w:pos="9026" w:leader="dot"/>
            </w:tabs>
            <w:rPr/>
          </w:pPr>
          <w:hyperlink w:anchor="__RefHeading___Toc285154_1280447820">
            <w:r>
              <w:rPr>
                <w:webHidden/>
                <w:rStyle w:val="IndexLink"/>
                <w:rtl w:val="true"/>
              </w:rPr>
              <w:t>المسألة الثانية عشر التصوير</w:t>
            </w:r>
            <w:r>
              <w:rPr>
                <w:rStyle w:val="IndexLink"/>
                <w:rtl w:val="true"/>
              </w:rPr>
              <w:tab/>
            </w:r>
            <w:r>
              <w:rPr>
                <w:rStyle w:val="IndexLink"/>
              </w:rPr>
              <w:t>46</w:t>
            </w:r>
          </w:hyperlink>
        </w:p>
        <w:p>
          <w:pPr>
            <w:pStyle w:val="Contents3"/>
            <w:tabs>
              <w:tab w:val="clear" w:pos="8459"/>
              <w:tab w:val="right" w:pos="9026" w:leader="dot"/>
            </w:tabs>
            <w:rPr/>
          </w:pPr>
          <w:hyperlink w:anchor="__RefHeading___Toc285156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285158_1280447820">
            <w:r>
              <w:rPr>
                <w:webHidden/>
                <w:rStyle w:val="IndexLink"/>
                <w:rtl w:val="true"/>
              </w:rPr>
              <w:t>المقام الأوّل في حرمة عمل الصور المجسَّمة</w:t>
            </w:r>
            <w:r>
              <w:rPr>
                <w:rStyle w:val="IndexLink"/>
                <w:rtl w:val="true"/>
              </w:rPr>
              <w:tab/>
            </w:r>
            <w:r>
              <w:rPr>
                <w:rStyle w:val="IndexLink"/>
              </w:rPr>
              <w:t>47</w:t>
            </w:r>
          </w:hyperlink>
        </w:p>
        <w:p>
          <w:pPr>
            <w:pStyle w:val="Contents4"/>
            <w:tabs>
              <w:tab w:val="clear" w:pos="8176"/>
              <w:tab w:val="right" w:pos="9026" w:leader="dot"/>
            </w:tabs>
            <w:rPr/>
          </w:pPr>
          <w:hyperlink w:anchor="__RefHeading___Toc285160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85162_1280447820">
            <w:r>
              <w:rPr>
                <w:webHidden/>
                <w:rStyle w:val="IndexLink"/>
                <w:rtl w:val="true"/>
              </w:rPr>
              <w:t>الطائفة الاُولى</w:t>
            </w:r>
            <w:r>
              <w:rPr>
                <w:rStyle w:val="IndexLink"/>
                <w:rtl w:val="true"/>
              </w:rPr>
              <w:t xml:space="preserve">: </w:t>
            </w:r>
            <w:r>
              <w:rPr>
                <w:rStyle w:val="IndexLink"/>
                <w:rtl w:val="true"/>
              </w:rPr>
              <w:t>الروايات الدالّة على أنّ المصوّر مكلّف يوم القيامه بنفخ الروح</w:t>
            </w:r>
            <w:r>
              <w:rPr>
                <w:rStyle w:val="IndexLink"/>
                <w:rtl w:val="true"/>
              </w:rPr>
              <w:tab/>
            </w:r>
            <w:r>
              <w:rPr>
                <w:rStyle w:val="IndexLink"/>
              </w:rPr>
              <w:t>47</w:t>
            </w:r>
          </w:hyperlink>
        </w:p>
        <w:p>
          <w:pPr>
            <w:pStyle w:val="Contents4"/>
            <w:tabs>
              <w:tab w:val="clear" w:pos="8176"/>
              <w:tab w:val="right" w:pos="9026" w:leader="dot"/>
            </w:tabs>
            <w:rPr/>
          </w:pPr>
          <w:hyperlink w:anchor="__RefHeading___Toc285164_1280447820">
            <w:r>
              <w:rPr>
                <w:webHidden/>
                <w:rStyle w:val="IndexLink"/>
                <w:rtl w:val="true"/>
              </w:rPr>
              <w:t>الطائفة الثانية</w:t>
            </w:r>
            <w:r>
              <w:rPr>
                <w:rStyle w:val="IndexLink"/>
                <w:rtl w:val="true"/>
              </w:rPr>
              <w:t xml:space="preserve">: </w:t>
            </w:r>
            <w:r>
              <w:rPr>
                <w:rStyle w:val="IndexLink"/>
                <w:rtl w:val="true"/>
              </w:rPr>
              <w:t>الروايات الناهية عن التماثيل و التصاوير</w:t>
            </w:r>
            <w:r>
              <w:rPr>
                <w:rStyle w:val="IndexLink"/>
                <w:rtl w:val="true"/>
              </w:rPr>
              <w:tab/>
            </w:r>
            <w:r>
              <w:rPr>
                <w:rStyle w:val="IndexLink"/>
              </w:rPr>
              <w:t>49</w:t>
            </w:r>
          </w:hyperlink>
        </w:p>
        <w:p>
          <w:pPr>
            <w:pStyle w:val="Contents5"/>
            <w:tabs>
              <w:tab w:val="clear" w:pos="7892"/>
              <w:tab w:val="right" w:pos="9026" w:leader="dot"/>
            </w:tabs>
            <w:rPr/>
          </w:pPr>
          <w:hyperlink w:anchor="__RefHeading___Toc285166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85168_1280447820">
            <w:r>
              <w:rPr>
                <w:webHidden/>
                <w:rStyle w:val="IndexLink"/>
                <w:rtl w:val="true"/>
              </w:rPr>
              <w:t>الجواب</w:t>
            </w:r>
            <w:r>
              <w:rPr>
                <w:rStyle w:val="IndexLink"/>
                <w:rtl w:val="true"/>
              </w:rPr>
              <w:t>:</w:t>
              <w:tab/>
            </w:r>
            <w:r>
              <w:rPr>
                <w:rStyle w:val="IndexLink"/>
              </w:rPr>
              <w:t>54</w:t>
            </w:r>
          </w:hyperlink>
        </w:p>
        <w:p>
          <w:pPr>
            <w:pStyle w:val="Contents6"/>
            <w:tabs>
              <w:tab w:val="clear" w:pos="7609"/>
              <w:tab w:val="right" w:pos="9026" w:leader="dot"/>
            </w:tabs>
            <w:rPr/>
          </w:pPr>
          <w:hyperlink w:anchor="__RefHeading___Toc285170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285172_1280447820">
            <w:r>
              <w:rPr>
                <w:webHidden/>
                <w:rStyle w:val="IndexLink"/>
                <w:rtl w:val="true"/>
              </w:rPr>
              <w:t>اوّلاً</w:t>
            </w:r>
            <w:r>
              <w:rPr>
                <w:rStyle w:val="IndexLink"/>
                <w:rtl w:val="true"/>
              </w:rPr>
              <w:t xml:space="preserve">: </w:t>
            </w:r>
            <w:r>
              <w:rPr>
                <w:rStyle w:val="IndexLink"/>
                <w:rtl w:val="true"/>
              </w:rPr>
              <w:t>لاوجه لاستبعاد العذاب الشديد لمثل التصوير و التماثيل</w:t>
            </w:r>
            <w:r>
              <w:rPr>
                <w:rStyle w:val="IndexLink"/>
                <w:rtl w:val="true"/>
              </w:rPr>
              <w:tab/>
            </w:r>
            <w:r>
              <w:rPr>
                <w:rStyle w:val="IndexLink"/>
              </w:rPr>
              <w:t>54</w:t>
            </w:r>
          </w:hyperlink>
        </w:p>
        <w:p>
          <w:pPr>
            <w:pStyle w:val="Contents6"/>
            <w:tabs>
              <w:tab w:val="clear" w:pos="7609"/>
              <w:tab w:val="right" w:pos="9026" w:leader="dot"/>
            </w:tabs>
            <w:rPr/>
          </w:pPr>
          <w:hyperlink w:anchor="__RefHeading___Toc285174_1280447820">
            <w:r>
              <w:rPr>
                <w:webHidden/>
                <w:rStyle w:val="IndexLink"/>
                <w:rtl w:val="true"/>
              </w:rPr>
              <w:t>ثانياً</w:t>
            </w:r>
            <w:r>
              <w:rPr>
                <w:rStyle w:val="IndexLink"/>
                <w:rtl w:val="true"/>
              </w:rPr>
              <w:t xml:space="preserve">: </w:t>
            </w:r>
            <w:r>
              <w:rPr>
                <w:rStyle w:val="IndexLink"/>
                <w:rtl w:val="true"/>
              </w:rPr>
              <w:t>انّ دعوى ظهور أخبار المطلقة في الأصنام أو انصرافها اليها لاشاهد لها</w:t>
            </w:r>
            <w:r>
              <w:rPr>
                <w:rStyle w:val="IndexLink"/>
                <w:rtl w:val="true"/>
              </w:rPr>
              <w:tab/>
            </w:r>
            <w:r>
              <w:rPr>
                <w:rStyle w:val="IndexLink"/>
              </w:rPr>
              <w:t>55</w:t>
            </w:r>
          </w:hyperlink>
        </w:p>
        <w:p>
          <w:pPr>
            <w:pStyle w:val="Contents6"/>
            <w:tabs>
              <w:tab w:val="clear" w:pos="7609"/>
              <w:tab w:val="right" w:pos="9026" w:leader="dot"/>
            </w:tabs>
            <w:rPr/>
          </w:pPr>
          <w:hyperlink w:anchor="__RefHeading___Toc285176_1280447820">
            <w:r>
              <w:rPr>
                <w:webHidden/>
                <w:rStyle w:val="IndexLink"/>
                <w:rtl w:val="true"/>
              </w:rPr>
              <w:t>ثالثاً</w:t>
            </w:r>
            <w:r>
              <w:rPr>
                <w:rStyle w:val="IndexLink"/>
                <w:rtl w:val="true"/>
              </w:rPr>
              <w:t xml:space="preserve">: </w:t>
            </w:r>
            <w:r>
              <w:rPr>
                <w:rStyle w:val="IndexLink"/>
                <w:rtl w:val="true"/>
              </w:rPr>
              <w:t>انّ حكمة تشريع حرمة عمل الصور هى التشبّه بالخالق</w:t>
            </w:r>
            <w:r>
              <w:rPr>
                <w:rStyle w:val="IndexLink"/>
                <w:rtl w:val="true"/>
              </w:rPr>
              <w:tab/>
            </w:r>
            <w:r>
              <w:rPr>
                <w:rStyle w:val="IndexLink"/>
              </w:rPr>
              <w:t>56</w:t>
            </w:r>
          </w:hyperlink>
        </w:p>
        <w:p>
          <w:pPr>
            <w:pStyle w:val="Contents6"/>
            <w:tabs>
              <w:tab w:val="clear" w:pos="7609"/>
              <w:tab w:val="right" w:pos="9026" w:leader="dot"/>
            </w:tabs>
            <w:rPr/>
          </w:pPr>
          <w:hyperlink w:anchor="__RefHeading___Toc285178_1280447820">
            <w:r>
              <w:rPr>
                <w:webHidden/>
                <w:rStyle w:val="IndexLink"/>
                <w:rtl w:val="true"/>
              </w:rPr>
              <w:t>رابعاً</w:t>
            </w:r>
            <w:r>
              <w:rPr>
                <w:rStyle w:val="IndexLink"/>
                <w:rtl w:val="true"/>
              </w:rPr>
              <w:t xml:space="preserve">: </w:t>
            </w:r>
            <w:r>
              <w:rPr>
                <w:rStyle w:val="IndexLink"/>
                <w:rtl w:val="true"/>
              </w:rPr>
              <w:t>انّ التحقير و الإهانة لايدّلان على انّ تلك التماثيل</w:t>
            </w:r>
            <w:r>
              <w:rPr>
                <w:rStyle w:val="IndexLink"/>
                <w:rtl w:val="true"/>
              </w:rPr>
              <w:tab/>
            </w:r>
            <w:r>
              <w:rPr>
                <w:rStyle w:val="IndexLink"/>
              </w:rPr>
              <w:t>56</w:t>
            </w:r>
          </w:hyperlink>
        </w:p>
        <w:p>
          <w:pPr>
            <w:pStyle w:val="Contents6"/>
            <w:tabs>
              <w:tab w:val="clear" w:pos="7609"/>
              <w:tab w:val="right" w:pos="9026" w:leader="dot"/>
            </w:tabs>
            <w:rPr/>
          </w:pPr>
          <w:hyperlink w:anchor="__RefHeading___Toc285180_1280447820">
            <w:r>
              <w:rPr>
                <w:webHidden/>
                <w:rStyle w:val="IndexLink"/>
                <w:rtl w:val="true"/>
              </w:rPr>
              <w:t>خامساً</w:t>
            </w:r>
            <w:r>
              <w:rPr>
                <w:rStyle w:val="IndexLink"/>
                <w:rtl w:val="true"/>
              </w:rPr>
              <w:t xml:space="preserve">: </w:t>
            </w:r>
            <w:r>
              <w:rPr>
                <w:rStyle w:val="IndexLink"/>
                <w:rtl w:val="true"/>
              </w:rPr>
              <w:t>انّه لو سلّمنا انصراف هذه الطائفة إلى عمل الأصنام فلاوجه لرفع اليد عن الطائفة الاولى</w:t>
            </w:r>
            <w:r>
              <w:rPr>
                <w:rStyle w:val="IndexLink"/>
                <w:rtl w:val="true"/>
              </w:rPr>
              <w:tab/>
            </w:r>
            <w:r>
              <w:rPr>
                <w:rStyle w:val="IndexLink"/>
              </w:rPr>
              <w:t>57</w:t>
            </w:r>
          </w:hyperlink>
        </w:p>
        <w:p>
          <w:pPr>
            <w:pStyle w:val="Contents4"/>
            <w:tabs>
              <w:tab w:val="clear" w:pos="8176"/>
              <w:tab w:val="right" w:pos="9026" w:leader="dot"/>
            </w:tabs>
            <w:rPr/>
          </w:pPr>
          <w:hyperlink w:anchor="__RefHeading___Toc285182_1280447820">
            <w:r>
              <w:rPr>
                <w:webHidden/>
                <w:rStyle w:val="IndexLink"/>
                <w:rtl w:val="true"/>
              </w:rPr>
              <w:t>الطائفة الثالثة</w:t>
            </w:r>
            <w:r>
              <w:rPr>
                <w:rStyle w:val="IndexLink"/>
                <w:rtl w:val="true"/>
              </w:rPr>
              <w:t xml:space="preserve">: </w:t>
            </w:r>
            <w:r>
              <w:rPr>
                <w:rStyle w:val="IndexLink"/>
                <w:rtl w:val="true"/>
              </w:rPr>
              <w:t>الروايات الدالّة على انّ الائمة عليهم السلام كرهوا الصور</w:t>
            </w:r>
            <w:r>
              <w:rPr>
                <w:rStyle w:val="IndexLink"/>
                <w:rtl w:val="true"/>
              </w:rPr>
              <w:tab/>
            </w:r>
            <w:r>
              <w:rPr>
                <w:rStyle w:val="IndexLink"/>
              </w:rPr>
              <w:t>57</w:t>
            </w:r>
          </w:hyperlink>
        </w:p>
        <w:p>
          <w:pPr>
            <w:pStyle w:val="Contents3"/>
            <w:tabs>
              <w:tab w:val="clear" w:pos="8459"/>
              <w:tab w:val="right" w:pos="9026" w:leader="dot"/>
            </w:tabs>
            <w:rPr/>
          </w:pPr>
          <w:hyperlink w:anchor="__RefHeading___Toc285184_1280447820">
            <w:r>
              <w:rPr>
                <w:webHidden/>
                <w:rStyle w:val="IndexLink"/>
                <w:rtl w:val="true"/>
              </w:rPr>
              <w:t>المقام الثاني في حكم رسم ذوات الأرواح من دون تجسيم</w:t>
            </w:r>
            <w:r>
              <w:rPr>
                <w:rStyle w:val="IndexLink"/>
                <w:rtl w:val="true"/>
              </w:rPr>
              <w:tab/>
            </w:r>
            <w:r>
              <w:rPr>
                <w:rStyle w:val="IndexLink"/>
              </w:rPr>
              <w:t>60</w:t>
            </w:r>
          </w:hyperlink>
        </w:p>
        <w:p>
          <w:pPr>
            <w:pStyle w:val="Contents4"/>
            <w:tabs>
              <w:tab w:val="clear" w:pos="8176"/>
              <w:tab w:val="right" w:pos="9026" w:leader="dot"/>
            </w:tabs>
            <w:rPr/>
          </w:pPr>
          <w:hyperlink w:anchor="__RefHeading___Toc285186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85188_1280447820">
            <w:r>
              <w:rPr>
                <w:webHidden/>
                <w:rStyle w:val="IndexLink"/>
                <w:rtl w:val="true"/>
              </w:rPr>
              <w:t>فروع</w:t>
            </w:r>
            <w:r>
              <w:rPr>
                <w:rStyle w:val="IndexLink"/>
                <w:rtl w:val="true"/>
              </w:rPr>
              <w:t>:</w:t>
              <w:tab/>
            </w:r>
            <w:r>
              <w:rPr>
                <w:rStyle w:val="IndexLink"/>
              </w:rPr>
              <w:t>69</w:t>
            </w:r>
          </w:hyperlink>
        </w:p>
        <w:p>
          <w:pPr>
            <w:pStyle w:val="Contents5"/>
            <w:tabs>
              <w:tab w:val="clear" w:pos="7892"/>
              <w:tab w:val="right" w:pos="9026" w:leader="dot"/>
            </w:tabs>
            <w:rPr/>
          </w:pPr>
          <w:hyperlink w:anchor="__RefHeading___Toc285190_1280447820">
            <w:r>
              <w:rPr>
                <w:webHidden/>
                <w:rStyle w:val="IndexLink"/>
                <w:rtl w:val="true"/>
              </w:rPr>
              <w:t>الأوّل</w:t>
            </w:r>
            <w:r>
              <w:rPr>
                <w:rStyle w:val="IndexLink"/>
                <w:rtl w:val="true"/>
              </w:rPr>
              <w:t xml:space="preserve">: </w:t>
            </w:r>
            <w:r>
              <w:rPr>
                <w:rStyle w:val="IndexLink"/>
                <w:rtl w:val="true"/>
              </w:rPr>
              <w:t>هل يكون عمل المجسمه و لو كانت غير كاملة محرّماً أو لا؟</w:t>
            </w:r>
            <w:r>
              <w:rPr>
                <w:rStyle w:val="IndexLink"/>
                <w:rtl w:val="true"/>
              </w:rPr>
              <w:tab/>
            </w:r>
            <w:r>
              <w:rPr>
                <w:rStyle w:val="IndexLink"/>
              </w:rPr>
              <w:t>69</w:t>
            </w:r>
          </w:hyperlink>
        </w:p>
        <w:p>
          <w:pPr>
            <w:pStyle w:val="Contents5"/>
            <w:tabs>
              <w:tab w:val="clear" w:pos="7892"/>
              <w:tab w:val="right" w:pos="9026" w:leader="dot"/>
            </w:tabs>
            <w:rPr/>
          </w:pPr>
          <w:hyperlink w:anchor="__RefHeading___Toc285192_1280447820">
            <w:r>
              <w:rPr>
                <w:webHidden/>
                <w:rStyle w:val="IndexLink"/>
                <w:rtl w:val="true"/>
              </w:rPr>
              <w:t>الثاني</w:t>
            </w:r>
            <w:r>
              <w:rPr>
                <w:rStyle w:val="IndexLink"/>
                <w:rtl w:val="true"/>
              </w:rPr>
              <w:t xml:space="preserve">: </w:t>
            </w:r>
            <w:r>
              <w:rPr>
                <w:rStyle w:val="IndexLink"/>
                <w:rtl w:val="true"/>
              </w:rPr>
              <w:t>المحرّم فى تصوير الحيوان و تمثيله هل هو تصوير الاجزاء أو</w:t>
            </w:r>
            <w:r>
              <w:rPr>
                <w:rStyle w:val="IndexLink"/>
                <w:rtl w:val="true"/>
              </w:rPr>
              <w:tab/>
            </w:r>
            <w:r>
              <w:rPr>
                <w:rStyle w:val="IndexLink"/>
              </w:rPr>
              <w:t>71</w:t>
            </w:r>
          </w:hyperlink>
        </w:p>
        <w:p>
          <w:pPr>
            <w:pStyle w:val="Contents5"/>
            <w:tabs>
              <w:tab w:val="clear" w:pos="7892"/>
              <w:tab w:val="right" w:pos="9026" w:leader="dot"/>
            </w:tabs>
            <w:rPr/>
          </w:pPr>
          <w:hyperlink w:anchor="__RefHeading___Toc285194_1280447820">
            <w:r>
              <w:rPr>
                <w:webHidden/>
                <w:rStyle w:val="IndexLink"/>
                <w:rtl w:val="true"/>
              </w:rPr>
              <w:t>الثالث</w:t>
            </w:r>
            <w:r>
              <w:rPr>
                <w:rStyle w:val="IndexLink"/>
                <w:rtl w:val="true"/>
              </w:rPr>
              <w:t xml:space="preserve">: </w:t>
            </w:r>
            <w:r>
              <w:rPr>
                <w:rStyle w:val="IndexLink"/>
                <w:rtl w:val="true"/>
              </w:rPr>
              <w:t>لو اشترك اثنان أو أكثر فى عمل صورة</w:t>
            </w:r>
            <w:r>
              <w:rPr>
                <w:rStyle w:val="IndexLink"/>
                <w:rtl w:val="true"/>
              </w:rPr>
              <w:tab/>
            </w:r>
            <w:r>
              <w:rPr>
                <w:rStyle w:val="IndexLink"/>
              </w:rPr>
              <w:t>73</w:t>
            </w:r>
          </w:hyperlink>
        </w:p>
        <w:p>
          <w:pPr>
            <w:pStyle w:val="Contents5"/>
            <w:tabs>
              <w:tab w:val="clear" w:pos="7892"/>
              <w:tab w:val="right" w:pos="9026" w:leader="dot"/>
            </w:tabs>
            <w:rPr/>
          </w:pPr>
          <w:hyperlink w:anchor="__RefHeading___Toc285196_1280447820">
            <w:r>
              <w:rPr>
                <w:webHidden/>
                <w:rStyle w:val="IndexLink"/>
                <w:rtl w:val="true"/>
              </w:rPr>
              <w:t>الرابع</w:t>
            </w:r>
            <w:r>
              <w:rPr>
                <w:rStyle w:val="IndexLink"/>
                <w:rtl w:val="true"/>
              </w:rPr>
              <w:t xml:space="preserve">: </w:t>
            </w:r>
            <w:r>
              <w:rPr>
                <w:rStyle w:val="IndexLink"/>
                <w:rtl w:val="true"/>
              </w:rPr>
              <w:t>هل تعتبر فى حرمة تصوير الصورة مباشرة الفاعل بيده</w:t>
            </w:r>
            <w:r>
              <w:rPr>
                <w:rStyle w:val="IndexLink"/>
                <w:rtl w:val="true"/>
              </w:rPr>
              <w:tab/>
            </w:r>
            <w:r>
              <w:rPr>
                <w:rStyle w:val="IndexLink"/>
              </w:rPr>
              <w:t>78</w:t>
            </w:r>
          </w:hyperlink>
        </w:p>
        <w:p>
          <w:pPr>
            <w:pStyle w:val="Contents5"/>
            <w:tabs>
              <w:tab w:val="clear" w:pos="7892"/>
              <w:tab w:val="right" w:pos="9026" w:leader="dot"/>
            </w:tabs>
            <w:rPr/>
          </w:pPr>
          <w:hyperlink w:anchor="__RefHeading___Toc285198_1280447820">
            <w:r>
              <w:rPr>
                <w:webHidden/>
                <w:rStyle w:val="IndexLink"/>
                <w:rtl w:val="true"/>
              </w:rPr>
              <w:t>الخامس</w:t>
            </w:r>
            <w:r>
              <w:rPr>
                <w:rStyle w:val="IndexLink"/>
                <w:rtl w:val="true"/>
              </w:rPr>
              <w:t xml:space="preserve">: </w:t>
            </w:r>
            <w:r>
              <w:rPr>
                <w:rStyle w:val="IndexLink"/>
                <w:rtl w:val="true"/>
              </w:rPr>
              <w:t>هل يجوز تصوير خصوص عظام الانسان تصويراً كاملاً أم لا؟</w:t>
            </w:r>
            <w:r>
              <w:rPr>
                <w:rStyle w:val="IndexLink"/>
                <w:rtl w:val="true"/>
              </w:rPr>
              <w:tab/>
            </w:r>
            <w:r>
              <w:rPr>
                <w:rStyle w:val="IndexLink"/>
              </w:rPr>
              <w:t>83</w:t>
            </w:r>
          </w:hyperlink>
        </w:p>
        <w:p>
          <w:pPr>
            <w:pStyle w:val="Contents5"/>
            <w:tabs>
              <w:tab w:val="clear" w:pos="7892"/>
              <w:tab w:val="right" w:pos="9026" w:leader="dot"/>
            </w:tabs>
            <w:rPr/>
          </w:pPr>
          <w:hyperlink w:anchor="__RefHeading___Toc285200_1280447820">
            <w:r>
              <w:rPr>
                <w:webHidden/>
                <w:rStyle w:val="IndexLink"/>
                <w:rtl w:val="true"/>
              </w:rPr>
              <w:t>السادس</w:t>
            </w:r>
            <w:r>
              <w:rPr>
                <w:rStyle w:val="IndexLink"/>
                <w:rtl w:val="true"/>
              </w:rPr>
              <w:t xml:space="preserve">: </w:t>
            </w:r>
            <w:r>
              <w:rPr>
                <w:rStyle w:val="IndexLink"/>
                <w:rtl w:val="true"/>
              </w:rPr>
              <w:t>هل تلحق صورة الجن و الشيطان و الملك بالصورة الحيوانية أم لا؟</w:t>
            </w:r>
            <w:r>
              <w:rPr>
                <w:rStyle w:val="IndexLink"/>
                <w:rtl w:val="true"/>
              </w:rPr>
              <w:tab/>
            </w:r>
            <w:r>
              <w:rPr>
                <w:rStyle w:val="IndexLink"/>
              </w:rPr>
              <w:t>84</w:t>
            </w:r>
          </w:hyperlink>
        </w:p>
        <w:p>
          <w:pPr>
            <w:pStyle w:val="Contents5"/>
            <w:tabs>
              <w:tab w:val="clear" w:pos="7892"/>
              <w:tab w:val="right" w:pos="9026" w:leader="dot"/>
            </w:tabs>
            <w:rPr/>
          </w:pPr>
          <w:hyperlink w:anchor="__RefHeading___Toc285202_1280447820">
            <w:r>
              <w:rPr>
                <w:webHidden/>
                <w:rStyle w:val="IndexLink"/>
                <w:rtl w:val="true"/>
              </w:rPr>
              <w:t>السابع</w:t>
            </w:r>
            <w:r>
              <w:rPr>
                <w:rStyle w:val="IndexLink"/>
                <w:rtl w:val="true"/>
              </w:rPr>
              <w:t xml:space="preserve">: </w:t>
            </w:r>
            <w:r>
              <w:rPr>
                <w:rStyle w:val="IndexLink"/>
                <w:rtl w:val="true"/>
              </w:rPr>
              <w:t>لو دعت الحاجة الى عمل شىء يكون شبيها بشىء من خلق الله و لو كان حيواناً</w:t>
            </w:r>
            <w:r>
              <w:rPr>
                <w:rStyle w:val="IndexLink"/>
                <w:rtl w:val="true"/>
              </w:rPr>
              <w:tab/>
            </w:r>
            <w:r>
              <w:rPr>
                <w:rStyle w:val="IndexLink"/>
              </w:rPr>
              <w:t>87</w:t>
            </w:r>
          </w:hyperlink>
        </w:p>
        <w:p>
          <w:pPr>
            <w:pStyle w:val="Contents5"/>
            <w:tabs>
              <w:tab w:val="clear" w:pos="7892"/>
              <w:tab w:val="right" w:pos="9026" w:leader="dot"/>
            </w:tabs>
            <w:rPr/>
          </w:pPr>
          <w:hyperlink w:anchor="__RefHeading___Toc285204_1280447820">
            <w:r>
              <w:rPr>
                <w:webHidden/>
                <w:rStyle w:val="IndexLink"/>
                <w:rtl w:val="true"/>
              </w:rPr>
              <w:t>الثامن</w:t>
            </w:r>
            <w:r>
              <w:rPr>
                <w:rStyle w:val="IndexLink"/>
                <w:rtl w:val="true"/>
              </w:rPr>
              <w:t xml:space="preserve">: </w:t>
            </w:r>
            <w:r>
              <w:rPr>
                <w:rStyle w:val="IndexLink"/>
                <w:rtl w:val="true"/>
              </w:rPr>
              <w:t>لايحرم التصوير على غير البالغ لرفع التكليف عنه</w:t>
            </w:r>
            <w:r>
              <w:rPr>
                <w:rStyle w:val="IndexLink"/>
                <w:rtl w:val="true"/>
              </w:rPr>
              <w:tab/>
            </w:r>
            <w:r>
              <w:rPr>
                <w:rStyle w:val="IndexLink"/>
              </w:rPr>
              <w:t>89</w:t>
            </w:r>
          </w:hyperlink>
        </w:p>
        <w:p>
          <w:pPr>
            <w:pStyle w:val="Contents5"/>
            <w:tabs>
              <w:tab w:val="clear" w:pos="7892"/>
              <w:tab w:val="right" w:pos="9026" w:leader="dot"/>
            </w:tabs>
            <w:rPr/>
          </w:pPr>
          <w:hyperlink w:anchor="__RefHeading___Toc285206_1280447820">
            <w:r>
              <w:rPr>
                <w:webHidden/>
                <w:rStyle w:val="IndexLink"/>
                <w:rtl w:val="true"/>
              </w:rPr>
              <w:t>التاسع</w:t>
            </w:r>
            <w:r>
              <w:rPr>
                <w:rStyle w:val="IndexLink"/>
                <w:rtl w:val="true"/>
              </w:rPr>
              <w:t xml:space="preserve">: </w:t>
            </w:r>
            <w:r>
              <w:rPr>
                <w:rStyle w:val="IndexLink"/>
                <w:rtl w:val="true"/>
              </w:rPr>
              <w:t>الرسم على الكرة و نحوها بصورة الحيوان لايحرم</w:t>
            </w:r>
            <w:r>
              <w:rPr>
                <w:rStyle w:val="IndexLink"/>
                <w:rtl w:val="true"/>
              </w:rPr>
              <w:tab/>
            </w:r>
            <w:r>
              <w:rPr>
                <w:rStyle w:val="IndexLink"/>
              </w:rPr>
              <w:t>90</w:t>
            </w:r>
          </w:hyperlink>
        </w:p>
        <w:p>
          <w:pPr>
            <w:pStyle w:val="Contents5"/>
            <w:tabs>
              <w:tab w:val="clear" w:pos="7892"/>
              <w:tab w:val="right" w:pos="9026" w:leader="dot"/>
            </w:tabs>
            <w:rPr/>
          </w:pPr>
          <w:hyperlink w:anchor="__RefHeading___Toc285208_1280447820">
            <w:r>
              <w:rPr>
                <w:webHidden/>
                <w:rStyle w:val="IndexLink"/>
                <w:rtl w:val="true"/>
              </w:rPr>
              <w:t>العاشر</w:t>
            </w:r>
            <w:r>
              <w:rPr>
                <w:rStyle w:val="IndexLink"/>
                <w:rtl w:val="true"/>
              </w:rPr>
              <w:t xml:space="preserve">: </w:t>
            </w:r>
            <w:r>
              <w:rPr>
                <w:rStyle w:val="IndexLink"/>
                <w:rtl w:val="true"/>
              </w:rPr>
              <w:t>اخذ الاجرة على التصوير المحرّم غير جائز</w:t>
            </w:r>
            <w:r>
              <w:rPr>
                <w:rStyle w:val="IndexLink"/>
                <w:rtl w:val="true"/>
              </w:rPr>
              <w:tab/>
            </w:r>
            <w:r>
              <w:rPr>
                <w:rStyle w:val="IndexLink"/>
              </w:rPr>
              <w:t>90</w:t>
            </w:r>
          </w:hyperlink>
        </w:p>
        <w:p>
          <w:pPr>
            <w:pStyle w:val="Contents3"/>
            <w:tabs>
              <w:tab w:val="clear" w:pos="8459"/>
              <w:tab w:val="right" w:pos="9026" w:leader="dot"/>
            </w:tabs>
            <w:rPr/>
          </w:pPr>
          <w:hyperlink w:anchor="__RefHeading___Toc285210_1280447820">
            <w:r>
              <w:rPr>
                <w:webHidden/>
                <w:rStyle w:val="IndexLink"/>
                <w:rtl w:val="true"/>
              </w:rPr>
              <w:t>المقام الثالث في اقتناء الصور المحرّمة</w:t>
            </w:r>
            <w:r>
              <w:rPr>
                <w:rStyle w:val="IndexLink"/>
                <w:rtl w:val="true"/>
              </w:rPr>
              <w:tab/>
            </w:r>
            <w:r>
              <w:rPr>
                <w:rStyle w:val="IndexLink"/>
              </w:rPr>
              <w:t>92</w:t>
            </w:r>
          </w:hyperlink>
        </w:p>
        <w:p>
          <w:pPr>
            <w:pStyle w:val="Contents4"/>
            <w:tabs>
              <w:tab w:val="clear" w:pos="8176"/>
              <w:tab w:val="right" w:pos="9026" w:leader="dot"/>
            </w:tabs>
            <w:rPr/>
          </w:pPr>
          <w:hyperlink w:anchor="__RefHeading___Toc285212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85214_1280447820">
            <w:r>
              <w:rPr>
                <w:webHidden/>
                <w:rStyle w:val="IndexLink"/>
                <w:rtl w:val="true"/>
              </w:rPr>
              <w:t>أدلّة حرمة الاقتناء</w:t>
            </w:r>
            <w:r>
              <w:rPr>
                <w:rStyle w:val="IndexLink"/>
                <w:rtl w:val="true"/>
              </w:rPr>
              <w:t>:</w:t>
              <w:tab/>
            </w:r>
            <w:r>
              <w:rPr>
                <w:rStyle w:val="IndexLink"/>
              </w:rPr>
              <w:t>92</w:t>
            </w:r>
          </w:hyperlink>
        </w:p>
        <w:p>
          <w:pPr>
            <w:pStyle w:val="Contents4"/>
            <w:tabs>
              <w:tab w:val="clear" w:pos="8176"/>
              <w:tab w:val="right" w:pos="9026" w:leader="dot"/>
            </w:tabs>
            <w:rPr/>
          </w:pPr>
          <w:hyperlink w:anchor="__RefHeading___Toc285216_1280447820">
            <w:r>
              <w:rPr>
                <w:webHidden/>
                <w:rStyle w:val="IndexLink"/>
                <w:rtl w:val="true"/>
              </w:rPr>
              <w:t>أدلّة جواز الاقتناء</w:t>
            </w:r>
            <w:r>
              <w:rPr>
                <w:rStyle w:val="IndexLink"/>
                <w:rtl w:val="true"/>
              </w:rPr>
              <w:t>:</w:t>
              <w:tab/>
            </w:r>
            <w:r>
              <w:rPr>
                <w:rStyle w:val="IndexLink"/>
              </w:rPr>
              <w:t>105</w:t>
            </w:r>
          </w:hyperlink>
        </w:p>
        <w:p>
          <w:pPr>
            <w:pStyle w:val="Contents2"/>
            <w:tabs>
              <w:tab w:val="clear" w:pos="8743"/>
              <w:tab w:val="right" w:pos="9026" w:leader="dot"/>
            </w:tabs>
            <w:rPr/>
          </w:pPr>
          <w:hyperlink w:anchor="__RefHeading___Toc285218_1280447820">
            <w:r>
              <w:rPr>
                <w:webHidden/>
                <w:rStyle w:val="IndexLink"/>
                <w:rtl w:val="true"/>
              </w:rPr>
              <w:t>المسألة الثالثة عشر التطفيف</w:t>
            </w:r>
            <w:r>
              <w:rPr>
                <w:rStyle w:val="IndexLink"/>
                <w:rtl w:val="true"/>
              </w:rPr>
              <w:tab/>
            </w:r>
            <w:r>
              <w:rPr>
                <w:rStyle w:val="IndexLink"/>
              </w:rPr>
              <w:t>116</w:t>
            </w:r>
          </w:hyperlink>
        </w:p>
        <w:p>
          <w:pPr>
            <w:pStyle w:val="Contents3"/>
            <w:tabs>
              <w:tab w:val="clear" w:pos="8459"/>
              <w:tab w:val="right" w:pos="9026" w:leader="dot"/>
            </w:tabs>
            <w:rPr/>
          </w:pPr>
          <w:hyperlink w:anchor="__RefHeading___Toc285220_1280447820">
            <w:r>
              <w:rPr>
                <w:webHidden/>
                <w:rStyle w:val="IndexLink"/>
                <w:rtl w:val="true"/>
              </w:rPr>
              <w:t xml:space="preserve">أوّلا </w:t>
            </w:r>
            <w:r>
              <w:rPr>
                <w:rStyle w:val="IndexLink"/>
                <w:rtl w:val="true"/>
              </w:rPr>
              <w:t xml:space="preserve">- </w:t>
            </w:r>
            <w:r>
              <w:rPr>
                <w:rStyle w:val="IndexLink"/>
                <w:rtl w:val="true"/>
              </w:rPr>
              <w:t>المراد بالتطفيف و البخس</w:t>
            </w:r>
            <w:r>
              <w:rPr>
                <w:rStyle w:val="IndexLink"/>
                <w:rtl w:val="true"/>
              </w:rPr>
              <w:t>:</w:t>
              <w:tab/>
            </w:r>
            <w:r>
              <w:rPr>
                <w:rStyle w:val="IndexLink"/>
              </w:rPr>
              <w:t>116</w:t>
            </w:r>
          </w:hyperlink>
        </w:p>
        <w:p>
          <w:pPr>
            <w:pStyle w:val="Contents3"/>
            <w:tabs>
              <w:tab w:val="clear" w:pos="8459"/>
              <w:tab w:val="right" w:pos="9026" w:leader="dot"/>
            </w:tabs>
            <w:rPr/>
          </w:pPr>
          <w:hyperlink w:anchor="__RefHeading___Toc285222_1280447820">
            <w:r>
              <w:rPr>
                <w:webHidden/>
                <w:rStyle w:val="IndexLink"/>
                <w:rtl w:val="true"/>
              </w:rPr>
              <w:t xml:space="preserve">ثانياً </w:t>
            </w:r>
            <w:r>
              <w:rPr>
                <w:rStyle w:val="IndexLink"/>
                <w:rtl w:val="true"/>
              </w:rPr>
              <w:t xml:space="preserve">- </w:t>
            </w:r>
            <w:r>
              <w:rPr>
                <w:rStyle w:val="IndexLink"/>
                <w:rtl w:val="true"/>
              </w:rPr>
              <w:t>موارد تحقق التطفيف و البخس</w:t>
            </w:r>
            <w:r>
              <w:rPr>
                <w:rStyle w:val="IndexLink"/>
                <w:rtl w:val="true"/>
              </w:rPr>
              <w:t>:</w:t>
              <w:tab/>
            </w:r>
            <w:r>
              <w:rPr>
                <w:rStyle w:val="IndexLink"/>
              </w:rPr>
              <w:t>117</w:t>
            </w:r>
          </w:hyperlink>
        </w:p>
        <w:p>
          <w:pPr>
            <w:pStyle w:val="Contents3"/>
            <w:tabs>
              <w:tab w:val="clear" w:pos="8459"/>
              <w:tab w:val="right" w:pos="9026" w:leader="dot"/>
            </w:tabs>
            <w:rPr/>
          </w:pPr>
          <w:hyperlink w:anchor="__RefHeading___Toc285224_1280447820">
            <w:r>
              <w:rPr>
                <w:webHidden/>
                <w:rStyle w:val="IndexLink"/>
                <w:rtl w:val="true"/>
              </w:rPr>
              <w:t xml:space="preserve">ثالثاً </w:t>
            </w:r>
            <w:r>
              <w:rPr>
                <w:rStyle w:val="IndexLink"/>
                <w:rtl w:val="true"/>
              </w:rPr>
              <w:t xml:space="preserve">- </w:t>
            </w:r>
            <w:r>
              <w:rPr>
                <w:rStyle w:val="IndexLink"/>
                <w:rtl w:val="true"/>
              </w:rPr>
              <w:t>العنوان المأخوذ في الحرمة</w:t>
            </w:r>
            <w:r>
              <w:rPr>
                <w:rStyle w:val="IndexLink"/>
                <w:rtl w:val="true"/>
              </w:rPr>
              <w:t>:</w:t>
              <w:tab/>
            </w:r>
            <w:r>
              <w:rPr>
                <w:rStyle w:val="IndexLink"/>
              </w:rPr>
              <w:t>118</w:t>
            </w:r>
          </w:hyperlink>
        </w:p>
        <w:p>
          <w:pPr>
            <w:pStyle w:val="Contents3"/>
            <w:tabs>
              <w:tab w:val="clear" w:pos="8459"/>
              <w:tab w:val="right" w:pos="9026" w:leader="dot"/>
            </w:tabs>
            <w:rPr/>
          </w:pPr>
          <w:hyperlink w:anchor="__RefHeading___Toc285226_1280447820">
            <w:r>
              <w:rPr>
                <w:webHidden/>
                <w:rStyle w:val="IndexLink"/>
                <w:rtl w:val="true"/>
              </w:rPr>
              <w:t xml:space="preserve">رابعاً </w:t>
            </w:r>
            <w:r>
              <w:rPr>
                <w:rStyle w:val="IndexLink"/>
                <w:rtl w:val="true"/>
              </w:rPr>
              <w:t xml:space="preserve">- </w:t>
            </w:r>
            <w:r>
              <w:rPr>
                <w:rStyle w:val="IndexLink"/>
                <w:rtl w:val="true"/>
              </w:rPr>
              <w:t>حرمة التطفيف و البخس</w:t>
            </w:r>
            <w:r>
              <w:rPr>
                <w:rStyle w:val="IndexLink"/>
                <w:rtl w:val="true"/>
              </w:rPr>
              <w:t>:</w:t>
              <w:tab/>
            </w:r>
            <w:r>
              <w:rPr>
                <w:rStyle w:val="IndexLink"/>
              </w:rPr>
              <w:t>118</w:t>
            </w:r>
          </w:hyperlink>
        </w:p>
        <w:p>
          <w:pPr>
            <w:pStyle w:val="Contents3"/>
            <w:tabs>
              <w:tab w:val="clear" w:pos="8459"/>
              <w:tab w:val="right" w:pos="9026" w:leader="dot"/>
            </w:tabs>
            <w:rPr/>
          </w:pPr>
          <w:hyperlink w:anchor="__RefHeading___Toc285228_1280447820">
            <w:r>
              <w:rPr>
                <w:webHidden/>
                <w:rStyle w:val="IndexLink"/>
                <w:rtl w:val="true"/>
              </w:rPr>
              <w:t xml:space="preserve">خامساً </w:t>
            </w:r>
            <w:r>
              <w:rPr>
                <w:rStyle w:val="IndexLink"/>
                <w:rtl w:val="true"/>
              </w:rPr>
              <w:t xml:space="preserve">- </w:t>
            </w:r>
            <w:r>
              <w:rPr>
                <w:rStyle w:val="IndexLink"/>
                <w:rtl w:val="true"/>
              </w:rPr>
              <w:t>حكم المعاملة من ناحية الصحة والفساد</w:t>
            </w:r>
            <w:r>
              <w:rPr>
                <w:rStyle w:val="IndexLink"/>
                <w:rtl w:val="true"/>
              </w:rPr>
              <w:t>:</w:t>
              <w:tab/>
            </w:r>
            <w:r>
              <w:rPr>
                <w:rStyle w:val="IndexLink"/>
              </w:rPr>
              <w:t>121</w:t>
            </w:r>
          </w:hyperlink>
        </w:p>
        <w:p>
          <w:pPr>
            <w:pStyle w:val="Contents3"/>
            <w:tabs>
              <w:tab w:val="clear" w:pos="8459"/>
              <w:tab w:val="right" w:pos="9026" w:leader="dot"/>
            </w:tabs>
            <w:rPr/>
          </w:pPr>
          <w:hyperlink w:anchor="__RefHeading___Toc285230_1280447820">
            <w:r>
              <w:rPr>
                <w:webHidden/>
                <w:rStyle w:val="IndexLink"/>
                <w:rtl w:val="true"/>
              </w:rPr>
              <w:t xml:space="preserve">سادساً </w:t>
            </w:r>
            <w:r>
              <w:rPr>
                <w:rStyle w:val="IndexLink"/>
                <w:rtl w:val="true"/>
              </w:rPr>
              <w:t xml:space="preserve">- </w:t>
            </w:r>
            <w:r>
              <w:rPr>
                <w:rStyle w:val="IndexLink"/>
                <w:rtl w:val="true"/>
              </w:rPr>
              <w:t>عدم اختصاص الحكم بالبيع و الأعيان</w:t>
            </w:r>
            <w:r>
              <w:rPr>
                <w:rStyle w:val="IndexLink"/>
                <w:rtl w:val="true"/>
              </w:rPr>
              <w:t>:</w:t>
              <w:tab/>
            </w:r>
            <w:r>
              <w:rPr>
                <w:rStyle w:val="IndexLink"/>
              </w:rPr>
              <w:t>125</w:t>
            </w:r>
          </w:hyperlink>
        </w:p>
        <w:p>
          <w:pPr>
            <w:pStyle w:val="Contents2"/>
            <w:tabs>
              <w:tab w:val="clear" w:pos="8743"/>
              <w:tab w:val="right" w:pos="9026" w:leader="dot"/>
            </w:tabs>
            <w:rPr/>
          </w:pPr>
          <w:hyperlink w:anchor="__RefHeading___Toc285232_1280447820">
            <w:r>
              <w:rPr>
                <w:webHidden/>
                <w:rStyle w:val="IndexLink"/>
                <w:rtl w:val="true"/>
              </w:rPr>
              <w:t>المسألة الرابعة عشر تغيير الجنسيّة</w:t>
            </w:r>
            <w:r>
              <w:rPr>
                <w:rStyle w:val="IndexLink"/>
                <w:rtl w:val="true"/>
              </w:rPr>
              <w:tab/>
            </w:r>
            <w:r>
              <w:rPr>
                <w:rStyle w:val="IndexLink"/>
              </w:rPr>
              <w:t>126</w:t>
            </w:r>
          </w:hyperlink>
        </w:p>
        <w:p>
          <w:pPr>
            <w:pStyle w:val="Contents3"/>
            <w:tabs>
              <w:tab w:val="clear" w:pos="8459"/>
              <w:tab w:val="right" w:pos="9026" w:leader="dot"/>
            </w:tabs>
            <w:rPr/>
          </w:pPr>
          <w:hyperlink w:anchor="__RefHeading___Toc285234_128044782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85236_1280447820">
            <w:r>
              <w:rPr>
                <w:webHidden/>
                <w:rStyle w:val="IndexLink"/>
                <w:rtl w:val="true"/>
              </w:rPr>
              <w:t>فروع</w:t>
            </w:r>
            <w:r>
              <w:rPr>
                <w:rStyle w:val="IndexLink"/>
                <w:rtl w:val="true"/>
              </w:rPr>
              <w:t>:</w:t>
              <w:tab/>
            </w:r>
            <w:r>
              <w:rPr>
                <w:rStyle w:val="IndexLink"/>
              </w:rPr>
              <w:t>128</w:t>
            </w:r>
          </w:hyperlink>
        </w:p>
        <w:p>
          <w:pPr>
            <w:pStyle w:val="Contents4"/>
            <w:tabs>
              <w:tab w:val="clear" w:pos="8176"/>
              <w:tab w:val="right" w:pos="9026" w:leader="dot"/>
            </w:tabs>
            <w:rPr/>
          </w:pPr>
          <w:hyperlink w:anchor="__RefHeading___Toc285238_1280447820">
            <w:r>
              <w:rPr>
                <w:webHidden/>
                <w:rStyle w:val="IndexLink"/>
                <w:rtl w:val="true"/>
              </w:rPr>
              <w:t>الفرع الأوّل</w:t>
            </w:r>
            <w:r>
              <w:rPr>
                <w:rStyle w:val="IndexLink"/>
                <w:rtl w:val="true"/>
              </w:rPr>
              <w:t xml:space="preserve">: </w:t>
            </w:r>
            <w:r>
              <w:rPr>
                <w:rStyle w:val="IndexLink"/>
                <w:rtl w:val="true"/>
              </w:rPr>
              <w:t>هل يجوز تغيير الجنسية من دون استئذان زوجها؟</w:t>
            </w:r>
            <w:r>
              <w:rPr>
                <w:rStyle w:val="IndexLink"/>
                <w:rtl w:val="true"/>
              </w:rPr>
              <w:tab/>
            </w:r>
            <w:r>
              <w:rPr>
                <w:rStyle w:val="IndexLink"/>
              </w:rPr>
              <w:t>128</w:t>
            </w:r>
          </w:hyperlink>
        </w:p>
        <w:p>
          <w:pPr>
            <w:pStyle w:val="Contents4"/>
            <w:tabs>
              <w:tab w:val="clear" w:pos="8176"/>
              <w:tab w:val="right" w:pos="9026" w:leader="dot"/>
            </w:tabs>
            <w:rPr/>
          </w:pPr>
          <w:hyperlink w:anchor="__RefHeading___Toc285240_1280447820">
            <w:r>
              <w:rPr>
                <w:webHidden/>
                <w:rStyle w:val="IndexLink"/>
                <w:rtl w:val="true"/>
              </w:rPr>
              <w:t>الفرع الثاني</w:t>
            </w:r>
            <w:r>
              <w:rPr>
                <w:rStyle w:val="IndexLink"/>
                <w:rtl w:val="true"/>
              </w:rPr>
              <w:t xml:space="preserve">: </w:t>
            </w:r>
            <w:r>
              <w:rPr>
                <w:rStyle w:val="IndexLink"/>
                <w:rtl w:val="true"/>
              </w:rPr>
              <w:t>هل يجوز للعبيد و الاماء أن يغيّرواجنسيّتهم من دون اذن مواليهم‌؟</w:t>
            </w:r>
            <w:r>
              <w:rPr>
                <w:rStyle w:val="IndexLink"/>
                <w:rtl w:val="true"/>
              </w:rPr>
              <w:tab/>
            </w:r>
            <w:r>
              <w:rPr>
                <w:rStyle w:val="IndexLink"/>
              </w:rPr>
              <w:t>131</w:t>
            </w:r>
          </w:hyperlink>
        </w:p>
        <w:p>
          <w:pPr>
            <w:pStyle w:val="Contents4"/>
            <w:tabs>
              <w:tab w:val="clear" w:pos="8176"/>
              <w:tab w:val="right" w:pos="9026" w:leader="dot"/>
            </w:tabs>
            <w:rPr/>
          </w:pPr>
          <w:hyperlink w:anchor="__RefHeading___Toc285242_1280447820">
            <w:r>
              <w:rPr>
                <w:webHidden/>
                <w:rStyle w:val="IndexLink"/>
                <w:rtl w:val="true"/>
              </w:rPr>
              <w:t>الفرع الثالث</w:t>
            </w:r>
            <w:r>
              <w:rPr>
                <w:rStyle w:val="IndexLink"/>
                <w:rtl w:val="true"/>
              </w:rPr>
              <w:t xml:space="preserve">: </w:t>
            </w:r>
            <w:r>
              <w:rPr>
                <w:rStyle w:val="IndexLink"/>
                <w:rtl w:val="true"/>
              </w:rPr>
              <w:t>هل يجوز تغيير الجنسية للأجير في مدّة اجارة نفسه للغير</w:t>
            </w:r>
            <w:r>
              <w:rPr>
                <w:rStyle w:val="IndexLink"/>
                <w:rtl w:val="true"/>
              </w:rPr>
              <w:tab/>
            </w:r>
            <w:r>
              <w:rPr>
                <w:rStyle w:val="IndexLink"/>
              </w:rPr>
              <w:t>131</w:t>
            </w:r>
          </w:hyperlink>
        </w:p>
        <w:p>
          <w:pPr>
            <w:pStyle w:val="Contents4"/>
            <w:tabs>
              <w:tab w:val="clear" w:pos="8176"/>
              <w:tab w:val="right" w:pos="9026" w:leader="dot"/>
            </w:tabs>
            <w:rPr/>
          </w:pPr>
          <w:hyperlink w:anchor="__RefHeading___Toc285244_1280447820">
            <w:r>
              <w:rPr>
                <w:webHidden/>
                <w:rStyle w:val="IndexLink"/>
                <w:rtl w:val="true"/>
              </w:rPr>
              <w:t>الفرع الرابع</w:t>
            </w:r>
            <w:r>
              <w:rPr>
                <w:rStyle w:val="IndexLink"/>
                <w:rtl w:val="true"/>
              </w:rPr>
              <w:t xml:space="preserve">: </w:t>
            </w:r>
            <w:r>
              <w:rPr>
                <w:rStyle w:val="IndexLink"/>
                <w:rtl w:val="true"/>
              </w:rPr>
              <w:t>بطلان التزويج من حين تغيير جنسيّة الزوجة</w:t>
            </w:r>
            <w:r>
              <w:rPr>
                <w:rStyle w:val="IndexLink"/>
                <w:rtl w:val="true"/>
              </w:rPr>
              <w:tab/>
            </w:r>
            <w:r>
              <w:rPr>
                <w:rStyle w:val="IndexLink"/>
              </w:rPr>
              <w:t>132</w:t>
            </w:r>
          </w:hyperlink>
        </w:p>
        <w:p>
          <w:pPr>
            <w:pStyle w:val="Contents4"/>
            <w:tabs>
              <w:tab w:val="clear" w:pos="8176"/>
              <w:tab w:val="right" w:pos="9026" w:leader="dot"/>
            </w:tabs>
            <w:rPr/>
          </w:pPr>
          <w:hyperlink w:anchor="__RefHeading___Toc285246_1280447820">
            <w:r>
              <w:rPr>
                <w:webHidden/>
                <w:rStyle w:val="IndexLink"/>
                <w:rtl w:val="true"/>
              </w:rPr>
              <w:t>الفرع الخامس</w:t>
            </w:r>
            <w:r>
              <w:rPr>
                <w:rStyle w:val="IndexLink"/>
                <w:rtl w:val="true"/>
              </w:rPr>
              <w:t xml:space="preserve">: </w:t>
            </w:r>
            <w:r>
              <w:rPr>
                <w:rStyle w:val="IndexLink"/>
                <w:rtl w:val="true"/>
              </w:rPr>
              <w:t>اذا بطل النكاح بتغيير جنسية هل يجب على الزوج كل المهر مطلقاً</w:t>
            </w:r>
            <w:r>
              <w:rPr>
                <w:rStyle w:val="IndexLink"/>
                <w:rtl w:val="true"/>
              </w:rPr>
              <w:tab/>
            </w:r>
            <w:r>
              <w:rPr>
                <w:rStyle w:val="IndexLink"/>
              </w:rPr>
              <w:t>134</w:t>
            </w:r>
          </w:hyperlink>
        </w:p>
        <w:p>
          <w:pPr>
            <w:pStyle w:val="Contents4"/>
            <w:tabs>
              <w:tab w:val="clear" w:pos="8176"/>
              <w:tab w:val="right" w:pos="9026" w:leader="dot"/>
            </w:tabs>
            <w:rPr/>
          </w:pPr>
          <w:hyperlink w:anchor="__RefHeading___Toc285248_1280447820">
            <w:r>
              <w:rPr>
                <w:webHidden/>
                <w:rStyle w:val="IndexLink"/>
                <w:rtl w:val="true"/>
              </w:rPr>
              <w:t>الفرع السادس</w:t>
            </w:r>
            <w:r>
              <w:rPr>
                <w:rStyle w:val="IndexLink"/>
                <w:rtl w:val="true"/>
              </w:rPr>
              <w:t xml:space="preserve">: </w:t>
            </w:r>
            <w:r>
              <w:rPr>
                <w:rStyle w:val="IndexLink"/>
                <w:rtl w:val="true"/>
              </w:rPr>
              <w:t>تغيير جنس المرأة في زمان عدّتها</w:t>
            </w:r>
            <w:r>
              <w:rPr>
                <w:rStyle w:val="IndexLink"/>
                <w:rtl w:val="true"/>
              </w:rPr>
              <w:tab/>
            </w:r>
            <w:r>
              <w:rPr>
                <w:rStyle w:val="IndexLink"/>
              </w:rPr>
              <w:t>142</w:t>
            </w:r>
          </w:hyperlink>
        </w:p>
        <w:p>
          <w:pPr>
            <w:pStyle w:val="Contents4"/>
            <w:tabs>
              <w:tab w:val="clear" w:pos="8176"/>
              <w:tab w:val="right" w:pos="9026" w:leader="dot"/>
            </w:tabs>
            <w:rPr/>
          </w:pPr>
          <w:hyperlink w:anchor="__RefHeading___Toc285250_1280447820">
            <w:r>
              <w:rPr>
                <w:webHidden/>
                <w:rStyle w:val="IndexLink"/>
                <w:rtl w:val="true"/>
              </w:rPr>
              <w:t>الفرع السابع</w:t>
            </w:r>
            <w:r>
              <w:rPr>
                <w:rStyle w:val="IndexLink"/>
                <w:rtl w:val="true"/>
              </w:rPr>
              <w:t xml:space="preserve">: </w:t>
            </w:r>
            <w:r>
              <w:rPr>
                <w:rStyle w:val="IndexLink"/>
                <w:rtl w:val="true"/>
              </w:rPr>
              <w:t>تغيير جنس الرجل الولى الى المخالف</w:t>
            </w:r>
            <w:r>
              <w:rPr>
                <w:rStyle w:val="IndexLink"/>
                <w:rtl w:val="true"/>
              </w:rPr>
              <w:tab/>
            </w:r>
            <w:r>
              <w:rPr>
                <w:rStyle w:val="IndexLink"/>
              </w:rPr>
              <w:t>142</w:t>
            </w:r>
          </w:hyperlink>
        </w:p>
        <w:p>
          <w:pPr>
            <w:pStyle w:val="Contents4"/>
            <w:tabs>
              <w:tab w:val="clear" w:pos="8176"/>
              <w:tab w:val="right" w:pos="9026" w:leader="dot"/>
            </w:tabs>
            <w:rPr/>
          </w:pPr>
          <w:hyperlink w:anchor="__RefHeading___Toc285252_1280447820">
            <w:r>
              <w:rPr>
                <w:webHidden/>
                <w:rStyle w:val="IndexLink"/>
                <w:rtl w:val="true"/>
              </w:rPr>
              <w:t>الفرع الثامن</w:t>
            </w:r>
            <w:r>
              <w:rPr>
                <w:rStyle w:val="IndexLink"/>
                <w:rtl w:val="true"/>
              </w:rPr>
              <w:t xml:space="preserve">: </w:t>
            </w:r>
            <w:r>
              <w:rPr>
                <w:rStyle w:val="IndexLink"/>
                <w:rtl w:val="true"/>
              </w:rPr>
              <w:t>لاتتغيّر عناوين النسبيّه بتغيير الجنسيّة</w:t>
            </w:r>
            <w:r>
              <w:rPr>
                <w:rStyle w:val="IndexLink"/>
                <w:rtl w:val="true"/>
              </w:rPr>
              <w:tab/>
            </w:r>
            <w:r>
              <w:rPr>
                <w:rStyle w:val="IndexLink"/>
              </w:rPr>
              <w:t>146</w:t>
            </w:r>
          </w:hyperlink>
        </w:p>
        <w:p>
          <w:pPr>
            <w:pStyle w:val="Contents4"/>
            <w:tabs>
              <w:tab w:val="clear" w:pos="8176"/>
              <w:tab w:val="right" w:pos="9026" w:leader="dot"/>
            </w:tabs>
            <w:rPr/>
          </w:pPr>
          <w:hyperlink w:anchor="__RefHeading___Toc285254_1280447820">
            <w:r>
              <w:rPr>
                <w:webHidden/>
                <w:rStyle w:val="IndexLink"/>
                <w:rtl w:val="true"/>
              </w:rPr>
              <w:t>الفرع التاسع</w:t>
            </w:r>
            <w:r>
              <w:rPr>
                <w:rStyle w:val="IndexLink"/>
                <w:rtl w:val="true"/>
              </w:rPr>
              <w:t xml:space="preserve">: </w:t>
            </w:r>
            <w:r>
              <w:rPr>
                <w:rStyle w:val="IndexLink"/>
                <w:rtl w:val="true"/>
              </w:rPr>
              <w:t>حكم حرمة النكاح و جواز النظر فى غير الابوين لايتغيّر بتغيير الجنسيّة</w:t>
            </w:r>
            <w:r>
              <w:rPr>
                <w:rStyle w:val="IndexLink"/>
                <w:rtl w:val="true"/>
              </w:rPr>
              <w:tab/>
            </w:r>
            <w:r>
              <w:rPr>
                <w:rStyle w:val="IndexLink"/>
              </w:rPr>
              <w:t>151</w:t>
            </w:r>
          </w:hyperlink>
        </w:p>
        <w:p>
          <w:pPr>
            <w:pStyle w:val="Contents4"/>
            <w:tabs>
              <w:tab w:val="clear" w:pos="8176"/>
              <w:tab w:val="right" w:pos="9026" w:leader="dot"/>
            </w:tabs>
            <w:rPr/>
          </w:pPr>
          <w:hyperlink w:anchor="__RefHeading___Toc285256_1280447820">
            <w:r>
              <w:rPr>
                <w:webHidden/>
                <w:rStyle w:val="IndexLink"/>
                <w:rtl w:val="true"/>
              </w:rPr>
              <w:t>الفرع العاشر</w:t>
            </w:r>
            <w:r>
              <w:rPr>
                <w:rStyle w:val="IndexLink"/>
                <w:rtl w:val="true"/>
              </w:rPr>
              <w:t xml:space="preserve">: </w:t>
            </w:r>
            <w:r>
              <w:rPr>
                <w:rStyle w:val="IndexLink"/>
                <w:rtl w:val="true"/>
              </w:rPr>
              <w:t>لو تغيّر جنس الأمّ و صارت رجلاً هل يجوز له نكاح بناته‌؟</w:t>
            </w:r>
            <w:r>
              <w:rPr>
                <w:rStyle w:val="IndexLink"/>
                <w:rtl w:val="true"/>
              </w:rPr>
              <w:tab/>
            </w:r>
            <w:r>
              <w:rPr>
                <w:rStyle w:val="IndexLink"/>
              </w:rPr>
              <w:t>152</w:t>
            </w:r>
          </w:hyperlink>
        </w:p>
        <w:p>
          <w:pPr>
            <w:pStyle w:val="Contents4"/>
            <w:tabs>
              <w:tab w:val="clear" w:pos="8176"/>
              <w:tab w:val="right" w:pos="9026" w:leader="dot"/>
            </w:tabs>
            <w:rPr/>
          </w:pPr>
          <w:hyperlink w:anchor="__RefHeading___Toc285258_1280447820">
            <w:r>
              <w:rPr>
                <w:webHidden/>
                <w:rStyle w:val="IndexLink"/>
                <w:rtl w:val="true"/>
              </w:rPr>
              <w:t>الفرع الحادي عشر</w:t>
            </w:r>
            <w:r>
              <w:rPr>
                <w:rStyle w:val="IndexLink"/>
                <w:rtl w:val="true"/>
              </w:rPr>
              <w:t xml:space="preserve">: </w:t>
            </w:r>
            <w:r>
              <w:rPr>
                <w:rStyle w:val="IndexLink"/>
                <w:rtl w:val="true"/>
              </w:rPr>
              <w:t>اذا تغيّر جنس الأب فصار امرأة فزواجها مع ابنائها محرّم بالضرورة</w:t>
            </w:r>
            <w:r>
              <w:rPr>
                <w:rStyle w:val="IndexLink"/>
                <w:rtl w:val="true"/>
              </w:rPr>
              <w:tab/>
            </w:r>
            <w:r>
              <w:rPr>
                <w:rStyle w:val="IndexLink"/>
              </w:rPr>
              <w:t>153</w:t>
            </w:r>
          </w:hyperlink>
        </w:p>
        <w:p>
          <w:pPr>
            <w:pStyle w:val="Contents4"/>
            <w:tabs>
              <w:tab w:val="clear" w:pos="8176"/>
              <w:tab w:val="right" w:pos="9026" w:leader="dot"/>
            </w:tabs>
            <w:rPr/>
          </w:pPr>
          <w:hyperlink w:anchor="__RefHeading___Toc285260_1280447820">
            <w:r>
              <w:rPr>
                <w:webHidden/>
                <w:rStyle w:val="IndexLink"/>
                <w:rtl w:val="true"/>
              </w:rPr>
              <w:t>الفرع الثاني عشر</w:t>
            </w:r>
            <w:r>
              <w:rPr>
                <w:rStyle w:val="IndexLink"/>
                <w:rtl w:val="true"/>
              </w:rPr>
              <w:t xml:space="preserve">: </w:t>
            </w:r>
            <w:r>
              <w:rPr>
                <w:rStyle w:val="IndexLink"/>
                <w:rtl w:val="true"/>
              </w:rPr>
              <w:t>لو تغيّر جنس الأم فصارت رجلاً فهل تكون بعد الرجوليه كالأب</w:t>
            </w:r>
            <w:r>
              <w:rPr>
                <w:rStyle w:val="IndexLink"/>
                <w:rtl w:val="true"/>
              </w:rPr>
              <w:tab/>
            </w:r>
            <w:r>
              <w:rPr>
                <w:rStyle w:val="IndexLink"/>
              </w:rPr>
              <w:t>155</w:t>
            </w:r>
          </w:hyperlink>
        </w:p>
        <w:p>
          <w:pPr>
            <w:pStyle w:val="Contents4"/>
            <w:tabs>
              <w:tab w:val="clear" w:pos="8176"/>
              <w:tab w:val="right" w:pos="9026" w:leader="dot"/>
            </w:tabs>
            <w:rPr/>
          </w:pPr>
          <w:hyperlink w:anchor="__RefHeading___Toc285262_1280447820">
            <w:r>
              <w:rPr>
                <w:webHidden/>
                <w:rStyle w:val="IndexLink"/>
                <w:rtl w:val="true"/>
              </w:rPr>
              <w:t>الفرع الثالث عشر</w:t>
            </w:r>
            <w:r>
              <w:rPr>
                <w:rStyle w:val="IndexLink"/>
                <w:rtl w:val="true"/>
              </w:rPr>
              <w:t xml:space="preserve">: </w:t>
            </w:r>
            <w:r>
              <w:rPr>
                <w:rStyle w:val="IndexLink"/>
                <w:rtl w:val="true"/>
              </w:rPr>
              <w:t>اذا تغيّر جنسيّة حليلة الابن فصارت رجلاً</w:t>
            </w:r>
            <w:r>
              <w:rPr>
                <w:rStyle w:val="IndexLink"/>
                <w:rtl w:val="true"/>
              </w:rPr>
              <w:tab/>
            </w:r>
            <w:r>
              <w:rPr>
                <w:rStyle w:val="IndexLink"/>
              </w:rPr>
              <w:t>157</w:t>
            </w:r>
          </w:hyperlink>
        </w:p>
        <w:p>
          <w:pPr>
            <w:pStyle w:val="Contents4"/>
            <w:tabs>
              <w:tab w:val="clear" w:pos="8176"/>
              <w:tab w:val="right" w:pos="9026" w:leader="dot"/>
            </w:tabs>
            <w:rPr/>
          </w:pPr>
          <w:hyperlink w:anchor="__RefHeading___Toc285264_1280447820">
            <w:r>
              <w:rPr>
                <w:webHidden/>
                <w:rStyle w:val="IndexLink"/>
                <w:rtl w:val="true"/>
              </w:rPr>
              <w:t>الفرع الرابع عشر</w:t>
            </w:r>
            <w:r>
              <w:rPr>
                <w:rStyle w:val="IndexLink"/>
                <w:rtl w:val="true"/>
              </w:rPr>
              <w:t xml:space="preserve">: </w:t>
            </w:r>
            <w:r>
              <w:rPr>
                <w:rStyle w:val="IndexLink"/>
                <w:rtl w:val="true"/>
              </w:rPr>
              <w:t>اذا تغيّرت جنسية الزوج و صار امرأة ارتفعت علقة الزوجية</w:t>
            </w:r>
            <w:r>
              <w:rPr>
                <w:rStyle w:val="IndexLink"/>
                <w:rtl w:val="true"/>
              </w:rPr>
              <w:tab/>
            </w:r>
            <w:r>
              <w:rPr>
                <w:rStyle w:val="IndexLink"/>
              </w:rPr>
              <w:t>159</w:t>
            </w:r>
          </w:hyperlink>
        </w:p>
        <w:p>
          <w:pPr>
            <w:pStyle w:val="Contents2"/>
            <w:tabs>
              <w:tab w:val="clear" w:pos="8743"/>
              <w:tab w:val="right" w:pos="9026" w:leader="dot"/>
            </w:tabs>
            <w:rPr/>
          </w:pPr>
          <w:hyperlink w:anchor="__RefHeading___Toc285266_1280447820">
            <w:r>
              <w:rPr>
                <w:webHidden/>
                <w:rStyle w:val="IndexLink"/>
                <w:rtl w:val="true"/>
              </w:rPr>
              <w:t>المسألة الخامسة عشر التلقيح</w:t>
            </w:r>
            <w:r>
              <w:rPr>
                <w:rStyle w:val="IndexLink"/>
                <w:rtl w:val="true"/>
              </w:rPr>
              <w:tab/>
            </w:r>
            <w:r>
              <w:rPr>
                <w:rStyle w:val="IndexLink"/>
              </w:rPr>
              <w:t>162</w:t>
            </w:r>
          </w:hyperlink>
        </w:p>
        <w:p>
          <w:pPr>
            <w:pStyle w:val="Contents3"/>
            <w:tabs>
              <w:tab w:val="clear" w:pos="8459"/>
              <w:tab w:val="right" w:pos="9026" w:leader="dot"/>
            </w:tabs>
            <w:rPr/>
          </w:pPr>
          <w:hyperlink w:anchor="__RefHeading___Toc285268_128044782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285270_1280447820">
            <w:r>
              <w:rPr>
                <w:webHidden/>
                <w:rStyle w:val="IndexLink"/>
                <w:rtl w:val="true"/>
              </w:rPr>
              <w:t>الصورة الاُولى</w:t>
            </w:r>
            <w:r>
              <w:rPr>
                <w:rStyle w:val="IndexLink"/>
                <w:rtl w:val="true"/>
              </w:rPr>
              <w:t xml:space="preserve">: </w:t>
            </w:r>
            <w:r>
              <w:rPr>
                <w:rStyle w:val="IndexLink"/>
                <w:rtl w:val="true"/>
              </w:rPr>
              <w:t>اذا ألقى مني الزوج بوسيلة ما في رحم زوجته</w:t>
            </w:r>
            <w:r>
              <w:rPr>
                <w:rStyle w:val="IndexLink"/>
                <w:rtl w:val="true"/>
              </w:rPr>
              <w:tab/>
            </w:r>
            <w:r>
              <w:rPr>
                <w:rStyle w:val="IndexLink"/>
              </w:rPr>
              <w:t>162</w:t>
            </w:r>
          </w:hyperlink>
        </w:p>
        <w:p>
          <w:pPr>
            <w:pStyle w:val="Contents3"/>
            <w:tabs>
              <w:tab w:val="clear" w:pos="8459"/>
              <w:tab w:val="right" w:pos="9026" w:leader="dot"/>
            </w:tabs>
            <w:rPr/>
          </w:pPr>
          <w:hyperlink w:anchor="__RefHeading___Toc285272_1280447820">
            <w:r>
              <w:rPr>
                <w:webHidden/>
                <w:rStyle w:val="IndexLink"/>
                <w:rtl w:val="true"/>
              </w:rPr>
              <w:t>الصورة الثانية</w:t>
            </w:r>
            <w:r>
              <w:rPr>
                <w:rStyle w:val="IndexLink"/>
                <w:rtl w:val="true"/>
              </w:rPr>
              <w:t xml:space="preserve">: </w:t>
            </w:r>
            <w:r>
              <w:rPr>
                <w:rStyle w:val="IndexLink"/>
                <w:rtl w:val="true"/>
              </w:rPr>
              <w:t>اذا كان التلقيح بماء غير الزوج هل يجوز ذلك ام لا؟</w:t>
            </w:r>
            <w:r>
              <w:rPr>
                <w:rStyle w:val="IndexLink"/>
                <w:rtl w:val="true"/>
              </w:rPr>
              <w:tab/>
            </w:r>
            <w:r>
              <w:rPr>
                <w:rStyle w:val="IndexLink"/>
              </w:rPr>
              <w:t>163</w:t>
            </w:r>
          </w:hyperlink>
        </w:p>
        <w:p>
          <w:pPr>
            <w:pStyle w:val="Contents3"/>
            <w:tabs>
              <w:tab w:val="clear" w:pos="8459"/>
              <w:tab w:val="right" w:pos="9026" w:leader="dot"/>
            </w:tabs>
            <w:rPr/>
          </w:pPr>
          <w:hyperlink w:anchor="__RefHeading___Toc285274_1280447820">
            <w:r>
              <w:rPr>
                <w:webHidden/>
                <w:rStyle w:val="IndexLink"/>
                <w:rtl w:val="true"/>
              </w:rPr>
              <w:t>الصورة الثالثة</w:t>
            </w:r>
            <w:r>
              <w:rPr>
                <w:rStyle w:val="IndexLink"/>
                <w:rtl w:val="true"/>
              </w:rPr>
              <w:t xml:space="preserve">: </w:t>
            </w:r>
            <w:r>
              <w:rPr>
                <w:rStyle w:val="IndexLink"/>
                <w:rtl w:val="true"/>
              </w:rPr>
              <w:t>أن يؤخذ المنى أو البييضة من النباتات</w:t>
            </w:r>
            <w:r>
              <w:rPr>
                <w:rStyle w:val="IndexLink"/>
                <w:rtl w:val="true"/>
              </w:rPr>
              <w:tab/>
            </w:r>
            <w:r>
              <w:rPr>
                <w:rStyle w:val="IndexLink"/>
              </w:rPr>
              <w:t>185</w:t>
            </w:r>
          </w:hyperlink>
        </w:p>
        <w:p>
          <w:pPr>
            <w:pStyle w:val="Contents3"/>
            <w:tabs>
              <w:tab w:val="clear" w:pos="8459"/>
              <w:tab w:val="right" w:pos="9026" w:leader="dot"/>
            </w:tabs>
            <w:rPr/>
          </w:pPr>
          <w:hyperlink w:anchor="__RefHeading___Toc285276_1280447820">
            <w:r>
              <w:rPr>
                <w:webHidden/>
                <w:rStyle w:val="IndexLink"/>
                <w:rtl w:val="true"/>
              </w:rPr>
              <w:t>الصورة الرابعة</w:t>
            </w:r>
            <w:r>
              <w:rPr>
                <w:rStyle w:val="IndexLink"/>
                <w:rtl w:val="true"/>
              </w:rPr>
              <w:t xml:space="preserve">: </w:t>
            </w:r>
            <w:r>
              <w:rPr>
                <w:rStyle w:val="IndexLink"/>
                <w:rtl w:val="true"/>
              </w:rPr>
              <w:t>أن يؤخذ مني الزوج و بييضته الزوجة و يركّبان في خارج الرحم ثم يزرع في رحم الزوجة</w:t>
            </w:r>
            <w:r>
              <w:rPr>
                <w:rStyle w:val="IndexLink"/>
                <w:rtl w:val="true"/>
              </w:rPr>
              <w:tab/>
            </w:r>
            <w:r>
              <w:rPr>
                <w:rStyle w:val="IndexLink"/>
              </w:rPr>
              <w:t>186</w:t>
            </w:r>
          </w:hyperlink>
        </w:p>
        <w:p>
          <w:pPr>
            <w:pStyle w:val="Contents3"/>
            <w:tabs>
              <w:tab w:val="clear" w:pos="8459"/>
              <w:tab w:val="right" w:pos="9026" w:leader="dot"/>
            </w:tabs>
            <w:rPr/>
          </w:pPr>
          <w:hyperlink w:anchor="__RefHeading___Toc285278_1280447820">
            <w:r>
              <w:rPr>
                <w:webHidden/>
                <w:rStyle w:val="IndexLink"/>
                <w:rtl w:val="true"/>
              </w:rPr>
              <w:t>الصورة الخامسة</w:t>
            </w:r>
            <w:r>
              <w:rPr>
                <w:rStyle w:val="IndexLink"/>
                <w:rtl w:val="true"/>
              </w:rPr>
              <w:t xml:space="preserve">: </w:t>
            </w:r>
            <w:r>
              <w:rPr>
                <w:rStyle w:val="IndexLink"/>
                <w:rtl w:val="true"/>
              </w:rPr>
              <w:t>أن يؤخذ منى الزوج و الزوجة و يركّبان في خارج الرحم ثم يزرع في رحم صناعية</w:t>
            </w:r>
            <w:r>
              <w:rPr>
                <w:rStyle w:val="IndexLink"/>
                <w:rtl w:val="true"/>
              </w:rPr>
              <w:tab/>
            </w:r>
            <w:r>
              <w:rPr>
                <w:rStyle w:val="IndexLink"/>
              </w:rPr>
              <w:t>187</w:t>
            </w:r>
          </w:hyperlink>
        </w:p>
        <w:p>
          <w:pPr>
            <w:pStyle w:val="Contents3"/>
            <w:tabs>
              <w:tab w:val="clear" w:pos="8459"/>
              <w:tab w:val="right" w:pos="9026" w:leader="dot"/>
            </w:tabs>
            <w:rPr/>
          </w:pPr>
          <w:hyperlink w:anchor="__RefHeading___Toc285280_1280447820">
            <w:r>
              <w:rPr>
                <w:webHidden/>
                <w:rStyle w:val="IndexLink"/>
                <w:rtl w:val="true"/>
              </w:rPr>
              <w:t>الصورة السادسة</w:t>
            </w:r>
            <w:r>
              <w:rPr>
                <w:rStyle w:val="IndexLink"/>
                <w:rtl w:val="true"/>
              </w:rPr>
              <w:t xml:space="preserve">: </w:t>
            </w:r>
            <w:r>
              <w:rPr>
                <w:rStyle w:val="IndexLink"/>
                <w:rtl w:val="true"/>
              </w:rPr>
              <w:t>أن يؤخذ ماء رجل معلوم و بييضة امرأة معلومة من دون ان يكون بينهما علقة الزوجية</w:t>
            </w:r>
            <w:r>
              <w:rPr>
                <w:rStyle w:val="IndexLink"/>
                <w:rtl w:val="true"/>
              </w:rPr>
              <w:tab/>
            </w:r>
            <w:r>
              <w:rPr>
                <w:rStyle w:val="IndexLink"/>
              </w:rPr>
              <w:t>187</w:t>
            </w:r>
          </w:hyperlink>
        </w:p>
        <w:p>
          <w:pPr>
            <w:pStyle w:val="Contents2"/>
            <w:tabs>
              <w:tab w:val="clear" w:pos="8743"/>
              <w:tab w:val="right" w:pos="9026" w:leader="dot"/>
            </w:tabs>
            <w:rPr/>
          </w:pPr>
          <w:hyperlink w:anchor="__RefHeading___Toc285282_1280447820">
            <w:r>
              <w:rPr>
                <w:webHidden/>
                <w:rStyle w:val="IndexLink"/>
                <w:rtl w:val="true"/>
              </w:rPr>
              <w:t>المسألة السادسة عشر التنجيم و علم النجوم</w:t>
            </w:r>
            <w:r>
              <w:rPr>
                <w:rStyle w:val="IndexLink"/>
                <w:rtl w:val="true"/>
              </w:rPr>
              <w:tab/>
            </w:r>
            <w:r>
              <w:rPr>
                <w:rStyle w:val="IndexLink"/>
              </w:rPr>
              <w:t>190</w:t>
            </w:r>
          </w:hyperlink>
        </w:p>
        <w:p>
          <w:pPr>
            <w:pStyle w:val="Contents3"/>
            <w:tabs>
              <w:tab w:val="clear" w:pos="8459"/>
              <w:tab w:val="right" w:pos="9026" w:leader="dot"/>
            </w:tabs>
            <w:rPr/>
          </w:pPr>
          <w:hyperlink w:anchor="__RefHeading___Toc285284_1280447820">
            <w:r>
              <w:rPr>
                <w:webHidden/>
                <w:rStyle w:val="IndexLink"/>
                <w:rtl w:val="true"/>
              </w:rPr>
              <w:t>حكم التنجيم</w:t>
            </w:r>
            <w:r>
              <w:rPr>
                <w:rStyle w:val="IndexLink"/>
                <w:rtl w:val="true"/>
              </w:rPr>
              <w:t>:</w:t>
              <w:tab/>
            </w:r>
            <w:r>
              <w:rPr>
                <w:rStyle w:val="IndexLink"/>
              </w:rPr>
              <w:t>190</w:t>
            </w:r>
          </w:hyperlink>
        </w:p>
        <w:p>
          <w:pPr>
            <w:pStyle w:val="Contents4"/>
            <w:tabs>
              <w:tab w:val="clear" w:pos="8176"/>
              <w:tab w:val="right" w:pos="9026" w:leader="dot"/>
            </w:tabs>
            <w:rPr/>
          </w:pPr>
          <w:hyperlink w:anchor="__RefHeading___Toc285286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85288_1280447820">
            <w:r>
              <w:rPr>
                <w:webHidden/>
                <w:rStyle w:val="IndexLink"/>
              </w:rPr>
              <w:t>1</w:t>
            </w:r>
            <w:r>
              <w:rPr>
                <w:rStyle w:val="IndexLink"/>
                <w:rtl w:val="true"/>
              </w:rPr>
              <w:t xml:space="preserve"> - </w:t>
            </w:r>
            <w:r>
              <w:rPr>
                <w:rStyle w:val="IndexLink"/>
                <w:rtl w:val="true"/>
              </w:rPr>
              <w:t>الإخبار عن الأوضاع الفلكية المبتنية على سير الكواكب</w:t>
            </w:r>
            <w:r>
              <w:rPr>
                <w:rStyle w:val="IndexLink"/>
                <w:rtl w:val="true"/>
              </w:rPr>
              <w:t>:</w:t>
              <w:tab/>
            </w:r>
            <w:r>
              <w:rPr>
                <w:rStyle w:val="IndexLink"/>
              </w:rPr>
              <w:t>190</w:t>
            </w:r>
          </w:hyperlink>
        </w:p>
        <w:p>
          <w:pPr>
            <w:pStyle w:val="Contents5"/>
            <w:tabs>
              <w:tab w:val="clear" w:pos="7892"/>
              <w:tab w:val="right" w:pos="9026" w:leader="dot"/>
            </w:tabs>
            <w:rPr/>
          </w:pPr>
          <w:hyperlink w:anchor="__RefHeading___Toc285290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85292_1280447820">
            <w:r>
              <w:rPr>
                <w:webHidden/>
                <w:rStyle w:val="IndexLink"/>
                <w:rtl w:val="true"/>
              </w:rPr>
              <w:t>الأدلّة المجوّزة</w:t>
            </w:r>
            <w:r>
              <w:rPr>
                <w:rStyle w:val="IndexLink"/>
                <w:rtl w:val="true"/>
              </w:rPr>
              <w:t>:</w:t>
              <w:tab/>
            </w:r>
            <w:r>
              <w:rPr>
                <w:rStyle w:val="IndexLink"/>
              </w:rPr>
              <w:t>191</w:t>
            </w:r>
          </w:hyperlink>
        </w:p>
        <w:p>
          <w:pPr>
            <w:pStyle w:val="Contents5"/>
            <w:tabs>
              <w:tab w:val="clear" w:pos="7892"/>
              <w:tab w:val="right" w:pos="9026" w:leader="dot"/>
            </w:tabs>
            <w:rPr/>
          </w:pPr>
          <w:hyperlink w:anchor="__RefHeading___Toc285294_1280447820">
            <w:r>
              <w:rPr>
                <w:webHidden/>
                <w:rStyle w:val="IndexLink"/>
                <w:rtl w:val="true"/>
              </w:rPr>
              <w:t>الأدلّة المانعة</w:t>
            </w:r>
            <w:r>
              <w:rPr>
                <w:rStyle w:val="IndexLink"/>
                <w:rtl w:val="true"/>
              </w:rPr>
              <w:t>:</w:t>
              <w:tab/>
            </w:r>
            <w:r>
              <w:rPr>
                <w:rStyle w:val="IndexLink"/>
              </w:rPr>
              <w:t>195</w:t>
            </w:r>
          </w:hyperlink>
        </w:p>
        <w:p>
          <w:pPr>
            <w:pStyle w:val="Contents4"/>
            <w:tabs>
              <w:tab w:val="clear" w:pos="8176"/>
              <w:tab w:val="right" w:pos="9026" w:leader="dot"/>
            </w:tabs>
            <w:rPr/>
          </w:pPr>
          <w:hyperlink w:anchor="__RefHeading___Toc285296_1280447820">
            <w:r>
              <w:rPr>
                <w:webHidden/>
                <w:rStyle w:val="IndexLink"/>
              </w:rPr>
              <w:t>2</w:t>
            </w:r>
            <w:r>
              <w:rPr>
                <w:rStyle w:val="IndexLink"/>
                <w:rtl w:val="true"/>
              </w:rPr>
              <w:t xml:space="preserve"> - </w:t>
            </w:r>
            <w:r>
              <w:rPr>
                <w:rStyle w:val="IndexLink"/>
                <w:rtl w:val="true"/>
              </w:rPr>
              <w:t>الإخبار عمّا يقع في المستقبل استناداً إلى الأوضاع الفلكية مع عدم اعتقاد تأثيرها</w:t>
            </w:r>
            <w:r>
              <w:rPr>
                <w:rStyle w:val="IndexLink"/>
                <w:rtl w:val="true"/>
              </w:rPr>
              <w:t>:</w:t>
              <w:tab/>
            </w:r>
            <w:r>
              <w:rPr>
                <w:rStyle w:val="IndexLink"/>
              </w:rPr>
              <w:t>199</w:t>
            </w:r>
          </w:hyperlink>
        </w:p>
        <w:p>
          <w:pPr>
            <w:pStyle w:val="Contents4"/>
            <w:tabs>
              <w:tab w:val="clear" w:pos="8176"/>
              <w:tab w:val="right" w:pos="9026" w:leader="dot"/>
            </w:tabs>
            <w:rPr/>
          </w:pPr>
          <w:hyperlink w:anchor="__RefHeading___Toc285298_1280447820">
            <w:r>
              <w:rPr>
                <w:webHidden/>
                <w:rStyle w:val="IndexLink"/>
              </w:rPr>
              <w:t>3</w:t>
            </w:r>
            <w:r>
              <w:rPr>
                <w:rStyle w:val="IndexLink"/>
                <w:rtl w:val="true"/>
              </w:rPr>
              <w:t xml:space="preserve"> - </w:t>
            </w:r>
            <w:r>
              <w:rPr>
                <w:rStyle w:val="IndexLink"/>
                <w:rtl w:val="true"/>
              </w:rPr>
              <w:t>الإخبار عن الحوادث و الحكم بها مع الاعتقاد بحياة الأفلاك عدم استقلاليتها في التأثير</w:t>
            </w:r>
            <w:r>
              <w:rPr>
                <w:rStyle w:val="IndexLink"/>
                <w:rtl w:val="true"/>
              </w:rPr>
              <w:t>:</w:t>
              <w:tab/>
            </w:r>
            <w:r>
              <w:rPr>
                <w:rStyle w:val="IndexLink"/>
              </w:rPr>
              <w:t>202</w:t>
            </w:r>
          </w:hyperlink>
        </w:p>
        <w:p>
          <w:pPr>
            <w:pStyle w:val="Contents4"/>
            <w:tabs>
              <w:tab w:val="clear" w:pos="8176"/>
              <w:tab w:val="right" w:pos="9026" w:leader="dot"/>
            </w:tabs>
            <w:rPr/>
          </w:pPr>
          <w:hyperlink w:anchor="__RefHeading___Toc285300_1280447820">
            <w:r>
              <w:rPr>
                <w:webHidden/>
                <w:rStyle w:val="IndexLink"/>
              </w:rPr>
              <w:t>4</w:t>
            </w:r>
            <w:r>
              <w:rPr>
                <w:rStyle w:val="IndexLink"/>
                <w:rtl w:val="true"/>
              </w:rPr>
              <w:t xml:space="preserve"> - </w:t>
            </w:r>
            <w:r>
              <w:rPr>
                <w:rStyle w:val="IndexLink"/>
                <w:rtl w:val="true"/>
              </w:rPr>
              <w:t>الإخبار مع عدم الاعتقاد بحياة الأفلاك</w:t>
            </w:r>
            <w:r>
              <w:rPr>
                <w:rStyle w:val="IndexLink"/>
                <w:rtl w:val="true"/>
              </w:rPr>
              <w:t>:</w:t>
              <w:tab/>
            </w:r>
            <w:r>
              <w:rPr>
                <w:rStyle w:val="IndexLink"/>
              </w:rPr>
              <w:t>204</w:t>
            </w:r>
          </w:hyperlink>
        </w:p>
        <w:p>
          <w:pPr>
            <w:pStyle w:val="Contents4"/>
            <w:tabs>
              <w:tab w:val="clear" w:pos="8176"/>
              <w:tab w:val="right" w:pos="9026" w:leader="dot"/>
            </w:tabs>
            <w:rPr/>
          </w:pPr>
          <w:hyperlink w:anchor="__RefHeading___Toc285302_1280447820">
            <w:r>
              <w:rPr>
                <w:webHidden/>
                <w:rStyle w:val="IndexLink"/>
              </w:rPr>
              <w:t>5</w:t>
            </w:r>
            <w:r>
              <w:rPr>
                <w:rStyle w:val="IndexLink"/>
                <w:rtl w:val="true"/>
              </w:rPr>
              <w:t xml:space="preserve"> - </w:t>
            </w:r>
            <w:r>
              <w:rPr>
                <w:rStyle w:val="IndexLink"/>
                <w:rtl w:val="true"/>
              </w:rPr>
              <w:t>الإخبار مع الاعتقاد بما يتنافى مع الإيمان بالله و وحدانيته</w:t>
            </w:r>
            <w:r>
              <w:rPr>
                <w:rStyle w:val="IndexLink"/>
                <w:rtl w:val="true"/>
              </w:rPr>
              <w:t>:</w:t>
              <w:tab/>
            </w:r>
            <w:r>
              <w:rPr>
                <w:rStyle w:val="IndexLink"/>
              </w:rPr>
              <w:t>207</w:t>
            </w:r>
          </w:hyperlink>
        </w:p>
        <w:p>
          <w:pPr>
            <w:pStyle w:val="Contents3"/>
            <w:tabs>
              <w:tab w:val="clear" w:pos="8459"/>
              <w:tab w:val="right" w:pos="9026" w:leader="dot"/>
            </w:tabs>
            <w:rPr/>
          </w:pPr>
          <w:hyperlink w:anchor="__RefHeading___Toc285304_1280447820">
            <w:r>
              <w:rPr>
                <w:webHidden/>
                <w:rStyle w:val="IndexLink"/>
                <w:rtl w:val="true"/>
              </w:rPr>
              <w:t>فروع مرتبطة بالتنجيم</w:t>
            </w:r>
            <w:r>
              <w:rPr>
                <w:rStyle w:val="IndexLink"/>
                <w:rtl w:val="true"/>
              </w:rPr>
              <w:tab/>
            </w:r>
            <w:r>
              <w:rPr>
                <w:rStyle w:val="IndexLink"/>
              </w:rPr>
              <w:t>215</w:t>
            </w:r>
          </w:hyperlink>
        </w:p>
        <w:p>
          <w:pPr>
            <w:pStyle w:val="Contents4"/>
            <w:tabs>
              <w:tab w:val="clear" w:pos="8176"/>
              <w:tab w:val="right" w:pos="9026" w:leader="dot"/>
            </w:tabs>
            <w:rPr/>
          </w:pPr>
          <w:hyperlink w:anchor="__RefHeading___Toc285306_1280447820">
            <w:r>
              <w:rPr>
                <w:webHidden/>
                <w:rStyle w:val="IndexLink"/>
                <w:rtl w:val="true"/>
              </w:rPr>
              <w:t>الأوّل</w:t>
            </w:r>
            <w:r>
              <w:rPr>
                <w:rStyle w:val="IndexLink"/>
                <w:rtl w:val="true"/>
              </w:rPr>
              <w:t xml:space="preserve">: </w:t>
            </w:r>
            <w:r>
              <w:rPr>
                <w:rStyle w:val="IndexLink"/>
                <w:rtl w:val="true"/>
              </w:rPr>
              <w:t>هل يجوز تصديق المنجّم وترتيب الأثر على قوله أم لايجوز؟</w:t>
            </w:r>
            <w:r>
              <w:rPr>
                <w:rStyle w:val="IndexLink"/>
                <w:rtl w:val="true"/>
              </w:rPr>
              <w:tab/>
            </w:r>
            <w:r>
              <w:rPr>
                <w:rStyle w:val="IndexLink"/>
              </w:rPr>
              <w:t>215</w:t>
            </w:r>
          </w:hyperlink>
        </w:p>
        <w:p>
          <w:pPr>
            <w:pStyle w:val="Contents4"/>
            <w:tabs>
              <w:tab w:val="clear" w:pos="8176"/>
              <w:tab w:val="right" w:pos="9026" w:leader="dot"/>
            </w:tabs>
            <w:rPr/>
          </w:pPr>
          <w:hyperlink w:anchor="__RefHeading___Toc285308_1280447820">
            <w:r>
              <w:rPr>
                <w:webHidden/>
                <w:rStyle w:val="IndexLink"/>
                <w:rtl w:val="true"/>
              </w:rPr>
              <w:t>الثاني</w:t>
            </w:r>
            <w:r>
              <w:rPr>
                <w:rStyle w:val="IndexLink"/>
                <w:rtl w:val="true"/>
              </w:rPr>
              <w:t xml:space="preserve">: </w:t>
            </w:r>
            <w:r>
              <w:rPr>
                <w:rStyle w:val="IndexLink"/>
                <w:rtl w:val="true"/>
              </w:rPr>
              <w:t>هل يجوز تعلّم علم النجوم و تعليمه أم لا؟</w:t>
            </w:r>
            <w:r>
              <w:rPr>
                <w:rStyle w:val="IndexLink"/>
                <w:rtl w:val="true"/>
              </w:rPr>
              <w:tab/>
            </w:r>
            <w:r>
              <w:rPr>
                <w:rStyle w:val="IndexLink"/>
              </w:rPr>
              <w:t>219</w:t>
            </w:r>
          </w:hyperlink>
        </w:p>
        <w:p>
          <w:pPr>
            <w:pStyle w:val="Contents4"/>
            <w:tabs>
              <w:tab w:val="clear" w:pos="8176"/>
              <w:tab w:val="right" w:pos="9026" w:leader="dot"/>
            </w:tabs>
            <w:rPr/>
          </w:pPr>
          <w:hyperlink w:anchor="__RefHeading___Toc285310_1280447820">
            <w:r>
              <w:rPr>
                <w:webHidden/>
                <w:rStyle w:val="IndexLink"/>
                <w:rtl w:val="true"/>
              </w:rPr>
              <w:t>الثالث</w:t>
            </w:r>
            <w:r>
              <w:rPr>
                <w:rStyle w:val="IndexLink"/>
                <w:rtl w:val="true"/>
              </w:rPr>
              <w:t xml:space="preserve">: </w:t>
            </w:r>
            <w:r>
              <w:rPr>
                <w:rStyle w:val="IndexLink"/>
                <w:rtl w:val="true"/>
              </w:rPr>
              <w:t>هل يكون الكلام في الرمل و الفأل و غيرهما كذلك أم لا؟</w:t>
            </w:r>
            <w:r>
              <w:rPr>
                <w:rStyle w:val="IndexLink"/>
                <w:rtl w:val="true"/>
              </w:rPr>
              <w:tab/>
            </w:r>
            <w:r>
              <w:rPr>
                <w:rStyle w:val="IndexLink"/>
              </w:rPr>
              <w:t>221</w:t>
            </w:r>
          </w:hyperlink>
        </w:p>
        <w:p>
          <w:pPr>
            <w:pStyle w:val="Contents2"/>
            <w:tabs>
              <w:tab w:val="clear" w:pos="8743"/>
              <w:tab w:val="right" w:pos="9026" w:leader="dot"/>
            </w:tabs>
            <w:rPr/>
          </w:pPr>
          <w:hyperlink w:anchor="__RefHeading___Toc285312_1280447820">
            <w:r>
              <w:rPr>
                <w:webHidden/>
                <w:rStyle w:val="IndexLink"/>
                <w:rtl w:val="true"/>
              </w:rPr>
              <w:t>المسألة السابعة عشر في حرمة حفظ كتب الضلال</w:t>
            </w:r>
            <w:r>
              <w:rPr>
                <w:rStyle w:val="IndexLink"/>
                <w:rtl w:val="true"/>
              </w:rPr>
              <w:tab/>
            </w:r>
            <w:r>
              <w:rPr>
                <w:rStyle w:val="IndexLink"/>
              </w:rPr>
              <w:t>222</w:t>
            </w:r>
          </w:hyperlink>
        </w:p>
        <w:p>
          <w:pPr>
            <w:pStyle w:val="Contents3"/>
            <w:tabs>
              <w:tab w:val="clear" w:pos="8459"/>
              <w:tab w:val="right" w:pos="9026" w:leader="dot"/>
            </w:tabs>
            <w:rPr/>
          </w:pPr>
          <w:hyperlink w:anchor="__RefHeading___Toc285314_128044782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285316_1280447820">
            <w:r>
              <w:rPr>
                <w:webHidden/>
                <w:rStyle w:val="IndexLink"/>
                <w:rtl w:val="true"/>
              </w:rPr>
              <w:t>الجهة الاُولى في نقل كلمات الأصحاب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85318_1280447820">
            <w:r>
              <w:rPr>
                <w:webHidden/>
                <w:rStyle w:val="IndexLink"/>
                <w:rtl w:val="true"/>
              </w:rPr>
              <w:t>الجهة الثانية في تبيين الموضوع للبحث</w:t>
            </w:r>
            <w:r>
              <w:rPr>
                <w:rStyle w:val="IndexLink"/>
                <w:rtl w:val="true"/>
              </w:rPr>
              <w:t>:</w:t>
              <w:tab/>
            </w:r>
            <w:r>
              <w:rPr>
                <w:rStyle w:val="IndexLink"/>
              </w:rPr>
              <w:t>226</w:t>
            </w:r>
          </w:hyperlink>
        </w:p>
        <w:p>
          <w:pPr>
            <w:pStyle w:val="Contents3"/>
            <w:tabs>
              <w:tab w:val="clear" w:pos="8459"/>
              <w:tab w:val="right" w:pos="9026" w:leader="dot"/>
            </w:tabs>
            <w:rPr/>
          </w:pPr>
          <w:hyperlink w:anchor="__RefHeading___Toc285320_1280447820">
            <w:r>
              <w:rPr>
                <w:webHidden/>
                <w:rStyle w:val="IndexLink"/>
                <w:rtl w:val="true"/>
              </w:rPr>
              <w:t>الجهة الثالثة</w:t>
            </w:r>
            <w:r>
              <w:rPr>
                <w:rStyle w:val="IndexLink"/>
                <w:rtl w:val="true"/>
              </w:rPr>
              <w:t xml:space="preserve">: </w:t>
            </w:r>
            <w:r>
              <w:rPr>
                <w:rStyle w:val="IndexLink"/>
                <w:rtl w:val="true"/>
              </w:rPr>
              <w:t>في الأدلّة</w:t>
            </w:r>
            <w:r>
              <w:rPr>
                <w:rStyle w:val="IndexLink"/>
                <w:rtl w:val="true"/>
              </w:rPr>
              <w:tab/>
            </w:r>
            <w:r>
              <w:rPr>
                <w:rStyle w:val="IndexLink"/>
              </w:rPr>
              <w:t>233</w:t>
            </w:r>
          </w:hyperlink>
        </w:p>
        <w:p>
          <w:pPr>
            <w:pStyle w:val="Contents3"/>
            <w:tabs>
              <w:tab w:val="clear" w:pos="8459"/>
              <w:tab w:val="right" w:pos="9026" w:leader="dot"/>
            </w:tabs>
            <w:rPr/>
          </w:pPr>
          <w:hyperlink w:anchor="__RefHeading___Toc285322_1280447820">
            <w:r>
              <w:rPr>
                <w:webHidden/>
                <w:rStyle w:val="IndexLink"/>
                <w:rtl w:val="true"/>
              </w:rPr>
              <w:t>الجهة الرابعة</w:t>
            </w:r>
            <w:r>
              <w:rPr>
                <w:rStyle w:val="IndexLink"/>
                <w:rtl w:val="true"/>
              </w:rPr>
              <w:t xml:space="preserve">: </w:t>
            </w:r>
            <w:r>
              <w:rPr>
                <w:rStyle w:val="IndexLink"/>
                <w:rtl w:val="true"/>
              </w:rPr>
              <w:t>في اعتبار ترتب الفساد عليه و عدمه</w:t>
            </w:r>
            <w:r>
              <w:rPr>
                <w:rStyle w:val="IndexLink"/>
                <w:rtl w:val="true"/>
              </w:rPr>
              <w:tab/>
            </w:r>
            <w:r>
              <w:rPr>
                <w:rStyle w:val="IndexLink"/>
              </w:rPr>
              <w:t>253</w:t>
            </w:r>
          </w:hyperlink>
        </w:p>
        <w:p>
          <w:pPr>
            <w:pStyle w:val="Contents3"/>
            <w:tabs>
              <w:tab w:val="clear" w:pos="8459"/>
              <w:tab w:val="right" w:pos="9026" w:leader="dot"/>
            </w:tabs>
            <w:rPr/>
          </w:pPr>
          <w:hyperlink w:anchor="__RefHeading___Toc285324_1280447820">
            <w:r>
              <w:rPr>
                <w:webHidden/>
                <w:rStyle w:val="IndexLink"/>
                <w:rtl w:val="true"/>
              </w:rPr>
              <w:t>الجهة الخامسة</w:t>
            </w:r>
            <w:r>
              <w:rPr>
                <w:rStyle w:val="IndexLink"/>
                <w:rtl w:val="true"/>
              </w:rPr>
              <w:t xml:space="preserve">: </w:t>
            </w:r>
            <w:r>
              <w:rPr>
                <w:rStyle w:val="IndexLink"/>
                <w:rtl w:val="true"/>
              </w:rPr>
              <w:t>في جواز الحفظ عند وجود مصلحة و عدمه</w:t>
            </w:r>
            <w:r>
              <w:rPr>
                <w:rStyle w:val="IndexLink"/>
                <w:rtl w:val="true"/>
              </w:rPr>
              <w:tab/>
            </w:r>
            <w:r>
              <w:rPr>
                <w:rStyle w:val="IndexLink"/>
              </w:rPr>
              <w:t>254</w:t>
            </w:r>
          </w:hyperlink>
        </w:p>
        <w:p>
          <w:pPr>
            <w:pStyle w:val="Contents3"/>
            <w:tabs>
              <w:tab w:val="clear" w:pos="8459"/>
              <w:tab w:val="right" w:pos="9026" w:leader="dot"/>
            </w:tabs>
            <w:rPr/>
          </w:pPr>
          <w:hyperlink w:anchor="__RefHeading___Toc285326_1280447820">
            <w:r>
              <w:rPr>
                <w:webHidden/>
                <w:rStyle w:val="IndexLink"/>
                <w:rtl w:val="true"/>
              </w:rPr>
              <w:t>الجهة السادسة</w:t>
            </w:r>
            <w:r>
              <w:rPr>
                <w:rStyle w:val="IndexLink"/>
                <w:rtl w:val="true"/>
              </w:rPr>
              <w:t xml:space="preserve">: </w:t>
            </w:r>
            <w:r>
              <w:rPr>
                <w:rStyle w:val="IndexLink"/>
                <w:rtl w:val="true"/>
              </w:rPr>
              <w:t>في بطلان المعاملة و عدمه</w:t>
            </w:r>
            <w:r>
              <w:rPr>
                <w:rStyle w:val="IndexLink"/>
                <w:rtl w:val="true"/>
              </w:rPr>
              <w:tab/>
            </w:r>
            <w:r>
              <w:rPr>
                <w:rStyle w:val="IndexLink"/>
              </w:rPr>
              <w:t>256</w:t>
            </w:r>
          </w:hyperlink>
        </w:p>
        <w:p>
          <w:pPr>
            <w:pStyle w:val="Contents3"/>
            <w:tabs>
              <w:tab w:val="clear" w:pos="8459"/>
              <w:tab w:val="right" w:pos="9026" w:leader="dot"/>
            </w:tabs>
            <w:rPr/>
          </w:pPr>
          <w:hyperlink w:anchor="__RefHeading___Toc285328_1280447820">
            <w:r>
              <w:rPr>
                <w:webHidden/>
                <w:rStyle w:val="IndexLink"/>
                <w:rtl w:val="true"/>
              </w:rPr>
              <w:t>الجهة السابعة</w:t>
            </w:r>
            <w:r>
              <w:rPr>
                <w:rStyle w:val="IndexLink"/>
                <w:rtl w:val="true"/>
              </w:rPr>
              <w:t xml:space="preserve">: </w:t>
            </w:r>
            <w:r>
              <w:rPr>
                <w:rStyle w:val="IndexLink"/>
                <w:rtl w:val="true"/>
              </w:rPr>
              <w:t>هل يجب اتلاف كتب الضالة أوْ لايجب</w:t>
            </w:r>
            <w:r>
              <w:rPr>
                <w:rStyle w:val="IndexLink"/>
                <w:rtl w:val="true"/>
              </w:rPr>
              <w:tab/>
            </w:r>
            <w:r>
              <w:rPr>
                <w:rStyle w:val="IndexLink"/>
              </w:rPr>
              <w:t>257</w:t>
            </w:r>
          </w:hyperlink>
        </w:p>
        <w:p>
          <w:pPr>
            <w:pStyle w:val="Contents3"/>
            <w:tabs>
              <w:tab w:val="clear" w:pos="8459"/>
              <w:tab w:val="right" w:pos="9026" w:leader="dot"/>
            </w:tabs>
            <w:rPr/>
          </w:pPr>
          <w:hyperlink w:anchor="__RefHeading___Toc285330_1280447820">
            <w:r>
              <w:rPr>
                <w:webHidden/>
                <w:rStyle w:val="IndexLink"/>
                <w:rtl w:val="true"/>
              </w:rPr>
              <w:t>الجهة الثامنة</w:t>
            </w:r>
            <w:r>
              <w:rPr>
                <w:rStyle w:val="IndexLink"/>
                <w:rtl w:val="true"/>
              </w:rPr>
              <w:t xml:space="preserve">: </w:t>
            </w:r>
            <w:r>
              <w:rPr>
                <w:rStyle w:val="IndexLink"/>
                <w:rtl w:val="true"/>
              </w:rPr>
              <w:t>في وجوب النهى عن ابقاء كتاب الضلال او نشره</w:t>
            </w:r>
            <w:r>
              <w:rPr>
                <w:rStyle w:val="IndexLink"/>
                <w:rtl w:val="true"/>
              </w:rPr>
              <w:tab/>
            </w:r>
            <w:r>
              <w:rPr>
                <w:rStyle w:val="IndexLink"/>
              </w:rPr>
              <w:t>259</w:t>
            </w:r>
          </w:hyperlink>
        </w:p>
        <w:p>
          <w:pPr>
            <w:pStyle w:val="Contents3"/>
            <w:tabs>
              <w:tab w:val="clear" w:pos="8459"/>
              <w:tab w:val="right" w:pos="9026" w:leader="dot"/>
            </w:tabs>
            <w:rPr/>
          </w:pPr>
          <w:hyperlink w:anchor="__RefHeading___Toc285332_1280447820">
            <w:r>
              <w:rPr>
                <w:webHidden/>
                <w:rStyle w:val="IndexLink"/>
                <w:rtl w:val="true"/>
              </w:rPr>
              <w:t>الجهة التاسعة</w:t>
            </w:r>
            <w:r>
              <w:rPr>
                <w:rStyle w:val="IndexLink"/>
                <w:rtl w:val="true"/>
              </w:rPr>
              <w:t xml:space="preserve">: </w:t>
            </w:r>
            <w:r>
              <w:rPr>
                <w:rStyle w:val="IndexLink"/>
                <w:rtl w:val="true"/>
              </w:rPr>
              <w:t>هل يجوز الاشتراك فى الاتصالات المخابرية الحديثة</w:t>
            </w:r>
            <w:r>
              <w:rPr>
                <w:rStyle w:val="IndexLink"/>
                <w:rtl w:val="true"/>
              </w:rPr>
              <w:tab/>
            </w:r>
            <w:r>
              <w:rPr>
                <w:rStyle w:val="IndexLink"/>
              </w:rPr>
              <w:t>260</w:t>
            </w:r>
          </w:hyperlink>
        </w:p>
        <w:p>
          <w:pPr>
            <w:pStyle w:val="Contents3"/>
            <w:tabs>
              <w:tab w:val="clear" w:pos="8459"/>
              <w:tab w:val="right" w:pos="9026" w:leader="dot"/>
            </w:tabs>
            <w:rPr/>
          </w:pPr>
          <w:hyperlink w:anchor="__RefHeading___Toc285334_1280447820">
            <w:r>
              <w:rPr>
                <w:webHidden/>
                <w:rStyle w:val="IndexLink"/>
                <w:rtl w:val="true"/>
              </w:rPr>
              <w:t>الجهة العاشرة</w:t>
            </w:r>
            <w:r>
              <w:rPr>
                <w:rStyle w:val="IndexLink"/>
                <w:rtl w:val="true"/>
              </w:rPr>
              <w:t xml:space="preserve">: </w:t>
            </w:r>
            <w:r>
              <w:rPr>
                <w:rStyle w:val="IndexLink"/>
                <w:rtl w:val="true"/>
              </w:rPr>
              <w:t>يجب على الحكومة أن تقابل مع البر نامج المضرّة</w:t>
            </w:r>
            <w:r>
              <w:rPr>
                <w:rStyle w:val="IndexLink"/>
                <w:rtl w:val="true"/>
              </w:rPr>
              <w:tab/>
            </w:r>
            <w:r>
              <w:rPr>
                <w:rStyle w:val="IndexLink"/>
              </w:rPr>
              <w:t>260</w:t>
            </w:r>
          </w:hyperlink>
        </w:p>
        <w:p>
          <w:pPr>
            <w:pStyle w:val="Contents3"/>
            <w:tabs>
              <w:tab w:val="clear" w:pos="8459"/>
              <w:tab w:val="right" w:pos="9026" w:leader="dot"/>
            </w:tabs>
            <w:rPr/>
          </w:pPr>
          <w:hyperlink w:anchor="__RefHeading___Toc285336_1280447820">
            <w:r>
              <w:rPr>
                <w:webHidden/>
                <w:rStyle w:val="IndexLink"/>
                <w:rtl w:val="true"/>
              </w:rPr>
              <w:t>الجهة الحادية عشر</w:t>
            </w:r>
            <w:r>
              <w:rPr>
                <w:rStyle w:val="IndexLink"/>
                <w:rtl w:val="true"/>
              </w:rPr>
              <w:t xml:space="preserve">: </w:t>
            </w:r>
            <w:r>
              <w:rPr>
                <w:rStyle w:val="IndexLink"/>
                <w:rtl w:val="true"/>
              </w:rPr>
              <w:t>طرح الافكار المضرّة في مجالس العام او في الراديو و التلفزيون</w:t>
            </w:r>
            <w:r>
              <w:rPr>
                <w:rStyle w:val="IndexLink"/>
                <w:rtl w:val="true"/>
              </w:rPr>
              <w:t xml:space="preserve">... </w:t>
            </w:r>
            <w:r>
              <w:rPr>
                <w:rStyle w:val="IndexLink"/>
                <w:rtl w:val="true"/>
              </w:rPr>
              <w:t>غير جائز</w:t>
            </w:r>
            <w:r>
              <w:rPr>
                <w:rStyle w:val="IndexLink"/>
                <w:rtl w:val="true"/>
              </w:rPr>
              <w:tab/>
            </w:r>
            <w:r>
              <w:rPr>
                <w:rStyle w:val="IndexLink"/>
              </w:rPr>
              <w:t>260</w:t>
            </w:r>
          </w:hyperlink>
        </w:p>
        <w:p>
          <w:pPr>
            <w:pStyle w:val="Contents3"/>
            <w:tabs>
              <w:tab w:val="clear" w:pos="8459"/>
              <w:tab w:val="right" w:pos="9026" w:leader="dot"/>
            </w:tabs>
            <w:rPr/>
          </w:pPr>
          <w:hyperlink w:anchor="__RefHeading___Toc285338_1280447820">
            <w:r>
              <w:rPr>
                <w:webHidden/>
                <w:rStyle w:val="IndexLink"/>
                <w:rtl w:val="true"/>
              </w:rPr>
              <w:t>الجهة الثانية عشر</w:t>
            </w:r>
            <w:r>
              <w:rPr>
                <w:rStyle w:val="IndexLink"/>
                <w:rtl w:val="true"/>
              </w:rPr>
              <w:t xml:space="preserve">: </w:t>
            </w:r>
            <w:r>
              <w:rPr>
                <w:rStyle w:val="IndexLink"/>
                <w:rtl w:val="true"/>
              </w:rPr>
              <w:t>في تبدل عنوان الضلال</w:t>
            </w:r>
            <w:r>
              <w:rPr>
                <w:rStyle w:val="IndexLink"/>
                <w:rtl w:val="true"/>
              </w:rPr>
              <w:tab/>
            </w:r>
            <w:r>
              <w:rPr>
                <w:rStyle w:val="IndexLink"/>
              </w:rPr>
              <w:t>261</w:t>
            </w:r>
          </w:hyperlink>
        </w:p>
        <w:p>
          <w:pPr>
            <w:pStyle w:val="Contents2"/>
            <w:tabs>
              <w:tab w:val="clear" w:pos="8743"/>
              <w:tab w:val="right" w:pos="9026" w:leader="dot"/>
            </w:tabs>
            <w:rPr/>
          </w:pPr>
          <w:hyperlink w:anchor="__RefHeading___Toc285340_1280447820">
            <w:r>
              <w:rPr>
                <w:webHidden/>
                <w:rStyle w:val="IndexLink"/>
                <w:rtl w:val="true"/>
              </w:rPr>
              <w:t>المسألة الثامنة عشر حق التأليف</w:t>
            </w:r>
            <w:r>
              <w:rPr>
                <w:rStyle w:val="IndexLink"/>
                <w:rtl w:val="true"/>
              </w:rPr>
              <w:tab/>
            </w:r>
            <w:r>
              <w:rPr>
                <w:rStyle w:val="IndexLink"/>
              </w:rPr>
              <w:t>262</w:t>
            </w:r>
          </w:hyperlink>
        </w:p>
        <w:p>
          <w:pPr>
            <w:pStyle w:val="Contents3"/>
            <w:tabs>
              <w:tab w:val="clear" w:pos="8459"/>
              <w:tab w:val="right" w:pos="9026" w:leader="dot"/>
            </w:tabs>
            <w:rPr/>
          </w:pPr>
          <w:hyperlink w:anchor="__RefHeading___Toc285342_1280447820">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285344_1280447820">
            <w:r>
              <w:rPr>
                <w:webHidden/>
                <w:rStyle w:val="IndexLink"/>
                <w:rtl w:val="true"/>
              </w:rPr>
              <w:t>المقام الأوّل</w:t>
            </w:r>
            <w:r>
              <w:rPr>
                <w:rStyle w:val="IndexLink"/>
                <w:rtl w:val="true"/>
              </w:rPr>
              <w:t xml:space="preserve">: </w:t>
            </w:r>
            <w:r>
              <w:rPr>
                <w:rStyle w:val="IndexLink"/>
                <w:rtl w:val="true"/>
              </w:rPr>
              <w:t>ان العمل العلمى و الابتكار الفكرى</w:t>
            </w:r>
            <w:r>
              <w:rPr>
                <w:rStyle w:val="IndexLink"/>
                <w:rtl w:val="true"/>
              </w:rPr>
              <w:t xml:space="preserve">... </w:t>
            </w:r>
            <w:r>
              <w:rPr>
                <w:rStyle w:val="IndexLink"/>
                <w:rtl w:val="true"/>
              </w:rPr>
              <w:t>ملك العامل</w:t>
            </w:r>
            <w:r>
              <w:rPr>
                <w:rStyle w:val="IndexLink"/>
                <w:rtl w:val="true"/>
              </w:rPr>
              <w:tab/>
            </w:r>
            <w:r>
              <w:rPr>
                <w:rStyle w:val="IndexLink"/>
              </w:rPr>
              <w:t>262</w:t>
            </w:r>
          </w:hyperlink>
        </w:p>
        <w:p>
          <w:pPr>
            <w:pStyle w:val="Contents3"/>
            <w:tabs>
              <w:tab w:val="clear" w:pos="8459"/>
              <w:tab w:val="right" w:pos="9026" w:leader="dot"/>
            </w:tabs>
            <w:rPr/>
          </w:pPr>
          <w:hyperlink w:anchor="__RefHeading___Toc285346_1280447820">
            <w:r>
              <w:rPr>
                <w:webHidden/>
                <w:rStyle w:val="IndexLink"/>
                <w:rtl w:val="true"/>
              </w:rPr>
              <w:t>المقام الثاني</w:t>
            </w:r>
            <w:r>
              <w:rPr>
                <w:rStyle w:val="IndexLink"/>
                <w:rtl w:val="true"/>
              </w:rPr>
              <w:t xml:space="preserve">: </w:t>
            </w:r>
            <w:r>
              <w:rPr>
                <w:rStyle w:val="IndexLink"/>
                <w:rtl w:val="true"/>
              </w:rPr>
              <w:t>هذه الانتاجات بعد وضوح كونها ملكاً لصاحبها</w:t>
            </w:r>
            <w:r>
              <w:rPr>
                <w:rStyle w:val="IndexLink"/>
                <w:rtl w:val="true"/>
              </w:rPr>
              <w:t xml:space="preserve">... </w:t>
            </w:r>
            <w:r>
              <w:rPr>
                <w:rStyle w:val="IndexLink"/>
                <w:rtl w:val="true"/>
              </w:rPr>
              <w:t>يقع السؤال عن ماليتها</w:t>
            </w:r>
            <w:r>
              <w:rPr>
                <w:rStyle w:val="IndexLink"/>
                <w:rtl w:val="true"/>
              </w:rPr>
              <w:tab/>
            </w:r>
            <w:r>
              <w:rPr>
                <w:rStyle w:val="IndexLink"/>
              </w:rPr>
              <w:t>263</w:t>
            </w:r>
          </w:hyperlink>
        </w:p>
        <w:p>
          <w:pPr>
            <w:pStyle w:val="Contents3"/>
            <w:tabs>
              <w:tab w:val="clear" w:pos="8459"/>
              <w:tab w:val="right" w:pos="9026" w:leader="dot"/>
            </w:tabs>
            <w:rPr/>
          </w:pPr>
          <w:hyperlink w:anchor="__RefHeading___Toc285348_1280447820">
            <w:r>
              <w:rPr>
                <w:webHidden/>
                <w:rStyle w:val="IndexLink"/>
                <w:rtl w:val="true"/>
              </w:rPr>
              <w:t>المقام الثالث</w:t>
            </w:r>
            <w:r>
              <w:rPr>
                <w:rStyle w:val="IndexLink"/>
                <w:rtl w:val="true"/>
              </w:rPr>
              <w:t xml:space="preserve">: </w:t>
            </w:r>
            <w:r>
              <w:rPr>
                <w:rStyle w:val="IndexLink"/>
                <w:rtl w:val="true"/>
              </w:rPr>
              <w:t>انّ التوليد الفكرى</w:t>
            </w:r>
            <w:r>
              <w:rPr>
                <w:rStyle w:val="IndexLink"/>
                <w:rtl w:val="true"/>
              </w:rPr>
              <w:t xml:space="preserve">... </w:t>
            </w:r>
            <w:r>
              <w:rPr>
                <w:rStyle w:val="IndexLink"/>
                <w:rtl w:val="true"/>
              </w:rPr>
              <w:t>عمل للنفس و الروح</w:t>
            </w:r>
            <w:r>
              <w:rPr>
                <w:rStyle w:val="IndexLink"/>
                <w:rtl w:val="true"/>
              </w:rPr>
              <w:tab/>
            </w:r>
            <w:r>
              <w:rPr>
                <w:rStyle w:val="IndexLink"/>
              </w:rPr>
              <w:t>265</w:t>
            </w:r>
          </w:hyperlink>
        </w:p>
        <w:p>
          <w:pPr>
            <w:pStyle w:val="Contents3"/>
            <w:tabs>
              <w:tab w:val="clear" w:pos="8459"/>
              <w:tab w:val="right" w:pos="9026" w:leader="dot"/>
            </w:tabs>
            <w:rPr/>
          </w:pPr>
          <w:hyperlink w:anchor="__RefHeading___Toc285350_1280447820">
            <w:r>
              <w:rPr>
                <w:webHidden/>
                <w:rStyle w:val="IndexLink"/>
                <w:rtl w:val="true"/>
              </w:rPr>
              <w:t>المقام الرابع</w:t>
            </w:r>
            <w:r>
              <w:rPr>
                <w:rStyle w:val="IndexLink"/>
                <w:rtl w:val="true"/>
              </w:rPr>
              <w:t xml:space="preserve">: </w:t>
            </w:r>
            <w:r>
              <w:rPr>
                <w:rStyle w:val="IndexLink"/>
                <w:rtl w:val="true"/>
              </w:rPr>
              <w:t>انّ المولّد للفكر و الادب</w:t>
            </w:r>
            <w:r>
              <w:rPr>
                <w:rStyle w:val="IndexLink"/>
                <w:rtl w:val="true"/>
              </w:rPr>
              <w:t xml:space="preserve">... </w:t>
            </w:r>
            <w:r>
              <w:rPr>
                <w:rStyle w:val="IndexLink"/>
                <w:rtl w:val="true"/>
              </w:rPr>
              <w:t>كان مالكا لما يحتويه</w:t>
            </w:r>
            <w:r>
              <w:rPr>
                <w:rStyle w:val="IndexLink"/>
                <w:rtl w:val="true"/>
              </w:rPr>
              <w:tab/>
            </w:r>
            <w:r>
              <w:rPr>
                <w:rStyle w:val="IndexLink"/>
              </w:rPr>
              <w:t>265</w:t>
            </w:r>
          </w:hyperlink>
        </w:p>
        <w:p>
          <w:pPr>
            <w:pStyle w:val="Contents3"/>
            <w:tabs>
              <w:tab w:val="clear" w:pos="8459"/>
              <w:tab w:val="right" w:pos="9026" w:leader="dot"/>
            </w:tabs>
            <w:rPr/>
          </w:pPr>
          <w:hyperlink w:anchor="__RefHeading___Toc285352_1280447820">
            <w:r>
              <w:rPr>
                <w:webHidden/>
                <w:rStyle w:val="IndexLink"/>
                <w:rtl w:val="true"/>
              </w:rPr>
              <w:t>المقام الخامس</w:t>
            </w:r>
            <w:r>
              <w:rPr>
                <w:rStyle w:val="IndexLink"/>
                <w:rtl w:val="true"/>
              </w:rPr>
              <w:t xml:space="preserve">: </w:t>
            </w:r>
            <w:r>
              <w:rPr>
                <w:rStyle w:val="IndexLink"/>
                <w:rtl w:val="true"/>
              </w:rPr>
              <w:t>اذا لم يشترط المؤلف شيئاً فهل له حق التأليف‌؟</w:t>
            </w:r>
            <w:r>
              <w:rPr>
                <w:rStyle w:val="IndexLink"/>
                <w:rtl w:val="true"/>
              </w:rPr>
              <w:tab/>
            </w:r>
            <w:r>
              <w:rPr>
                <w:rStyle w:val="IndexLink"/>
              </w:rPr>
              <w:t>267</w:t>
            </w:r>
          </w:hyperlink>
        </w:p>
        <w:p>
          <w:pPr>
            <w:pStyle w:val="Contents3"/>
            <w:tabs>
              <w:tab w:val="clear" w:pos="8459"/>
              <w:tab w:val="right" w:pos="9026" w:leader="dot"/>
            </w:tabs>
            <w:rPr/>
          </w:pPr>
          <w:hyperlink w:anchor="__RefHeading___Toc285354_1280447820">
            <w:r>
              <w:rPr>
                <w:webHidden/>
                <w:rStyle w:val="IndexLink"/>
                <w:rtl w:val="true"/>
              </w:rPr>
              <w:t>تنبيهات</w:t>
            </w:r>
            <w:r>
              <w:rPr>
                <w:rStyle w:val="IndexLink"/>
                <w:rtl w:val="true"/>
              </w:rPr>
              <w:t>:</w:t>
              <w:tab/>
            </w:r>
            <w:r>
              <w:rPr>
                <w:rStyle w:val="IndexLink"/>
              </w:rPr>
              <w:t>281</w:t>
            </w:r>
          </w:hyperlink>
        </w:p>
        <w:p>
          <w:pPr>
            <w:pStyle w:val="Contents4"/>
            <w:tabs>
              <w:tab w:val="clear" w:pos="8176"/>
              <w:tab w:val="right" w:pos="9026" w:leader="dot"/>
            </w:tabs>
            <w:rPr/>
          </w:pPr>
          <w:hyperlink w:anchor="__RefHeading___Toc285356_1280447820">
            <w:r>
              <w:rPr>
                <w:webHidden/>
                <w:rStyle w:val="IndexLink"/>
                <w:rtl w:val="true"/>
              </w:rPr>
              <w:t>التنبيه الأوّل</w:t>
            </w:r>
            <w:r>
              <w:rPr>
                <w:rStyle w:val="IndexLink"/>
                <w:rtl w:val="true"/>
              </w:rPr>
              <w:t xml:space="preserve">: </w:t>
            </w:r>
            <w:r>
              <w:rPr>
                <w:rStyle w:val="IndexLink"/>
                <w:rtl w:val="true"/>
              </w:rPr>
              <w:t>يجوز للمؤلف أن يتنازل عن حقه فى قبال عوض او بدونه</w:t>
            </w:r>
            <w:r>
              <w:rPr>
                <w:rStyle w:val="IndexLink"/>
                <w:rtl w:val="true"/>
              </w:rPr>
              <w:tab/>
            </w:r>
            <w:r>
              <w:rPr>
                <w:rStyle w:val="IndexLink"/>
              </w:rPr>
              <w:t>281</w:t>
            </w:r>
          </w:hyperlink>
        </w:p>
        <w:p>
          <w:pPr>
            <w:pStyle w:val="Contents4"/>
            <w:tabs>
              <w:tab w:val="clear" w:pos="8176"/>
              <w:tab w:val="right" w:pos="9026" w:leader="dot"/>
            </w:tabs>
            <w:rPr/>
          </w:pPr>
          <w:hyperlink w:anchor="__RefHeading___Toc285358_1280447820">
            <w:r>
              <w:rPr>
                <w:webHidden/>
                <w:rStyle w:val="IndexLink"/>
                <w:rtl w:val="true"/>
              </w:rPr>
              <w:t>التنبيه الثاني</w:t>
            </w:r>
            <w:r>
              <w:rPr>
                <w:rStyle w:val="IndexLink"/>
                <w:rtl w:val="true"/>
              </w:rPr>
              <w:t xml:space="preserve">: </w:t>
            </w:r>
            <w:r>
              <w:rPr>
                <w:rStyle w:val="IndexLink"/>
                <w:rtl w:val="true"/>
              </w:rPr>
              <w:t>فى عقد النشر</w:t>
            </w:r>
            <w:r>
              <w:rPr>
                <w:rStyle w:val="IndexLink"/>
                <w:rtl w:val="true"/>
              </w:rPr>
              <w:tab/>
            </w:r>
            <w:r>
              <w:rPr>
                <w:rStyle w:val="IndexLink"/>
              </w:rPr>
              <w:t>284</w:t>
            </w:r>
          </w:hyperlink>
        </w:p>
        <w:p>
          <w:pPr>
            <w:pStyle w:val="Contents4"/>
            <w:tabs>
              <w:tab w:val="clear" w:pos="8176"/>
              <w:tab w:val="right" w:pos="9026" w:leader="dot"/>
            </w:tabs>
            <w:rPr/>
          </w:pPr>
          <w:hyperlink w:anchor="__RefHeading___Toc285360_1280447820">
            <w:r>
              <w:rPr>
                <w:webHidden/>
                <w:rStyle w:val="IndexLink"/>
                <w:rtl w:val="true"/>
              </w:rPr>
              <w:t>التنبيه الثالث</w:t>
            </w:r>
            <w:r>
              <w:rPr>
                <w:rStyle w:val="IndexLink"/>
                <w:rtl w:val="true"/>
              </w:rPr>
              <w:t xml:space="preserve">: </w:t>
            </w:r>
            <w:r>
              <w:rPr>
                <w:rStyle w:val="IndexLink"/>
                <w:rtl w:val="true"/>
              </w:rPr>
              <w:t>لاخلاف بين من أثبت الحق للمؤلف في ثبوت ذلك الحق في زمان حياته الاّ انهم اختلفوا في مدة استمراره بعد الفوت</w:t>
            </w:r>
            <w:r>
              <w:rPr>
                <w:rStyle w:val="IndexLink"/>
                <w:rtl w:val="true"/>
              </w:rPr>
              <w:tab/>
            </w:r>
            <w:r>
              <w:rPr>
                <w:rStyle w:val="IndexLink"/>
              </w:rPr>
              <w:t>284</w:t>
            </w:r>
          </w:hyperlink>
        </w:p>
        <w:p>
          <w:pPr>
            <w:pStyle w:val="Contents4"/>
            <w:tabs>
              <w:tab w:val="clear" w:pos="8176"/>
              <w:tab w:val="right" w:pos="9026" w:leader="dot"/>
            </w:tabs>
            <w:rPr/>
          </w:pPr>
          <w:hyperlink w:anchor="__RefHeading___Toc285362_1280447820">
            <w:r>
              <w:rPr>
                <w:webHidden/>
                <w:rStyle w:val="IndexLink"/>
                <w:rtl w:val="true"/>
              </w:rPr>
              <w:t>التنبيه الرابع</w:t>
            </w:r>
            <w:r>
              <w:rPr>
                <w:rStyle w:val="IndexLink"/>
                <w:rtl w:val="true"/>
              </w:rPr>
              <w:t xml:space="preserve">: </w:t>
            </w:r>
            <w:r>
              <w:rPr>
                <w:rStyle w:val="IndexLink"/>
                <w:rtl w:val="true"/>
              </w:rPr>
              <w:t>مجرّد تملّك النسخة الأصلية لايستتبع نقل حق المؤلف الى المتملّك</w:t>
            </w:r>
            <w:r>
              <w:rPr>
                <w:rStyle w:val="IndexLink"/>
                <w:rtl w:val="true"/>
              </w:rPr>
              <w:tab/>
            </w:r>
            <w:r>
              <w:rPr>
                <w:rStyle w:val="IndexLink"/>
              </w:rPr>
              <w:t>286</w:t>
            </w:r>
          </w:hyperlink>
        </w:p>
        <w:p>
          <w:pPr>
            <w:pStyle w:val="Contents4"/>
            <w:tabs>
              <w:tab w:val="clear" w:pos="8176"/>
              <w:tab w:val="right" w:pos="9026" w:leader="dot"/>
            </w:tabs>
            <w:rPr/>
          </w:pPr>
          <w:hyperlink w:anchor="__RefHeading___Toc285364_1280447820">
            <w:r>
              <w:rPr>
                <w:webHidden/>
                <w:rStyle w:val="IndexLink"/>
                <w:rtl w:val="true"/>
              </w:rPr>
              <w:t>التنبيه الخامس</w:t>
            </w:r>
            <w:r>
              <w:rPr>
                <w:rStyle w:val="IndexLink"/>
                <w:rtl w:val="true"/>
              </w:rPr>
              <w:t xml:space="preserve">: </w:t>
            </w:r>
            <w:r>
              <w:rPr>
                <w:rStyle w:val="IndexLink"/>
                <w:rtl w:val="true"/>
              </w:rPr>
              <w:t>حق المؤلف بعد ثبوته يكون حقاً مالياً</w:t>
            </w:r>
            <w:r>
              <w:rPr>
                <w:rStyle w:val="IndexLink"/>
                <w:rtl w:val="true"/>
              </w:rPr>
              <w:tab/>
            </w:r>
            <w:r>
              <w:rPr>
                <w:rStyle w:val="IndexLink"/>
              </w:rPr>
              <w:t>287</w:t>
            </w:r>
          </w:hyperlink>
        </w:p>
        <w:p>
          <w:pPr>
            <w:pStyle w:val="Contents4"/>
            <w:tabs>
              <w:tab w:val="clear" w:pos="8176"/>
              <w:tab w:val="right" w:pos="9026" w:leader="dot"/>
            </w:tabs>
            <w:rPr/>
          </w:pPr>
          <w:hyperlink w:anchor="__RefHeading___Toc285366_1280447820">
            <w:r>
              <w:rPr>
                <w:webHidden/>
                <w:rStyle w:val="IndexLink"/>
                <w:rtl w:val="true"/>
              </w:rPr>
              <w:t>التنبيه السادس</w:t>
            </w:r>
            <w:r>
              <w:rPr>
                <w:rStyle w:val="IndexLink"/>
                <w:rtl w:val="true"/>
              </w:rPr>
              <w:t xml:space="preserve">: </w:t>
            </w:r>
            <w:r>
              <w:rPr>
                <w:rStyle w:val="IndexLink"/>
                <w:rtl w:val="true"/>
              </w:rPr>
              <w:t>حق المؤلف و نحوه مركب من حق مالى و معنوى</w:t>
            </w:r>
            <w:r>
              <w:rPr>
                <w:rStyle w:val="IndexLink"/>
                <w:rtl w:val="true"/>
              </w:rPr>
              <w:tab/>
            </w:r>
            <w:r>
              <w:rPr>
                <w:rStyle w:val="IndexLink"/>
              </w:rPr>
              <w:t>288</w:t>
            </w:r>
          </w:hyperlink>
        </w:p>
        <w:p>
          <w:pPr>
            <w:pStyle w:val="Contents4"/>
            <w:tabs>
              <w:tab w:val="clear" w:pos="8176"/>
              <w:tab w:val="right" w:pos="9026" w:leader="dot"/>
            </w:tabs>
            <w:rPr/>
          </w:pPr>
          <w:hyperlink w:anchor="__RefHeading___Toc285368_1280447820">
            <w:r>
              <w:rPr>
                <w:webHidden/>
                <w:rStyle w:val="IndexLink"/>
                <w:rtl w:val="true"/>
              </w:rPr>
              <w:t>التنبيه السابع</w:t>
            </w:r>
            <w:r>
              <w:rPr>
                <w:rStyle w:val="IndexLink"/>
                <w:rtl w:val="true"/>
              </w:rPr>
              <w:t xml:space="preserve">: </w:t>
            </w:r>
            <w:r>
              <w:rPr>
                <w:rStyle w:val="IndexLink"/>
                <w:rtl w:val="true"/>
              </w:rPr>
              <w:t>في حكم ما اذا وضع الورثة اسم مؤلف اخر بجوار اسم مورثهم</w:t>
            </w:r>
            <w:r>
              <w:rPr>
                <w:rStyle w:val="IndexLink"/>
                <w:rtl w:val="true"/>
              </w:rPr>
              <w:tab/>
            </w:r>
            <w:r>
              <w:rPr>
                <w:rStyle w:val="IndexLink"/>
              </w:rPr>
              <w:t>289</w:t>
            </w:r>
          </w:hyperlink>
        </w:p>
        <w:p>
          <w:pPr>
            <w:pStyle w:val="Contents4"/>
            <w:tabs>
              <w:tab w:val="clear" w:pos="8176"/>
              <w:tab w:val="right" w:pos="9026" w:leader="dot"/>
            </w:tabs>
            <w:rPr/>
          </w:pPr>
          <w:hyperlink w:anchor="__RefHeading___Toc285370_1280447820">
            <w:r>
              <w:rPr>
                <w:webHidden/>
                <w:rStyle w:val="IndexLink"/>
                <w:rtl w:val="true"/>
              </w:rPr>
              <w:t>التنبيه الثامن</w:t>
            </w:r>
            <w:r>
              <w:rPr>
                <w:rStyle w:val="IndexLink"/>
                <w:rtl w:val="true"/>
              </w:rPr>
              <w:t xml:space="preserve">: </w:t>
            </w:r>
            <w:r>
              <w:rPr>
                <w:rStyle w:val="IndexLink"/>
                <w:rtl w:val="true"/>
              </w:rPr>
              <w:t>لو شرط المؤلف و نحوه في ضمن معاملة نسخة تأليفه مع الناشر ان يكون له كذا و كذا</w:t>
            </w:r>
            <w:r>
              <w:rPr>
                <w:rStyle w:val="IndexLink"/>
                <w:rtl w:val="true"/>
              </w:rPr>
              <w:tab/>
            </w:r>
            <w:r>
              <w:rPr>
                <w:rStyle w:val="IndexLink"/>
              </w:rPr>
              <w:t>290</w:t>
            </w:r>
          </w:hyperlink>
        </w:p>
        <w:p>
          <w:pPr>
            <w:pStyle w:val="Contents4"/>
            <w:tabs>
              <w:tab w:val="clear" w:pos="8176"/>
              <w:tab w:val="right" w:pos="9026" w:leader="dot"/>
            </w:tabs>
            <w:rPr/>
          </w:pPr>
          <w:hyperlink w:anchor="__RefHeading___Toc285372_1280447820">
            <w:r>
              <w:rPr>
                <w:webHidden/>
                <w:rStyle w:val="IndexLink"/>
                <w:rtl w:val="true"/>
              </w:rPr>
              <w:t>التنبيه التاسع</w:t>
            </w:r>
            <w:r>
              <w:rPr>
                <w:rStyle w:val="IndexLink"/>
                <w:rtl w:val="true"/>
              </w:rPr>
              <w:t xml:space="preserve">: </w:t>
            </w:r>
            <w:r>
              <w:rPr>
                <w:rStyle w:val="IndexLink"/>
                <w:rtl w:val="true"/>
              </w:rPr>
              <w:t>اذا اختلف العرف بحسب اختلاف الأمكنة</w:t>
            </w:r>
            <w:r>
              <w:rPr>
                <w:rStyle w:val="IndexLink"/>
                <w:rtl w:val="true"/>
              </w:rPr>
              <w:tab/>
            </w:r>
            <w:r>
              <w:rPr>
                <w:rStyle w:val="IndexLink"/>
              </w:rPr>
              <w:t>291</w:t>
            </w:r>
          </w:hyperlink>
        </w:p>
        <w:p>
          <w:pPr>
            <w:pStyle w:val="Contents4"/>
            <w:tabs>
              <w:tab w:val="clear" w:pos="8176"/>
              <w:tab w:val="right" w:pos="9026" w:leader="dot"/>
            </w:tabs>
            <w:rPr/>
          </w:pPr>
          <w:hyperlink w:anchor="__RefHeading___Toc285374_1280447820">
            <w:r>
              <w:rPr>
                <w:webHidden/>
                <w:rStyle w:val="IndexLink"/>
                <w:rtl w:val="true"/>
              </w:rPr>
              <w:t>التنبيه العاشر</w:t>
            </w:r>
            <w:r>
              <w:rPr>
                <w:rStyle w:val="IndexLink"/>
                <w:rtl w:val="true"/>
              </w:rPr>
              <w:t xml:space="preserve">: </w:t>
            </w:r>
            <w:r>
              <w:rPr>
                <w:rStyle w:val="IndexLink"/>
                <w:rtl w:val="true"/>
              </w:rPr>
              <w:t>كلّما نقول بالنسبة الى الكتب من جهة اختصاص حق تكثيرها يجرى في غيرها من الافلام و نحوها</w:t>
            </w:r>
            <w:r>
              <w:rPr>
                <w:rStyle w:val="IndexLink"/>
                <w:rtl w:val="true"/>
              </w:rPr>
              <w:tab/>
            </w:r>
            <w:r>
              <w:rPr>
                <w:rStyle w:val="IndexLink"/>
              </w:rPr>
              <w:t>292</w:t>
            </w:r>
          </w:hyperlink>
        </w:p>
        <w:p>
          <w:pPr>
            <w:pStyle w:val="Contents4"/>
            <w:tabs>
              <w:tab w:val="clear" w:pos="8176"/>
              <w:tab w:val="right" w:pos="9026" w:leader="dot"/>
            </w:tabs>
            <w:rPr/>
          </w:pPr>
          <w:hyperlink w:anchor="__RefHeading___Toc285376_1280447820">
            <w:r>
              <w:rPr>
                <w:webHidden/>
                <w:rStyle w:val="IndexLink"/>
                <w:rtl w:val="true"/>
              </w:rPr>
              <w:t>التنبيه الحادي عشر</w:t>
            </w:r>
            <w:r>
              <w:rPr>
                <w:rStyle w:val="IndexLink"/>
                <w:rtl w:val="true"/>
              </w:rPr>
              <w:t xml:space="preserve">: </w:t>
            </w:r>
            <w:r>
              <w:rPr>
                <w:rStyle w:val="IndexLink"/>
                <w:rtl w:val="true"/>
              </w:rPr>
              <w:t>لااشكال في جواز تغيير المؤلف تأليفه</w:t>
            </w:r>
            <w:r>
              <w:rPr>
                <w:rStyle w:val="IndexLink"/>
                <w:rtl w:val="true"/>
              </w:rPr>
              <w:tab/>
            </w:r>
            <w:r>
              <w:rPr>
                <w:rStyle w:val="IndexLink"/>
              </w:rPr>
              <w:t>293</w:t>
            </w:r>
          </w:hyperlink>
        </w:p>
        <w:p>
          <w:pPr>
            <w:pStyle w:val="Contents4"/>
            <w:tabs>
              <w:tab w:val="clear" w:pos="8176"/>
              <w:tab w:val="right" w:pos="9026" w:leader="dot"/>
            </w:tabs>
            <w:rPr/>
          </w:pPr>
          <w:hyperlink w:anchor="__RefHeading___Toc285378_1280447820">
            <w:r>
              <w:rPr>
                <w:webHidden/>
                <w:rStyle w:val="IndexLink"/>
                <w:rtl w:val="true"/>
              </w:rPr>
              <w:t>التنبيه الثاني عشر</w:t>
            </w:r>
            <w:r>
              <w:rPr>
                <w:rStyle w:val="IndexLink"/>
                <w:rtl w:val="true"/>
              </w:rPr>
              <w:t xml:space="preserve">: </w:t>
            </w:r>
            <w:r>
              <w:rPr>
                <w:rStyle w:val="IndexLink"/>
                <w:rtl w:val="true"/>
              </w:rPr>
              <w:t>قديقال انّ الالتزام بحق التأليف والترجمة و نحوهما يوجب اعطاء كثير</w:t>
            </w:r>
            <w:r>
              <w:rPr>
                <w:rStyle w:val="IndexLink"/>
                <w:rtl w:val="true"/>
              </w:rPr>
              <w:tab/>
            </w:r>
            <w:r>
              <w:rPr>
                <w:rStyle w:val="IndexLink"/>
              </w:rPr>
              <w:t>294</w:t>
            </w:r>
          </w:hyperlink>
        </w:p>
        <w:p>
          <w:pPr>
            <w:pStyle w:val="Contents4"/>
            <w:tabs>
              <w:tab w:val="clear" w:pos="8176"/>
              <w:tab w:val="right" w:pos="9026" w:leader="dot"/>
            </w:tabs>
            <w:rPr/>
          </w:pPr>
          <w:hyperlink w:anchor="__RefHeading___Toc285380_1280447820">
            <w:r>
              <w:rPr>
                <w:webHidden/>
                <w:rStyle w:val="IndexLink"/>
                <w:rtl w:val="true"/>
              </w:rPr>
              <w:t>التنبيه الثالث عشر</w:t>
            </w:r>
            <w:r>
              <w:rPr>
                <w:rStyle w:val="IndexLink"/>
                <w:rtl w:val="true"/>
              </w:rPr>
              <w:t xml:space="preserve">: </w:t>
            </w:r>
            <w:r>
              <w:rPr>
                <w:rStyle w:val="IndexLink"/>
                <w:rtl w:val="true"/>
              </w:rPr>
              <w:t>لو كان تأليف كتاب و نحوه في زمان لايعتبر فيه حق التأليف ولكن بقى الى زمان الاعتبار</w:t>
            </w:r>
            <w:r>
              <w:rPr>
                <w:rStyle w:val="IndexLink"/>
                <w:rtl w:val="true"/>
              </w:rPr>
              <w:tab/>
            </w:r>
            <w:r>
              <w:rPr>
                <w:rStyle w:val="IndexLink"/>
              </w:rPr>
              <w:t>296</w:t>
            </w:r>
          </w:hyperlink>
        </w:p>
        <w:p>
          <w:pPr>
            <w:pStyle w:val="Contents2"/>
            <w:tabs>
              <w:tab w:val="clear" w:pos="8743"/>
              <w:tab w:val="right" w:pos="9026" w:leader="dot"/>
            </w:tabs>
            <w:rPr/>
          </w:pPr>
          <w:hyperlink w:anchor="__RefHeading___Toc285382_1280447820">
            <w:r>
              <w:rPr>
                <w:webHidden/>
                <w:rStyle w:val="IndexLink"/>
                <w:rtl w:val="true"/>
              </w:rPr>
              <w:t>المسألة التاسعة عشر حقّ السرقفليّة أو بدل الخُلُو</w:t>
            </w:r>
            <w:r>
              <w:rPr>
                <w:rStyle w:val="IndexLink"/>
                <w:rtl w:val="true"/>
              </w:rPr>
              <w:tab/>
            </w:r>
            <w:r>
              <w:rPr>
                <w:rStyle w:val="IndexLink"/>
              </w:rPr>
              <w:t>298</w:t>
            </w:r>
          </w:hyperlink>
        </w:p>
        <w:p>
          <w:pPr>
            <w:pStyle w:val="Contents3"/>
            <w:tabs>
              <w:tab w:val="clear" w:pos="8459"/>
              <w:tab w:val="right" w:pos="9026" w:leader="dot"/>
            </w:tabs>
            <w:rPr/>
          </w:pPr>
          <w:hyperlink w:anchor="__RefHeading___Toc285384_1280447820">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285386_1280447820">
            <w:r>
              <w:rPr>
                <w:webHidden/>
                <w:rStyle w:val="IndexLink"/>
                <w:rtl w:val="true"/>
              </w:rPr>
              <w:t>تصويرات فقهية لكونه من الحقوق</w:t>
            </w:r>
            <w:r>
              <w:rPr>
                <w:rStyle w:val="IndexLink"/>
                <w:rtl w:val="true"/>
              </w:rPr>
              <w:tab/>
            </w:r>
            <w:r>
              <w:rPr>
                <w:rStyle w:val="IndexLink"/>
              </w:rPr>
              <w:t>298</w:t>
            </w:r>
          </w:hyperlink>
        </w:p>
        <w:p>
          <w:pPr>
            <w:pStyle w:val="Contents4"/>
            <w:tabs>
              <w:tab w:val="clear" w:pos="8176"/>
              <w:tab w:val="right" w:pos="9026" w:leader="dot"/>
            </w:tabs>
            <w:rPr/>
          </w:pPr>
          <w:hyperlink w:anchor="__RefHeading___Toc285388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85390_1280447820">
            <w:r>
              <w:rPr>
                <w:webHidden/>
                <w:rStyle w:val="IndexLink"/>
                <w:rtl w:val="true"/>
              </w:rPr>
              <w:t>الصورة الاُولى</w:t>
            </w:r>
            <w:r>
              <w:rPr>
                <w:rStyle w:val="IndexLink"/>
                <w:rtl w:val="true"/>
              </w:rPr>
              <w:t xml:space="preserve">: </w:t>
            </w:r>
            <w:r>
              <w:rPr>
                <w:rStyle w:val="IndexLink"/>
                <w:rtl w:val="true"/>
              </w:rPr>
              <w:t>من السرقفليه هى ان يستأجر شخص عيناً من الموجر من دون اشتراط ان لايكون له حق إخراجه</w:t>
            </w:r>
            <w:r>
              <w:rPr>
                <w:rStyle w:val="IndexLink"/>
                <w:rtl w:val="true"/>
              </w:rPr>
              <w:tab/>
            </w:r>
            <w:r>
              <w:rPr>
                <w:rStyle w:val="IndexLink"/>
              </w:rPr>
              <w:t>304</w:t>
            </w:r>
          </w:hyperlink>
        </w:p>
        <w:p>
          <w:pPr>
            <w:pStyle w:val="Contents4"/>
            <w:tabs>
              <w:tab w:val="clear" w:pos="8176"/>
              <w:tab w:val="right" w:pos="9026" w:leader="dot"/>
            </w:tabs>
            <w:rPr/>
          </w:pPr>
          <w:hyperlink w:anchor="__RefHeading___Toc285392_1280447820">
            <w:r>
              <w:rPr>
                <w:webHidden/>
                <w:rStyle w:val="IndexLink"/>
                <w:rtl w:val="true"/>
              </w:rPr>
              <w:t>الصورة الثانية</w:t>
            </w:r>
            <w:r>
              <w:rPr>
                <w:rStyle w:val="IndexLink"/>
                <w:rtl w:val="true"/>
              </w:rPr>
              <w:t xml:space="preserve">: </w:t>
            </w:r>
            <w:r>
              <w:rPr>
                <w:rStyle w:val="IndexLink"/>
                <w:rtl w:val="true"/>
              </w:rPr>
              <w:t>أن يستأجر المحلات التى توجر بلا سرقفلية ولكن اشترط</w:t>
            </w:r>
            <w:r>
              <w:rPr>
                <w:rStyle w:val="IndexLink"/>
                <w:rtl w:val="true"/>
              </w:rPr>
              <w:tab/>
            </w:r>
            <w:r>
              <w:rPr>
                <w:rStyle w:val="IndexLink"/>
              </w:rPr>
              <w:t>307</w:t>
            </w:r>
          </w:hyperlink>
        </w:p>
        <w:p>
          <w:pPr>
            <w:pStyle w:val="Contents4"/>
            <w:tabs>
              <w:tab w:val="clear" w:pos="8176"/>
              <w:tab w:val="right" w:pos="9026" w:leader="dot"/>
            </w:tabs>
            <w:rPr/>
          </w:pPr>
          <w:hyperlink w:anchor="__RefHeading___Toc285394_1280447820">
            <w:r>
              <w:rPr>
                <w:webHidden/>
                <w:rStyle w:val="IndexLink"/>
                <w:rtl w:val="true"/>
              </w:rPr>
              <w:t>الصورة الثالثة</w:t>
            </w:r>
            <w:r>
              <w:rPr>
                <w:rStyle w:val="IndexLink"/>
                <w:rtl w:val="true"/>
              </w:rPr>
              <w:t xml:space="preserve">: </w:t>
            </w:r>
            <w:r>
              <w:rPr>
                <w:rStyle w:val="IndexLink"/>
                <w:rtl w:val="true"/>
              </w:rPr>
              <w:t>ان يستأجر شخص محلاً للتجارة و اشترط في العقد ان يكون له حق البقاء</w:t>
            </w:r>
            <w:r>
              <w:rPr>
                <w:rStyle w:val="IndexLink"/>
                <w:rtl w:val="true"/>
              </w:rPr>
              <w:tab/>
            </w:r>
            <w:r>
              <w:rPr>
                <w:rStyle w:val="IndexLink"/>
              </w:rPr>
              <w:t>307</w:t>
            </w:r>
          </w:hyperlink>
        </w:p>
        <w:p>
          <w:pPr>
            <w:pStyle w:val="Contents4"/>
            <w:tabs>
              <w:tab w:val="clear" w:pos="8176"/>
              <w:tab w:val="right" w:pos="9026" w:leader="dot"/>
            </w:tabs>
            <w:rPr/>
          </w:pPr>
          <w:hyperlink w:anchor="__RefHeading___Toc285396_1280447820">
            <w:r>
              <w:rPr>
                <w:webHidden/>
                <w:rStyle w:val="IndexLink"/>
                <w:rtl w:val="true"/>
              </w:rPr>
              <w:t>الصورة الرابعة</w:t>
            </w:r>
            <w:r>
              <w:rPr>
                <w:rStyle w:val="IndexLink"/>
                <w:rtl w:val="true"/>
              </w:rPr>
              <w:t xml:space="preserve">: </w:t>
            </w:r>
            <w:r>
              <w:rPr>
                <w:rStyle w:val="IndexLink"/>
                <w:rtl w:val="true"/>
              </w:rPr>
              <w:t>أن الاجارة لو وقعت بعد فرض صدور قانون منع المالك من اجبار المستأجر</w:t>
            </w:r>
            <w:r>
              <w:rPr>
                <w:rStyle w:val="IndexLink"/>
                <w:rtl w:val="true"/>
              </w:rPr>
              <w:tab/>
            </w:r>
            <w:r>
              <w:rPr>
                <w:rStyle w:val="IndexLink"/>
              </w:rPr>
              <w:t>310</w:t>
            </w:r>
          </w:hyperlink>
        </w:p>
        <w:p>
          <w:pPr>
            <w:pStyle w:val="Contents4"/>
            <w:tabs>
              <w:tab w:val="clear" w:pos="8176"/>
              <w:tab w:val="right" w:pos="9026" w:leader="dot"/>
            </w:tabs>
            <w:rPr/>
          </w:pPr>
          <w:hyperlink w:anchor="__RefHeading___Toc285398_1280447820">
            <w:r>
              <w:rPr>
                <w:webHidden/>
                <w:rStyle w:val="IndexLink"/>
                <w:rtl w:val="true"/>
              </w:rPr>
              <w:t>الصورة الخامسة</w:t>
            </w:r>
            <w:r>
              <w:rPr>
                <w:rStyle w:val="IndexLink"/>
                <w:rtl w:val="true"/>
              </w:rPr>
              <w:t xml:space="preserve">: </w:t>
            </w:r>
            <w:r>
              <w:rPr>
                <w:rStyle w:val="IndexLink"/>
                <w:rtl w:val="true"/>
              </w:rPr>
              <w:t>أن يأخذ المالك مبلغاً بعنوان القرض و اشترط فيه ان يكون للمستأجر</w:t>
            </w:r>
            <w:r>
              <w:rPr>
                <w:rStyle w:val="IndexLink"/>
                <w:rtl w:val="true"/>
              </w:rPr>
              <w:tab/>
            </w:r>
            <w:r>
              <w:rPr>
                <w:rStyle w:val="IndexLink"/>
              </w:rPr>
              <w:t>314</w:t>
            </w:r>
          </w:hyperlink>
        </w:p>
        <w:p>
          <w:pPr>
            <w:pStyle w:val="Contents4"/>
            <w:tabs>
              <w:tab w:val="clear" w:pos="8176"/>
              <w:tab w:val="right" w:pos="9026" w:leader="dot"/>
            </w:tabs>
            <w:rPr/>
          </w:pPr>
          <w:hyperlink w:anchor="__RefHeading___Toc285400_1280447820">
            <w:r>
              <w:rPr>
                <w:webHidden/>
                <w:rStyle w:val="IndexLink"/>
                <w:rtl w:val="true"/>
              </w:rPr>
              <w:t>الصورة السادسة</w:t>
            </w:r>
            <w:r>
              <w:rPr>
                <w:rStyle w:val="IndexLink"/>
                <w:rtl w:val="true"/>
              </w:rPr>
              <w:t xml:space="preserve">: </w:t>
            </w:r>
            <w:r>
              <w:rPr>
                <w:rStyle w:val="IndexLink"/>
                <w:rtl w:val="true"/>
              </w:rPr>
              <w:t>ان يقول المالك للمستأجر آجرتك المحل و شرطت عليك اعطاء القرض</w:t>
            </w:r>
            <w:r>
              <w:rPr>
                <w:rStyle w:val="IndexLink"/>
                <w:rtl w:val="true"/>
              </w:rPr>
              <w:tab/>
            </w:r>
            <w:r>
              <w:rPr>
                <w:rStyle w:val="IndexLink"/>
              </w:rPr>
              <w:t>314</w:t>
            </w:r>
          </w:hyperlink>
        </w:p>
        <w:p>
          <w:pPr>
            <w:pStyle w:val="Contents4"/>
            <w:tabs>
              <w:tab w:val="clear" w:pos="8176"/>
              <w:tab w:val="right" w:pos="9026" w:leader="dot"/>
            </w:tabs>
            <w:rPr/>
          </w:pPr>
          <w:hyperlink w:anchor="__RefHeading___Toc285402_1280447820">
            <w:r>
              <w:rPr>
                <w:webHidden/>
                <w:rStyle w:val="IndexLink"/>
                <w:rtl w:val="true"/>
              </w:rPr>
              <w:t>الصورة السابعة</w:t>
            </w:r>
            <w:r>
              <w:rPr>
                <w:rStyle w:val="IndexLink"/>
                <w:rtl w:val="true"/>
              </w:rPr>
              <w:t xml:space="preserve">: </w:t>
            </w:r>
            <w:r>
              <w:rPr>
                <w:rStyle w:val="IndexLink"/>
                <w:rtl w:val="true"/>
              </w:rPr>
              <w:t>لو استأجر محلاً للتجارة في مدّة طويله و اشترط ان يكون له حق الايجار</w:t>
            </w:r>
            <w:r>
              <w:rPr>
                <w:rStyle w:val="IndexLink"/>
                <w:rtl w:val="true"/>
              </w:rPr>
              <w:tab/>
            </w:r>
            <w:r>
              <w:rPr>
                <w:rStyle w:val="IndexLink"/>
              </w:rPr>
              <w:t>315</w:t>
            </w:r>
          </w:hyperlink>
        </w:p>
        <w:p>
          <w:pPr>
            <w:pStyle w:val="Contents4"/>
            <w:tabs>
              <w:tab w:val="clear" w:pos="8176"/>
              <w:tab w:val="right" w:pos="9026" w:leader="dot"/>
            </w:tabs>
            <w:rPr/>
          </w:pPr>
          <w:hyperlink w:anchor="__RefHeading___Toc285404_1280447820">
            <w:r>
              <w:rPr>
                <w:webHidden/>
                <w:rStyle w:val="IndexLink"/>
                <w:rtl w:val="true"/>
              </w:rPr>
              <w:t>الصورة الثامنة</w:t>
            </w:r>
            <w:r>
              <w:rPr>
                <w:rStyle w:val="IndexLink"/>
                <w:rtl w:val="true"/>
              </w:rPr>
              <w:t xml:space="preserve">: </w:t>
            </w:r>
            <w:r>
              <w:rPr>
                <w:rStyle w:val="IndexLink"/>
                <w:rtl w:val="true"/>
              </w:rPr>
              <w:t>يجوز للمستأجر قبل أن يقضى مدة الاجارة أن يأخذ من الموجر مبلغاً</w:t>
            </w:r>
            <w:r>
              <w:rPr>
                <w:rStyle w:val="IndexLink"/>
                <w:rtl w:val="true"/>
              </w:rPr>
              <w:tab/>
            </w:r>
            <w:r>
              <w:rPr>
                <w:rStyle w:val="IndexLink"/>
              </w:rPr>
              <w:t>316</w:t>
            </w:r>
          </w:hyperlink>
        </w:p>
        <w:p>
          <w:pPr>
            <w:pStyle w:val="Contents4"/>
            <w:tabs>
              <w:tab w:val="clear" w:pos="8176"/>
              <w:tab w:val="right" w:pos="9026" w:leader="dot"/>
            </w:tabs>
            <w:rPr/>
          </w:pPr>
          <w:hyperlink w:anchor="__RefHeading___Toc285406_1280447820">
            <w:r>
              <w:rPr>
                <w:webHidden/>
                <w:rStyle w:val="IndexLink"/>
                <w:rtl w:val="true"/>
              </w:rPr>
              <w:t>الصورة التاسعة</w:t>
            </w:r>
            <w:r>
              <w:rPr>
                <w:rStyle w:val="IndexLink"/>
                <w:rtl w:val="true"/>
              </w:rPr>
              <w:t xml:space="preserve">: </w:t>
            </w:r>
            <w:r>
              <w:rPr>
                <w:rStyle w:val="IndexLink"/>
                <w:rtl w:val="true"/>
              </w:rPr>
              <w:t>ان المستأجر للدكان أو الدار يجوز له أن يوجرهما في مدة الاجاره</w:t>
            </w:r>
            <w:r>
              <w:rPr>
                <w:rStyle w:val="IndexLink"/>
                <w:rtl w:val="true"/>
              </w:rPr>
              <w:tab/>
            </w:r>
            <w:r>
              <w:rPr>
                <w:rStyle w:val="IndexLink"/>
              </w:rPr>
              <w:t>316</w:t>
            </w:r>
          </w:hyperlink>
        </w:p>
        <w:p>
          <w:pPr>
            <w:pStyle w:val="Contents4"/>
            <w:tabs>
              <w:tab w:val="clear" w:pos="8176"/>
              <w:tab w:val="right" w:pos="9026" w:leader="dot"/>
            </w:tabs>
            <w:rPr/>
          </w:pPr>
          <w:hyperlink w:anchor="__RefHeading___Toc285408_1280447820">
            <w:r>
              <w:rPr>
                <w:webHidden/>
                <w:rStyle w:val="IndexLink"/>
                <w:rtl w:val="true"/>
              </w:rPr>
              <w:t>الصورة العاشرة</w:t>
            </w:r>
            <w:r>
              <w:rPr>
                <w:rStyle w:val="IndexLink"/>
                <w:rtl w:val="true"/>
              </w:rPr>
              <w:t xml:space="preserve">: </w:t>
            </w:r>
            <w:r>
              <w:rPr>
                <w:rStyle w:val="IndexLink"/>
                <w:rtl w:val="true"/>
              </w:rPr>
              <w:t xml:space="preserve">ما افادها الامام </w:t>
            </w:r>
            <w:r>
              <w:rPr>
                <w:rStyle w:val="IndexLink"/>
                <w:rtl w:val="true"/>
              </w:rPr>
              <w:t>(</w:t>
            </w:r>
            <w:r>
              <w:rPr>
                <w:rStyle w:val="IndexLink"/>
                <w:rtl w:val="true"/>
              </w:rPr>
              <w:t>ره</w:t>
            </w:r>
            <w:r>
              <w:rPr>
                <w:rStyle w:val="IndexLink"/>
                <w:rtl w:val="true"/>
              </w:rPr>
              <w:t xml:space="preserve">) </w:t>
            </w:r>
            <w:r>
              <w:rPr>
                <w:rStyle w:val="IndexLink"/>
                <w:rtl w:val="true"/>
              </w:rPr>
              <w:t>من انّ ملاّك الاماكن احتالوا الأجل</w:t>
            </w:r>
            <w:r>
              <w:rPr>
                <w:rStyle w:val="IndexLink"/>
                <w:rtl w:val="true"/>
              </w:rPr>
              <w:tab/>
            </w:r>
            <w:r>
              <w:rPr>
                <w:rStyle w:val="IndexLink"/>
              </w:rPr>
              <w:t>318</w:t>
            </w:r>
          </w:hyperlink>
        </w:p>
        <w:p>
          <w:pPr>
            <w:pStyle w:val="Contents4"/>
            <w:tabs>
              <w:tab w:val="clear" w:pos="8176"/>
              <w:tab w:val="right" w:pos="9026" w:leader="dot"/>
            </w:tabs>
            <w:rPr/>
          </w:pPr>
          <w:hyperlink w:anchor="__RefHeading___Toc285410_1280447820">
            <w:r>
              <w:rPr>
                <w:webHidden/>
                <w:rStyle w:val="IndexLink"/>
                <w:rtl w:val="true"/>
              </w:rPr>
              <w:t>الصورة الحادية عشر</w:t>
            </w:r>
            <w:r>
              <w:rPr>
                <w:rStyle w:val="IndexLink"/>
                <w:rtl w:val="true"/>
              </w:rPr>
              <w:t xml:space="preserve">: </w:t>
            </w:r>
            <w:r>
              <w:rPr>
                <w:rStyle w:val="IndexLink"/>
                <w:rtl w:val="true"/>
              </w:rPr>
              <w:t>في شرط توكيل الايجار</w:t>
            </w:r>
            <w:r>
              <w:rPr>
                <w:rStyle w:val="IndexLink"/>
                <w:rtl w:val="true"/>
              </w:rPr>
              <w:tab/>
            </w:r>
            <w:r>
              <w:rPr>
                <w:rStyle w:val="IndexLink"/>
              </w:rPr>
              <w:t>320</w:t>
            </w:r>
          </w:hyperlink>
        </w:p>
        <w:p>
          <w:pPr>
            <w:pStyle w:val="Contents3"/>
            <w:tabs>
              <w:tab w:val="clear" w:pos="8459"/>
              <w:tab w:val="right" w:pos="9026" w:leader="dot"/>
            </w:tabs>
            <w:rPr/>
          </w:pPr>
          <w:hyperlink w:anchor="__RefHeading___Toc285412_1280447820">
            <w:r>
              <w:rPr>
                <w:webHidden/>
                <w:rStyle w:val="IndexLink"/>
                <w:rtl w:val="true"/>
              </w:rPr>
              <w:t>المختار</w:t>
            </w:r>
            <w:r>
              <w:rPr>
                <w:rStyle w:val="IndexLink"/>
                <w:rtl w:val="true"/>
              </w:rPr>
              <w:tab/>
            </w:r>
            <w:r>
              <w:rPr>
                <w:rStyle w:val="IndexLink"/>
              </w:rPr>
              <w:t>322</w:t>
            </w:r>
          </w:hyperlink>
        </w:p>
        <w:p>
          <w:pPr>
            <w:pStyle w:val="Contents3"/>
            <w:tabs>
              <w:tab w:val="clear" w:pos="8459"/>
              <w:tab w:val="right" w:pos="9026" w:leader="dot"/>
            </w:tabs>
            <w:rPr/>
          </w:pPr>
          <w:hyperlink w:anchor="__RefHeading___Toc285414_1280447820">
            <w:r>
              <w:rPr>
                <w:webHidden/>
                <w:rStyle w:val="IndexLink"/>
                <w:rtl w:val="true"/>
              </w:rPr>
              <w:t>تنبيهات</w:t>
            </w:r>
            <w:r>
              <w:rPr>
                <w:rStyle w:val="IndexLink"/>
                <w:rtl w:val="true"/>
              </w:rPr>
              <w:tab/>
            </w:r>
            <w:r>
              <w:rPr>
                <w:rStyle w:val="IndexLink"/>
              </w:rPr>
              <w:t>323</w:t>
            </w:r>
          </w:hyperlink>
        </w:p>
        <w:p>
          <w:pPr>
            <w:pStyle w:val="Contents4"/>
            <w:tabs>
              <w:tab w:val="clear" w:pos="8176"/>
              <w:tab w:val="right" w:pos="9026" w:leader="dot"/>
            </w:tabs>
            <w:rPr/>
          </w:pPr>
          <w:hyperlink w:anchor="__RefHeading___Toc285416_1280447820">
            <w:r>
              <w:rPr>
                <w:webHidden/>
                <w:rStyle w:val="IndexLink"/>
                <w:rtl w:val="true"/>
              </w:rPr>
              <w:t>التنبيه الأوّل</w:t>
            </w:r>
            <w:r>
              <w:rPr>
                <w:rStyle w:val="IndexLink"/>
                <w:rtl w:val="true"/>
              </w:rPr>
              <w:t xml:space="preserve">: </w:t>
            </w:r>
            <w:r>
              <w:rPr>
                <w:rStyle w:val="IndexLink"/>
                <w:rtl w:val="true"/>
              </w:rPr>
              <w:t>فى استحقاق ارتفاع قيمة السرقفلية</w:t>
            </w:r>
            <w:r>
              <w:rPr>
                <w:rStyle w:val="IndexLink"/>
                <w:rtl w:val="true"/>
              </w:rPr>
              <w:tab/>
            </w:r>
            <w:r>
              <w:rPr>
                <w:rStyle w:val="IndexLink"/>
              </w:rPr>
              <w:t>323</w:t>
            </w:r>
          </w:hyperlink>
        </w:p>
        <w:p>
          <w:pPr>
            <w:pStyle w:val="Contents4"/>
            <w:tabs>
              <w:tab w:val="clear" w:pos="8176"/>
              <w:tab w:val="right" w:pos="9026" w:leader="dot"/>
            </w:tabs>
            <w:rPr/>
          </w:pPr>
          <w:hyperlink w:anchor="__RefHeading___Toc285418_1280447820">
            <w:r>
              <w:rPr>
                <w:webHidden/>
                <w:rStyle w:val="IndexLink"/>
                <w:rtl w:val="true"/>
              </w:rPr>
              <w:t>التنبيه الثاني</w:t>
            </w:r>
            <w:r>
              <w:rPr>
                <w:rStyle w:val="IndexLink"/>
                <w:rtl w:val="true"/>
              </w:rPr>
              <w:t xml:space="preserve">: </w:t>
            </w:r>
            <w:r>
              <w:rPr>
                <w:rStyle w:val="IndexLink"/>
                <w:rtl w:val="true"/>
              </w:rPr>
              <w:t>في عدم جواز مطالبة بعض الورثة حصة من سائر الورثة</w:t>
            </w:r>
            <w:r>
              <w:rPr>
                <w:rStyle w:val="IndexLink"/>
                <w:rtl w:val="true"/>
              </w:rPr>
              <w:tab/>
            </w:r>
            <w:r>
              <w:rPr>
                <w:rStyle w:val="IndexLink"/>
              </w:rPr>
              <w:t>324</w:t>
            </w:r>
          </w:hyperlink>
        </w:p>
        <w:p>
          <w:pPr>
            <w:pStyle w:val="Contents4"/>
            <w:tabs>
              <w:tab w:val="clear" w:pos="8176"/>
              <w:tab w:val="right" w:pos="9026" w:leader="dot"/>
            </w:tabs>
            <w:rPr/>
          </w:pPr>
          <w:hyperlink w:anchor="__RefHeading___Toc285420_1280447820">
            <w:r>
              <w:rPr>
                <w:webHidden/>
                <w:rStyle w:val="IndexLink"/>
                <w:rtl w:val="true"/>
              </w:rPr>
              <w:t>التنبيه الثاني</w:t>
            </w:r>
            <w:r>
              <w:rPr>
                <w:rStyle w:val="IndexLink"/>
                <w:rtl w:val="true"/>
              </w:rPr>
              <w:t xml:space="preserve">: </w:t>
            </w:r>
            <w:r>
              <w:rPr>
                <w:rStyle w:val="IndexLink"/>
                <w:rtl w:val="true"/>
              </w:rPr>
              <w:t>في عدم جواز مطالبة بعض الورثة حصة من سائر الورثة</w:t>
            </w:r>
            <w:r>
              <w:rPr>
                <w:rStyle w:val="IndexLink"/>
                <w:rtl w:val="true"/>
              </w:rPr>
              <w:tab/>
            </w:r>
            <w:r>
              <w:rPr>
                <w:rStyle w:val="IndexLink"/>
              </w:rPr>
              <w:t>324</w:t>
            </w:r>
          </w:hyperlink>
        </w:p>
        <w:p>
          <w:pPr>
            <w:pStyle w:val="Contents4"/>
            <w:tabs>
              <w:tab w:val="clear" w:pos="8176"/>
              <w:tab w:val="right" w:pos="9026" w:leader="dot"/>
            </w:tabs>
            <w:rPr/>
          </w:pPr>
          <w:hyperlink w:anchor="__RefHeading___Toc285422_1280447820">
            <w:r>
              <w:rPr>
                <w:webHidden/>
                <w:rStyle w:val="IndexLink"/>
                <w:rtl w:val="true"/>
              </w:rPr>
              <w:t>التنبيه الرابع</w:t>
            </w:r>
            <w:r>
              <w:rPr>
                <w:rStyle w:val="IndexLink"/>
                <w:rtl w:val="true"/>
              </w:rPr>
              <w:t xml:space="preserve">: </w:t>
            </w:r>
            <w:r>
              <w:rPr>
                <w:rStyle w:val="IndexLink"/>
                <w:rtl w:val="true"/>
              </w:rPr>
              <w:t>في حكم من سكن في محل من دون معاملة او اذن من صاحب السرقفلية</w:t>
            </w:r>
            <w:r>
              <w:rPr>
                <w:rStyle w:val="IndexLink"/>
                <w:rtl w:val="true"/>
              </w:rPr>
              <w:tab/>
            </w:r>
            <w:r>
              <w:rPr>
                <w:rStyle w:val="IndexLink"/>
              </w:rPr>
              <w:t>325</w:t>
            </w:r>
          </w:hyperlink>
        </w:p>
        <w:p>
          <w:pPr>
            <w:pStyle w:val="Contents4"/>
            <w:tabs>
              <w:tab w:val="clear" w:pos="8176"/>
              <w:tab w:val="right" w:pos="9026" w:leader="dot"/>
            </w:tabs>
            <w:rPr/>
          </w:pPr>
          <w:hyperlink w:anchor="__RefHeading___Toc285424_1280447820">
            <w:r>
              <w:rPr>
                <w:webHidden/>
                <w:rStyle w:val="IndexLink"/>
                <w:rtl w:val="true"/>
              </w:rPr>
              <w:t>التنبيه الخامس</w:t>
            </w:r>
            <w:r>
              <w:rPr>
                <w:rStyle w:val="IndexLink"/>
                <w:rtl w:val="true"/>
              </w:rPr>
              <w:t xml:space="preserve">: </w:t>
            </w:r>
            <w:r>
              <w:rPr>
                <w:rStyle w:val="IndexLink"/>
                <w:rtl w:val="true"/>
              </w:rPr>
              <w:t>اذا اشترى حق السرقفلية من ارباح سنته فهل يجب عليه الخمس أو لا؟</w:t>
            </w:r>
            <w:r>
              <w:rPr>
                <w:rStyle w:val="IndexLink"/>
                <w:rtl w:val="true"/>
              </w:rPr>
              <w:tab/>
            </w:r>
            <w:r>
              <w:rPr>
                <w:rStyle w:val="IndexLink"/>
              </w:rPr>
              <w:t>325</w:t>
            </w:r>
          </w:hyperlink>
        </w:p>
        <w:p>
          <w:pPr>
            <w:pStyle w:val="Contents4"/>
            <w:tabs>
              <w:tab w:val="clear" w:pos="8176"/>
              <w:tab w:val="right" w:pos="9026" w:leader="dot"/>
            </w:tabs>
            <w:rPr/>
          </w:pPr>
          <w:hyperlink w:anchor="__RefHeading___Toc285426_1280447820">
            <w:r>
              <w:rPr>
                <w:webHidden/>
                <w:rStyle w:val="IndexLink"/>
                <w:rtl w:val="true"/>
              </w:rPr>
              <w:t>التنبيه السادس</w:t>
            </w:r>
            <w:r>
              <w:rPr>
                <w:rStyle w:val="IndexLink"/>
                <w:rtl w:val="true"/>
              </w:rPr>
              <w:t xml:space="preserve">: </w:t>
            </w:r>
            <w:r>
              <w:rPr>
                <w:rStyle w:val="IndexLink"/>
                <w:rtl w:val="true"/>
              </w:rPr>
              <w:t>ان مجرد الوكالة في الابجار عن المالك لايوجب حقاً له بالنسبة الى المالك</w:t>
            </w:r>
            <w:r>
              <w:rPr>
                <w:rStyle w:val="IndexLink"/>
                <w:rtl w:val="true"/>
              </w:rPr>
              <w:tab/>
            </w:r>
            <w:r>
              <w:rPr>
                <w:rStyle w:val="IndexLink"/>
              </w:rPr>
              <w:t>326</w:t>
            </w:r>
          </w:hyperlink>
        </w:p>
        <w:p>
          <w:pPr>
            <w:pStyle w:val="Contents4"/>
            <w:tabs>
              <w:tab w:val="clear" w:pos="8176"/>
              <w:tab w:val="right" w:pos="9026" w:leader="dot"/>
            </w:tabs>
            <w:rPr/>
          </w:pPr>
          <w:hyperlink w:anchor="__RefHeading___Toc285428_1280447820">
            <w:r>
              <w:rPr>
                <w:webHidden/>
                <w:rStyle w:val="IndexLink"/>
                <w:rtl w:val="true"/>
              </w:rPr>
              <w:t>التنبيه السابع</w:t>
            </w:r>
            <w:r>
              <w:rPr>
                <w:rStyle w:val="IndexLink"/>
                <w:rtl w:val="true"/>
              </w:rPr>
              <w:t xml:space="preserve">: </w:t>
            </w:r>
            <w:r>
              <w:rPr>
                <w:rStyle w:val="IndexLink"/>
                <w:rtl w:val="true"/>
              </w:rPr>
              <w:t>في حكم ازدياد اجرة المحل من ناحية المالك الجديد</w:t>
            </w:r>
            <w:r>
              <w:rPr>
                <w:rStyle w:val="IndexLink"/>
                <w:rtl w:val="true"/>
              </w:rPr>
              <w:tab/>
            </w:r>
            <w:r>
              <w:rPr>
                <w:rStyle w:val="IndexLink"/>
              </w:rPr>
              <w:t>327</w:t>
            </w:r>
          </w:hyperlink>
        </w:p>
        <w:p>
          <w:pPr>
            <w:pStyle w:val="Contents4"/>
            <w:tabs>
              <w:tab w:val="clear" w:pos="8176"/>
              <w:tab w:val="right" w:pos="9026" w:leader="dot"/>
            </w:tabs>
            <w:rPr/>
          </w:pPr>
          <w:hyperlink w:anchor="__RefHeading___Toc285430_1280447820">
            <w:r>
              <w:rPr>
                <w:webHidden/>
                <w:rStyle w:val="IndexLink"/>
                <w:rtl w:val="true"/>
              </w:rPr>
              <w:t>التنبيه الثامن</w:t>
            </w:r>
            <w:r>
              <w:rPr>
                <w:rStyle w:val="IndexLink"/>
                <w:rtl w:val="true"/>
              </w:rPr>
              <w:t xml:space="preserve">: </w:t>
            </w:r>
            <w:r>
              <w:rPr>
                <w:rStyle w:val="IndexLink"/>
                <w:rtl w:val="true"/>
              </w:rPr>
              <w:t>في حكم اسقاط المالك حق السرقفلية</w:t>
            </w:r>
            <w:r>
              <w:rPr>
                <w:rStyle w:val="IndexLink"/>
                <w:rtl w:val="true"/>
              </w:rPr>
              <w:tab/>
            </w:r>
            <w:r>
              <w:rPr>
                <w:rStyle w:val="IndexLink"/>
              </w:rPr>
              <w:t>328</w:t>
            </w:r>
          </w:hyperlink>
        </w:p>
        <w:p>
          <w:pPr>
            <w:pStyle w:val="Contents4"/>
            <w:tabs>
              <w:tab w:val="clear" w:pos="8176"/>
              <w:tab w:val="right" w:pos="9026" w:leader="dot"/>
            </w:tabs>
            <w:rPr/>
          </w:pPr>
          <w:hyperlink w:anchor="__RefHeading___Toc285432_1280447820">
            <w:r>
              <w:rPr>
                <w:webHidden/>
                <w:rStyle w:val="IndexLink"/>
                <w:rtl w:val="true"/>
              </w:rPr>
              <w:t>التنبيه التاسع</w:t>
            </w:r>
            <w:r>
              <w:rPr>
                <w:rStyle w:val="IndexLink"/>
                <w:rtl w:val="true"/>
              </w:rPr>
              <w:t xml:space="preserve">: </w:t>
            </w:r>
            <w:r>
              <w:rPr>
                <w:rStyle w:val="IndexLink"/>
                <w:rtl w:val="true"/>
              </w:rPr>
              <w:t>في حكم ما اذا كان حق السرقفلى لشخص و الملك لآخر</w:t>
            </w:r>
            <w:r>
              <w:rPr>
                <w:rStyle w:val="IndexLink"/>
                <w:rtl w:val="true"/>
              </w:rPr>
              <w:tab/>
            </w:r>
            <w:r>
              <w:rPr>
                <w:rStyle w:val="IndexLink"/>
              </w:rPr>
              <w:t>329</w:t>
            </w:r>
          </w:hyperlink>
        </w:p>
        <w:p>
          <w:pPr>
            <w:pStyle w:val="Contents4"/>
            <w:tabs>
              <w:tab w:val="clear" w:pos="8176"/>
              <w:tab w:val="right" w:pos="9026" w:leader="dot"/>
            </w:tabs>
            <w:rPr/>
          </w:pPr>
          <w:hyperlink w:anchor="__RefHeading___Toc285434_1280447820">
            <w:r>
              <w:rPr>
                <w:webHidden/>
                <w:rStyle w:val="IndexLink"/>
                <w:rtl w:val="true"/>
              </w:rPr>
              <w:t>التنبيه العاشر</w:t>
            </w:r>
            <w:r>
              <w:rPr>
                <w:rStyle w:val="IndexLink"/>
                <w:rtl w:val="true"/>
              </w:rPr>
              <w:t xml:space="preserve">: </w:t>
            </w:r>
            <w:r>
              <w:rPr>
                <w:rStyle w:val="IndexLink"/>
                <w:rtl w:val="true"/>
              </w:rPr>
              <w:t>في الفرق بين حق السرقفلية و حق الكسب و الاشتغال بالتجارة</w:t>
            </w:r>
            <w:r>
              <w:rPr>
                <w:rStyle w:val="IndexLink"/>
                <w:rtl w:val="true"/>
              </w:rPr>
              <w:tab/>
            </w:r>
            <w:r>
              <w:rPr>
                <w:rStyle w:val="IndexLink"/>
              </w:rPr>
              <w:t>330</w:t>
            </w:r>
          </w:hyperlink>
        </w:p>
        <w:p>
          <w:pPr>
            <w:pStyle w:val="Contents4"/>
            <w:tabs>
              <w:tab w:val="clear" w:pos="8176"/>
              <w:tab w:val="right" w:pos="9026" w:leader="dot"/>
            </w:tabs>
            <w:rPr/>
          </w:pPr>
          <w:hyperlink w:anchor="__RefHeading___Toc285436_1280447820">
            <w:r>
              <w:rPr>
                <w:webHidden/>
                <w:rStyle w:val="IndexLink"/>
                <w:rtl w:val="true"/>
              </w:rPr>
              <w:t>التنبيه الحادي عشر</w:t>
            </w:r>
            <w:r>
              <w:rPr>
                <w:rStyle w:val="IndexLink"/>
                <w:rtl w:val="true"/>
              </w:rPr>
              <w:t xml:space="preserve">: </w:t>
            </w:r>
            <w:r>
              <w:rPr>
                <w:rStyle w:val="IndexLink"/>
                <w:rtl w:val="true"/>
              </w:rPr>
              <w:t>في ان معاملة المستاجر مع المالك في حق السرقفلية لازمة</w:t>
            </w:r>
            <w:r>
              <w:rPr>
                <w:rStyle w:val="IndexLink"/>
                <w:rtl w:val="true"/>
              </w:rPr>
              <w:tab/>
            </w:r>
            <w:r>
              <w:rPr>
                <w:rStyle w:val="IndexLink"/>
              </w:rPr>
              <w:t>332</w:t>
            </w:r>
          </w:hyperlink>
        </w:p>
        <w:p>
          <w:pPr>
            <w:pStyle w:val="Contents2"/>
            <w:tabs>
              <w:tab w:val="clear" w:pos="8743"/>
              <w:tab w:val="right" w:pos="9026" w:leader="dot"/>
            </w:tabs>
            <w:rPr/>
          </w:pPr>
          <w:hyperlink w:anchor="__RefHeading___Toc285438_1280447820">
            <w:r>
              <w:rPr>
                <w:webHidden/>
                <w:rStyle w:val="IndexLink"/>
                <w:rtl w:val="true"/>
              </w:rPr>
              <w:t>المسألة العشرون في الحلق</w:t>
            </w:r>
            <w:r>
              <w:rPr>
                <w:rStyle w:val="IndexLink"/>
                <w:rtl w:val="true"/>
              </w:rPr>
              <w:tab/>
            </w:r>
            <w:r>
              <w:rPr>
                <w:rStyle w:val="IndexLink"/>
              </w:rPr>
              <w:t>334</w:t>
            </w:r>
          </w:hyperlink>
        </w:p>
        <w:p>
          <w:pPr>
            <w:pStyle w:val="Contents3"/>
            <w:tabs>
              <w:tab w:val="clear" w:pos="8459"/>
              <w:tab w:val="right" w:pos="9026" w:leader="dot"/>
            </w:tabs>
            <w:rPr/>
          </w:pPr>
          <w:hyperlink w:anchor="__RefHeading___Toc285440_1280447820">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285442_1280447820">
            <w:r>
              <w:rPr>
                <w:webHidden/>
                <w:rStyle w:val="IndexLink"/>
                <w:rtl w:val="true"/>
              </w:rPr>
              <w:t>الجهة الاوُلى</w:t>
            </w:r>
            <w:r>
              <w:rPr>
                <w:rStyle w:val="IndexLink"/>
                <w:rtl w:val="true"/>
              </w:rPr>
              <w:t xml:space="preserve">: </w:t>
            </w:r>
            <w:r>
              <w:rPr>
                <w:rStyle w:val="IndexLink"/>
                <w:rtl w:val="true"/>
              </w:rPr>
              <w:t>في حرمة حلق اللحية</w:t>
            </w:r>
            <w:r>
              <w:rPr>
                <w:rStyle w:val="IndexLink"/>
                <w:rtl w:val="true"/>
              </w:rPr>
              <w:tab/>
            </w:r>
            <w:r>
              <w:rPr>
                <w:rStyle w:val="IndexLink"/>
              </w:rPr>
              <w:t>334</w:t>
            </w:r>
          </w:hyperlink>
        </w:p>
        <w:p>
          <w:pPr>
            <w:pStyle w:val="Contents3"/>
            <w:tabs>
              <w:tab w:val="clear" w:pos="8459"/>
              <w:tab w:val="right" w:pos="9026" w:leader="dot"/>
            </w:tabs>
            <w:rPr/>
          </w:pPr>
          <w:hyperlink w:anchor="__RefHeading___Toc285444_1280447820">
            <w:r>
              <w:rPr>
                <w:webHidden/>
                <w:rStyle w:val="IndexLink"/>
                <w:rtl w:val="true"/>
              </w:rPr>
              <w:t>الجهة الثانيه</w:t>
            </w:r>
            <w:r>
              <w:rPr>
                <w:rStyle w:val="IndexLink"/>
                <w:rtl w:val="true"/>
              </w:rPr>
              <w:t xml:space="preserve">: </w:t>
            </w:r>
            <w:r>
              <w:rPr>
                <w:rStyle w:val="IndexLink"/>
                <w:rtl w:val="true"/>
              </w:rPr>
              <w:t>استدل لحرمة حلق اللحية بامور</w:t>
            </w:r>
            <w:r>
              <w:rPr>
                <w:rStyle w:val="IndexLink"/>
                <w:rtl w:val="true"/>
              </w:rPr>
              <w:tab/>
            </w:r>
            <w:r>
              <w:rPr>
                <w:rStyle w:val="IndexLink"/>
              </w:rPr>
              <w:t>336</w:t>
            </w:r>
          </w:hyperlink>
        </w:p>
        <w:p>
          <w:pPr>
            <w:pStyle w:val="Contents4"/>
            <w:tabs>
              <w:tab w:val="clear" w:pos="8176"/>
              <w:tab w:val="right" w:pos="9026" w:leader="dot"/>
            </w:tabs>
            <w:rPr/>
          </w:pPr>
          <w:hyperlink w:anchor="__RefHeading___Toc285446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285448_1280447820">
            <w:r>
              <w:rPr>
                <w:webHidden/>
                <w:rStyle w:val="IndexLink"/>
                <w:rtl w:val="true"/>
              </w:rPr>
              <w:t>الأوّل</w:t>
            </w:r>
            <w:r>
              <w:rPr>
                <w:rStyle w:val="IndexLink"/>
                <w:rtl w:val="true"/>
              </w:rPr>
              <w:t xml:space="preserve">: </w:t>
            </w:r>
            <w:r>
              <w:rPr>
                <w:rStyle w:val="IndexLink"/>
                <w:rtl w:val="true"/>
              </w:rPr>
              <w:t>الآيات</w:t>
            </w:r>
            <w:r>
              <w:rPr>
                <w:rStyle w:val="IndexLink"/>
                <w:rtl w:val="true"/>
              </w:rPr>
              <w:tab/>
            </w:r>
            <w:r>
              <w:rPr>
                <w:rStyle w:val="IndexLink"/>
              </w:rPr>
              <w:t>336</w:t>
            </w:r>
          </w:hyperlink>
        </w:p>
        <w:p>
          <w:pPr>
            <w:pStyle w:val="Contents4"/>
            <w:tabs>
              <w:tab w:val="clear" w:pos="8176"/>
              <w:tab w:val="right" w:pos="9026" w:leader="dot"/>
            </w:tabs>
            <w:rPr/>
          </w:pPr>
          <w:hyperlink w:anchor="__RefHeading___Toc285450_1280447820">
            <w:r>
              <w:rPr>
                <w:webHidden/>
                <w:rStyle w:val="IndexLink"/>
                <w:rtl w:val="true"/>
              </w:rPr>
              <w:t>الثاني</w:t>
            </w:r>
            <w:r>
              <w:rPr>
                <w:rStyle w:val="IndexLink"/>
                <w:rtl w:val="true"/>
              </w:rPr>
              <w:t xml:space="preserve">: </w:t>
            </w:r>
            <w:r>
              <w:rPr>
                <w:rStyle w:val="IndexLink"/>
                <w:rtl w:val="true"/>
              </w:rPr>
              <w:t>الروايات</w:t>
            </w:r>
            <w:r>
              <w:rPr>
                <w:rStyle w:val="IndexLink"/>
                <w:rtl w:val="true"/>
              </w:rPr>
              <w:t>:</w:t>
              <w:tab/>
            </w:r>
            <w:r>
              <w:rPr>
                <w:rStyle w:val="IndexLink"/>
              </w:rPr>
              <w:t>340</w:t>
            </w:r>
          </w:hyperlink>
        </w:p>
        <w:p>
          <w:pPr>
            <w:pStyle w:val="Contents5"/>
            <w:tabs>
              <w:tab w:val="clear" w:pos="7892"/>
              <w:tab w:val="right" w:pos="9026" w:leader="dot"/>
            </w:tabs>
            <w:rPr/>
          </w:pPr>
          <w:hyperlink w:anchor="__RefHeading___Toc285452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285454_1280447820">
            <w:r>
              <w:rPr>
                <w:webHidden/>
                <w:rStyle w:val="IndexLink"/>
                <w:rtl w:val="true"/>
              </w:rPr>
              <w:t>منها</w:t>
            </w:r>
            <w:r>
              <w:rPr>
                <w:rStyle w:val="IndexLink"/>
                <w:rtl w:val="true"/>
              </w:rPr>
              <w:t xml:space="preserve">: </w:t>
            </w:r>
            <w:r>
              <w:rPr>
                <w:rStyle w:val="IndexLink"/>
                <w:rtl w:val="true"/>
              </w:rPr>
              <w:t>ما دلّ على اعفاء اللحى و حفّ الشوارب</w:t>
            </w:r>
            <w:r>
              <w:rPr>
                <w:rStyle w:val="IndexLink"/>
                <w:rtl w:val="true"/>
              </w:rPr>
              <w:tab/>
            </w:r>
            <w:r>
              <w:rPr>
                <w:rStyle w:val="IndexLink"/>
              </w:rPr>
              <w:t>340</w:t>
            </w:r>
          </w:hyperlink>
        </w:p>
        <w:p>
          <w:pPr>
            <w:pStyle w:val="Contents5"/>
            <w:tabs>
              <w:tab w:val="clear" w:pos="7892"/>
              <w:tab w:val="right" w:pos="9026" w:leader="dot"/>
            </w:tabs>
            <w:rPr/>
          </w:pPr>
          <w:hyperlink w:anchor="__RefHeading___Toc285456_1280447820">
            <w:r>
              <w:rPr>
                <w:webHidden/>
                <w:rStyle w:val="IndexLink"/>
                <w:rtl w:val="true"/>
              </w:rPr>
              <w:t>منها</w:t>
            </w:r>
            <w:r>
              <w:rPr>
                <w:rStyle w:val="IndexLink"/>
                <w:rtl w:val="true"/>
              </w:rPr>
              <w:t xml:space="preserve">: </w:t>
            </w:r>
            <w:r>
              <w:rPr>
                <w:rStyle w:val="IndexLink"/>
                <w:rtl w:val="true"/>
              </w:rPr>
              <w:t>ما دلّ على أنّ حلق الحية يكون من المثلة</w:t>
            </w:r>
            <w:r>
              <w:rPr>
                <w:rStyle w:val="IndexLink"/>
                <w:rtl w:val="true"/>
              </w:rPr>
              <w:tab/>
            </w:r>
            <w:r>
              <w:rPr>
                <w:rStyle w:val="IndexLink"/>
              </w:rPr>
              <w:t>346</w:t>
            </w:r>
          </w:hyperlink>
        </w:p>
        <w:p>
          <w:pPr>
            <w:pStyle w:val="Contents5"/>
            <w:tabs>
              <w:tab w:val="clear" w:pos="7892"/>
              <w:tab w:val="right" w:pos="9026" w:leader="dot"/>
            </w:tabs>
            <w:rPr/>
          </w:pPr>
          <w:hyperlink w:anchor="__RefHeading___Toc285458_1280447820">
            <w:r>
              <w:rPr>
                <w:webHidden/>
                <w:rStyle w:val="IndexLink"/>
                <w:rtl w:val="true"/>
              </w:rPr>
              <w:t>منها</w:t>
            </w:r>
            <w:r>
              <w:rPr>
                <w:rStyle w:val="IndexLink"/>
                <w:rtl w:val="true"/>
              </w:rPr>
              <w:t xml:space="preserve">: </w:t>
            </w:r>
            <w:r>
              <w:rPr>
                <w:rStyle w:val="IndexLink"/>
                <w:rtl w:val="true"/>
              </w:rPr>
              <w:t>ما دلّ على عدم جواز السلوك مسلك اعداء الدين</w:t>
            </w:r>
            <w:r>
              <w:rPr>
                <w:rStyle w:val="IndexLink"/>
                <w:rtl w:val="true"/>
              </w:rPr>
              <w:tab/>
            </w:r>
            <w:r>
              <w:rPr>
                <w:rStyle w:val="IndexLink"/>
              </w:rPr>
              <w:t>349</w:t>
            </w:r>
          </w:hyperlink>
        </w:p>
        <w:p>
          <w:pPr>
            <w:pStyle w:val="Contents5"/>
            <w:tabs>
              <w:tab w:val="clear" w:pos="7892"/>
              <w:tab w:val="right" w:pos="9026" w:leader="dot"/>
            </w:tabs>
            <w:rPr/>
          </w:pPr>
          <w:hyperlink w:anchor="__RefHeading___Toc285460_1280447820">
            <w:r>
              <w:rPr>
                <w:webHidden/>
                <w:rStyle w:val="IndexLink"/>
                <w:rtl w:val="true"/>
              </w:rPr>
              <w:t>منها</w:t>
            </w:r>
            <w:r>
              <w:rPr>
                <w:rStyle w:val="IndexLink"/>
                <w:rtl w:val="true"/>
              </w:rPr>
              <w:t xml:space="preserve">: </w:t>
            </w:r>
            <w:r>
              <w:rPr>
                <w:rStyle w:val="IndexLink"/>
                <w:rtl w:val="true"/>
              </w:rPr>
              <w:t>ما اُمر فيه بترك الحلق</w:t>
            </w:r>
            <w:r>
              <w:rPr>
                <w:rStyle w:val="IndexLink"/>
                <w:rtl w:val="true"/>
              </w:rPr>
              <w:tab/>
            </w:r>
            <w:r>
              <w:rPr>
                <w:rStyle w:val="IndexLink"/>
              </w:rPr>
              <w:t>351</w:t>
            </w:r>
          </w:hyperlink>
        </w:p>
        <w:p>
          <w:pPr>
            <w:pStyle w:val="Contents5"/>
            <w:tabs>
              <w:tab w:val="clear" w:pos="7892"/>
              <w:tab w:val="right" w:pos="9026" w:leader="dot"/>
            </w:tabs>
            <w:rPr/>
          </w:pPr>
          <w:hyperlink w:anchor="__RefHeading___Toc285462_1280447820">
            <w:r>
              <w:rPr>
                <w:webHidden/>
                <w:rStyle w:val="IndexLink"/>
                <w:rtl w:val="true"/>
              </w:rPr>
              <w:t>و منها</w:t>
            </w:r>
            <w:r>
              <w:rPr>
                <w:rStyle w:val="IndexLink"/>
                <w:rtl w:val="true"/>
              </w:rPr>
              <w:t xml:space="preserve">: </w:t>
            </w:r>
            <w:r>
              <w:rPr>
                <w:rStyle w:val="IndexLink"/>
                <w:rtl w:val="true"/>
              </w:rPr>
              <w:t>مادلّ على أنّ الحلق من أعمال قوم لوط</w:t>
            </w:r>
            <w:r>
              <w:rPr>
                <w:rStyle w:val="IndexLink"/>
                <w:rtl w:val="true"/>
              </w:rPr>
              <w:tab/>
            </w:r>
            <w:r>
              <w:rPr>
                <w:rStyle w:val="IndexLink"/>
              </w:rPr>
              <w:t>352</w:t>
            </w:r>
          </w:hyperlink>
        </w:p>
        <w:p>
          <w:pPr>
            <w:pStyle w:val="Contents4"/>
            <w:tabs>
              <w:tab w:val="clear" w:pos="8176"/>
              <w:tab w:val="right" w:pos="9026" w:leader="dot"/>
            </w:tabs>
            <w:rPr/>
          </w:pPr>
          <w:hyperlink w:anchor="__RefHeading___Toc285464_1280447820">
            <w:r>
              <w:rPr>
                <w:webHidden/>
                <w:rStyle w:val="IndexLink"/>
                <w:rtl w:val="true"/>
              </w:rPr>
              <w:t>الثالث</w:t>
            </w:r>
            <w:r>
              <w:rPr>
                <w:rStyle w:val="IndexLink"/>
                <w:rtl w:val="true"/>
              </w:rPr>
              <w:t xml:space="preserve">: </w:t>
            </w:r>
            <w:r>
              <w:rPr>
                <w:rStyle w:val="IndexLink"/>
                <w:rtl w:val="true"/>
              </w:rPr>
              <w:t>السيرة القطعية من المتشرّعة</w:t>
            </w:r>
            <w:r>
              <w:rPr>
                <w:rStyle w:val="IndexLink"/>
                <w:rtl w:val="true"/>
              </w:rPr>
              <w:tab/>
            </w:r>
            <w:r>
              <w:rPr>
                <w:rStyle w:val="IndexLink"/>
              </w:rPr>
              <w:t>355</w:t>
            </w:r>
          </w:hyperlink>
        </w:p>
        <w:p>
          <w:pPr>
            <w:pStyle w:val="Contents3"/>
            <w:tabs>
              <w:tab w:val="clear" w:pos="8459"/>
              <w:tab w:val="right" w:pos="9026" w:leader="dot"/>
            </w:tabs>
            <w:rPr/>
          </w:pPr>
          <w:hyperlink w:anchor="__RefHeading___Toc285466_1280447820">
            <w:r>
              <w:rPr>
                <w:webHidden/>
                <w:rStyle w:val="IndexLink"/>
                <w:rtl w:val="true"/>
              </w:rPr>
              <w:t>الجهة الثالثة</w:t>
            </w:r>
            <w:r>
              <w:rPr>
                <w:rStyle w:val="IndexLink"/>
                <w:rtl w:val="true"/>
              </w:rPr>
              <w:t xml:space="preserve">: </w:t>
            </w:r>
            <w:r>
              <w:rPr>
                <w:rStyle w:val="IndexLink"/>
                <w:rtl w:val="true"/>
              </w:rPr>
              <w:t>في موضوع الحرمة</w:t>
            </w:r>
            <w:r>
              <w:rPr>
                <w:rStyle w:val="IndexLink"/>
                <w:rtl w:val="true"/>
              </w:rPr>
              <w:tab/>
            </w:r>
            <w:r>
              <w:rPr>
                <w:rStyle w:val="IndexLink"/>
              </w:rPr>
              <w:t>357</w:t>
            </w:r>
          </w:hyperlink>
        </w:p>
        <w:p>
          <w:pPr>
            <w:pStyle w:val="Contents3"/>
            <w:tabs>
              <w:tab w:val="clear" w:pos="8459"/>
              <w:tab w:val="right" w:pos="9026" w:leader="dot"/>
            </w:tabs>
            <w:rPr/>
          </w:pPr>
          <w:hyperlink w:anchor="__RefHeading___Toc285468_1280447820">
            <w:r>
              <w:rPr>
                <w:webHidden/>
                <w:rStyle w:val="IndexLink"/>
                <w:rtl w:val="true"/>
              </w:rPr>
              <w:t>الجهة الرابعة</w:t>
            </w:r>
            <w:r>
              <w:rPr>
                <w:rStyle w:val="IndexLink"/>
                <w:rtl w:val="true"/>
              </w:rPr>
              <w:t xml:space="preserve">: </w:t>
            </w:r>
            <w:r>
              <w:rPr>
                <w:rStyle w:val="IndexLink"/>
                <w:rtl w:val="true"/>
              </w:rPr>
              <w:t>في مقدار اللحية</w:t>
            </w:r>
            <w:r>
              <w:rPr>
                <w:rStyle w:val="IndexLink"/>
                <w:rtl w:val="true"/>
              </w:rPr>
              <w:tab/>
            </w:r>
            <w:r>
              <w:rPr>
                <w:rStyle w:val="IndexLink"/>
              </w:rPr>
              <w:t>358</w:t>
            </w:r>
          </w:hyperlink>
        </w:p>
        <w:p>
          <w:pPr>
            <w:pStyle w:val="Contents3"/>
            <w:tabs>
              <w:tab w:val="clear" w:pos="8459"/>
              <w:tab w:val="right" w:pos="9026" w:leader="dot"/>
            </w:tabs>
            <w:rPr/>
          </w:pPr>
          <w:hyperlink w:anchor="__RefHeading___Toc285470_1280447820">
            <w:r>
              <w:rPr>
                <w:webHidden/>
                <w:rStyle w:val="IndexLink"/>
                <w:rtl w:val="true"/>
              </w:rPr>
              <w:t>الجهة الخامسة</w:t>
            </w:r>
            <w:r>
              <w:rPr>
                <w:rStyle w:val="IndexLink"/>
                <w:rtl w:val="true"/>
              </w:rPr>
              <w:t xml:space="preserve">: </w:t>
            </w:r>
            <w:r>
              <w:rPr>
                <w:rStyle w:val="IndexLink"/>
                <w:rtl w:val="true"/>
              </w:rPr>
              <w:t>في حكم أخذ الشوارب</w:t>
            </w:r>
            <w:r>
              <w:rPr>
                <w:rStyle w:val="IndexLink"/>
                <w:rtl w:val="true"/>
              </w:rPr>
              <w:tab/>
            </w:r>
            <w:r>
              <w:rPr>
                <w:rStyle w:val="IndexLink"/>
              </w:rPr>
              <w:t>359</w:t>
            </w:r>
          </w:hyperlink>
        </w:p>
        <w:p>
          <w:pPr>
            <w:pStyle w:val="Contents3"/>
            <w:tabs>
              <w:tab w:val="clear" w:pos="8459"/>
              <w:tab w:val="right" w:pos="9026" w:leader="dot"/>
            </w:tabs>
            <w:rPr/>
          </w:pPr>
          <w:hyperlink w:anchor="__RefHeading___Toc285472_1280447820">
            <w:r>
              <w:rPr>
                <w:webHidden/>
                <w:rStyle w:val="IndexLink"/>
                <w:rtl w:val="true"/>
              </w:rPr>
              <w:t>الجهة السادسة</w:t>
            </w:r>
            <w:r>
              <w:rPr>
                <w:rStyle w:val="IndexLink"/>
                <w:rtl w:val="true"/>
              </w:rPr>
              <w:t xml:space="preserve">: </w:t>
            </w:r>
            <w:r>
              <w:rPr>
                <w:rStyle w:val="IndexLink"/>
                <w:rtl w:val="true"/>
              </w:rPr>
              <w:t>في حلق الرأس، يدل على استحبابه روايات يستثنى من استحباب حلق الرأس موارد</w:t>
            </w:r>
            <w:r>
              <w:rPr>
                <w:rStyle w:val="IndexLink"/>
                <w:rtl w:val="true"/>
              </w:rPr>
              <w:tab/>
            </w:r>
            <w:r>
              <w:rPr>
                <w:rStyle w:val="IndexLink"/>
              </w:rPr>
              <w:t>363</w:t>
            </w:r>
          </w:hyperlink>
        </w:p>
        <w:p>
          <w:pPr>
            <w:pStyle w:val="Contents2"/>
            <w:tabs>
              <w:tab w:val="clear" w:pos="8743"/>
              <w:tab w:val="right" w:pos="9026" w:leader="dot"/>
            </w:tabs>
            <w:rPr/>
          </w:pPr>
          <w:hyperlink w:anchor="__RefHeading___Toc285474_1280447820">
            <w:r>
              <w:rPr>
                <w:webHidden/>
                <w:rStyle w:val="IndexLink"/>
                <w:rtl w:val="true"/>
              </w:rPr>
              <w:t>المسألة الاحدى و العشرين في خلق المشابه أو الاستنساخ</w:t>
            </w:r>
            <w:r>
              <w:rPr>
                <w:rStyle w:val="IndexLink"/>
                <w:rtl w:val="true"/>
              </w:rPr>
              <w:tab/>
            </w:r>
            <w:r>
              <w:rPr>
                <w:rStyle w:val="IndexLink"/>
              </w:rPr>
              <w:t>372</w:t>
            </w:r>
          </w:hyperlink>
        </w:p>
        <w:p>
          <w:pPr>
            <w:pStyle w:val="Contents3"/>
            <w:tabs>
              <w:tab w:val="clear" w:pos="8459"/>
              <w:tab w:val="right" w:pos="9026" w:leader="dot"/>
            </w:tabs>
            <w:rPr/>
          </w:pPr>
          <w:hyperlink w:anchor="__RefHeading___Toc285476_12804478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285478_1280447820">
            <w:r>
              <w:rPr>
                <w:webHidden/>
                <w:rStyle w:val="IndexLink"/>
                <w:rtl w:val="true"/>
              </w:rPr>
              <w:t>الأمر الأوّل</w:t>
            </w:r>
            <w:r>
              <w:rPr>
                <w:rStyle w:val="IndexLink"/>
                <w:rtl w:val="true"/>
              </w:rPr>
              <w:t xml:space="preserve">: </w:t>
            </w:r>
            <w:r>
              <w:rPr>
                <w:rStyle w:val="IndexLink"/>
                <w:rtl w:val="true"/>
              </w:rPr>
              <w:t>أنّ خلق المشابه و التكاثر على انواع</w:t>
            </w:r>
            <w:r>
              <w:rPr>
                <w:rStyle w:val="IndexLink"/>
                <w:rtl w:val="true"/>
              </w:rPr>
              <w:tab/>
            </w:r>
            <w:r>
              <w:rPr>
                <w:rStyle w:val="IndexLink"/>
              </w:rPr>
              <w:t>372</w:t>
            </w:r>
          </w:hyperlink>
        </w:p>
        <w:p>
          <w:pPr>
            <w:pStyle w:val="Contents3"/>
            <w:tabs>
              <w:tab w:val="clear" w:pos="8459"/>
              <w:tab w:val="right" w:pos="9026" w:leader="dot"/>
            </w:tabs>
            <w:rPr/>
          </w:pPr>
          <w:hyperlink w:anchor="__RefHeading___Toc285480_1280447820">
            <w:r>
              <w:rPr>
                <w:webHidden/>
                <w:rStyle w:val="IndexLink"/>
                <w:rtl w:val="true"/>
              </w:rPr>
              <w:t>الأمر الثاني</w:t>
            </w:r>
            <w:r>
              <w:rPr>
                <w:rStyle w:val="IndexLink"/>
                <w:rtl w:val="true"/>
              </w:rPr>
              <w:t xml:space="preserve">: </w:t>
            </w:r>
            <w:r>
              <w:rPr>
                <w:rStyle w:val="IndexLink"/>
                <w:rtl w:val="true"/>
              </w:rPr>
              <w:t>جواز خلق المشابه و الاستنساخ في نفسه بانواعه المذكورة و عدم جوازه</w:t>
            </w:r>
            <w:r>
              <w:rPr>
                <w:rStyle w:val="IndexLink"/>
                <w:rtl w:val="true"/>
              </w:rPr>
              <w:tab/>
            </w:r>
            <w:r>
              <w:rPr>
                <w:rStyle w:val="IndexLink"/>
              </w:rPr>
              <w:t>374</w:t>
            </w:r>
          </w:hyperlink>
        </w:p>
        <w:p>
          <w:pPr>
            <w:pStyle w:val="Contents3"/>
            <w:tabs>
              <w:tab w:val="clear" w:pos="8459"/>
              <w:tab w:val="right" w:pos="9026" w:leader="dot"/>
            </w:tabs>
            <w:rPr/>
          </w:pPr>
          <w:hyperlink w:anchor="__RefHeading___Toc285482_1280447820">
            <w:r>
              <w:rPr>
                <w:webHidden/>
                <w:rStyle w:val="IndexLink"/>
                <w:rtl w:val="true"/>
              </w:rPr>
              <w:t>الأمر الثالث</w:t>
            </w:r>
            <w:r>
              <w:rPr>
                <w:rStyle w:val="IndexLink"/>
                <w:rtl w:val="true"/>
              </w:rPr>
              <w:t xml:space="preserve">: </w:t>
            </w:r>
            <w:r>
              <w:rPr>
                <w:rStyle w:val="IndexLink"/>
                <w:rtl w:val="true"/>
              </w:rPr>
              <w:t>في الأحكام المترتبة على الاستنساخ العضوى</w:t>
            </w:r>
            <w:r>
              <w:rPr>
                <w:rStyle w:val="IndexLink"/>
                <w:rtl w:val="true"/>
              </w:rPr>
              <w:tab/>
            </w:r>
            <w:r>
              <w:rPr>
                <w:rStyle w:val="IndexLink"/>
              </w:rPr>
              <w:t>388</w:t>
            </w:r>
          </w:hyperlink>
        </w:p>
        <w:p>
          <w:pPr>
            <w:pStyle w:val="Contents4"/>
            <w:tabs>
              <w:tab w:val="clear" w:pos="8176"/>
              <w:tab w:val="right" w:pos="9026" w:leader="dot"/>
            </w:tabs>
            <w:rPr/>
          </w:pPr>
          <w:hyperlink w:anchor="__RefHeading___Toc285484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285486_1280447820">
            <w:r>
              <w:rPr>
                <w:webHidden/>
                <w:rStyle w:val="IndexLink"/>
                <w:rtl w:val="true"/>
              </w:rPr>
              <w:t>المسألة الأولى</w:t>
            </w:r>
            <w:r>
              <w:rPr>
                <w:rStyle w:val="IndexLink"/>
                <w:rtl w:val="true"/>
              </w:rPr>
              <w:t xml:space="preserve">: </w:t>
            </w:r>
            <w:r>
              <w:rPr>
                <w:rStyle w:val="IndexLink"/>
                <w:rtl w:val="true"/>
              </w:rPr>
              <w:t>لااشكال في أنّ الأجزاء المبانة من الانسان الحىّ محكومة بحكم الحىّ‌</w:t>
            </w:r>
            <w:r>
              <w:rPr>
                <w:rStyle w:val="IndexLink"/>
                <w:rtl w:val="true"/>
              </w:rPr>
              <w:tab/>
            </w:r>
            <w:r>
              <w:rPr>
                <w:rStyle w:val="IndexLink"/>
              </w:rPr>
              <w:t>389</w:t>
            </w:r>
          </w:hyperlink>
        </w:p>
        <w:p>
          <w:pPr>
            <w:pStyle w:val="Contents4"/>
            <w:tabs>
              <w:tab w:val="clear" w:pos="8176"/>
              <w:tab w:val="right" w:pos="9026" w:leader="dot"/>
            </w:tabs>
            <w:rPr/>
          </w:pPr>
          <w:hyperlink w:anchor="__RefHeading___Toc285488_1280447820">
            <w:r>
              <w:rPr>
                <w:webHidden/>
                <w:rStyle w:val="IndexLink"/>
                <w:rtl w:val="true"/>
              </w:rPr>
              <w:t>المسألة الثانية</w:t>
            </w:r>
            <w:r>
              <w:rPr>
                <w:rStyle w:val="IndexLink"/>
                <w:rtl w:val="true"/>
              </w:rPr>
              <w:t xml:space="preserve">: </w:t>
            </w:r>
            <w:r>
              <w:rPr>
                <w:rStyle w:val="IndexLink"/>
                <w:rtl w:val="true"/>
              </w:rPr>
              <w:t>انّ الخلية المأخوذة من الجسد اذا نمت و كبرت هل يترتب عليها احكام اعضاء صاحبها</w:t>
            </w:r>
            <w:r>
              <w:rPr>
                <w:rStyle w:val="IndexLink"/>
                <w:rtl w:val="true"/>
              </w:rPr>
              <w:tab/>
            </w:r>
            <w:r>
              <w:rPr>
                <w:rStyle w:val="IndexLink"/>
              </w:rPr>
              <w:t>391</w:t>
            </w:r>
          </w:hyperlink>
        </w:p>
        <w:p>
          <w:pPr>
            <w:pStyle w:val="Contents4"/>
            <w:tabs>
              <w:tab w:val="clear" w:pos="8176"/>
              <w:tab w:val="right" w:pos="9026" w:leader="dot"/>
            </w:tabs>
            <w:rPr/>
          </w:pPr>
          <w:hyperlink w:anchor="__RefHeading___Toc285490_1280447820">
            <w:r>
              <w:rPr>
                <w:webHidden/>
                <w:rStyle w:val="IndexLink"/>
                <w:rtl w:val="true"/>
              </w:rPr>
              <w:t>المسألة الثالثة</w:t>
            </w:r>
            <w:r>
              <w:rPr>
                <w:rStyle w:val="IndexLink"/>
                <w:rtl w:val="true"/>
              </w:rPr>
              <w:t xml:space="preserve">: </w:t>
            </w:r>
            <w:r>
              <w:rPr>
                <w:rStyle w:val="IndexLink"/>
                <w:rtl w:val="true"/>
              </w:rPr>
              <w:t>اخراج خلية من جسد الغير لايجوز بدون اذن صاحبها</w:t>
            </w:r>
            <w:r>
              <w:rPr>
                <w:rStyle w:val="IndexLink"/>
                <w:rtl w:val="true"/>
              </w:rPr>
              <w:tab/>
            </w:r>
            <w:r>
              <w:rPr>
                <w:rStyle w:val="IndexLink"/>
              </w:rPr>
              <w:t>391</w:t>
            </w:r>
          </w:hyperlink>
        </w:p>
        <w:p>
          <w:pPr>
            <w:pStyle w:val="Contents4"/>
            <w:tabs>
              <w:tab w:val="clear" w:pos="8176"/>
              <w:tab w:val="right" w:pos="9026" w:leader="dot"/>
            </w:tabs>
            <w:rPr/>
          </w:pPr>
          <w:hyperlink w:anchor="__RefHeading___Toc285492_1280447820">
            <w:r>
              <w:rPr>
                <w:webHidden/>
                <w:rStyle w:val="IndexLink"/>
                <w:rtl w:val="true"/>
              </w:rPr>
              <w:t>المسألة الرابعة</w:t>
            </w:r>
            <w:r>
              <w:rPr>
                <w:rStyle w:val="IndexLink"/>
                <w:rtl w:val="true"/>
              </w:rPr>
              <w:t xml:space="preserve">: </w:t>
            </w:r>
            <w:r>
              <w:rPr>
                <w:rStyle w:val="IndexLink"/>
                <w:rtl w:val="true"/>
              </w:rPr>
              <w:t>اذا قلنا بجواز النظر إلى الأعضاء المتجددّة و لمسها كان ذلك باقيا ما لم تصر اجزاء لبدن اللإنسان الاخر</w:t>
            </w:r>
            <w:r>
              <w:rPr>
                <w:rStyle w:val="IndexLink"/>
                <w:rtl w:val="true"/>
              </w:rPr>
              <w:tab/>
            </w:r>
            <w:r>
              <w:rPr>
                <w:rStyle w:val="IndexLink"/>
              </w:rPr>
              <w:t>392</w:t>
            </w:r>
          </w:hyperlink>
        </w:p>
        <w:p>
          <w:pPr>
            <w:pStyle w:val="Contents4"/>
            <w:tabs>
              <w:tab w:val="clear" w:pos="8176"/>
              <w:tab w:val="right" w:pos="9026" w:leader="dot"/>
            </w:tabs>
            <w:rPr/>
          </w:pPr>
          <w:hyperlink w:anchor="__RefHeading___Toc285494_1280447820">
            <w:r>
              <w:rPr>
                <w:webHidden/>
                <w:rStyle w:val="IndexLink"/>
                <w:rtl w:val="true"/>
              </w:rPr>
              <w:t>المسألة الخامسة</w:t>
            </w:r>
            <w:r>
              <w:rPr>
                <w:rStyle w:val="IndexLink"/>
                <w:rtl w:val="true"/>
              </w:rPr>
              <w:t xml:space="preserve">: </w:t>
            </w:r>
            <w:r>
              <w:rPr>
                <w:rStyle w:val="IndexLink"/>
                <w:rtl w:val="true"/>
              </w:rPr>
              <w:t>انّ الظاهر من الاخبار أنّ الأجزاء المبانة من الحي محكومة بحكم الميته</w:t>
            </w:r>
            <w:r>
              <w:rPr>
                <w:rStyle w:val="IndexLink"/>
                <w:rtl w:val="true"/>
              </w:rPr>
              <w:tab/>
            </w:r>
            <w:r>
              <w:rPr>
                <w:rStyle w:val="IndexLink"/>
              </w:rPr>
              <w:t>392</w:t>
            </w:r>
          </w:hyperlink>
        </w:p>
        <w:p>
          <w:pPr>
            <w:pStyle w:val="Contents4"/>
            <w:tabs>
              <w:tab w:val="clear" w:pos="8176"/>
              <w:tab w:val="right" w:pos="9026" w:leader="dot"/>
            </w:tabs>
            <w:rPr/>
          </w:pPr>
          <w:hyperlink w:anchor="__RefHeading___Toc285496_1280447820">
            <w:r>
              <w:rPr>
                <w:webHidden/>
                <w:rStyle w:val="IndexLink"/>
                <w:rtl w:val="true"/>
              </w:rPr>
              <w:t>المسألة السادسة</w:t>
            </w:r>
            <w:r>
              <w:rPr>
                <w:rStyle w:val="IndexLink"/>
                <w:rtl w:val="true"/>
              </w:rPr>
              <w:t xml:space="preserve">: </w:t>
            </w:r>
            <w:r>
              <w:rPr>
                <w:rStyle w:val="IndexLink"/>
                <w:rtl w:val="true"/>
              </w:rPr>
              <w:t>لا مانع من أخذ العوض في مقابل رفع اليد عن الخلية</w:t>
            </w:r>
            <w:r>
              <w:rPr>
                <w:rStyle w:val="IndexLink"/>
                <w:rtl w:val="true"/>
              </w:rPr>
              <w:tab/>
            </w:r>
            <w:r>
              <w:rPr>
                <w:rStyle w:val="IndexLink"/>
              </w:rPr>
              <w:t>394</w:t>
            </w:r>
          </w:hyperlink>
        </w:p>
        <w:p>
          <w:pPr>
            <w:pStyle w:val="Contents3"/>
            <w:tabs>
              <w:tab w:val="clear" w:pos="8459"/>
              <w:tab w:val="right" w:pos="9026" w:leader="dot"/>
            </w:tabs>
            <w:rPr/>
          </w:pPr>
          <w:hyperlink w:anchor="__RefHeading___Toc285498_1280447820">
            <w:r>
              <w:rPr>
                <w:webHidden/>
                <w:rStyle w:val="IndexLink"/>
                <w:rtl w:val="true"/>
              </w:rPr>
              <w:t>الأمر الرابع</w:t>
            </w:r>
            <w:r>
              <w:rPr>
                <w:rStyle w:val="IndexLink"/>
                <w:rtl w:val="true"/>
              </w:rPr>
              <w:t xml:space="preserve">: </w:t>
            </w:r>
            <w:r>
              <w:rPr>
                <w:rStyle w:val="IndexLink"/>
                <w:rtl w:val="true"/>
              </w:rPr>
              <w:t>في احكام التكاثر الاستتئامى</w:t>
            </w:r>
            <w:r>
              <w:rPr>
                <w:rStyle w:val="IndexLink"/>
                <w:rtl w:val="true"/>
              </w:rPr>
              <w:tab/>
            </w:r>
            <w:r>
              <w:rPr>
                <w:rStyle w:val="IndexLink"/>
              </w:rPr>
              <w:t>395</w:t>
            </w:r>
          </w:hyperlink>
        </w:p>
        <w:p>
          <w:pPr>
            <w:pStyle w:val="Contents4"/>
            <w:tabs>
              <w:tab w:val="clear" w:pos="8176"/>
              <w:tab w:val="right" w:pos="9026" w:leader="dot"/>
            </w:tabs>
            <w:rPr/>
          </w:pPr>
          <w:hyperlink w:anchor="__RefHeading___Toc285500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285502_1280447820">
            <w:r>
              <w:rPr>
                <w:webHidden/>
                <w:rStyle w:val="IndexLink"/>
                <w:rtl w:val="true"/>
              </w:rPr>
              <w:t>المسألة الأولى</w:t>
            </w:r>
            <w:r>
              <w:rPr>
                <w:rStyle w:val="IndexLink"/>
                <w:rtl w:val="true"/>
              </w:rPr>
              <w:t xml:space="preserve">: </w:t>
            </w:r>
            <w:r>
              <w:rPr>
                <w:rStyle w:val="IndexLink"/>
                <w:rtl w:val="true"/>
              </w:rPr>
              <w:t>الخلايا المخرجة من رحم الزوجة و اعادتها بعد موت زوجها هل تكون محكومة بحكم الحمل</w:t>
            </w:r>
            <w:r>
              <w:rPr>
                <w:rStyle w:val="IndexLink"/>
                <w:rtl w:val="true"/>
              </w:rPr>
              <w:tab/>
            </w:r>
            <w:r>
              <w:rPr>
                <w:rStyle w:val="IndexLink"/>
              </w:rPr>
              <w:t>396</w:t>
            </w:r>
          </w:hyperlink>
        </w:p>
        <w:p>
          <w:pPr>
            <w:pStyle w:val="Contents4"/>
            <w:tabs>
              <w:tab w:val="clear" w:pos="8176"/>
              <w:tab w:val="right" w:pos="9026" w:leader="dot"/>
            </w:tabs>
            <w:rPr/>
          </w:pPr>
          <w:hyperlink w:anchor="__RefHeading___Toc285504_1280447820">
            <w:r>
              <w:rPr>
                <w:webHidden/>
                <w:rStyle w:val="IndexLink"/>
                <w:rtl w:val="true"/>
              </w:rPr>
              <w:t>المسألة الثانية</w:t>
            </w:r>
            <w:r>
              <w:rPr>
                <w:rStyle w:val="IndexLink"/>
                <w:rtl w:val="true"/>
              </w:rPr>
              <w:t xml:space="preserve">: </w:t>
            </w:r>
            <w:r>
              <w:rPr>
                <w:rStyle w:val="IndexLink"/>
                <w:rtl w:val="true"/>
              </w:rPr>
              <w:t>هل يجوز القاء الخلية المخرجة من رحم الزوجة في رحمها بعد موت زوجها</w:t>
            </w:r>
            <w:r>
              <w:rPr>
                <w:rStyle w:val="IndexLink"/>
                <w:rtl w:val="true"/>
              </w:rPr>
              <w:tab/>
            </w:r>
            <w:r>
              <w:rPr>
                <w:rStyle w:val="IndexLink"/>
              </w:rPr>
              <w:t>398</w:t>
            </w:r>
          </w:hyperlink>
        </w:p>
        <w:p>
          <w:pPr>
            <w:pStyle w:val="Contents4"/>
            <w:tabs>
              <w:tab w:val="clear" w:pos="8176"/>
              <w:tab w:val="right" w:pos="9026" w:leader="dot"/>
            </w:tabs>
            <w:rPr/>
          </w:pPr>
          <w:hyperlink w:anchor="__RefHeading___Toc285506_1280447820">
            <w:r>
              <w:rPr>
                <w:webHidden/>
                <w:rStyle w:val="IndexLink"/>
                <w:rtl w:val="true"/>
              </w:rPr>
              <w:t>المسألة الثالثة</w:t>
            </w:r>
            <w:r>
              <w:rPr>
                <w:rStyle w:val="IndexLink"/>
                <w:rtl w:val="true"/>
              </w:rPr>
              <w:t xml:space="preserve">: </w:t>
            </w:r>
            <w:r>
              <w:rPr>
                <w:rStyle w:val="IndexLink"/>
                <w:rtl w:val="true"/>
              </w:rPr>
              <w:t>هل يحوز وضع الجنسيّة بعد اللقاح و اخراجها من رحم الزوجة فى رحم الاجنبية</w:t>
            </w:r>
            <w:r>
              <w:rPr>
                <w:rStyle w:val="IndexLink"/>
                <w:rtl w:val="true"/>
              </w:rPr>
              <w:tab/>
            </w:r>
            <w:r>
              <w:rPr>
                <w:rStyle w:val="IndexLink"/>
              </w:rPr>
              <w:t>405</w:t>
            </w:r>
          </w:hyperlink>
        </w:p>
        <w:p>
          <w:pPr>
            <w:pStyle w:val="Contents4"/>
            <w:tabs>
              <w:tab w:val="clear" w:pos="8176"/>
              <w:tab w:val="right" w:pos="9026" w:leader="dot"/>
            </w:tabs>
            <w:rPr/>
          </w:pPr>
          <w:hyperlink w:anchor="__RefHeading___Toc285508_1280447820">
            <w:r>
              <w:rPr>
                <w:webHidden/>
                <w:rStyle w:val="IndexLink"/>
                <w:rtl w:val="true"/>
              </w:rPr>
              <w:t>المسألة الرابعة</w:t>
            </w:r>
            <w:r>
              <w:rPr>
                <w:rStyle w:val="IndexLink"/>
                <w:rtl w:val="true"/>
              </w:rPr>
              <w:t xml:space="preserve">: </w:t>
            </w:r>
            <w:r>
              <w:rPr>
                <w:rStyle w:val="IndexLink"/>
                <w:rtl w:val="true"/>
              </w:rPr>
              <w:t>إذا وضعت الخلية الجنسيّة بعد اللقاح و انفصالها عن سائر الخلايا في رحم امرأة اخرى من دون دخالة لها و لزوجها</w:t>
            </w:r>
            <w:r>
              <w:rPr>
                <w:rStyle w:val="IndexLink"/>
                <w:rtl w:val="true"/>
              </w:rPr>
              <w:tab/>
            </w:r>
            <w:r>
              <w:rPr>
                <w:rStyle w:val="IndexLink"/>
              </w:rPr>
              <w:t>407</w:t>
            </w:r>
          </w:hyperlink>
        </w:p>
        <w:p>
          <w:pPr>
            <w:pStyle w:val="Contents4"/>
            <w:tabs>
              <w:tab w:val="clear" w:pos="8176"/>
              <w:tab w:val="right" w:pos="9026" w:leader="dot"/>
            </w:tabs>
            <w:rPr/>
          </w:pPr>
          <w:hyperlink w:anchor="__RefHeading___Toc285510_1280447820">
            <w:r>
              <w:rPr>
                <w:webHidden/>
                <w:rStyle w:val="IndexLink"/>
                <w:rtl w:val="true"/>
              </w:rPr>
              <w:t>المسألة الخامسة</w:t>
            </w:r>
            <w:r>
              <w:rPr>
                <w:rStyle w:val="IndexLink"/>
                <w:rtl w:val="true"/>
              </w:rPr>
              <w:t xml:space="preserve">: </w:t>
            </w:r>
            <w:r>
              <w:rPr>
                <w:rStyle w:val="IndexLink"/>
                <w:rtl w:val="true"/>
              </w:rPr>
              <w:t>هل يجوز وضع الخلية في رحم الاجنبية من غير طريق الفرج</w:t>
            </w:r>
            <w:r>
              <w:rPr>
                <w:rStyle w:val="IndexLink"/>
                <w:rtl w:val="true"/>
              </w:rPr>
              <w:tab/>
            </w:r>
            <w:r>
              <w:rPr>
                <w:rStyle w:val="IndexLink"/>
              </w:rPr>
              <w:t>410</w:t>
            </w:r>
          </w:hyperlink>
        </w:p>
        <w:p>
          <w:pPr>
            <w:pStyle w:val="Contents4"/>
            <w:tabs>
              <w:tab w:val="clear" w:pos="8176"/>
              <w:tab w:val="right" w:pos="9026" w:leader="dot"/>
            </w:tabs>
            <w:rPr/>
          </w:pPr>
          <w:hyperlink w:anchor="__RefHeading___Toc285512_1280447820">
            <w:r>
              <w:rPr>
                <w:webHidden/>
                <w:rStyle w:val="IndexLink"/>
                <w:rtl w:val="true"/>
              </w:rPr>
              <w:t>المسألة السادسة</w:t>
            </w:r>
            <w:r>
              <w:rPr>
                <w:rStyle w:val="IndexLink"/>
                <w:rtl w:val="true"/>
              </w:rPr>
              <w:t xml:space="preserve">: </w:t>
            </w:r>
            <w:r>
              <w:rPr>
                <w:rStyle w:val="IndexLink"/>
                <w:rtl w:val="true"/>
              </w:rPr>
              <w:t>هل يجوز استيجار رحم المرأة أو لايجوز</w:t>
            </w:r>
            <w:r>
              <w:rPr>
                <w:rStyle w:val="IndexLink"/>
                <w:rtl w:val="true"/>
              </w:rPr>
              <w:tab/>
            </w:r>
            <w:r>
              <w:rPr>
                <w:rStyle w:val="IndexLink"/>
              </w:rPr>
              <w:t>412</w:t>
            </w:r>
          </w:hyperlink>
        </w:p>
        <w:p>
          <w:pPr>
            <w:pStyle w:val="Contents3"/>
            <w:tabs>
              <w:tab w:val="clear" w:pos="8459"/>
              <w:tab w:val="right" w:pos="9026" w:leader="dot"/>
            </w:tabs>
            <w:rPr/>
          </w:pPr>
          <w:hyperlink w:anchor="__RefHeading___Toc285514_1280447820">
            <w:r>
              <w:rPr>
                <w:webHidden/>
                <w:rStyle w:val="IndexLink"/>
                <w:rtl w:val="true"/>
              </w:rPr>
              <w:t>الأمر الخامس</w:t>
            </w:r>
            <w:r>
              <w:rPr>
                <w:rStyle w:val="IndexLink"/>
                <w:rtl w:val="true"/>
              </w:rPr>
              <w:t xml:space="preserve">: </w:t>
            </w:r>
            <w:r>
              <w:rPr>
                <w:rStyle w:val="IndexLink"/>
                <w:rtl w:val="true"/>
              </w:rPr>
              <w:t>في أحكام الاستنساخ البشري و هو على أقسام</w:t>
            </w:r>
            <w:r>
              <w:rPr>
                <w:rStyle w:val="IndexLink"/>
                <w:rtl w:val="true"/>
              </w:rPr>
              <w:t>:</w:t>
              <w:tab/>
            </w:r>
            <w:r>
              <w:rPr>
                <w:rStyle w:val="IndexLink"/>
              </w:rPr>
              <w:t>412</w:t>
            </w:r>
          </w:hyperlink>
        </w:p>
        <w:p>
          <w:pPr>
            <w:pStyle w:val="Contents4"/>
            <w:tabs>
              <w:tab w:val="clear" w:pos="8176"/>
              <w:tab w:val="right" w:pos="9026" w:leader="dot"/>
            </w:tabs>
            <w:rPr/>
          </w:pPr>
          <w:hyperlink w:anchor="__RefHeading___Toc285516_1280447820">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85518_1280447820">
            <w:r>
              <w:rPr>
                <w:webHidden/>
                <w:rStyle w:val="IndexLink"/>
                <w:rtl w:val="true"/>
              </w:rPr>
              <w:t>هنا مسائل</w:t>
            </w:r>
            <w:r>
              <w:rPr>
                <w:rStyle w:val="IndexLink"/>
                <w:rtl w:val="true"/>
              </w:rPr>
              <w:t>:</w:t>
              <w:tab/>
            </w:r>
            <w:r>
              <w:rPr>
                <w:rStyle w:val="IndexLink"/>
              </w:rPr>
              <w:t>415</w:t>
            </w:r>
          </w:hyperlink>
        </w:p>
        <w:p>
          <w:pPr>
            <w:pStyle w:val="Contents5"/>
            <w:tabs>
              <w:tab w:val="clear" w:pos="7892"/>
              <w:tab w:val="right" w:pos="9026" w:leader="dot"/>
            </w:tabs>
            <w:rPr/>
          </w:pPr>
          <w:hyperlink w:anchor="__RefHeading___Toc285520_1280447820">
            <w:r>
              <w:rPr>
                <w:webHidden/>
                <w:rStyle w:val="IndexLink"/>
                <w:rtl w:val="true"/>
              </w:rPr>
              <w:t xml:space="preserve">مسألة </w:t>
            </w:r>
            <w:r>
              <w:rPr>
                <w:rStyle w:val="IndexLink"/>
              </w:rPr>
              <w:t>1</w:t>
            </w:r>
            <w:r>
              <w:rPr>
                <w:rStyle w:val="IndexLink"/>
                <w:rtl w:val="true"/>
              </w:rPr>
              <w:t xml:space="preserve">: </w:t>
            </w:r>
            <w:r>
              <w:rPr>
                <w:rStyle w:val="IndexLink"/>
                <w:rtl w:val="true"/>
              </w:rPr>
              <w:t>إذا أخذت خلية جسد الرجل و وضعت في بييضة زوجته</w:t>
            </w:r>
            <w:r>
              <w:rPr>
                <w:rStyle w:val="IndexLink"/>
                <w:rtl w:val="true"/>
              </w:rPr>
              <w:tab/>
            </w:r>
            <w:r>
              <w:rPr>
                <w:rStyle w:val="IndexLink"/>
              </w:rPr>
              <w:t>415</w:t>
            </w:r>
          </w:hyperlink>
        </w:p>
        <w:p>
          <w:pPr>
            <w:pStyle w:val="Contents5"/>
            <w:tabs>
              <w:tab w:val="clear" w:pos="7892"/>
              <w:tab w:val="right" w:pos="9026" w:leader="dot"/>
            </w:tabs>
            <w:rPr/>
          </w:pPr>
          <w:hyperlink w:anchor="__RefHeading___Toc285522_1280447820">
            <w:r>
              <w:rPr>
                <w:webHidden/>
                <w:rStyle w:val="IndexLink"/>
                <w:rtl w:val="true"/>
              </w:rPr>
              <w:t xml:space="preserve">مسألة </w:t>
            </w:r>
            <w:r>
              <w:rPr>
                <w:rStyle w:val="IndexLink"/>
              </w:rPr>
              <w:t>2</w:t>
            </w:r>
            <w:r>
              <w:rPr>
                <w:rStyle w:val="IndexLink"/>
                <w:rtl w:val="true"/>
              </w:rPr>
              <w:t xml:space="preserve">: </w:t>
            </w:r>
            <w:r>
              <w:rPr>
                <w:rStyle w:val="IndexLink"/>
                <w:rtl w:val="true"/>
              </w:rPr>
              <w:t>هل يجب اجراء عقد الزوجية بين الرجل و المرأة اذا ارادا عملية خلق المشابه</w:t>
            </w:r>
            <w:r>
              <w:rPr>
                <w:rStyle w:val="IndexLink"/>
                <w:rtl w:val="true"/>
              </w:rPr>
              <w:tab/>
            </w:r>
            <w:r>
              <w:rPr>
                <w:rStyle w:val="IndexLink"/>
              </w:rPr>
              <w:t>416</w:t>
            </w:r>
          </w:hyperlink>
        </w:p>
        <w:p>
          <w:pPr>
            <w:pStyle w:val="Contents5"/>
            <w:tabs>
              <w:tab w:val="clear" w:pos="7892"/>
              <w:tab w:val="right" w:pos="9026" w:leader="dot"/>
            </w:tabs>
            <w:rPr/>
          </w:pPr>
          <w:hyperlink w:anchor="__RefHeading___Toc285524_1280447820">
            <w:r>
              <w:rPr>
                <w:webHidden/>
                <w:rStyle w:val="IndexLink"/>
                <w:rtl w:val="true"/>
              </w:rPr>
              <w:t xml:space="preserve">مسألة </w:t>
            </w:r>
            <w:r>
              <w:rPr>
                <w:rStyle w:val="IndexLink"/>
              </w:rPr>
              <w:t>3</w:t>
            </w:r>
            <w:r>
              <w:rPr>
                <w:rStyle w:val="IndexLink"/>
                <w:rtl w:val="true"/>
              </w:rPr>
              <w:t xml:space="preserve">: </w:t>
            </w:r>
            <w:r>
              <w:rPr>
                <w:rStyle w:val="IndexLink"/>
                <w:rtl w:val="true"/>
              </w:rPr>
              <w:t>هل يجوز اخذ الخلية من جسد الولد و وضعها فى بييضتة امه</w:t>
            </w:r>
            <w:r>
              <w:rPr>
                <w:rStyle w:val="IndexLink"/>
                <w:rtl w:val="true"/>
              </w:rPr>
              <w:tab/>
            </w:r>
            <w:r>
              <w:rPr>
                <w:rStyle w:val="IndexLink"/>
              </w:rPr>
              <w:t>416</w:t>
            </w:r>
          </w:hyperlink>
        </w:p>
        <w:p>
          <w:pPr>
            <w:pStyle w:val="Contents5"/>
            <w:tabs>
              <w:tab w:val="clear" w:pos="7892"/>
              <w:tab w:val="right" w:pos="9026" w:leader="dot"/>
            </w:tabs>
            <w:rPr/>
          </w:pPr>
          <w:hyperlink w:anchor="__RefHeading___Toc285526_1280447820">
            <w:r>
              <w:rPr>
                <w:webHidden/>
                <w:rStyle w:val="IndexLink"/>
                <w:rtl w:val="true"/>
              </w:rPr>
              <w:t xml:space="preserve">مسألة </w:t>
            </w:r>
            <w:r>
              <w:rPr>
                <w:rStyle w:val="IndexLink"/>
              </w:rPr>
              <w:t>4</w:t>
            </w:r>
            <w:r>
              <w:rPr>
                <w:rStyle w:val="IndexLink"/>
                <w:rtl w:val="true"/>
              </w:rPr>
              <w:t xml:space="preserve">: </w:t>
            </w:r>
            <w:r>
              <w:rPr>
                <w:rStyle w:val="IndexLink"/>
                <w:rtl w:val="true"/>
              </w:rPr>
              <w:t>هل يجوز أن يؤخذ نواة الخلية من جلد الحيوان و توضع في بييضته امرأة</w:t>
            </w:r>
            <w:r>
              <w:rPr>
                <w:rStyle w:val="IndexLink"/>
                <w:rtl w:val="true"/>
              </w:rPr>
              <w:tab/>
            </w:r>
            <w:r>
              <w:rPr>
                <w:rStyle w:val="IndexLink"/>
              </w:rPr>
              <w:t>417</w:t>
            </w:r>
          </w:hyperlink>
        </w:p>
        <w:p>
          <w:pPr>
            <w:pStyle w:val="Contents5"/>
            <w:tabs>
              <w:tab w:val="clear" w:pos="7892"/>
              <w:tab w:val="right" w:pos="9026" w:leader="dot"/>
            </w:tabs>
            <w:rPr/>
          </w:pPr>
          <w:hyperlink w:anchor="__RefHeading___Toc285528_1280447820">
            <w:r>
              <w:rPr>
                <w:webHidden/>
                <w:rStyle w:val="IndexLink"/>
                <w:rtl w:val="true"/>
              </w:rPr>
              <w:t xml:space="preserve">مسألة </w:t>
            </w:r>
            <w:r>
              <w:rPr>
                <w:rStyle w:val="IndexLink"/>
              </w:rPr>
              <w:t>5</w:t>
            </w:r>
            <w:r>
              <w:rPr>
                <w:rStyle w:val="IndexLink"/>
                <w:rtl w:val="true"/>
              </w:rPr>
              <w:t xml:space="preserve">: </w:t>
            </w:r>
            <w:r>
              <w:rPr>
                <w:rStyle w:val="IndexLink"/>
                <w:rtl w:val="true"/>
              </w:rPr>
              <w:t>هل يرث اللقيح الذى وضع في رحم امرأة بعد موت المأخوذ منه</w:t>
            </w:r>
            <w:r>
              <w:rPr>
                <w:rStyle w:val="IndexLink"/>
                <w:rtl w:val="true"/>
              </w:rPr>
              <w:tab/>
            </w:r>
            <w:r>
              <w:rPr>
                <w:rStyle w:val="IndexLink"/>
              </w:rPr>
              <w:t>418</w:t>
            </w:r>
          </w:hyperlink>
        </w:p>
        <w:p>
          <w:pPr>
            <w:pStyle w:val="Contents5"/>
            <w:tabs>
              <w:tab w:val="clear" w:pos="7892"/>
              <w:tab w:val="right" w:pos="9026" w:leader="dot"/>
            </w:tabs>
            <w:rPr/>
          </w:pPr>
          <w:hyperlink w:anchor="__RefHeading___Toc285530_1280447820">
            <w:r>
              <w:rPr>
                <w:webHidden/>
                <w:rStyle w:val="IndexLink"/>
                <w:rtl w:val="true"/>
              </w:rPr>
              <w:t xml:space="preserve">مسألة </w:t>
            </w:r>
            <w:r>
              <w:rPr>
                <w:rStyle w:val="IndexLink"/>
              </w:rPr>
              <w:t>6</w:t>
            </w:r>
            <w:r>
              <w:rPr>
                <w:rStyle w:val="IndexLink"/>
                <w:rtl w:val="true"/>
              </w:rPr>
              <w:t xml:space="preserve">: </w:t>
            </w:r>
            <w:r>
              <w:rPr>
                <w:rStyle w:val="IndexLink"/>
                <w:rtl w:val="true"/>
              </w:rPr>
              <w:t>هل يجوز اخذ نواة الخلية من جلد امرأة و وضعها فى بييضة امرأة أخرى</w:t>
            </w:r>
            <w:r>
              <w:rPr>
                <w:rStyle w:val="IndexLink"/>
                <w:rtl w:val="true"/>
              </w:rPr>
              <w:tab/>
            </w:r>
            <w:r>
              <w:rPr>
                <w:rStyle w:val="IndexLink"/>
              </w:rPr>
              <w:t>419</w:t>
            </w:r>
          </w:hyperlink>
        </w:p>
        <w:p>
          <w:pPr>
            <w:pStyle w:val="Contents3"/>
            <w:tabs>
              <w:tab w:val="clear" w:pos="8459"/>
              <w:tab w:val="right" w:pos="9026" w:leader="dot"/>
            </w:tabs>
            <w:rPr/>
          </w:pPr>
          <w:hyperlink w:anchor="__RefHeading___Toc285532_1280447820">
            <w:r>
              <w:rPr>
                <w:webHidden/>
                <w:rStyle w:val="IndexLink"/>
                <w:rtl w:val="true"/>
              </w:rPr>
              <w:t>الأمر السادس</w:t>
            </w:r>
            <w:r>
              <w:rPr>
                <w:rStyle w:val="IndexLink"/>
                <w:rtl w:val="true"/>
              </w:rPr>
              <w:t xml:space="preserve">: </w:t>
            </w:r>
            <w:r>
              <w:rPr>
                <w:rStyle w:val="IndexLink"/>
                <w:rtl w:val="true"/>
              </w:rPr>
              <w:t>هل يجوز خلق المشابه في الحيوانات</w:t>
            </w:r>
            <w:r>
              <w:rPr>
                <w:rStyle w:val="IndexLink"/>
                <w:rtl w:val="true"/>
              </w:rPr>
              <w:tab/>
            </w:r>
            <w:r>
              <w:rPr>
                <w:rStyle w:val="IndexLink"/>
              </w:rPr>
              <w:t>419</w:t>
            </w:r>
          </w:hyperlink>
        </w:p>
        <w:p>
          <w:pPr>
            <w:pStyle w:val="Contents4"/>
            <w:tabs>
              <w:tab w:val="clear" w:pos="8176"/>
              <w:tab w:val="right" w:pos="9026" w:leader="dot"/>
            </w:tabs>
            <w:rPr/>
          </w:pPr>
          <w:hyperlink w:anchor="__RefHeading___Toc285534_1280447820">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285536_1280447820">
            <w:r>
              <w:rPr>
                <w:webHidden/>
                <w:rStyle w:val="IndexLink"/>
                <w:rtl w:val="true"/>
              </w:rPr>
              <w:t>هنا مسائل</w:t>
            </w:r>
            <w:r>
              <w:rPr>
                <w:rStyle w:val="IndexLink"/>
                <w:rtl w:val="true"/>
              </w:rPr>
              <w:t>:</w:t>
              <w:tab/>
            </w:r>
            <w:r>
              <w:rPr>
                <w:rStyle w:val="IndexLink"/>
              </w:rPr>
              <w:t>419</w:t>
            </w:r>
          </w:hyperlink>
        </w:p>
        <w:p>
          <w:pPr>
            <w:pStyle w:val="Contents5"/>
            <w:tabs>
              <w:tab w:val="clear" w:pos="7892"/>
              <w:tab w:val="right" w:pos="9026" w:leader="dot"/>
            </w:tabs>
            <w:rPr/>
          </w:pPr>
          <w:hyperlink w:anchor="__RefHeading___Toc285538_1280447820">
            <w:r>
              <w:rPr>
                <w:webHidden/>
                <w:rStyle w:val="IndexLink"/>
                <w:rtl w:val="true"/>
              </w:rPr>
              <w:t xml:space="preserve">مسألة </w:t>
            </w:r>
            <w:r>
              <w:rPr>
                <w:rStyle w:val="IndexLink"/>
              </w:rPr>
              <w:t>1</w:t>
            </w:r>
            <w:r>
              <w:rPr>
                <w:rStyle w:val="IndexLink"/>
                <w:rtl w:val="true"/>
              </w:rPr>
              <w:t xml:space="preserve">: </w:t>
            </w:r>
            <w:r>
              <w:rPr>
                <w:rStyle w:val="IndexLink"/>
                <w:rtl w:val="true"/>
              </w:rPr>
              <w:t>لابأس بخلق المشابه فى الجين للبن المرأة</w:t>
            </w:r>
            <w:r>
              <w:rPr>
                <w:rStyle w:val="IndexLink"/>
                <w:rtl w:val="true"/>
              </w:rPr>
              <w:tab/>
            </w:r>
            <w:r>
              <w:rPr>
                <w:rStyle w:val="IndexLink"/>
              </w:rPr>
              <w:t>419</w:t>
            </w:r>
          </w:hyperlink>
        </w:p>
        <w:p>
          <w:pPr>
            <w:pStyle w:val="Contents5"/>
            <w:tabs>
              <w:tab w:val="clear" w:pos="7892"/>
              <w:tab w:val="right" w:pos="9026" w:leader="dot"/>
            </w:tabs>
            <w:rPr/>
          </w:pPr>
          <w:hyperlink w:anchor="__RefHeading___Toc285540_1280447820">
            <w:r>
              <w:rPr>
                <w:webHidden/>
                <w:rStyle w:val="IndexLink"/>
                <w:rtl w:val="true"/>
              </w:rPr>
              <w:t xml:space="preserve">مسألة </w:t>
            </w:r>
            <w:r>
              <w:rPr>
                <w:rStyle w:val="IndexLink"/>
              </w:rPr>
              <w:t>2</w:t>
            </w:r>
            <w:r>
              <w:rPr>
                <w:rStyle w:val="IndexLink"/>
                <w:rtl w:val="true"/>
              </w:rPr>
              <w:t xml:space="preserve">: </w:t>
            </w:r>
            <w:r>
              <w:rPr>
                <w:rStyle w:val="IndexLink"/>
                <w:rtl w:val="true"/>
              </w:rPr>
              <w:t>هل يجوز توليد لحوم من الحيوانات مع تركيبها مع الجين</w:t>
            </w:r>
            <w:r>
              <w:rPr>
                <w:rStyle w:val="IndexLink"/>
                <w:rtl w:val="true"/>
              </w:rPr>
              <w:tab/>
            </w:r>
            <w:r>
              <w:rPr>
                <w:rStyle w:val="IndexLink"/>
              </w:rPr>
              <w:t>420</w:t>
            </w:r>
          </w:hyperlink>
        </w:p>
        <w:p>
          <w:pPr>
            <w:pStyle w:val="Contents2"/>
            <w:tabs>
              <w:tab w:val="clear" w:pos="8743"/>
              <w:tab w:val="right" w:pos="9026" w:leader="dot"/>
            </w:tabs>
            <w:rPr/>
          </w:pPr>
          <w:hyperlink w:anchor="__RefHeading___Toc285542_1280447820">
            <w:r>
              <w:rPr>
                <w:webHidden/>
                <w:rStyle w:val="IndexLink"/>
                <w:rtl w:val="true"/>
              </w:rPr>
              <w:t>الفهرس</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5_152663"/>
      <w:bookmarkStart w:id="1" w:name="pg16065_152663"/>
      <w:bookmarkEnd w:id="1"/>
    </w:p>
    <w:p>
      <w:pPr>
        <w:pStyle w:val="Heading2"/>
        <w:numPr>
          <w:ilvl w:val="1"/>
          <w:numId w:val="1"/>
        </w:numPr>
        <w:rPr/>
      </w:pPr>
      <w:bookmarkStart w:id="2" w:name="pg16065_152663"/>
      <w:bookmarkStart w:id="3" w:name="__RefHeading___Toc28510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البحوث‌الهامه ف‍ی‌‌ال‍م‍ک‍اس‍ب‌‌ال‍م‍ح‍رم‍ه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راه‌حق‏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978-964-5515-01-5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978-600-5515-04-6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‌‬۸م‌۷۰۲۱۴۳ ۱۳۸۱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۴۵۲۴۴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10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الهامّة في المكاسب المحرّمة ج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محسن الخرّازي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رضا الجعفري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التنضيد و الاخراج الفنى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كومبيوتر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65_152667"/>
      <w:bookmarkStart w:id="8" w:name="pg16065_152667"/>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065_152667"/>
      <w:bookmarkStart w:id="10" w:name="__RefHeading___Toc285108_1280447820"/>
      <w:bookmarkStart w:id="11" w:name="_Toc3"/>
      <w:bookmarkEnd w:id="9"/>
      <w:bookmarkEnd w:id="10"/>
      <w:r>
        <w:rPr>
          <w:rtl w:val="true"/>
        </w:rPr>
        <w:t>البحوث الهامة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65_152669"/>
      <w:bookmarkStart w:id="13" w:name="pg16065_152669"/>
      <w:bookmarkEnd w:id="13"/>
    </w:p>
    <w:p>
      <w:pPr>
        <w:pStyle w:val="Heading2"/>
        <w:numPr>
          <w:ilvl w:val="1"/>
          <w:numId w:val="1"/>
        </w:numPr>
        <w:rPr/>
      </w:pPr>
      <w:bookmarkStart w:id="14" w:name="pg16065_152669"/>
      <w:bookmarkStart w:id="15" w:name="__RefHeading___Toc285110_1280447820"/>
      <w:bookmarkStart w:id="16" w:name="_Toc4"/>
      <w:bookmarkEnd w:id="14"/>
      <w:bookmarkEnd w:id="15"/>
      <w:r>
        <w:rPr>
          <w:rtl w:val="true"/>
        </w:rPr>
        <w:t>المسألة العاشرة التشريح</w:t>
      </w:r>
      <w:bookmarkEnd w:id="16"/>
    </w:p>
    <w:p>
      <w:pPr>
        <w:pStyle w:val="Heading3"/>
        <w:numPr>
          <w:ilvl w:val="2"/>
          <w:numId w:val="1"/>
        </w:numPr>
        <w:rPr/>
      </w:pPr>
      <w:bookmarkStart w:id="17" w:name="__RefHeading___Toc285112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التشريح بمعناه المصطلح في زماننا هذا عبارة عن تشقيق أجزاء البدن بعد الموت لملاحظتها من جهة تأثير الأمراض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85114_1280447820"/>
      <w:bookmarkStart w:id="20" w:name="_Toc6"/>
      <w:bookmarkEnd w:id="19"/>
      <w:r>
        <w:rPr>
          <w:rtl w:val="true"/>
        </w:rPr>
        <w:t>المقام الأوّل</w:t>
      </w:r>
      <w:r>
        <w:rPr>
          <w:rtl w:val="true"/>
        </w:rPr>
        <w:t xml:space="preserve">: </w:t>
      </w:r>
      <w:r>
        <w:rPr>
          <w:rtl w:val="true"/>
        </w:rPr>
        <w:t>في تشريح أجساد الكفّار</w:t>
      </w:r>
      <w:bookmarkEnd w:id="20"/>
    </w:p>
    <w:p>
      <w:pPr>
        <w:pStyle w:val="BookText"/>
        <w:rPr/>
      </w:pPr>
      <w:r>
        <w:rPr>
          <w:rFonts w:ascii="Amiri" w:hAnsi="Amiri" w:eastAsia="Amiri" w:cs="Amiri"/>
          <w:color w:val="111111"/>
          <w:sz w:val="28"/>
          <w:sz w:val="28"/>
          <w:szCs w:val="28"/>
          <w:rtl w:val="true"/>
          <w:lang w:bidi="ar-SA"/>
        </w:rPr>
        <w:t>لاإشكال في جواز تشريح بدن الحربي، و هو غير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لاحرمة للحربي حيّاً و ميّتاً، و لاأولويّة لمن كان الجسد بيده من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تشريح بدن الذمّي أو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احترام أبدانهم مشروطاً في عقد الذمّة أو المعاهدة أو كان العقد مبتنياً على ذلك على نحو يكون كالمذكور فلايجوز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يشترط فقد استدلّ لحرمة التشريح بإطلاق صحيحة جميل،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249:19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حرمته ميّتاً كحرمته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مقتضى إطلاق هذه الأخبار هو عدم الفرق بين المسلم و الكافر في حرمة قطع أعضاء الميّت و لزوم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انصراف تلك الأخبار عن مثل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تعيين مقدار ديته في بعض الأخبار، على أنّ المراد من الميّت المذكور هو الميّت المسلم و لايشمل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تعيين مئة دينار لقطع رأس الميّت لايتناسب مع دية قطع رأس الكافر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ديته في حال الحياة ثمانمئة درهم، فلايمكن أن تزيد ديته في حال الممات عن حال حياته، فذكر مئة دينار شاهد على أنّ المراد من الميّت هو الميّت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فالسؤال في مثل خبر الحسين بن خالد عن رجل قطع رأس ميّت، 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منه ميّتاً كما حرّم منه حيّاً، و أنّ ديته دية الجنين في بطن اُمّه قبل أن تلج فيه الروح و ذلك مئة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يشهد على أنّ المراد من الميّت هو الميّت المسلم، و المراد من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تلك الدية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مع تسليم الإطلاق و عدم الانصراف يمكن تقييده بالإيمان و الإسلام جمعاً بينه و بين سائر الأخبار الدالّة على اعتبارهما في الحرمة و الاحترام،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يظنّ بالمؤمن إلاّ خيراً، و كسرك عظامه حيّاً و ميّتاً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العلاء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248:19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251:19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المؤمنين أمواتاً ما حرّم منهم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تقييد الميّت بالمؤمن و المسلم مشعر باختصاص الحكم المذكور بهما، خصوصاً مع تفرّع تسوية الحيّ و الميّت في الحرمة على إبائه تعالى أنّ يظنّ بالمؤمنين إلاّ خيراً،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التصريح بنفي الكرامة عن الميّت النصراني في معتبرة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النصراني يكون في السفر و هو مع المسلمين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لايغسله مسلم، و لاكرامة، و لايدفنه، و لايقوم على قبره، و إن كان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حاك عن عدم الحرمة الذاتية للكفّار، و حيث إنّ المعتبرة تدلّ على نفي كرامة الكفّار و احترامهم تقدّم على المطلقات بناءً على تسليم إطلاقها، كما هو مقتضى الجمع بين المثبت المطلق و النافي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حرمته ميّتاً كحرمته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الحرمة في المشبّه به ثابتة، و الحرمة الذاتية ثابتة في المسلم لافي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احترامهم من جهة عقد الذمّة لامن جهة ذواتهم، و الاحترام العقدي دائر مدار حياتهم لابعد مماتهم،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فالتمسّك بالحديث في أهل الذمّة مع عدم ثبوت الحرمة الذاتية لهم تمسّك بالعام في الشبهة الموضوعية إن كان الشكّ في صدق الحرمة الذاتية عليهم، و تمسّك بالعام في الشبهة المفهوميّة إن كان الشكّ في تعميم الحرمة بالنسبة إلى الحرمة الناشئة من عقد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لامجال أيضاً للاستدلال على إثبات حرمة أجسادهم بالآيات و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الدالّة على رفع المقاتلة مع الكفّار بقبول الذمّة و الجزية،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دلالة الآية على أنّهم بعد أداء الجزية يكونون كسائر المسلمين، فلايجوز التعرّض لهم، و بعبارة اُخرى يكونون كالمسلمين في الاحترام في زمان حياتهم و 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 نظائرها تدلّ على أنّ غاية وجوب المقاتلة معهم هي ما إذا أعطوا الجزية، و أمّا أنّهم كالمسلمين في الاحترام فلادلالة لها بالنسبة إليه، فالتمسّك بها و بنظائرها لإثبات احترام أهل الذمّة كالمسلمين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الذمّي يستحقّ ما يقتضيه عقد الذمّة من الأمان و حفظ الدماء و الأموال و الاستفادة من مزايا البلد الإسلامي و غير ذلك، و أمّا احترام أبدانهم فإن كان مشروطاً في العقد و لو بالتباني عليه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الوفاء بالعقود، و إلاّ فلادليل على احترامها خصوصاً إذا كان التشريح متعارفاً عندهم و لايعدّونه هتك حرمة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لاتقاس أبدانهم بأبدان المسلمين و المؤمنين حتى لايجوز تشريحها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أفاد و أجاد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غير المسلم فيجوز ذمّياً كان أو غيره، ولادية و لاإثم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مستحدثات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تشريح بدن الميّت الكافر بأقسامه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561:2</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1" w:name="pg16065_152673"/>
    </w:p>
    <w:p>
      <w:pPr>
        <w:pStyle w:val="BookText"/>
        <w:rPr/>
      </w:pPr>
      <w:bookmarkEnd w:id="21"/>
      <w:r>
        <w:rPr>
          <w:rFonts w:ascii="Amiri" w:hAnsi="Amiri" w:eastAsia="Amiri" w:cs="Amiri"/>
          <w:color w:val="111111"/>
          <w:sz w:val="28"/>
          <w:sz w:val="28"/>
          <w:szCs w:val="28"/>
          <w:rtl w:val="true"/>
          <w:lang w:bidi="ar-SA"/>
        </w:rPr>
        <w:t>فتشريح أجساد الكفّار بأصنافهم جائز ما لم تعاهدهم الدولة الإسلامية على احترام أجسادهم، و إلاّ فاللازم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85116_1280447820"/>
      <w:bookmarkStart w:id="23" w:name="_Toc7"/>
      <w:bookmarkEnd w:id="22"/>
      <w:r>
        <w:rPr>
          <w:rtl w:val="true"/>
        </w:rPr>
        <w:t>المقام الثاني</w:t>
      </w:r>
      <w:r>
        <w:rPr>
          <w:rtl w:val="true"/>
        </w:rPr>
        <w:t xml:space="preserve">: </w:t>
      </w:r>
      <w:r>
        <w:rPr>
          <w:rtl w:val="true"/>
        </w:rPr>
        <w:t>في تشريح أجساد المسلمين و المؤمنين</w:t>
      </w:r>
      <w:bookmarkEnd w:id="23"/>
    </w:p>
    <w:p>
      <w:pPr>
        <w:pStyle w:val="Heading4"/>
        <w:numPr>
          <w:ilvl w:val="3"/>
          <w:numId w:val="1"/>
        </w:numPr>
        <w:rPr/>
      </w:pPr>
      <w:bookmarkStart w:id="24" w:name="__RefHeading___Toc285118_1280447820"/>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لاإشكال و لاخلاف في حرمة هتك المسلم و إهانته حيّاً و ميّتاً،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الأخبار المتضافرة الدالّة على حرمة إهانة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المستفيضة الواردة في احترام الميّت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حرمته ميّتاً كحرمته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لايحلّ انتهاكه،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الاحترام مثل الفرقة من الافتراق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تطلق على الحرام، ولكن الأخبار الآتية 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لإضافة الحرمة فيها إلى الميّت، و هي ظاهرة في الاحترام كما لايخفى، فلاوجه لدعوى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الميّت، و المقصود منه هو بيان حرمة قطع الرأس في حال الممات كحال الحياة، لااحترام الميّت حال الممات كحال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العلاء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محرج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 رجل فمات فيه فلم يمكن إخراجه من البئر أيتوضّأ في تلك البئر؟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588:8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248:19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المحرج كالمضيق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لايتوضّأ فيه يعطّل، و يجعل قبراً، و إن أمكن إخراجه أخرج و غسّل و دفن،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ميّتاً كحرمته 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يظنّ بالمؤمن إلاّ خيراً و كسرك عظامه حيّاً و ميّتاً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سنان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قطع رأس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احتضر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اُوصيك بوصيّة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من المؤمنين أمواتاً ما حرّم منهم 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الدالّة على حرمة بدن الميّت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هتكه بالكسر أو الجرح أو القطع أو الحرق أو غيرها، من دون فرق بين أن يكون لذلك داع عقلائي أو لا، ألاترى أنّ من وضع رجله على رأس مؤمن بقصد رفع وجعها مثلاً لاالإهانة عدّ ذلك إهانةً و 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 تشريح بدن الميّت المسلم و لو لداع عقلائي كتعليم الغير و تحصيل الحذاقة هتك و إهانة 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احترامه حال كونه ميّتاً كاحترامه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حرمة تشريح بدن الميّت المسلم بالأخبار الناهية عن التمثيل بالميّت الكافر بالأولويّة،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أبي حمزة الثمالي عن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496:26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 بالله و في سبيل الله و على ملّة رسول الله لاتغلّوا و لاتمثّلوا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موثّقة 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بأنّ التمثيل و المثلة فيما إذا كان لغرض التنكيل و العقوبة، و المفروض عدمهما في التشريح الذي يكون المقصود منه هو ازدياد الحذاقة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بفلان مثلاً و 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تنكيلاً بقطع أطرافه و التشويه به، و مثّل بالقتيل جدع أنفه و اُذنه أو مذاكيره أو شيئاً من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بيان معنى التنكيل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نكّل به تنكيلاً إذا عاقبه في جرم أجرمه عقوبة تنكّل غيره، أو صنع به صنيعاً يحذر غيره عن ارتكاب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 التمثيل و المثلة في قطع خاصّ كقطع الأطراف و الاُذن و الأنف و نحوهما، فيكون أجنبيّاً عن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يستدلّ لذلك أيضاً بالأخبار الدالّة على وجوب تجهيز الميّت من تغسيله و تكفينه و دفنه بناءً على عدم جواز تأخير تلك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التشريح المتوقّف على مضي أيام ينافي الفورية العرفية المستفادة من الأوامر الواردة في تلك الواجبات، و لامجال للتشكيك في أسنادها مع كونها مفتى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لاينافي وجوب الفورية العرفية استحباب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منه هو الإقدام على هذه الاُمور بنحو زائد على الفورية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التأخير لايحرم ما لم يوجب الإهانة أو التحقير مناف مع ظهور الأوامر الواردة في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يتوقّف التشريح على مضي أيام فلامنافاة بين التشريح و تلك الواجبات، و لايحرم من تلك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الجهاد،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111:8</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bookmarkStart w:id="26" w:name="pg16065_152676"/>
    </w:p>
    <w:p>
      <w:pPr>
        <w:pStyle w:val="BookText"/>
        <w:rPr/>
      </w:pPr>
      <w:bookmarkEnd w:id="26"/>
      <w:r>
        <w:rPr>
          <w:rFonts w:ascii="Amiri" w:hAnsi="Amiri" w:eastAsia="Amiri" w:cs="Amiri"/>
          <w:color w:val="111111"/>
          <w:sz w:val="28"/>
          <w:sz w:val="28"/>
          <w:szCs w:val="28"/>
          <w:rtl w:val="true"/>
          <w:lang w:bidi="ar-SA"/>
        </w:rPr>
        <w:t>و بالجملة، فتشريح بدن الميّت المسلم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الأدلّة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85120_1280447820"/>
      <w:bookmarkStart w:id="28" w:name="_Toc9"/>
      <w:bookmarkEnd w:id="27"/>
      <w:r>
        <w:rPr>
          <w:rtl w:val="true"/>
        </w:rPr>
        <w:t>موارد مستثناة من حرمة التشريح</w:t>
      </w:r>
      <w:r>
        <w:rPr>
          <w:rtl w:val="true"/>
        </w:rPr>
        <w:t>:</w:t>
      </w:r>
      <w:bookmarkEnd w:id="28"/>
    </w:p>
    <w:p>
      <w:pPr>
        <w:pStyle w:val="Heading5"/>
        <w:numPr>
          <w:ilvl w:val="4"/>
          <w:numId w:val="1"/>
        </w:numPr>
        <w:rPr/>
      </w:pPr>
      <w:bookmarkStart w:id="29" w:name="__RefHeading___Toc285122_1280447820"/>
      <w:bookmarkStart w:id="30" w:name="_Toc10"/>
      <w:bookmarkEnd w:id="29"/>
      <w:r>
        <w:rPr>
          <w:rtl w:val="true"/>
        </w:rPr>
        <w:t>المورد الأوّل</w:t>
      </w:r>
      <w:r>
        <w:rPr>
          <w:rtl w:val="true"/>
        </w:rPr>
        <w:t xml:space="preserve">: </w:t>
      </w:r>
      <w:r>
        <w:rPr>
          <w:rtl w:val="true"/>
        </w:rPr>
        <w:t>اذا توقّف حفظ حياة المسلم على تشريح جسد ميت مسلم آخر</w:t>
      </w:r>
      <w:bookmarkEnd w:id="30"/>
    </w:p>
    <w:p>
      <w:pPr>
        <w:pStyle w:val="BookText"/>
        <w:rPr/>
      </w:pPr>
      <w:r>
        <w:rPr>
          <w:rFonts w:ascii="Amiri" w:hAnsi="Amiri" w:eastAsia="Amiri" w:cs="Amiri"/>
          <w:color w:val="111111"/>
          <w:sz w:val="28"/>
          <w:sz w:val="28"/>
          <w:szCs w:val="28"/>
          <w:rtl w:val="true"/>
          <w:lang w:bidi="ar-SA"/>
        </w:rPr>
        <w:t xml:space="preserve">إنّه إذا توقّف حفظ حياة المسلم على تشريح جسد ميّت مسلم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ابتُلي جمع من المسلمين بمرض مهلك فمات بعضهم و لم يمكن تشخيص المرض و علاجه إلاّ بتشريح جسد الميّت المسلم الذي مات بذلك المرض، أو إذا مات الطفل في بطن اُمّه و كان حفظ حياة الاُمّ موقوفاً على إخراجه بالتقطيع أو الكسر و نحوهما، أو إذا ماتت الاُمّ و كان حفظ حياة الطفل موقوفاً على تشقيق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فلاإشكال في جواز ذلك، و ادّعى في الجواهر في المثال الأخير عدم الخلاف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ذلك مقتضى قاعدة التزاحم و تقديم جانب الأهمّ التي عليها بناء العقلاء في الاُمور، و مضافاً إلى شهادة التتبّع في تضاعيف أبواب الفقه نصاً و فتوى على أنّ حفظ النفس المحترمة من أهمّ الواجبات و البديهيات الفقهية و لو توقّف على ترك واجب أو ارتكاب محرّم، و ليس ذلك إلاّ لمعلوميّة أهمّية حفظ النفس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المرويّة في الكافي عن حميد بن زياد عن الحسن ابن محمّد بن سماعة عن محمّد بن أبي حمزة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 ولدها في بطنها،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بطنها و يخرج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المرويّة في الكافي عن عليّ بن إبراهيم عن أبيه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تموت و يتحرّك الولد في بطنها، أيشقّ بطنها و يخرج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يخاط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وهب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 في بطنها ولد يتحرّك فيتخوّف عليه فشقّ بطنها و أخرج الولد، و قال في المرأة يموت ولدها في بطنها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يدخل الرجل يده فيقطّعه و يخرجه إذا لم ترفق به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كتاب الرجال عن حمدويه بن نصير عن محمّد بن عيسى عن ابن فضال عن ابن بكير عن محمّد بن مسلم أنّ امرأة سألته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بنت عروس ضربها الطلق فما زالت تطلق حتى فاتت و الولد يتحرّك في بطنها و يذهب و يجىء،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سئل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بطن الميّت و يستخرج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أبي عمير عن ابن أبي اُذينة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الولد و يخاط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الأخبار ترشد إلى ما عليه العقلاء من تقديم جانب الأهمّ و هو حفظ الحياة فيما إذا تزاحم مع حرام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فلاإشكال في جواز ذلك فيما إذا توقّف حفظ حياة مسلم أو مسلمة على تشقيق أو تشريح خصوص الميّت المسلم بحيث لايمكن التفصّي عنه بطريق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674:2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الاحتضار،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bookmarkStart w:id="31" w:name="pg16065_152678"/>
    </w:p>
    <w:p>
      <w:pPr>
        <w:pStyle w:val="BookText"/>
        <w:rPr/>
      </w:pPr>
      <w:bookmarkEnd w:id="31"/>
      <w:r>
        <w:rPr>
          <w:rFonts w:ascii="Amiri" w:hAnsi="Amiri" w:eastAsia="Amiri" w:cs="Amiri"/>
          <w:color w:val="111111"/>
          <w:sz w:val="28"/>
          <w:sz w:val="28"/>
          <w:szCs w:val="28"/>
          <w:rtl w:val="true"/>
          <w:lang w:bidi="ar-SA"/>
        </w:rPr>
        <w:t xml:space="preserve">و لذلك قال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حفظ حياة المسلم على التشريح و لم يمكن تشريح غير المسلم فالظاهر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جواز التشريح أو التشقيق المذكور لحفظ حياة المسلم أو المسلمة هل يتوقّف على العلم بموت المسلم لو لم يفعل ذلك، أو يكفي الخوف في ذلك‌؟</w:t>
      </w:r>
    </w:p>
    <w:p>
      <w:pPr>
        <w:pStyle w:val="BookText"/>
        <w:rPr/>
      </w:pPr>
      <w:r>
        <w:rPr>
          <w:rFonts w:ascii="Amiri" w:hAnsi="Amiri" w:eastAsia="Amiri" w:cs="Amiri"/>
          <w:color w:val="111111"/>
          <w:sz w:val="28"/>
          <w:sz w:val="28"/>
          <w:szCs w:val="28"/>
          <w:rtl w:val="true"/>
          <w:lang w:bidi="ar-SA"/>
        </w:rPr>
        <w:t>ظاهر بعض الروايات كخبر وهب بن وهب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اقتضاء مادة الحفظ الواجب لزوم مراعاة موارد الخوف العقلائي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عدم المراعاة لايصدق الحفظ كما لايخفى، على أنّه لو توقّف وجوب حفظ النفس على العلم بالموت لوقع الإنسان كثيراً في المخالفة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خبر 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حفظ النفس حيث لم يثبت بالدليل اللفظي العامّ بل الدليل عليه هو الإجماع و الاصطياد من الموارد الخاصّة فاللازم هو الاقتصار فيه على القدر المتيقّن و هو صورة العلم بالتوقّف، فلاوجه لرفع اليد عن حرمة التشريح مع فعليّتها بالتكليف الاحتمالي و هو حفظ حياة المسلم ولو كان المحتمل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المرجع في أمثال المقام هو بناء العقلاء، فإذا كانوا ملتزمين بمراعاة صورة الخوف بحيث يجعلون الإهمال فيها سبباً لاستحقاق المذمّة فيجوز عند خوف تلف النفوس أيضاً التشريح أو التشقيق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الاستدلال بترك الاستفصال في النصوص المذكورة و إن كان خبر وهب بن وهب ضعيفاً، و المسألة محتاجة إلى التأمّل الزائد</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285124_1280447820"/>
      <w:bookmarkStart w:id="33" w:name="_Toc11"/>
      <w:bookmarkEnd w:id="32"/>
      <w:r>
        <w:rPr>
          <w:rtl w:val="true"/>
        </w:rPr>
        <w:t>المورد الثاني</w:t>
      </w:r>
      <w:r>
        <w:rPr>
          <w:rtl w:val="true"/>
        </w:rPr>
        <w:t xml:space="preserve">: </w:t>
      </w:r>
      <w:r>
        <w:rPr>
          <w:rtl w:val="true"/>
        </w:rPr>
        <w:t>اذا توقّف غرض اهم من حرمة الميت المسلم على التشريح و التقطيع</w:t>
      </w:r>
      <w:bookmarkEnd w:id="33"/>
    </w:p>
    <w:p>
      <w:pPr>
        <w:pStyle w:val="BookText"/>
        <w:rPr/>
      </w:pPr>
      <w:r>
        <w:rPr>
          <w:rFonts w:ascii="Amiri" w:hAnsi="Amiri" w:eastAsia="Amiri" w:cs="Amiri"/>
          <w:color w:val="111111"/>
          <w:sz w:val="28"/>
          <w:sz w:val="28"/>
          <w:szCs w:val="28"/>
          <w:rtl w:val="true"/>
          <w:lang w:bidi="ar-SA"/>
        </w:rPr>
        <w:t>إنّه إذا توقّف غرض أهمّ من حرمة الميّت المسلم على التشريح و التقطيع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561:2</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فلاإشكال في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أيضاً مقتضى قاعدة التزاحم التي عليها بناء العقلاء و لم يردع عنه الشارع، بل يؤيّده ما 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بنبش القبر و أخذ ضلع من أضلاع الميّت لإثبات النسب و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مصاديق هذه الكبرى متعدّدة، و حيث كانت دليلاً لبيّاً يؤخذ بها في القدر المتيقّن، و لعلّ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حفظ النظام الإسلامي على تشريح بدن مسلم و تقطيعه، كما إذا بلع رجل من المسلمين ما يكون حاوياً لأسامي الذين كانوا في صدد القضاء على النظام الإسلامي أو كان حاوياً لاُطروحة أراد الأعداء إجراءها لهدم النظام الإسلامي و مات هذا الرجل فلاإشكال في جواز ذلك إذا لم يمكن أخذه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حفظ النظام الإسلامي، بل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حفظ النظام من أهمّ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تشخيص نوع سلاح من أسلحة الأعداء على تشقيق أبدان الشهداء حتى يقوم المسلمون بمقابلته أو رفع آثاره عن جيش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حفظ نفوس المجروحين و تحكيم النظام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إثبات القتل أو النسب على تشريح جسد الميّت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 من حرمة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دعوى عدم صدق الهتك و الإهانة مع رجوع المصلحة إليه أو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 القاتل رعاية لمصلحة المقتول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التوقّف المذكور معلوماً، و أمّا مع احتمال ذلك لاالعلم فالحكم بالجواز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اليد عن الحرام الفعلي باحتمال إحياء الحقّ كما ترى، و أيضاً قاعدة التزاحم لاتجري مع عدم العلم بالتزاحم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 الخارج أنّ المحتمل الأهمّ يزاحم الغير فتجري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كسب المهارة اللازمة لمعالجة بعض الأعضاء الخطيرة كالقلب أو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225:40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الكبد و نحوهما من موارد الأهمّ حتى يجوز التشريح و التقطيع أم لايكون،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الماهر للمعالجات الخطيرة ممّا يهتمّ به العقلاء، و لايقصر ذلك عندهم عن إثبات القتل أو النسب بالتشريح، بل لعلّه 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عدمه ربّما يؤدّي إلى تلف النفوس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بأنّ لازمه هو رفع اليد عن الحرمة الفعلية بالأمر غير الفعلي أو الاحتمالي الاستقبالي، و هو مشكل إلاّ إذا علم من الخارج أنّ الأمر غير الفعلي الاستقبالي أو احتمال الأمر الاستقبالي، على حدّ يزاحم الأمر الفعلي ولكن ذلك فيما إذا كان متوقّفاً على تشريح خصوص جسد الميّت المسلم، و أمّا إذا لم يتوقّف بل أمكن تحصيله من تشريح غير المسلم أو الحيوانات أو المزاولة مع التماثيل المصنوعة لذلك أو غيرها فلايجوز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الأصعب من ذلك ما إذا كان المقصود من التشريح و التقطيع هو مجرّد الارتقاء العلمي و المصالح الطبّية و غيرها من الاُمور الراجحة العقلائية التي يسعى كلّ مجتمع نحوها فإنّ مجرّد ذلك لايوجب تقدّمه على المحرم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توقّفت مصلحة النظام الإسلامي على كسب المهارة أو التعلم للارتقاء العلمي بحيث لو لم يراع الحاكم الإسلامي ذلك لعدّ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اهمال الارتقاء العلمي موجباً لضعف الإسلام و المسلمين و الحاجة إلى الأعداء و سلطة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للحاكم الإسلامي تجويز ذلك فيما إذا توقّف عليه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مراعاة المصالح العامّة التي لايرضى الشارع بإهمالها و تركها مما يلزم على الحاكم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بحث حول التشريح، نُشِر في مجلّة نور علم، فراجع</w:t>
      </w:r>
      <w:r>
        <w:rPr>
          <w:rFonts w:eastAsia="Amiri" w:cs="Amiri" w:ascii="Amiri" w:hAnsi="Amiri"/>
          <w:color w:val="111111"/>
          <w:sz w:val="28"/>
          <w:szCs w:val="28"/>
          <w:rtl w:val="true"/>
          <w:lang w:bidi="ar-SA"/>
        </w:rPr>
        <w:t xml:space="preserve">. </w:t>
      </w:r>
      <w:bookmarkStart w:id="34" w:name="pg16065_152681"/>
    </w:p>
    <w:p>
      <w:pPr>
        <w:pStyle w:val="Heading5"/>
        <w:numPr>
          <w:ilvl w:val="4"/>
          <w:numId w:val="1"/>
        </w:numPr>
        <w:rPr/>
      </w:pPr>
      <w:bookmarkStart w:id="35" w:name="__RefHeading___Toc285126_1280447820"/>
      <w:bookmarkStart w:id="36" w:name="_Toc12"/>
      <w:bookmarkEnd w:id="34"/>
      <w:bookmarkEnd w:id="35"/>
      <w:r>
        <w:rPr>
          <w:rtl w:val="true"/>
        </w:rPr>
        <w:t>المورد الثالث</w:t>
      </w:r>
      <w:r>
        <w:rPr>
          <w:rtl w:val="true"/>
        </w:rPr>
        <w:t xml:space="preserve">: </w:t>
      </w:r>
      <w:r>
        <w:rPr>
          <w:rtl w:val="true"/>
        </w:rPr>
        <w:t>اذا كانت مصلحة التقطيع أو الكسر عائدة إلى الميّت</w:t>
      </w:r>
      <w:bookmarkEnd w:id="36"/>
    </w:p>
    <w:p>
      <w:pPr>
        <w:pStyle w:val="BookText"/>
        <w:rPr/>
      </w:pPr>
      <w:r>
        <w:rPr>
          <w:rFonts w:ascii="Amiri" w:hAnsi="Amiri" w:eastAsia="Amiri" w:cs="Amiri"/>
          <w:color w:val="111111"/>
          <w:sz w:val="28"/>
          <w:sz w:val="28"/>
          <w:szCs w:val="28"/>
          <w:rtl w:val="true"/>
          <w:lang w:bidi="ar-SA"/>
        </w:rPr>
        <w:t xml:space="preserve">إنّه إذا كانت مصلحة التقطيع أو الكسر عائدة إلى الميّت، كما إذا وقع جسده لسبب من الأسباب، كالزلزلة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الأشياء بحيث لايمكن إخراجه لتجهيزه إلاّ بالقطع أو الكسر و نحوهما فلاإشكال في جوازه بل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تجهيزه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 ذلك حرمة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ذلك هتكاً و إهانة، لأنّ مصلحة التجهيز عائدة إلى نفس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ليس بمُثلة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كما عرفت تنكيل و عقوبة، بل ترك الجسد بحاله خلاف حرمة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جرت السيرة العقلائية بل المتشرعيّة على إخراج الميّت و تجهيزه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وقع في بئر و لم يمكن إخراجه فاللازم هو جعل البئر قبراً له، كما ورد بذلك رواية العلاء بن سيّابة و أفتى بها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إخراجه سالماً بتخريب الدار أو غيرها كالسيارة و نحوها فهو مقدّم و لو احتاج ذلك إلى مؤونة فيمكن أن يقال إنّ تلك أيضاً من مؤونة تجهيزه، فتخرج من أصل ماله إن كان له المال، و تقدّم على ديونه و وصاياه و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المال فإن كان الميّت زوجة ففي التنقيح لايبعد الحكم بوجوب سائر مؤن التجهيز على الزوج، لصحيحة عبدالرحمن المتقدّمة الدالّة على أنّ الزوجة و الاُمّ و الأب و الابن و المملوك لايعطى لهم الزكاة لأنّهم عيال الرجل و يلازمونه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العيال و كونهم لازمين له أنّهم لازمون له في مؤنهم و مصارفهم و أنّ معونتهم على ذمّته و هو متعهد بها كما هو معنى كون شخص عيالاً لآخر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 بمعيشتهم و مصارفهم و كونهم لازمين له لايختصّ بحال الحياة، فيجب عليه القيام بجميع مؤن تجهيز الزوجة إذا لم يكن لها مال يفي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الصحيحة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w:t>
      </w:r>
      <w:bookmarkStart w:id="37" w:name="pg16065_152682"/>
    </w:p>
    <w:p>
      <w:pPr>
        <w:pStyle w:val="BookText"/>
        <w:rPr/>
      </w:pPr>
      <w:bookmarkEnd w:id="37"/>
      <w:r>
        <w:rPr>
          <w:rFonts w:ascii="Amiri" w:hAnsi="Amiri" w:eastAsia="Amiri" w:cs="Amiri"/>
          <w:color w:val="111111"/>
          <w:sz w:val="28"/>
          <w:sz w:val="28"/>
          <w:szCs w:val="28"/>
          <w:rtl w:val="true"/>
          <w:lang w:bidi="ar-SA"/>
        </w:rPr>
        <w:t>الأمر كذلك في مثل الأب و الاُمّ و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لم يكن الميّت الذي ليس له المال زوجة أو مثل الأب و الاُمّ و الابن فقد ادّعي الإجماع على عدم وجوب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سائر مؤن تجهيزه على المسلمين، بل هي واجبة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له بموثقّة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من أصحابنا يموت و لم يترك ما يكفّن به، اشتري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 لاأحد يقوم فاُجهّزه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إنّ حرمة بدن المؤمن ميّتاً كحرمته حيّاً، فوارِ بدنه و عورته و جهّزه و كفّنه و حنّطه و احتسب بذلك من الزكاة و شيّع جنازته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زكاة فهل تكون مؤونة تجهيزه واجبة على المسلمين أم لا؟</w:t>
      </w:r>
    </w:p>
    <w:p>
      <w:pPr>
        <w:pStyle w:val="BookText"/>
        <w:rPr/>
      </w:pPr>
      <w:r>
        <w:rPr>
          <w:rFonts w:ascii="Amiri" w:hAnsi="Amiri" w:eastAsia="Amiri" w:cs="Amiri"/>
          <w:color w:val="111111"/>
          <w:sz w:val="28"/>
          <w:sz w:val="28"/>
          <w:szCs w:val="28"/>
          <w:rtl w:val="true"/>
          <w:lang w:bidi="ar-SA"/>
        </w:rPr>
        <w:t>ذهب في التنقيح إلى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نفي الضرر و إن عدّت مؤونة التجهيز مقدّمة للواجب كالتكفين و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ظاهر عبائر العلماء، و مقتضاه هو دفنه عارياً، ولكن يشكل ذلك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الميّت بحاله من دون تجهيز هتك لحرمته و لايرضى الشارع بذلك، و اللازم احتياطاً هو إعطاء المسلمين القرض إلى بيت المال و احتسابه من الزكاة عند وجوبها عليهم، فليتأمّل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85128_1280447820"/>
      <w:bookmarkStart w:id="39" w:name="_Toc13"/>
      <w:bookmarkEnd w:id="38"/>
      <w:r>
        <w:rPr>
          <w:rtl w:val="true"/>
        </w:rPr>
        <w:t>المورد الرابع</w:t>
      </w:r>
      <w:r>
        <w:rPr>
          <w:rtl w:val="true"/>
        </w:rPr>
        <w:t xml:space="preserve">: </w:t>
      </w:r>
      <w:r>
        <w:rPr>
          <w:rtl w:val="true"/>
        </w:rPr>
        <w:t>اذا أوصى مسلم بتشريح جسده بعد الموت لترقيع بدن المحتاجين</w:t>
      </w:r>
      <w:bookmarkEnd w:id="39"/>
    </w:p>
    <w:p>
      <w:pPr>
        <w:pStyle w:val="BookText"/>
        <w:rPr/>
      </w:pPr>
      <w:r>
        <w:rPr>
          <w:rFonts w:ascii="Amiri" w:hAnsi="Amiri" w:eastAsia="Amiri" w:cs="Amiri"/>
          <w:color w:val="111111"/>
          <w:sz w:val="28"/>
          <w:sz w:val="28"/>
          <w:szCs w:val="28"/>
          <w:rtl w:val="true"/>
          <w:lang w:bidi="ar-SA"/>
        </w:rPr>
        <w:t>إذا أوصى مسلم بتشريح جسده بعد الموت لترقيع بدن المحتاجين فهل تكون الوصية نافذة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759:2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القول بالجواز و النفوذ، لالعدم صدق الضرر مع المصلحة العقلائية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لايخرج عن الضررية بالدواعي العقلائية، بل لاختصاص المانع الشرعي و هو عنوان الضرر بحال الحياة، فلامانع من نفوذ الوصية بعد ارتفاع العنوان المانع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المشروعيّة حال العمل كافية كما أنّ القدرة حال العمل كافية في حسن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الروايات الدالّة على أنّ حرمة الميّت كحرمة الحيّ هو عدم نفوذ الوصية بالتشريح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مع 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للحرمة هو التقطيع العدواني لاالمأذون فيه، و مورد الروايات هو التقطيع 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الميّت ليست من الحقوق حتى تسقط بالوصية والإذن، بل هي من الأحكام، فلاتسقط بالإذن كالإذلال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تشبيه حرمة الميّت بحرمة الحيّ هو مشابهة احترام الميّت مع الحيّ‌، و حيث كان احترام الحيّ من باب الحقوق عدا صورة الإذلال، و لذا يسقط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الرجل على رأس الغير أو منكبه فإنّه خلاف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إذن الغير بذلك لداع من الدواعي لايكون منافياً لاحترامه، كما يؤيّد أو يشهد لذلك الروايات الدالّة على تفويض الاُمور كلّها إلى المؤمن عدا الإذلال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ظاهرة في أنّ غير الإذلال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احترام الميّت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بالتشريح ربّما تنافي وجوب التغسيل و التكفين و الدفن، و تكون من هذه الجهة غير مشروعة، فلاتكون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التغسيل أو ما يقوم مقامه ممكن و التكفين و الدفن اُتى بهما مع تأخير و لايفوتان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424:11</w:t>
      </w:r>
      <w:r>
        <w:rPr>
          <w:rFonts w:eastAsia="IRNazanin" w:cs="IRNazanin"/>
          <w:color w:val="111111"/>
          <w:sz w:val="28"/>
          <w:szCs w:val="28"/>
          <w:rtl w:val="true"/>
          <w:lang w:bidi="fa-IR"/>
        </w:rPr>
        <w:t xml:space="preserve">. </w:t>
      </w:r>
      <w:bookmarkStart w:id="40" w:name="pg16065_152684"/>
    </w:p>
    <w:p>
      <w:pPr>
        <w:pStyle w:val="BookText"/>
        <w:rPr/>
      </w:pPr>
      <w:bookmarkEnd w:id="40"/>
      <w:r>
        <w:rPr>
          <w:rFonts w:ascii="Amiri" w:hAnsi="Amiri" w:eastAsia="Amiri" w:cs="Amiri"/>
          <w:color w:val="111111"/>
          <w:sz w:val="28"/>
          <w:sz w:val="28"/>
          <w:szCs w:val="28"/>
          <w:rtl w:val="true"/>
          <w:lang w:bidi="ar-SA"/>
        </w:rPr>
        <w:t>انما الفائت هو الإسراع فيهما و حيث ان الإسراع من باب الكرامة و الاحترام فلاينا فيه التأخير المأذون فيه بالوصية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بإعطاء بعض الأعضاء لاتكون منافية للواجبات المذكورة، و أيضاً ربّما تستلزم الإذلال، و من هذه الجهة لاتكون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شكّ في الجواز لاحتمال كون الوصيّة وصيّة بالإثم فلايجوز التمسّك بعمومات أدلّة نفوذ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تمسّك بالعامّ في الشبهات المصداقية بعد تخصيص العمومات بعدم كون الوصيّة وصيّة بالإثم</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285130_1280447820"/>
      <w:bookmarkStart w:id="42" w:name="_Toc14"/>
      <w:bookmarkEnd w:id="41"/>
      <w:r>
        <w:rPr>
          <w:rtl w:val="true"/>
        </w:rPr>
        <w:t>المورد الخامس</w:t>
      </w:r>
      <w:r>
        <w:rPr>
          <w:rtl w:val="true"/>
        </w:rPr>
        <w:t xml:space="preserve">: </w:t>
      </w:r>
      <w:r>
        <w:rPr>
          <w:rtl w:val="true"/>
        </w:rPr>
        <w:t>اذا شكّ فى بدن أنّه لمسلم أو كافر غير ذمى أو معاهد</w:t>
      </w:r>
      <w:bookmarkEnd w:id="42"/>
    </w:p>
    <w:p>
      <w:pPr>
        <w:pStyle w:val="BookText"/>
        <w:rPr/>
      </w:pPr>
      <w:r>
        <w:rPr>
          <w:rFonts w:ascii="Amiri" w:hAnsi="Amiri" w:eastAsia="Amiri" w:cs="Amiri"/>
          <w:color w:val="111111"/>
          <w:sz w:val="28"/>
          <w:sz w:val="28"/>
          <w:szCs w:val="28"/>
          <w:rtl w:val="true"/>
          <w:lang w:bidi="ar-SA"/>
        </w:rPr>
        <w:t>إنّه إذا شكّ في بدن أنّه لمسلم أو كافر غير ذمّي أو معاهد فقد ذهب بعض الأعلام إلى جواز تشريحه و لووجد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إذا وجد المشكوك في البلاد الإسلامية لأنّ البلد الإسلامي من الأمارات و الطرق على كون المشكوك ملحقاً بالأعمّ الأغلب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إلحاق المشكوك في غير موردنا بالأعمّ الأغلب في صحيحة أحمد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الخفّاف يأتي السوق فيشتري الخفّ لايدري أذكيّ هو أم لا، ما تقول في الصلاة فيه و هو لايدري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 يصنع لي واُصلّي فيه، وليس عليكم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موثقة إسحاق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بالصلاة في القزّ اليماني و فيما صنع في أرض الإسلام،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الغالب عليها المسلمون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ظاهرهما و نظائرهما هو أنّ الملاك في اعتبار السوق أوأرض الإسلام هو غلبة المسلمين، فالغلبة معيار كلّي في إلحاق المشكوك بالأعمّ الأغلب، و لاعبرة بخصوصيّة المورد بعد عموم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لاوقع لما يقال من أنّ الالحاق فيها إلحاق في الفعل لافي الفاعل لأنّ الإلحاق في الفعل مسبوق بالالحاق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 حيث إنّ الفعل المشكوك لايلحق بالمعلوم إلاّ بإلحاق فاعله المشكوك حاله بمعلوم الإسلام، فقبل إلحاق الفعل اُلحق فاعله بمعلوم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العبرة بالمعيار الكلّي المستفاد من الروايات، و هو أنّ الغلبة أمارة على الإلحاق و عدمه ما لم يدلّ دليل على الخلاف كدعوى الإجماع على إلحاق لقيط دار الكفر بالمسلم مع وجود المسلم فيها و احتمال كونه منه مع أنّ الغلبة مع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كدعوى شمول الإطلاقات الدالّة على تغسيل الميّت للقيط دار الكفر إذا احتمل كونه من مسلم بعد استصحاب عدم التنصّر أو الكفر باستصحاب العدم الأزلي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الأخير من أنّه يمكن أن يقال إنّ الاستصحاب لايجري مع قيام الأمارة و هي الغلبة على كفره فإن الدار دار الكفر، نعم لو قام الإجماع على إلحاقه بالمسلم فلاكلام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قامت الغلبة على الإلحاق بالأعمّ الأغلب، و أمّا إذا لم تقم تلك الأمارة فهل هنا أمارة اُخرى أم لا؟</w:t>
      </w:r>
    </w:p>
    <w:p>
      <w:pPr>
        <w:pStyle w:val="BookText"/>
        <w:rPr/>
      </w:pPr>
      <w:r>
        <w:rPr>
          <w:rFonts w:ascii="Amiri" w:hAnsi="Amiri" w:eastAsia="Amiri" w:cs="Amiri"/>
          <w:color w:val="111111"/>
          <w:sz w:val="28"/>
          <w:sz w:val="28"/>
          <w:szCs w:val="28"/>
          <w:rtl w:val="true"/>
          <w:lang w:bidi="ar-SA"/>
        </w:rPr>
        <w:t>يمكن الاستدلال بمصححة حماد بن عيسى المروية في التهذيب بإسناده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المستمسك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التنقيح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يحيى عن إبراهيم بن هاشم عن أحمد بن محمّد بن أبي نصر عن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لاتواروا إلاّ من كان كميشاً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ذكره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ذلك إلاّ في كرام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تلك المصححة هو العمل بهذه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ذهب جماعة 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الفاضلان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بها في وجوب تجهيزه بالتغسيل و التكفين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العلامة مخصوصة بموردها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 إنّ موردها و إن كان واقعة بدر لكن التعليل في ذيلها يقتضي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المقصود منه بيان وجه المناسبة و رفع الاستيحاش لاالتعليل للحكم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أفاده في التنقيح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الرواية لادلالة لها على أنّ ذلك علامة مميزة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للجزم بأنّ الإسلام و الكفر ليسا من الأسباب الموجبة لصغر الآلة و 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أمير المؤمنين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كفّاراً ثمّ أسلموا فهل يحتمل أن اختلفت آلتهم عمّا كانت عليه بإسلامهم‌؟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يجعل ذلك أمارة مميّزة بين الكفّار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أيضاً لم تدلّ على أنّها مميزة بين الطائفتين، و إنّما دلّت على الأمر بمواراة كميش الذكر من غير فرق في ذلك بين المسلمين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صغر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يقولون و لعلّه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يوجد في الكرام و النجباء، كما أنّ كبرها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112:11</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bookmarkStart w:id="43" w:name="pg16065_152687"/>
    </w:p>
    <w:p>
      <w:pPr>
        <w:pStyle w:val="BookText"/>
        <w:rPr/>
      </w:pPr>
      <w:bookmarkEnd w:id="43"/>
      <w:r>
        <w:rPr>
          <w:rFonts w:ascii="Amiri" w:hAnsi="Amiri" w:eastAsia="Amiri" w:cs="Amiri"/>
          <w:color w:val="111111"/>
          <w:sz w:val="28"/>
          <w:sz w:val="28"/>
          <w:szCs w:val="28"/>
          <w:rtl w:val="true"/>
          <w:lang w:bidi="ar-SA"/>
        </w:rPr>
        <w:t>علامة على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كلّما قرب من الحيوانات وجد بعض 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على الكفّار بعد غلبة المسلمين في وقعة بدر بالأمر بمواراة النجباء منهم و الأشراف فحسب لئلاّ تبقى أجسادهم من غير دفن، فلادلالة في الرواية على التمييز بذلك بين المسلمين و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المصحّحة هو أنّ المذكور فيها لتمييز أجساد المسلمين عن غيرهم، و من البعيد جدّاً أن يحسن النبيّ إلى الكفّار المعاندين بدفنهم بعنوان أنّهم من الكرام، فيمكن الاستناد إلى العلامة المذكورة تعبّداً في المشكوك و إن لم تكن حقيقتها واضحة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85132_1280447820"/>
      <w:bookmarkStart w:id="45" w:name="_Toc15"/>
      <w:bookmarkEnd w:id="44"/>
      <w:r>
        <w:rPr>
          <w:rtl w:val="true"/>
        </w:rPr>
        <w:t>المورد السادس</w:t>
      </w:r>
      <w:r>
        <w:rPr>
          <w:rtl w:val="true"/>
        </w:rPr>
        <w:t xml:space="preserve">: </w:t>
      </w:r>
      <w:r>
        <w:rPr>
          <w:rtl w:val="true"/>
        </w:rPr>
        <w:t>هل يكون الجنين الميّت المسلم بحكم من مات من الأحياء؟</w:t>
      </w:r>
      <w:bookmarkEnd w:id="45"/>
    </w:p>
    <w:p>
      <w:pPr>
        <w:pStyle w:val="BookText"/>
        <w:rPr/>
      </w:pPr>
      <w:r>
        <w:rPr>
          <w:rFonts w:ascii="Amiri" w:hAnsi="Amiri" w:eastAsia="Amiri" w:cs="Amiri"/>
          <w:color w:val="111111"/>
          <w:sz w:val="28"/>
          <w:sz w:val="28"/>
          <w:szCs w:val="28"/>
          <w:rtl w:val="true"/>
          <w:lang w:bidi="ar-SA"/>
        </w:rPr>
        <w:t>هل يكون الجنين الميت المسلم بحكم من مات من الأحياء حتى لايجوز تشريحه أو تقطيعه أو لايكون‌؟</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الجنين إن ولجت فيه الروح ثمّ زهقت عنه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حرمته ميّتاً كحرمته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الجنين في حال حلول الروح فيه كان ذا حرمة بحيث لايجوز إيراد النقص و الضرر عليه، فبعد زهوق روحه كان إيراد النقص عليه بأي نحو كان محرّماً كزمان حلول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أيضاً موثقة سماعة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السقط إذا استوت خلقته يجب عليه الغسل و اللحد و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يجب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695:2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 w:name="pg16065_152688"/>
    </w:p>
    <w:p>
      <w:pPr>
        <w:pStyle w:val="BookText"/>
        <w:rPr/>
      </w:pPr>
      <w:bookmarkEnd w:id="46"/>
      <w:r>
        <w:rPr>
          <w:rFonts w:ascii="Amiri" w:hAnsi="Amiri" w:eastAsia="Amiri" w:cs="Amiri"/>
          <w:color w:val="111111"/>
          <w:sz w:val="28"/>
          <w:sz w:val="28"/>
          <w:szCs w:val="28"/>
          <w:rtl w:val="true"/>
          <w:lang w:bidi="ar-SA"/>
        </w:rPr>
        <w:t>فإنّ الظاهر من السؤال و الجواب فيها أنّ أحكام الجنين بعد الاستواء هي أحكام الأحياء بعد عروض الموت من الغسل و اللحد و الكفن، و هذا يحكي عن كون الجنين له حرمة بعد مماته كحرمته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تلج فيه الروح و لم تستو خلقته فبعد السقط لايصدق عليه الميّت من الإنسان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 لوج الروح فيه و إن كان قبل السقط له روح حيوانيّة، فلايشمله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 ميّتاً كحرمته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فالاستدلال به على حرمة التعرّض له بالتشريح و نحوه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لايدلّ على حرمة ذلك ما دلّ على حرمة إسقاط النطفة، كصحيحة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إسقاط النطفة أجنبية عن حرمة التعرّض لها بعد سقوطها و 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تنظير الميّت المسلم بالجنين قبل و لوج الروح فيه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الدية و 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بكونهما متماثلين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قبل و لوج الروح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أَمْوٰاتاً فَأَحْيٰاكُمْ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التعرّض للجنين بتشريحه و تقطيعه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مفهوم موثّقة سماعة هو عدم جريان أحكام التجهيز عليه قبل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فلامانع من حفظه في القارورة و نحوها لولا الإجماع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85134_1280447820"/>
      <w:bookmarkStart w:id="48" w:name="_Toc16"/>
      <w:bookmarkEnd w:id="47"/>
      <w:r>
        <w:rPr>
          <w:rtl w:val="true"/>
        </w:rPr>
        <w:t>المورد السابع</w:t>
      </w:r>
      <w:r>
        <w:rPr>
          <w:rtl w:val="true"/>
        </w:rPr>
        <w:t xml:space="preserve">: </w:t>
      </w:r>
      <w:r>
        <w:rPr>
          <w:rtl w:val="true"/>
        </w:rPr>
        <w:t>لو بلع احد مالاً لغيره</w:t>
      </w:r>
      <w:r>
        <w:rPr>
          <w:rtl w:val="true"/>
        </w:rPr>
        <w:t xml:space="preserve">... </w:t>
      </w:r>
      <w:r>
        <w:rPr>
          <w:rtl w:val="true"/>
        </w:rPr>
        <w:t>مع بقاء عينه فى بطنه و موته هل يجوز شق بطنه‌؟</w:t>
      </w:r>
      <w:bookmarkEnd w:id="48"/>
    </w:p>
    <w:p>
      <w:pPr>
        <w:pStyle w:val="BookText"/>
        <w:rPr/>
      </w:pPr>
      <w:r>
        <w:rPr>
          <w:rFonts w:ascii="Amiri" w:hAnsi="Amiri" w:eastAsia="Amiri" w:cs="Amiri"/>
          <w:color w:val="111111"/>
          <w:sz w:val="28"/>
          <w:sz w:val="28"/>
          <w:szCs w:val="28"/>
          <w:rtl w:val="true"/>
          <w:lang w:bidi="ar-SA"/>
        </w:rPr>
        <w:t>إنّه لو بلع أحد مالاً لغيره فإن صار تالفاً ببلعه فلابحث، و أمّا مع بقاء عينه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582:2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بطنه و موته فهل يجوز شقّ بطنه وردّه أو لابل يجب ردّ بدله إن أمكن‌؟</w:t>
      </w:r>
    </w:p>
    <w:p>
      <w:pPr>
        <w:pStyle w:val="BookText"/>
        <w:rPr/>
      </w:pPr>
      <w:r>
        <w:rPr>
          <w:rFonts w:ascii="Amiri" w:hAnsi="Amiri" w:eastAsia="Amiri" w:cs="Amiri"/>
          <w:color w:val="111111"/>
          <w:sz w:val="28"/>
          <w:sz w:val="28"/>
          <w:szCs w:val="28"/>
          <w:rtl w:val="true"/>
          <w:lang w:bidi="ar-SA"/>
        </w:rPr>
        <w:t xml:space="preserve">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نصّ فيه، و الأولى أن لايشقّ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لايشق جوف الحيّ فكذا الميّت و المحكيّ عن الشافعي أنّه يشق و يردّ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دفع الضرر عن المالك بردّ ماله إليه و عن الميّت بإبراء ذمّته و عن الورثة بحفظ التركة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ذلك في التذكرة حيث قال بعد نقل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ذلك موجباً لحفظ التركة للورثة أو لإبراء ذمّة الميّت حتى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إحسان إلى الميّت أو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لتجويز التشقيق مع عموم حرمة المسلم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غايته أنّ الإحسان إليهمامستحبّ‌، فلايرفع اليد به عن الحرمة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بحديث نفي الضرر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المالي يزاحمه الضرر غير المالي، و هو هتك المسلم و تشقيق بدنه، فاللازم هو تقديم أقلّ الضررين إن كان، و إلاّ فإن لم يكن ترجيح بينهما فالتخيير، فيجوز التشقيق مع لزوم الدية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البالع أقدم على الضرر، فلايشمله حديث نفي الضرر حتييتزاحم الضرران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على البلع لاعلى الضرر، فلاوجه لعدم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بلعه في حكم الإتلاف فتشتغل ذمّته بمثله أو قيمته، فلايجوز تشقيق البدن تمسّكاً بحديث نفي الضرر مع إتلاف المال و اشتغال ذمّته بمثله أو قيمته، و أيضاً بعد كونه تالفاً لامجال للتمسّك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ردّ عين المال، بل يحكم بوجوب ردّ بدله، فالأقوى هو ما ذهب إليه الشيخ من عدم جواز التشقيق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 xml:space="preserve">. </w:t>
      </w:r>
      <w:bookmarkStart w:id="49" w:name="pg16065_152690"/>
    </w:p>
    <w:p>
      <w:pPr>
        <w:pStyle w:val="Heading5"/>
        <w:numPr>
          <w:ilvl w:val="4"/>
          <w:numId w:val="1"/>
        </w:numPr>
        <w:rPr/>
      </w:pPr>
      <w:bookmarkStart w:id="50" w:name="__RefHeading___Toc285136_1280447820"/>
      <w:bookmarkStart w:id="51" w:name="_Toc17"/>
      <w:bookmarkEnd w:id="49"/>
      <w:bookmarkEnd w:id="50"/>
      <w:r>
        <w:rPr>
          <w:rtl w:val="true"/>
        </w:rPr>
        <w:t>المورد الثامن</w:t>
      </w:r>
      <w:r>
        <w:rPr>
          <w:rtl w:val="true"/>
        </w:rPr>
        <w:t xml:space="preserve">: </w:t>
      </w:r>
      <w:r>
        <w:rPr>
          <w:rtl w:val="true"/>
        </w:rPr>
        <w:t>لو بلع مالاً لنفسه هل يجوز ان يشق بطنه بعد الموت‌؟</w:t>
      </w:r>
      <w:bookmarkEnd w:id="51"/>
    </w:p>
    <w:p>
      <w:pPr>
        <w:pStyle w:val="BookText"/>
        <w:rPr/>
      </w:pPr>
      <w:r>
        <w:rPr>
          <w:rFonts w:ascii="Amiri" w:hAnsi="Amiri" w:eastAsia="Amiri" w:cs="Amiri"/>
          <w:color w:val="111111"/>
          <w:sz w:val="28"/>
          <w:sz w:val="28"/>
          <w:szCs w:val="28"/>
          <w:rtl w:val="true"/>
          <w:lang w:bidi="ar-SA"/>
        </w:rPr>
        <w:t xml:space="preserve">إنّه لو بلع مالاً لنفسه فهل يجوز أن يشقّ بطنه بعد الموت و يؤخذ هذا المال أم لا؟ و 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يشقّ و وجّهه في التذكرة بأنّه ماله استهلكه في حياته فلم يثبت للورثة فيه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بمنع صدق التلف و الاستهلاك مع وجود العين في البدن،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بلع شيء من الأموال و الجواهر مع حرمة تشقيق بدن المسلم بعد الموت كالإتلاف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الممنوع الشرعي كالممتنع العقلي، و العين و إن كانت موجودة لكنّها كالتالفة و لايتعلّق بها حقّ الورثة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التركة لاتشمل التالفات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بحديث نفي الضرر لرفع حرمة التشقيق فرع تعلّق حقّ الورثة بالتالف فمع عدم تعلّق حقّهم به فلاموضوع للحديث،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صار الجسد متلاشياً بمرور الزمان وبرز المال فالظاهر أنّه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الزائل العائد كالذي لم يزل عرفاً، ويرثه الورّاث الموجودون حال البروز،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ما إذا اُجري عملية جراحيّة و استوجب ذلك وضع بعض الفلزات النفيسة في جوف بعض أعضائه ثمّ مات فإنّه بوضعه في البدن يصير تالفاً، فلايتعلّق به حقّ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التركة عليه ما دام موجوداً في البدن الذي يحرم تشقيقه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فالعجب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هنا باستهلاك المال بالبلع و لم يحكم به في المسألة السابقة مع أنّه لافرق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ذلك مستهلكاً بالبلع كان كذلك في كلا المسألتين و إلاّ فلايكون كذلك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bookmarkStart w:id="52" w:name="pg16065_152691"/>
    </w:p>
    <w:p>
      <w:pPr>
        <w:pStyle w:val="Heading3"/>
        <w:numPr>
          <w:ilvl w:val="2"/>
          <w:numId w:val="1"/>
        </w:numPr>
        <w:rPr/>
      </w:pPr>
      <w:bookmarkStart w:id="53" w:name="__RefHeading___Toc285138_1280447820"/>
      <w:bookmarkStart w:id="54" w:name="_Toc18"/>
      <w:bookmarkEnd w:id="52"/>
      <w:bookmarkEnd w:id="53"/>
      <w:r>
        <w:rPr>
          <w:rtl w:val="true"/>
        </w:rPr>
        <w:t>تنبيهات</w:t>
      </w:r>
      <w:bookmarkEnd w:id="54"/>
    </w:p>
    <w:p>
      <w:pPr>
        <w:pStyle w:val="Heading4"/>
        <w:numPr>
          <w:ilvl w:val="3"/>
          <w:numId w:val="1"/>
        </w:numPr>
        <w:rPr/>
      </w:pPr>
      <w:bookmarkStart w:id="55" w:name="__RefHeading___Toc285140_1280447820"/>
      <w:bookmarkStart w:id="56" w:name="_Toc19"/>
      <w:bookmarkEnd w:id="55"/>
      <w:r>
        <w:rPr>
          <w:rtl w:val="true"/>
        </w:rPr>
        <w:t>التنبيه الأوّل</w:t>
      </w:r>
      <w:r>
        <w:rPr>
          <w:rtl w:val="true"/>
        </w:rPr>
        <w:t xml:space="preserve">: </w:t>
      </w:r>
      <w:r>
        <w:rPr>
          <w:rtl w:val="true"/>
        </w:rPr>
        <w:t>الظاهر أنّ لجسد الميت المسلم دية كدية جنين المسلم قبل ولوج الروح</w:t>
      </w:r>
      <w:bookmarkEnd w:id="56"/>
    </w:p>
    <w:p>
      <w:pPr>
        <w:pStyle w:val="BookText"/>
        <w:rPr/>
      </w:pPr>
      <w:r>
        <w:rPr>
          <w:rFonts w:ascii="Amiri" w:hAnsi="Amiri" w:eastAsia="Amiri" w:cs="Amiri"/>
          <w:color w:val="111111"/>
          <w:sz w:val="28"/>
          <w:sz w:val="28"/>
          <w:szCs w:val="28"/>
          <w:rtl w:val="true"/>
          <w:lang w:bidi="ar-SA"/>
        </w:rPr>
        <w:t>لايخفى عليك أنّ الظاهر من كلمات الأصحاب أنّ لجسد الميّت المسلم دية، و هي كدية جنين المسلم قبل و لوج الروح فيه،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قطع رأس المسلم الميّت الحرّ مئة دينار على المشهور بين الأصحاب، بل عن الخلاف و الانتصار و الغنية الإجماع عليه،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ثبوت الدية موثّقة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حرمته ميّتاً كحرمته 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مقدارها خبر الحسين بن خالد الذي عبّر عنه صاحب الجواهر بالحسن و عمل به الأصحاب، روى محمّد بن يعقوب عن عليّ بن إبراهيم عن أبيه عن محمّد بن حفص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رأس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حرّم منه ميتاً كما حرّم منه حيّاً، فمن فعل بميّت فعلاً يكون في مثله اجتياح نفس الحي فعليه الدية، فسألت عن ذلك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عبدالله، 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رأس ميّت أو شقّ بطنه أو فعل به ما يكون فيه اجتياحنفس الحيّ فعليه دية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384:43</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248:19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ديته دية الجنين في بطن اُمّه قبل أن تلج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مئة دينار، و هي لورثته، ودية هذا هي له لاللورثة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أبيه عن إسماعيل بن مهران عن حسين بن خالد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جامع الرواة أنّ المراد من حسين بن خالد هو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فطريق المحاسن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أيضاً بإسناده عن عليّ بن إبراهيم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عليّ بن محبوب عن محمّد بن الحسين عن محمّد بن أشيم عن الحسين بن خالد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الخبر يكفي بعد اعتبار بعض أسناده و عمل الأصحاب به لإثبات مقدار دية الميت، فانقدح أنّ دية الميّت دية الجنين قبل و لوج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تجويز التشريح في الموارد المستثناة لايوجب سقوط الدية إلاّ إذا كانت حياة المسلم متوقفة على ذلك، فلايبعد التمسّك حينئذ بإطلاق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تشقيق بطن الاُم و إخراج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الدية، لأنّ تلك الأخبار كانت في مقام البيان و لم يذكر الدية فيها إذ السؤال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الوظيفة، فلو تعلّق ذمّة الذي يشقّ بطن الاُمّ بالدية لذكره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اقتصر على غير الدية يستفاد منه أنّه لادية في ما إذا توقّف حفظ الحياة على ذلك بناءً على عدم خصوصية الاُمومة و الولدية،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لادية إذا كان التقطيع أو الكسر و غيرهما في مصلحة الميّت، كما إذا وقع بين الأشياء أو تحتها بحيث لايمكن تخليصه للتجهيز إلاّ بالكسر أو الجرح أو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موثقة عبدالله بن سنان و غيرها في أنّ علّة الدية هو هتك 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248:19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الميّت، و حيث إنّ في مثل المورد الذي يكون ذلك في مصلحة الميّت نفسه لايصدق الهتك و الإهانة فلاوجه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أنّه لادليل على ثبوت الدية للميّت غير أمثال هذه الرواية ممّا تكون معلّلة بأنّ الدية لهتك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من باب الحكمة معارض باحتمال كونه من باب العلّة و حيث كان هذان الاحتمالان في كلام واحد فلاينعقد اطلاق للحكم بالدية، فالأصل فيما إذا لم يكن هتك هو عدم الدية،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لادية أيضاً إذا أوصى الميّت بإعطاء جسده للتشريح مجّاناً بناءً على مشروعية تلك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عدم صدق الهتك و الإهانة يكون ذلك مقتضى الوصية، و أمّا إذا كان التشريح من جهة تزاحم الأهمّ فلاإشكال في رفع الحكم التكليفي و هو الحرمة بالتزاحم، و أمّا الحكم الوضعي فلادليل على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الملازمة بين الحكم بالجواز و سقوط الدية غير ثابتة، مع إمكان اجتماع الجواز مع ثبوت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جواز الارتكاب مع ثبوت الكفّارة في بعض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 أدلّة الدية هو ثبوتها و لو كان التشريح أو التقطيع جائزاً من جهة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أذن ولي أمر المسلمين بالتشريح من دون الدية لاقتضاء المصلحة الموجبة لذلك مع عدم إمكان أداء الدية من بيت المال فالدية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الولي يقوم مقام الإمام الأصل في أولوية التصرّف فيما إذا رأى المصلحة 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تنزيل الميّت منزلة الجنين في ثبوت الدية و مقدارها هو ثبوتها في الأعضاء و الجوارح أيضاً بحسب نسبتها إلى كلّ الدية على حسب ما قرّر في الحيّ‌، و لذلك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قطع جوارحه بحساب ديته و كذا في شجاجه و جراحه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موثقة حسين بن خالد أنّ الوارث لايرث من الدية شيئاً، و إنّما </w:t>
      </w:r>
      <w:bookmarkStart w:id="57" w:name="pg16065_152694"/>
    </w:p>
    <w:p>
      <w:pPr>
        <w:pStyle w:val="BookText"/>
        <w:rPr/>
      </w:pPr>
      <w:bookmarkEnd w:id="57"/>
      <w:r>
        <w:rPr>
          <w:rFonts w:ascii="Amiri" w:hAnsi="Amiri" w:eastAsia="Amiri" w:cs="Amiri"/>
          <w:color w:val="111111"/>
          <w:sz w:val="28"/>
          <w:sz w:val="28"/>
          <w:szCs w:val="28"/>
          <w:rtl w:val="true"/>
          <w:lang w:bidi="ar-SA"/>
        </w:rPr>
        <w:t xml:space="preserve">يصرف في وجوه القرب عنه، و يؤيّده مرسلة محمّد بن الصباح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لورثته فيها شيء، إنّما هذا شيء أتى إليه في بدنه بعد موته يحجّ بها عنه أو يتصدّق بها عنه أو تصير في سبيل من سبل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ذهب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الدية تكون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عقوبة جناية، و لاقاطع بوجوب الصرف في وجوه الخير عنه، و لأنّ إسحاق بن عمّار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يأخذ ديته‌؟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لله، و إن قطعت يمينه أو شيء من جوارحه فعليه الأرش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الجواهر بأنّ 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عرفت من النصّ و غيره كاف في القاطع، و خبر إسحاق يمكن أن يكون المراد منه أنّ الإمام و من نصبه يقبضها و يتصدّق بها عنه فإنّه الولي لمثل ذلك، كما أشار إليه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يقبضها إمام المسلمين أو من نصبه للحكم في الرعية و يتصدّق عن الميّت بها،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تختلف الأقوال في صرف الدية في أداء ديون الميّت،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هذا هي له لاللورثة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أداء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شموله يوجب تفريغ ذمّة الميّت، و يكون ذلك له و بنفعه، و لعلّ الحجّ و التصدّق مذكور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يؤول ما في الجواهر من أنّ التحقيق قضاء الدين منها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بقاء خطاب الوضع في ديته و إن سقط عنه خطاب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85142_1280447820"/>
      <w:bookmarkStart w:id="59" w:name="_Toc20"/>
      <w:bookmarkEnd w:id="58"/>
      <w:r>
        <w:rPr>
          <w:rtl w:val="true"/>
        </w:rPr>
        <w:t>التنبيه الثاني</w:t>
      </w:r>
      <w:r>
        <w:rPr>
          <w:rtl w:val="true"/>
        </w:rPr>
        <w:t xml:space="preserve">: </w:t>
      </w:r>
      <w:r>
        <w:rPr>
          <w:rtl w:val="true"/>
        </w:rPr>
        <w:t>لايجوز نظر الرجل الى المرأة و بالعكس فى موارد جواز التشريح</w:t>
      </w:r>
      <w:bookmarkEnd w:id="59"/>
    </w:p>
    <w:p>
      <w:pPr>
        <w:pStyle w:val="BookText"/>
        <w:rPr/>
      </w:pPr>
      <w:r>
        <w:rPr>
          <w:rFonts w:ascii="Amiri" w:hAnsi="Amiri" w:eastAsia="Amiri" w:cs="Amiri"/>
          <w:color w:val="111111"/>
          <w:sz w:val="28"/>
          <w:sz w:val="28"/>
          <w:szCs w:val="28"/>
          <w:rtl w:val="true"/>
          <w:lang w:bidi="ar-SA"/>
        </w:rPr>
        <w:t>لايجوز نظر الرجل إلى المرأة و بالعكس في موارد جواز التشريح، و هكذا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247:19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ديات الأعضاء،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388:43</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389:43</w:t>
      </w:r>
      <w:r>
        <w:rPr>
          <w:rFonts w:eastAsia="IRNazanin" w:cs="IRNazanin"/>
          <w:color w:val="111111"/>
          <w:sz w:val="28"/>
          <w:szCs w:val="28"/>
          <w:rtl w:val="true"/>
          <w:lang w:bidi="fa-IR"/>
        </w:rPr>
        <w:t xml:space="preserve">. </w:t>
      </w:r>
      <w:bookmarkStart w:id="60" w:name="pg16065_152695"/>
    </w:p>
    <w:p>
      <w:pPr>
        <w:pStyle w:val="BookText"/>
        <w:rPr/>
      </w:pPr>
      <w:bookmarkEnd w:id="60"/>
      <w:r>
        <w:rPr>
          <w:rFonts w:ascii="Amiri" w:hAnsi="Amiri" w:eastAsia="Amiri" w:cs="Amiri"/>
          <w:color w:val="111111"/>
          <w:sz w:val="28"/>
          <w:sz w:val="28"/>
          <w:szCs w:val="28"/>
          <w:rtl w:val="true"/>
          <w:lang w:bidi="ar-SA"/>
        </w:rPr>
        <w:t>لايجوز اللمس و المسّ من دون فرق بين المسلم و الكافر، و أيضاً لايجوز للمماثل كشف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حرمة النظر و اللمس و المسّ‌، فلايجوز رفع اليد عنه ما لم يزاحمه الضرورة و الاضطرار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85144_1280447820"/>
      <w:bookmarkStart w:id="62" w:name="_Toc21"/>
      <w:bookmarkEnd w:id="61"/>
      <w:r>
        <w:rPr>
          <w:rtl w:val="true"/>
        </w:rPr>
        <w:t>التنبيه الثالث</w:t>
      </w:r>
      <w:r>
        <w:rPr>
          <w:rtl w:val="true"/>
        </w:rPr>
        <w:t xml:space="preserve">: </w:t>
      </w:r>
      <w:r>
        <w:rPr>
          <w:rtl w:val="true"/>
        </w:rPr>
        <w:t>اللازم فى موارد جواز التشريح و نحوه الاكتفاء بالارفق فالارفق</w:t>
      </w:r>
      <w:bookmarkEnd w:id="62"/>
    </w:p>
    <w:p>
      <w:pPr>
        <w:pStyle w:val="BookText"/>
        <w:rPr/>
      </w:pPr>
      <w:r>
        <w:rPr>
          <w:rFonts w:ascii="Amiri" w:hAnsi="Amiri" w:eastAsia="Amiri" w:cs="Amiri"/>
          <w:color w:val="111111"/>
          <w:sz w:val="28"/>
          <w:sz w:val="28"/>
          <w:szCs w:val="28"/>
          <w:rtl w:val="true"/>
          <w:lang w:bidi="ar-SA"/>
        </w:rPr>
        <w:t xml:space="preserve">إنّ اللازم في موارد جواز التشريح و نحوه هو الاكتفاء بالأرفق فالأرفق، فلايجوز الزائد على القدر الواجب كما صرّح بذلك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موردإخراج الولد الحيّ من بطن اُمّه الميّت و ذلك لأنّ الضرورة تتقدّر بقدرها، و بقي الباقي تحت عمومات المنع فإن تجاوز عنه عصى و كان ضامناً للدية من دون فرق بين الموارد المستثناة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85146_1280447820"/>
      <w:bookmarkStart w:id="64" w:name="_Toc22"/>
      <w:bookmarkEnd w:id="63"/>
      <w:r>
        <w:rPr>
          <w:rtl w:val="true"/>
        </w:rPr>
        <w:t>التنبيه الرابع</w:t>
      </w:r>
      <w:r>
        <w:rPr>
          <w:rtl w:val="true"/>
        </w:rPr>
        <w:t xml:space="preserve">: </w:t>
      </w:r>
      <w:r>
        <w:rPr>
          <w:rtl w:val="true"/>
        </w:rPr>
        <w:t>تجب خياطة مواضع التشريح</w:t>
      </w:r>
      <w:bookmarkEnd w:id="64"/>
    </w:p>
    <w:p>
      <w:pPr>
        <w:pStyle w:val="BookText"/>
        <w:rPr/>
      </w:pPr>
      <w:r>
        <w:rPr>
          <w:rFonts w:ascii="Amiri" w:hAnsi="Amiri" w:eastAsia="Amiri" w:cs="Amiri"/>
          <w:color w:val="111111"/>
          <w:sz w:val="28"/>
          <w:sz w:val="28"/>
          <w:szCs w:val="28"/>
          <w:rtl w:val="true"/>
          <w:lang w:bidi="ar-SA"/>
        </w:rPr>
        <w:t>تجب خياطة مواضع التشريح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لموثّقة ابن أبي عمير حيث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الجواب عن السؤال في المرأة تموت و يتحرّك الولد في بطنها أيشقّ بطنها و يخرج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يخاط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ذكر ذلك في سائر الأخبار مع كونها في مقام البيان يشهد على عدم وجوب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85148_1280447820"/>
      <w:bookmarkStart w:id="66" w:name="_Toc23"/>
      <w:bookmarkEnd w:id="65"/>
      <w:r>
        <w:rPr>
          <w:rtl w:val="true"/>
        </w:rPr>
        <w:t>التنبيه الخامس</w:t>
      </w:r>
      <w:r>
        <w:rPr>
          <w:rtl w:val="true"/>
        </w:rPr>
        <w:t xml:space="preserve">: </w:t>
      </w:r>
      <w:r>
        <w:rPr>
          <w:rtl w:val="true"/>
        </w:rPr>
        <w:t>حكم العضو من اعضاء المسلم كحكم جسده الكامل</w:t>
      </w:r>
      <w:bookmarkEnd w:id="6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حكم العضو من أعضاء المسلم كحكم جسده الكامل، فكما لايجوز تشريح جسده الكامل كذلك لايجوز تشريح بعض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وجد بعض الأعضاء في مقابر المسلمين ممّا يحكم بكونه من المسلم يترتّب عليه ما يترتّب على جسده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انصراف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حرمته ميّتاً كحرمته و هو حيّ‌</w:t>
      </w:r>
      <w:r>
        <w:rPr>
          <w:rFonts w:eastAsia="Amiri" w:cs="Amiri" w:ascii="Amiri" w:hAnsi="Amiri"/>
          <w:color w:val="111111"/>
          <w:sz w:val="28"/>
          <w:szCs w:val="28"/>
          <w:rtl w:val="true"/>
          <w:lang w:bidi="ar-SA"/>
        </w:rPr>
        <w:t xml:space="preserve">» </w:t>
      </w:r>
      <w:bookmarkStart w:id="67" w:name="pg16065_152696"/>
    </w:p>
    <w:p>
      <w:pPr>
        <w:pStyle w:val="BookText"/>
        <w:rPr/>
      </w:pPr>
      <w:bookmarkEnd w:id="67"/>
      <w:r>
        <w:rPr>
          <w:rFonts w:ascii="IRNazanin" w:hAnsi="IRNazanin" w:eastAsia="IRNazanin"/>
          <w:color w:val="111111"/>
          <w:sz w:val="28"/>
          <w:sz w:val="28"/>
          <w:szCs w:val="28"/>
          <w:rtl w:val="true"/>
          <w:lang w:bidi="fa-IR"/>
        </w:rPr>
        <w:t>عن الأعضاء، بلاوجه</w:t>
      </w:r>
      <w:r>
        <w:rPr>
          <w:rFonts w:eastAsia="IRNazanin" w:cs="IRNazanin"/>
          <w:color w:val="111111"/>
          <w:sz w:val="28"/>
          <w:szCs w:val="28"/>
          <w:rtl w:val="true"/>
          <w:lang w:bidi="fa-IR"/>
        </w:rPr>
        <w:t>.</w:t>
      </w:r>
    </w:p>
    <w:p>
      <w:pPr>
        <w:pStyle w:val="Heading4"/>
        <w:numPr>
          <w:ilvl w:val="3"/>
          <w:numId w:val="1"/>
        </w:numPr>
        <w:rPr/>
      </w:pPr>
      <w:bookmarkStart w:id="68" w:name="__RefHeading___Toc285150_1280447820"/>
      <w:bookmarkStart w:id="69" w:name="_Toc24"/>
      <w:bookmarkEnd w:id="68"/>
      <w:r>
        <w:rPr>
          <w:rtl w:val="true"/>
        </w:rPr>
        <w:t>التنبيه السادس</w:t>
      </w:r>
      <w:r>
        <w:rPr>
          <w:rtl w:val="true"/>
        </w:rPr>
        <w:t xml:space="preserve">: </w:t>
      </w:r>
      <w:r>
        <w:rPr>
          <w:rtl w:val="true"/>
        </w:rPr>
        <w:t>تغسيل الميت واجب و مقدم على التشريح</w:t>
      </w:r>
      <w:bookmarkEnd w:id="69"/>
    </w:p>
    <w:p>
      <w:pPr>
        <w:pStyle w:val="BookText"/>
        <w:rPr/>
      </w:pPr>
      <w:r>
        <w:rPr>
          <w:rFonts w:ascii="Amiri" w:hAnsi="Amiri" w:eastAsia="Amiri" w:cs="Amiri"/>
          <w:color w:val="111111"/>
          <w:sz w:val="28"/>
          <w:sz w:val="28"/>
          <w:szCs w:val="28"/>
          <w:rtl w:val="true"/>
          <w:lang w:bidi="ar-SA"/>
        </w:rPr>
        <w:t>إنّ تغسيل الميّت واجب و مقدّم على التشريح في موارد الجواز إلاّ إذا زاحمه حفظ حياة مسلم آخر فيجوز تأخيره، فإذا قدّم التغسيل لايجب إعادته بعد التشريح، نعم وجب تطهير البدن من النجاسة إن أمكن و تجهيزه و تكفينه، و لايجوز إلقاء بعض الأجزاء فضلاً عن الأعضاء في المزابل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احترام المسلم، و عموم أدلّة الدفن و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ورد في لزوم دفن ما سقط من الميّت من الشعر و نحوه، كموثّقة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 من الميّت شعر و لاظفر، و إن سقط منه شيء فاجعله في كفنه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694:2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الميّت،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0" w:name="pg16065_152697"/>
    </w:p>
    <w:p>
      <w:pPr>
        <w:pStyle w:val="Heading2"/>
        <w:numPr>
          <w:ilvl w:val="1"/>
          <w:numId w:val="1"/>
        </w:numPr>
        <w:rPr/>
      </w:pPr>
      <w:bookmarkStart w:id="71" w:name="__RefHeading___Toc285152_1280447820"/>
      <w:bookmarkStart w:id="72" w:name="_Toc25"/>
      <w:bookmarkEnd w:id="70"/>
      <w:bookmarkEnd w:id="71"/>
      <w:r>
        <w:rPr>
          <w:rtl w:val="true"/>
        </w:rPr>
        <w:t>المسألة الحادية عشر</w:t>
      </w:r>
      <w:r>
        <w:rPr>
          <w:rtl w:val="true"/>
        </w:rPr>
        <w:t xml:space="preserve">: </w:t>
      </w:r>
      <w:r>
        <w:rPr>
          <w:rtl w:val="true"/>
        </w:rPr>
        <w:t xml:space="preserve">في تصفية الوقف الذريّ </w:t>
      </w:r>
      <w:r>
        <w:rPr>
          <w:rtl w:val="true"/>
        </w:rPr>
        <w:t>(</w:t>
      </w:r>
      <w:r>
        <w:rPr>
          <w:rtl w:val="true"/>
        </w:rPr>
        <w:t>النسلي</w:t>
      </w:r>
      <w:r>
        <w:rPr>
          <w:rtl w:val="true"/>
        </w:rPr>
        <w:t>)</w:t>
      </w:r>
      <w:bookmarkEnd w:id="72"/>
    </w:p>
    <w:p>
      <w:pPr>
        <w:pStyle w:val="BookText"/>
        <w:rPr/>
      </w:pPr>
      <w:r>
        <w:rPr>
          <w:rFonts w:ascii="Amiri" w:hAnsi="Amiri" w:eastAsia="Amiri" w:cs="Amiri"/>
          <w:color w:val="111111"/>
          <w:sz w:val="28"/>
          <w:sz w:val="28"/>
          <w:szCs w:val="28"/>
          <w:rtl w:val="true"/>
          <w:lang w:bidi="ar-SA"/>
        </w:rPr>
        <w:t xml:space="preserve">قال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له أن يكون الوقف مثار جدل و نقاش في الأونة الأخيرة، فيتصدّي الكثير ممّن لم يهمّه أمر الدين الإسلامي الحنيف للمطالبة بإلغائه و تخويل السلطة بتصفية ما هو موجود منه و قائم بين الناس متذرّعين بحجج واهية لاأساس لها و لااعتبار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مايصرّحون به من أنّ الوقف أصبح منشأ لوجود الخصومات بين الأسر و الجماعات أو أنّه إسقاط العين الموقوفة عن معرض الازدهار و الترقّي إذ لاتكون قابلة للإنتقال من ملك شخص لآخر و من ثمّ إجراء ما يقتضيه هذا من إدخال التحسينات على العين الموقوفة و ما إلى ذلك من الأعذار غافلين عن جهة دقيقة هي أنّ ما يدّعونه يعود بالنتيجة إلى سوء تصرّف المتولّين و الإهمال منهم بشؤون الوقف</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الأحرى بهؤلاء أن يطالبوا بتشديد العقوبات و الضرب على أيدي العابثين بالوقف ليكون ذلك أجدر بهم كمسلمين ينظرون إلى الشريعة المقدّسة نظر اعتبار و تفهّم، فإنّ ديننا الإسلامي الحنيف لم يكن وليد تفكير سطحيّ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من البشر يوم لم يكن للحضارة مالها اليوم من الترقّي و الازدهار بل إنّها رسالة السماء إلى الأرض بعد ما شاءت الحكمة الإلهيّة أن تكون </w:t>
      </w:r>
    </w:p>
    <w:p>
      <w:pPr>
        <w:pStyle w:val="BookText"/>
        <w:rPr/>
      </w:pPr>
      <w:r>
        <w:rPr>
          <w:rFonts w:ascii="Amiri" w:hAnsi="Amiri" w:eastAsia="Amiri" w:cs="Amiri"/>
          <w:color w:val="111111"/>
          <w:sz w:val="28"/>
          <w:sz w:val="28"/>
          <w:szCs w:val="28"/>
          <w:rtl w:val="true"/>
          <w:lang w:bidi="ar-SA"/>
        </w:rPr>
        <w:t xml:space="preserve">هذه الرسالة خاتمة الرسالات الإلهيّة و آخر قانون يبقى ليتحدّى الزمن فينشر لهم كلّ يوم من الأسرار ما عجزت عن فهمه القرون السالفة فلاغرو أن كانت الرسالة الإسلاميّة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للبشر حياة هانئة و سعادة أفضل إلى اليوم الذي يختار الله عزّوجلّ للبشريّة النهائيّة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ساقنا لهذا الكلام إلاّ أن نبيّن لهؤلاء الذين طالبوا بإلغاء الوقف الذريّ بأنّ سوء التصرّف الذي يصدر من القائمين بشؤون الوقف لايكون منشأ لتصفية الوقف و تشويه حقيقته و لاإخفاء ما قصده المشرع الأعظم من وراء تشريعه من المنافع التي تعود إلى الصنف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إلى يوم القيامة كما و أنّ حرام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لأنّ الوقف بعد تماميّة إنشائه و حصول القبض و غيره من الشرائط لايجوز تغييره و تبديله في غير موارد الإستثناء كما يقتضيه عنوان الوقف لأنّ حقيقة الوقف هو تحبيس الأصل و تسبيل المنفعة أو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عليه الأخبار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لاتباع و لاتوهب و لاتورث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 إنّ عدم جواز البيع و النقل و الانتقال داخل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صريح صحيحة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يقف الضيعة ثم يبدو له أن يحدث في ذلك شيئاً، فقال إن كان وقفها لوُلده و لغيرهم ثمّ جعل لها قيّماً لم يكن له أن يرجع فيها، و إن كانوا صغاراً و قد شرط ولايتها لهم حتّى بلغوا فيحوزها لهم لم يكن له أن يرجع فيها، و إن كانوا كباراً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يسلّمها إليهم و لم يخاصموا حتّى يحوزوها عنه فله أن يرجع فيها لأنّهم يحوزونها عنه و قد بلغوا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فالإستدلال بالمذكورات في مقابل هذه الأخبار اجتهاد في مقابل النصوص و لاوقع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استدلّ في كتب أهل التسنّن لذلك بما أفتى به شريح القاضي من إبطال الوقف و هو كماترى، لأنّه لاعبرة بفتوى مثل شريح في قبال النصوص و الإجماع بل الاتّفاق فيما إذا حكم بالوقف حاكم شرعيّ بناء على اعتباره عند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نهى عن الحبس فالجواب عنه واضح كما في بحوث فقهيّة، فإنّه على تقدير ثبوته لايضرّ بما نحن فيه من الوقف إذ الحبس شيء و الوقف شيء آخر و لكلّ أحكامه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إرادة الوقف من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نهيه عن الحبس كما في بحوث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فتصفية الوقف الذري بدعة ممنوعة عند جميع المذاهب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موارد الاستثناء فهي ليست من باب التصفية المذكورة بل تدلّ عليه الروايات الشرعيّة بالخصوص،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065_152701"/>
      <w:bookmarkStart w:id="74" w:name="pg16065_152701"/>
      <w:bookmarkEnd w:id="74"/>
    </w:p>
    <w:p>
      <w:pPr>
        <w:pStyle w:val="Heading2"/>
        <w:numPr>
          <w:ilvl w:val="1"/>
          <w:numId w:val="1"/>
        </w:numPr>
        <w:rPr/>
      </w:pPr>
      <w:bookmarkStart w:id="75" w:name="pg16065_152701"/>
      <w:bookmarkStart w:id="76" w:name="__RefHeading___Toc285154_1280447820"/>
      <w:bookmarkStart w:id="77" w:name="_Toc26"/>
      <w:bookmarkEnd w:id="75"/>
      <w:bookmarkEnd w:id="76"/>
      <w:r>
        <w:rPr>
          <w:rtl w:val="true"/>
        </w:rPr>
        <w:t>المسألة الثانية عشر التصوير</w:t>
      </w:r>
      <w:bookmarkEnd w:id="77"/>
    </w:p>
    <w:p>
      <w:pPr>
        <w:pStyle w:val="Heading3"/>
        <w:numPr>
          <w:ilvl w:val="2"/>
          <w:numId w:val="1"/>
        </w:numPr>
        <w:rPr/>
      </w:pPr>
      <w:bookmarkStart w:id="78" w:name="__RefHeading___Toc285156_1280447820"/>
      <w:bookmarkStart w:id="79" w:name="_Toc27"/>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لايخفى أنّ الصور إمّا مجسّمات و إمّا غير مجسّمات، و كلاهما إمّا ذوات أرواح و إمّا غير ذوات 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لاإشكال في جواز تصوير غير ذوات الأرواح، سواء كان مع التجسيم أو بدونه، كما تدلّ عليه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بتماثيل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الأخبار، مضافاً إلى السيرة القطعيّة المستمرة إلى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تصوير الأشجار و الفواكه و الجبال و الشطوط و الحدائق و غيرها من دون إنكار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تصوير ذوات الأرواح و يقع البحث عنها في مقامات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223:17</w:t>
      </w:r>
      <w:r>
        <w:rPr>
          <w:rFonts w:ascii="Amiri" w:hAnsi="Amiri" w:eastAsia="Amiri" w:cs="Amiri"/>
          <w:color w:val="111111"/>
          <w:sz w:val="28"/>
          <w:sz w:val="28"/>
          <w:szCs w:val="28"/>
          <w:rtl w:val="true"/>
          <w:lang w:bidi="ar-SA"/>
        </w:rPr>
        <w:t xml:space="preserve">، باب تحريم تصوير تماثيل ذوات الأرواح،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80" w:name="pg16065_152702"/>
    </w:p>
    <w:p>
      <w:pPr>
        <w:pStyle w:val="Heading3"/>
        <w:numPr>
          <w:ilvl w:val="2"/>
          <w:numId w:val="1"/>
        </w:numPr>
        <w:rPr/>
      </w:pPr>
      <w:bookmarkStart w:id="81" w:name="__RefHeading___Toc285158_1280447820"/>
      <w:bookmarkStart w:id="82" w:name="_Toc28"/>
      <w:bookmarkEnd w:id="80"/>
      <w:bookmarkEnd w:id="81"/>
      <w:r>
        <w:rPr>
          <w:rtl w:val="true"/>
        </w:rPr>
        <w:t>المقام الأوّل في حرمة عمل الصور المجسَّمة</w:t>
      </w:r>
      <w:bookmarkEnd w:id="82"/>
    </w:p>
    <w:p>
      <w:pPr>
        <w:pStyle w:val="Heading4"/>
        <w:numPr>
          <w:ilvl w:val="3"/>
          <w:numId w:val="1"/>
        </w:numPr>
        <w:rPr/>
      </w:pPr>
      <w:bookmarkStart w:id="83" w:name="__RefHeading___Toc285160_1280447820"/>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صرّح صاحب الجواهر و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الخلاف فتوى و نصّاً في حرمة عملها،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المنقول منه مستفيض كالنصوص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عليها بعدّة طوائف من الأخبار</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85162_1280447820"/>
      <w:bookmarkStart w:id="86" w:name="_Toc30"/>
      <w:bookmarkEnd w:id="85"/>
      <w:r>
        <w:rPr>
          <w:rtl w:val="true"/>
        </w:rPr>
        <w:t>الطائفة الاُولى</w:t>
      </w:r>
      <w:r>
        <w:rPr>
          <w:rtl w:val="true"/>
        </w:rPr>
        <w:t xml:space="preserve">: </w:t>
      </w:r>
      <w:r>
        <w:rPr>
          <w:rtl w:val="true"/>
        </w:rPr>
        <w:t>الروايات الدالّة على أنّ المصوّر مكلّف يوم القيامه بنفخ الروح</w:t>
      </w:r>
      <w:bookmarkEnd w:id="86"/>
    </w:p>
    <w:p>
      <w:pPr>
        <w:pStyle w:val="BookText"/>
        <w:rPr/>
      </w:pPr>
      <w:r>
        <w:rPr>
          <w:rFonts w:ascii="Amiri" w:hAnsi="Amiri" w:eastAsia="Amiri" w:cs="Amiri"/>
          <w:color w:val="111111"/>
          <w:sz w:val="28"/>
          <w:sz w:val="28"/>
          <w:szCs w:val="28"/>
          <w:rtl w:val="true"/>
          <w:lang w:bidi="ar-SA"/>
        </w:rPr>
        <w:t>الروايات الدالّة على أنّ المصوّر مكلّف يوم القيامة بنفخ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عليّ بن إبراهيم، عن أبيه، عن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تمثالاً كُلّف يوم القيامة أن ينفخ فيه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ثواب الأعمال،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الصفّار، عن يعقوب بن يزيد، عن محمّد بن الحسن الميثمي، عن هشام بن أحمر و عبدالله بن مسكان،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527:6</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من الحيوان يعذّب حتى ينفخ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الطريق إلى محمّد بن مروان موثّق، ولكن لاتوثيق لمحمّد بن مروان، إلاّ أنّ رواية الأجلاّء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كالحلبي و أبان و عبدالله بن مسكان و أبي أيّوب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كذب في رؤياه يكلّف أن يعقد بين شعيرتين، وليس بعاقد بينهما، و رجل صوّر تماثيل يكلّف أن ينفخ فيها، و ليس بنافخ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الفقيه و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التصاوير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كلّفه الله يوم القيامة أن ينفخ فيها، و ليس بنافخ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المحاسن، عن سعد بن ظريف،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هم المصوّرون، يكلّفون يوم القيامة أن ينفخوا فيها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هذا الخبر على عِظم حرمة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موجباً لإيذاءالله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مجموع أخبار هذه الطائفة هو حرمة عمل المجسّمات لذوات الأرواح، و لاضير في ضعف بعضها بعد اعتبار البعض الآخر، هذا مضافاً إلى استفاضتها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عقاب من صوّر صورة،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528:6</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باب مناهي النبيّ‌،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جماعة المدرّسين</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87" w:name="pg16065_152704"/>
    </w:p>
    <w:p>
      <w:pPr>
        <w:pStyle w:val="Heading4"/>
        <w:numPr>
          <w:ilvl w:val="3"/>
          <w:numId w:val="1"/>
        </w:numPr>
        <w:rPr/>
      </w:pPr>
      <w:bookmarkStart w:id="88" w:name="__RefHeading___Toc285164_1280447820"/>
      <w:bookmarkStart w:id="89" w:name="_Toc31"/>
      <w:bookmarkEnd w:id="87"/>
      <w:bookmarkEnd w:id="88"/>
      <w:r>
        <w:rPr>
          <w:rtl w:val="true"/>
        </w:rPr>
        <w:t>الطائفة الثانية</w:t>
      </w:r>
      <w:r>
        <w:rPr>
          <w:rtl w:val="true"/>
        </w:rPr>
        <w:t xml:space="preserve">: </w:t>
      </w:r>
      <w:r>
        <w:rPr>
          <w:rtl w:val="true"/>
        </w:rPr>
        <w:t>الروايات الناهية عن التماثيل و التصاوير</w:t>
      </w:r>
      <w:bookmarkEnd w:id="89"/>
    </w:p>
    <w:p>
      <w:pPr>
        <w:pStyle w:val="Heading5"/>
        <w:numPr>
          <w:ilvl w:val="4"/>
          <w:numId w:val="1"/>
        </w:numPr>
        <w:rPr/>
      </w:pPr>
      <w:bookmarkStart w:id="90" w:name="__RefHeading___Toc285166_1280447820"/>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الروايات الناهية عن التماثيل و التصاوير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العبّاس البقباق المرويّة بطرق متعدّدة، من جملتها ما في الكافي، عن محمّد بن يحيى، عن أحمد و عبدالله ابني محمّد بن عيسى، عن عليّ بن الحكم، عن أبان بن عثمان،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 ولكنّها تماثيل الشجر و 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الرواية أنّ حرمة تماثيل ذوات الأرواح مفروغ منها لدى السائل و المسؤول، و لذا حلف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لتنزيه ساحة سليمان النبيّ‌، على نبيّنا و آله و عليه أالسلام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الدعوى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إنكار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كونها محرّمة على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لعلّها كانت مكروهة عليه كراهة شديدة لايليق ارتكابها بمثل النبيّ‌، فالتمسّك بها لإثبات المطلوب ضعيف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وقوع المكروهات لبيان جواز الأشياء غير عزيز، و لايوجب السؤال، و لايحتاج في دفع احتماله إلى القَسم، نعم لاإطلاق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مقام البيان،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 القمر،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ما لم يكن شيئاً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هو عن التماثيل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منصرف إليها،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527:6</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من 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طمؤسّسة تنظيم ونشر تراث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223:17</w:t>
      </w:r>
      <w:r>
        <w:rPr>
          <w:rFonts w:ascii="Amiri" w:hAnsi="Amiri" w:eastAsia="Amiri" w:cs="Amiri"/>
          <w:color w:val="111111"/>
          <w:sz w:val="28"/>
          <w:sz w:val="28"/>
          <w:szCs w:val="28"/>
          <w:rtl w:val="true"/>
          <w:lang w:bidi="ar-SA"/>
        </w:rPr>
        <w:t xml:space="preserve">، باب تحريم تصوير تماثيل ذوات الأرواح،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يؤيّده المروي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عن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أن يلعب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التماثيل الموجودة فأجاب عن عدم صلاحية اللعب بها، و عليه فالسؤال عن حكم الأفعال المناسبة للتماثيل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اللعب و الاقتناء و البيع و الشراء، فالرواية أجنبيّة عن المقام من تجسيم ذوات الأرواح و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المرجوحيّة و الكراهة شائع، فثبوت البأس في إيجاد صور ذوات الأرواح لايفيد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شيوع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المرجوحيّة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البأس هو العقوبة، فنفيه نفي العقوبة لانفي الكراهة و المرجوحيّة، و مجرّد الاستعمال في بعض الأحيان لاينافي الظهور المذكور، و عليه فثبوت البأس يفيد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اكتفاء السائل بالجواب في المروي عن عليّ بن جعفر قرينة على أنّ سؤاله عن خصوص اللعب بالتماثيل لامطلقاً، و ليس هذا شاهداً على أنّه في كلّ مورد كذلك، بل ورد في بعض الأخبار النهي عن التصاوير و كان المقصود منه النهي عن الإيجاد،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المروي في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 ربّك ينهى عن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يشمل النهي عن إيجاد التصاوير، و يؤيّده ما رواه في الفقيه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التصاوير،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كلّفه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المروي في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مناهي النبيّ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ينهى عن تزويق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تزويق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متعلّق النهي هو المعنى المصدري للتصوير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لااتّخاذ الصور و اقتناؤها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فلاحاجة إلى إضافة التصاوير إلى التماثيل، هذا مضافاً إلى أنّ السائل سأل عن التزويق، و هو معنى مصدري، فمناسبة الجواب للسؤال تقتضي أن يكون المراد من التصاوير معناه المصدري، ولكنّه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مُثُل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فعله و تعليمه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الخصال في حديث الأربعمئة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اليقطيني، عن القاسم بن يحيى، عن جدّه الحسن بن راشد، عن أبي بصير و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أصحابه في مجلس واحد أربعمئة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عمل الصور فتُسألوا عنها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 اليقطيني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التفات النجاشي إلى ما ورد في قدحه،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أصحابنا ينكرون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العبيدي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 اليقطيني مثله، و كان الفضل يحبّه و يثني عليه و يمدحه، و لرواية الأجلاّء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لاوقع لتضعيف ابن الغضائري للقاسم بن يحيى، كما أفاد الوحيد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526:6</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149:17</w:t>
      </w:r>
      <w:r>
        <w:rPr>
          <w:rFonts w:ascii="Amiri" w:hAnsi="Amiri" w:eastAsia="Amiri" w:cs="Amiri"/>
          <w:color w:val="111111"/>
          <w:sz w:val="28"/>
          <w:sz w:val="28"/>
          <w:szCs w:val="28"/>
          <w:rtl w:val="true"/>
          <w:lang w:bidi="ar-SA"/>
        </w:rPr>
        <w:t xml:space="preserve">، باب وجوب الاجتناب عن الحرام،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جامع الرواة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تضعيفاته، خصوصاً مع عدم تضعيف المشايخ إيّاه، و رواية الأجلاّء عنه، سيّما مثل أحمد بن محمّد بن عيسى، و عليه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السحت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يصوّرون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لاتبعد دعوى تمامية دلالة غالبها على حرمة عمل المجسّمات مع صحّة بعض أسنادها، مضافاً إلى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الدعوى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طائفة من الأخبار بمناسبة الحكم والموضوع أنّ المراد بالتماثيل والصور فيها هي تماثيل الأصنام التي كانت مورد العبادة،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رجل قتل نبيّاً أو قتله نبي، و رجل يضلّ الناس بغير علم، أو مصوّر يصوّر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عذاباً عند الله يوم القيامة المصوّرون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تلك التوعيدات و التشديدات لاتناسب مطلق عمل المجسّمة أو تنقيش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عملها لايكون أعظم من قتل النفس المحترمة أو الزنا أو اللواطة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223:17</w:t>
      </w:r>
      <w:r>
        <w:rPr>
          <w:rFonts w:ascii="Amiri" w:hAnsi="Amiri" w:eastAsia="Amiri" w:cs="Amiri"/>
          <w:color w:val="111111"/>
          <w:sz w:val="28"/>
          <w:sz w:val="28"/>
          <w:szCs w:val="28"/>
          <w:rtl w:val="true"/>
          <w:lang w:bidi="ar-SA"/>
        </w:rPr>
        <w:t xml:space="preserve">، باب تحريم تصوير التماثيل،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شرب الخمر و غيرها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منها تصوير التماثيل التي هم لها عاكفون، مع احتمال آخر في الأخيرة، و هو أنّ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بالصورة و التخطيط في الله تعالى، كما هو مذهب معروف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المظنون الموافق للاعتبار و طباع الناس أنّ جمعاً من الأعراب بعد هدم أساس كفرهم و كسر أصنامهم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كانت علقتهم بتلك الصور و التماثيل باقية في سرّ قلوبهم، فصنعوا أمثالها حفظاً لآثار أسلافهم و حبّاً لبقائها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بتلك التشديدات و التوعيدات التي لاتناسب إلاّ الكفّار و من يتلو 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قمعاً لأساس الكفر و مادة الزندقة، و دفعاً عن حوزة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تلك الر وايات ظاهرة أو منصرفة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تحمل رواية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 كسر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السكوني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صورة إلاّ محوتها، و لاقبراً إلاّ سوّيته، و لاكلباً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لذلك دليل على اهتمامه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الصور كانت صور الهياكل و الأصنام و من بقايا آثار الكفر و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أن يكون الكلب في الرواية الثانية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عرضه داء الكلب، و هو داء شبه الجنون يعرضه، فإذا عقر إنساناً عرضه ذلك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أمره بهدم القبور لأجل تعظيم الناس إيّاها بنحو العبادة للأصنام، و كانوا يسجدون عليها، كما يشعر به بعض الروايات الناهية عن اتّخاذ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و مسجداً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لاتتّخذوا قبري قبلة و لامسجداً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لعن اليهود حيث اتّخذوا قبور أنبيائهم مساجد</w:t>
      </w:r>
      <w:r>
        <w:rPr>
          <w:rFonts w:eastAsia="Amiri" w:cs="Amiri" w:ascii="Amiri" w:hAnsi="Amiri"/>
          <w:color w:val="111111"/>
          <w:sz w:val="28"/>
          <w:szCs w:val="28"/>
          <w:rtl w:val="true"/>
          <w:lang w:bidi="ar-SA"/>
        </w:rPr>
        <w:t xml:space="preserve">». </w:t>
      </w:r>
      <w:bookmarkStart w:id="92" w:name="pg16065_152709"/>
    </w:p>
    <w:p>
      <w:pPr>
        <w:pStyle w:val="BookText"/>
        <w:rPr/>
      </w:pPr>
      <w:bookmarkEnd w:id="92"/>
      <w:r>
        <w:rPr>
          <w:rFonts w:ascii="Amiri" w:hAnsi="Amiri" w:eastAsia="Amiri" w:cs="Amiri"/>
          <w:color w:val="111111"/>
          <w:sz w:val="28"/>
          <w:sz w:val="28"/>
          <w:szCs w:val="28"/>
          <w:rtl w:val="true"/>
          <w:lang w:bidi="ar-SA"/>
        </w:rPr>
        <w:t xml:space="preserve">و يشهد له بُعد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لهدم القبور و كسر الصور لكراهة بقائهما، و سيأتي جواز اقتناء الصور المجسّمات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ذكرناه يكون الحكم على وجه الإلزام، كما يساعده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ما ذكرناه صحيحة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الرجل على بساط فيه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الأعاجم تعظّمه، و إنّا لََنمْتَهِنُه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قوم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بساط فيه تماثيل،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لاندخل بيتاً فيه تمثال لايوطأ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التحقير و الإهانة بالصور في مقابل تعظيم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يعبدون أصناماً و تماثيل، و كانوا يعتقدون أنّها مثال أرباب الأنواع التي يعتقدون أنّها و سائل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لاتستفاد من تلك الروايات حرمة مطلق المجسّمات فضلاً عن غيرها، بل هي مربوطة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الأصنام و حفظ آثار الجاهلية و حفظ عظمتها الموهومة، و لايبعد القول بحرمتها مطلقاً و حرمة اقتنائها لذلك و وجوب محوها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85168_1280447820"/>
      <w:bookmarkStart w:id="94" w:name="_Toc33"/>
      <w:bookmarkEnd w:id="93"/>
      <w:r>
        <w:rPr>
          <w:rtl w:val="true"/>
        </w:rPr>
        <w:t>الجواب</w:t>
      </w:r>
      <w:r>
        <w:rPr>
          <w:rtl w:val="true"/>
        </w:rPr>
        <w:t>:</w:t>
      </w:r>
      <w:bookmarkEnd w:id="94"/>
    </w:p>
    <w:p>
      <w:pPr>
        <w:pStyle w:val="Heading6"/>
        <w:numPr>
          <w:ilvl w:val="5"/>
          <w:numId w:val="1"/>
        </w:numPr>
        <w:rPr/>
      </w:pPr>
      <w:bookmarkStart w:id="95" w:name="__RefHeading___Toc285170_1280447820"/>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285172_1280447820"/>
      <w:bookmarkStart w:id="98" w:name="_Toc35"/>
      <w:bookmarkEnd w:id="97"/>
      <w:r>
        <w:rPr>
          <w:rtl w:val="true"/>
        </w:rPr>
        <w:t>اوّلاً</w:t>
      </w:r>
      <w:r>
        <w:rPr>
          <w:rtl w:val="true"/>
        </w:rPr>
        <w:t xml:space="preserve">: </w:t>
      </w:r>
      <w:r>
        <w:rPr>
          <w:rtl w:val="true"/>
        </w:rPr>
        <w:t>لاوجه لاستبعاد العذاب الشديد لمثل التصوير و التماثيل</w:t>
      </w:r>
      <w:bookmarkEnd w:id="9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لاوجه لاستبعاد العذاب الشديد لمثل التصوير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العذاب الشديد لبعض المعاصي غير عزيز،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bookmarkStart w:id="99" w:name="pg16065_152710"/>
    </w:p>
    <w:p>
      <w:pPr>
        <w:pStyle w:val="BookText"/>
        <w:rPr/>
      </w:pPr>
      <w:bookmarkEnd w:id="99"/>
      <w:r>
        <w:rPr>
          <w:rFonts w:ascii="Amiri" w:hAnsi="Amiri" w:eastAsia="Amiri" w:cs="Amiri"/>
          <w:color w:val="111111"/>
          <w:sz w:val="28"/>
          <w:sz w:val="28"/>
          <w:szCs w:val="28"/>
          <w:rtl w:val="true"/>
          <w:lang w:bidi="ar-SA"/>
        </w:rPr>
        <w:t>أملأ الله بطنه من نار جهنّم بقدر ما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يغضب غضبة عمّمه الله عزّوجلّ بعمامة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عنوان الخروج عن الإسلام هو الخروج الحكمي لاالخروج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لايهتمّ باُمور المسلمين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يغضب أو يُغضب له فقد خلع ربق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خان أمانته في الدنيا و لم يردّها على أربابها مات على غير دين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عن الإسلام بالتصوير حكمي لاحقيقي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المعلوم أنّ صنع الصنم لايوجب الكفر و الخروج عن الإسلام حقيقة، فضلاً عن عمل المجسّمات، فدعوى عدم المناسبة لتلك التشديدات لعمل المجسّمات كما ترى</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285174_1280447820"/>
      <w:bookmarkStart w:id="101" w:name="_Toc36"/>
      <w:bookmarkEnd w:id="100"/>
      <w:r>
        <w:rPr>
          <w:rtl w:val="true"/>
        </w:rPr>
        <w:t>ثانياً</w:t>
      </w:r>
      <w:r>
        <w:rPr>
          <w:rtl w:val="true"/>
        </w:rPr>
        <w:t xml:space="preserve">: </w:t>
      </w:r>
      <w:r>
        <w:rPr>
          <w:rtl w:val="true"/>
        </w:rPr>
        <w:t>انّ دعوى ظهور أخبار المطلقة في الأصنام أو انصرافها اليها لاشاهد لها</w:t>
      </w:r>
      <w:bookmarkEnd w:id="101"/>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ظهور الأخبار المطلقة المذكورة في الأصنام أو انصرافها إليها لاشاهد لها، و استبعاد تلك التشديدات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ذلك، لاسيّما مع احتمال أن تكون المعصية معصية كبيرة تليق بهذه التشديدات كما تشير إليه روايات النفخ، فلاوجه لرفع اليد عن إطلاق النهي عن التماثيل و التصاوير، نعم لو كثر استعمالهما في الأصنام لصحّ دعوى الانصراف، ولكنّه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جمع من عبدة الأصنام في صدد حفظ آثار أسلافهم، لايوجب حمل الإطلاق في الأخبار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ورود روايات 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 الصور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عقاب مجمع عقوبات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عقاب مَن يغضب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عقاب مَن يغضب</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عقاب مجمع عقوبات الأعمال</w:t>
      </w:r>
      <w:r>
        <w:rPr>
          <w:rFonts w:eastAsia="IRNazanin" w:cs="IRNazanin"/>
          <w:color w:val="111111"/>
          <w:sz w:val="28"/>
          <w:szCs w:val="28"/>
          <w:rtl w:val="true"/>
          <w:lang w:bidi="fa-IR"/>
        </w:rPr>
        <w:t xml:space="preserve">. </w:t>
      </w:r>
      <w:bookmarkStart w:id="102" w:name="pg16065_152711"/>
    </w:p>
    <w:p>
      <w:pPr>
        <w:pStyle w:val="BookText"/>
        <w:rPr/>
      </w:pPr>
      <w:bookmarkEnd w:id="102"/>
      <w:r>
        <w:rPr>
          <w:rFonts w:ascii="Amiri" w:hAnsi="Amiri" w:eastAsia="Amiri" w:cs="Amiri"/>
          <w:color w:val="111111"/>
          <w:sz w:val="28"/>
          <w:sz w:val="28"/>
          <w:szCs w:val="28"/>
          <w:rtl w:val="true"/>
          <w:lang w:bidi="ar-SA"/>
        </w:rPr>
        <w:t>محوها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إطلاق هذه الروايات، سواء قلنا بأنّ الصور المأمور بكسرها هي الأصنام أو مطلق المجسّمات</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85176_1280447820"/>
      <w:bookmarkStart w:id="104" w:name="_Toc37"/>
      <w:bookmarkEnd w:id="103"/>
      <w:r>
        <w:rPr>
          <w:rtl w:val="true"/>
        </w:rPr>
        <w:t>ثالثاً</w:t>
      </w:r>
      <w:r>
        <w:rPr>
          <w:rtl w:val="true"/>
        </w:rPr>
        <w:t xml:space="preserve">: </w:t>
      </w:r>
      <w:r>
        <w:rPr>
          <w:rtl w:val="true"/>
        </w:rPr>
        <w:t>انّ حكمة تشريع حرمة عمل الصور هى التشبّه بالخالق</w:t>
      </w:r>
      <w:bookmarkEnd w:id="104"/>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التعبير في الروايات بأنّ المصوّر يكلّف يوم القيامة بالنفخ في الصورة و ليس بنافخ يستفاد منه أنّ حكمة التشريع هي التشبّه بالخالق تعالى، لاترويج الكفر و الشرك الذي هو العلّة للتحريم في الطائفة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الدالّة على كسر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المعنى المستفاد من الطائفة الأخيرة لكان المناسب أن يعبّر فيها بأنّ المصوّر يكلّف يوم القيامة بالاستشفاع من الصور، و لاينفعونه، حيث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فحكمة الحكم لاتنحصر في المنع عن عبادة الأصنام، و مع عدم انحصار الحكمة في المنع عن عبادة الأصنام لاوجه لحمل المطلقات على خصوص عمل الأصنام</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285178_1280447820"/>
      <w:bookmarkStart w:id="106" w:name="_Toc38"/>
      <w:bookmarkEnd w:id="105"/>
      <w:r>
        <w:rPr>
          <w:rtl w:val="true"/>
        </w:rPr>
        <w:t>رابعاً</w:t>
      </w:r>
      <w:r>
        <w:rPr>
          <w:rtl w:val="true"/>
        </w:rPr>
        <w:t xml:space="preserve">: </w:t>
      </w:r>
      <w:r>
        <w:rPr>
          <w:rtl w:val="true"/>
        </w:rPr>
        <w:t>انّ التحقير و الإهانة لايدّلان على انّ تلك التماثيل</w:t>
      </w:r>
      <w:bookmarkEnd w:id="106"/>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التحقير و الإهانة في مقابل تعظيم الأعاجم للتماثيل المرسومة على الوسادة و البساط لايدلاّن على أنّ تلك التماثيل هي الأصنام التي كان يعبدها الأعاجم، بل لعلّها مطلق التماثيل و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العادة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 التماثيل و نصبها، و نقشها على السقوف و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أنّها لو كانت تماثيل الأصنام لَمحوها كما اُمر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بمحوها و كسرها، و لَما أبقوها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في تحرير أحكام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107" w:name="pg16065_152712"/>
    </w:p>
    <w:p>
      <w:pPr>
        <w:pStyle w:val="Heading6"/>
        <w:numPr>
          <w:ilvl w:val="5"/>
          <w:numId w:val="1"/>
        </w:numPr>
        <w:rPr/>
      </w:pPr>
      <w:bookmarkStart w:id="108" w:name="__RefHeading___Toc285180_1280447820"/>
      <w:bookmarkStart w:id="109" w:name="_Toc39"/>
      <w:bookmarkEnd w:id="107"/>
      <w:bookmarkEnd w:id="108"/>
      <w:r>
        <w:rPr>
          <w:rtl w:val="true"/>
        </w:rPr>
        <w:t>خامساً</w:t>
      </w:r>
      <w:r>
        <w:rPr>
          <w:rtl w:val="true"/>
        </w:rPr>
        <w:t xml:space="preserve">: </w:t>
      </w:r>
      <w:r>
        <w:rPr>
          <w:rtl w:val="true"/>
        </w:rPr>
        <w:t>انّه لو سلّمنا انصراف هذه الطائفة إلى عمل الأصنام فلاوجه لرفع اليد عن الطائفة الاولى</w:t>
      </w:r>
      <w:bookmarkEnd w:id="109"/>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انصراف هذه الطائفة إلى عمل الأصنام فلاوجه لرفع اليد عن الطائفة الاُولى الدالّة على حرمة عمل صور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كلام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قائل بحرمة عمل مطلق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خصّص الإشكال المذكور بظاهر هذه الطائفة من الأخبار، بل صرّح بحرمة عمل مطلق المجسّمات من ذوات الأرواح،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هو الأخير، و هو المتيقّن من معقد الإجماع المحكي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المحرّم عمل ذوات الأرواح المجسّمات، و صرّح في ذيل أخبار تكليف المصوّر بالنفخ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تلك الطائفة هو حرمة عمل المجسّمة من ذي الروح لاغيره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في آخر عبارته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المتيقّن هو حرمة المجسّمات المدّعى عليها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فإسناد الحلّيّة إلى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إمعان النظر في كلامه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85182_1280447820"/>
      <w:bookmarkStart w:id="111" w:name="_Toc40"/>
      <w:bookmarkEnd w:id="110"/>
      <w:r>
        <w:rPr>
          <w:rtl w:val="true"/>
        </w:rPr>
        <w:t>الطائفة الثالثة</w:t>
      </w:r>
      <w:r>
        <w:rPr>
          <w:rtl w:val="true"/>
        </w:rPr>
        <w:t xml:space="preserve">: </w:t>
      </w:r>
      <w:r>
        <w:rPr>
          <w:rtl w:val="true"/>
        </w:rPr>
        <w:t>الروايات الدالّة على انّ الائمة عليهم السلام كرهوا الصور</w:t>
      </w:r>
      <w:bookmarkEnd w:id="111"/>
    </w:p>
    <w:p>
      <w:pPr>
        <w:pStyle w:val="BookText"/>
        <w:rPr/>
      </w:pPr>
      <w:r>
        <w:rPr>
          <w:rFonts w:ascii="Amiri" w:hAnsi="Amiri" w:eastAsia="Amiri" w:cs="Amiri"/>
          <w:color w:val="111111"/>
          <w:sz w:val="28"/>
          <w:sz w:val="28"/>
          <w:szCs w:val="28"/>
          <w:rtl w:val="true"/>
          <w:lang w:bidi="ar-SA"/>
        </w:rPr>
        <w:t xml:space="preserve">الروايات الدالّة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الحسين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لاتبنوا على القبور و لاتصوّروا سقوف البيوت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القاسم بن سليمان و جرّاح المدائني لاتوثيق لهما، عدا أنّهما مذكوران في أسناد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تعليل النهي بكراهة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تقوية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 xml:space="preserve">، باب تلقين المحتضرين، 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المقصود بيان الحرمة و أنّه ممّا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تضعيف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المقصود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مكروهاً، و عليه فلايدلّ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عليّ بن إبراهيم، عن أبيه، عن محمّد بن أبي عمير، عن المثنّى،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الصور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ابن أبي عمير و البزنطي عن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لاتدلّ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تسليم أنّ كراهة الصور تشمل إيجادها، و لاتختصّ بالاقتناء، على أنّ النهي و الكراهة متقيّدان بالسقوف أو البيوت،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إلغاء الخصوصيّة ينافي الروايات الدالّة على تحقير التماثيل و الصور بالجلوس عليها، خلافاً لما يفعله الأعاجم من نقشها و نصبها على السقوف و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فلادلالة لهذه الطائفة على حرمة عمل المجسّمات، ولكن الطائفتين المذكورتين قبلها تكفيان لإثبات حرمة عمل المجسّمات من ذوات الأرواح، و الطائفة الاُولى منهما ظاهرة في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تكليفهم يوم القيامة بأن ينفخوا فيها الروح، و إطلاق بعض روايات الطائفة الثانية من جهة ذوات الأرواح و غيرها يقيَّد ببعضها الآخر، كصحيحة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تماثيل الشجر وشبهه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خبر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منهما أنّ تصوير صور غير ذوات الأرواح لامانع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فلاينبغي الإشكال في تحريم عمل المجسّمات من ذوات الأرواح، كما لامجال للإشكال في جواز عمل المجسّمات من غير ذوات الأرواح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527:6</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065_152715"/>
      <w:bookmarkStart w:id="113" w:name="pg16065_152715"/>
      <w:bookmarkEnd w:id="113"/>
    </w:p>
    <w:p>
      <w:pPr>
        <w:pStyle w:val="Heading3"/>
        <w:numPr>
          <w:ilvl w:val="2"/>
          <w:numId w:val="1"/>
        </w:numPr>
        <w:rPr/>
      </w:pPr>
      <w:bookmarkStart w:id="114" w:name="pg16065_152715"/>
      <w:bookmarkStart w:id="115" w:name="__RefHeading___Toc285184_1280447820"/>
      <w:bookmarkStart w:id="116" w:name="_Toc41"/>
      <w:bookmarkEnd w:id="114"/>
      <w:bookmarkEnd w:id="115"/>
      <w:r>
        <w:rPr>
          <w:rtl w:val="true"/>
        </w:rPr>
        <w:t>المقام الثاني في حكم رسم ذوات الأرواح من دون تجسيم</w:t>
      </w:r>
      <w:bookmarkEnd w:id="116"/>
    </w:p>
    <w:p>
      <w:pPr>
        <w:pStyle w:val="Heading4"/>
        <w:numPr>
          <w:ilvl w:val="3"/>
          <w:numId w:val="1"/>
        </w:numPr>
        <w:rPr/>
      </w:pPr>
      <w:bookmarkStart w:id="117" w:name="__RefHeading___Toc285186_1280447820"/>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وقد أفتى جماعة بحرمة ذلك، واستدلّوا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شعيب بن واقد، عن الحسين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ينقش شيء من الحيوان على 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بضعف السند واختصاصه بالنقش على الخاتم ودعوى رفع الضعف باستناد الفقهاء إليه مع عدم إحراز ذلك كما ترى، وهكذا دعوى استفاضة الرواية مع أنّه ليس لها طرق متعدّدة،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مَن صوّر صورة كلّفه الله يوم القيامة أن ينفخ فيها وليس بنافخ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النفخ يمكن تصوّره في الرسم بملاحظة محلّه، بل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المرسوم على البساط بأخذ الساحر في مجلس الخليفة، أو بملاحظة لون الرسم الذي هو في الحقيقة أجزاء لطيفة من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تعليقة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مراد القائل عدم إمكان تحقّق فعل النفخ في غير الجسم حتى يجاب بما ذكر،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مناهي النبيّ‌،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من عبارة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يكون المنفوخ فيه ممّا يصير حيواناً من الحيوانات المتعارفة بمجرّد نفخ الروح فيه، و لاريب أنّ اللون لو فرض النفخ فيه و صيرورته بذاك ذا حياة لايصير بذلك من الحيوانات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شيء من الحيوانات على هذا النحو، و إرادة الأمر بجعله حيواناً من الحيوانات المتعارفة بالنفخ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إرادة مجرّد نفخ الروح لاجعل تجسّم زائد فيه لو فرض تجسّمه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لاأقلّ من كونه موجباً للشكّ في إرادة الإطلاق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الإيراد على هذه الأخبار بضعف السند لاوقع له بعد ما عرفت من اعتبار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ابن أبي عمير و محمّد بن مروان، و استفاضة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فشمول تلك الأخبار لمجرّد رسم ذوات الأرواح غير ثابت، و لاأقلّ من الشكّ‌، فلايجوز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تمسّك بالعامّ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اختصاص الأخبار المذكورة بما إذا كانت الحاجة إلى النفخ فقط هو عدم حرمة عمل المجسّمات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بحسب الأجزاء الداخلية كالقلب و الكلى و الأمعاء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أنّ صيرورة المجسّمات التي ليس لها أجزاء داخلية ذوات حياة بمجرّد النفخ لايوجب خروجها عن الحيوانات المتعارفة، و هذا بخلاف صيرورة الرسم ذا حياة،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الصور و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وينهى عن تزويق البيوت،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تزويق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مرّ من أنّ الظاهر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محمّدتقي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التصاوير هو معناها المصدري، فيدلّ على النهي عن تصوير التماثيل، وهو يشمل تصوير ذوات الأرواح مع عدم التجسيم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اعتبار التجريد في تصاوير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التماثيل، و في شموله لما عدا المجسّمة تردّد، مضافاً إلى عدم سلامة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مثل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تعلّمه و تعليمه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المثيل، كالقتيل، و هو الشبيه و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السند، و إلى أنّه كما أفاد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الصنوف المحلّلة لاالمحرّمة، فلاإطلاق في عقد المستثنى يشمل المجسّمات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إلى ظهور الصنعة في التجسيم لافي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لايشمل مطلق ذوات الأرواح كالحشرات، و الطيور و البهائم، كما أفاد فيجامع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أبي العبّاس البقباق الدالّة على مفروغية حرمة تماثيل الرجال و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السؤال هو عمل التماثيل، و شمول العمل للرسم محلّ تأمّل، هذا مضافاً إلى أنّه قضية شخصية، فلاإطلاق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معايش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جامع المدارك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وكمعتبرة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عمل الصور فتُسألوا عنها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أوردناه على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أفاد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الصور في عمل المجسّمة، و انصرافه عن ترسيمها و نقشها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 الشمس و القمر؟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ما لم يكن شيئاً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أظهر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الشمس و القمر قرينة على إرادة مجرّد النقش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لادلالة لها على عدم جواز التصوير بمعناه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 المحتمل رجوع السؤال فيها إلى اقتناء الصور أو اللعب بها بعد فرض وجودها، فلايدلّ الخبر على حكم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غير مخصوص بالعمل بل يشمل الاقتناء أيضاً، فلاوجه لتخصيصه بالعمل أو بالاقتناء،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اختصاصه بمجرّد الرسم لاوجه له مع إمكان تجسيمها، خصوصاً في مثل الشجر و غيره، فمقتضى إطلاق السؤال و ترك الاستفصال هو تعميم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عليه المحقّق الإيرواني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الصحيحة عدم البأس بالتمثال ما لم يكن تمثال حيوان، و هذه قضيّة مهملة بالنسبة إلى تمثال الحيوان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563:3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المكاسب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لاتقتضي عموم البأس لتمام أفراد تمثال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أنّ السائل في مقام السؤال عن تماثيل غير ذوات الأرواح، كما يدلّ عليه اختصاص سؤاله بمثل الشجر و الشمس و القمر، و عليه فلم يحرز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بيان خصوصيات حكم تماثيل الحيوان، و إنّما ذكره تفضّلاً، و عليه فشموله للرسم مع إهماله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الممنوع هو تجسيم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جامع المدارك من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الاستثناء منقطعاً من جهة المصوَّر حيث إنّ الحيوان خارج يمكن أن يكون منقطعاً من جهة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النظر إلى التصوير مع التجسّم بالنسبة إلى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بعد إطلاق المستثنى منه من جهة التجسيم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المستثنى حينئذ يكون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الإهمال في محلّها، فلاإطلاق له بالنسبة إلى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المثال و التصوير مترادفان، على ما حكاه كاشف اللثام عن أهل اللغة، مع أنّ الشائع من التصوير و المطلوب منه هو الصور المرسومة على أشكال الرجال و النساء و الطيور و السباع، دون الأجسام المصنوعة على تلك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شأن اللغويّين بيان موارد الاستعمال لابيان المعاني الحقيقية، فدعوى أنّ الشائع من التصوير هو الصور المرسومة دون الأجسام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المراد منه هو عمل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قبال تخصيص المثال و التصوير بالصور المرسومة ما ذهب إليه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الأخبار على كثرتها تدور مدار عنوانين،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و التمثيل، باختلاف التعابير، إلاّ رواية النواهي المذكور فيها النقش، و لايبعد أن يكون الظاهر من تمثال الشيء و صورته بقول مطلق هو المشابه له في الهيئة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جميع الجوانب لامن جانب واحد، و تمثال الوجه أو مقاديم البدن تمثاله بوجه لامطلقاً، كما أنّ تمثال خلفه كذلك، و إطلاق التمثال على تمثال الوجه أو المقاديم بنحو من المسامحة كإطلاقه على تمثال الخلف، و إن صار في الأوّلين شائعاً حتى على خصوص الوجه مع عدم كونه حقيقياً بلاإشكال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فهي بمعنى الشكل الذي هو الهيئة، و هيئة الشيء كتمثاله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شبهه في جميع الجوانب، و إطلاقه على النقوش و التصاوير بنحو من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يطلق على تمثال الوجه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الإطلاق الشائع على النقش و الرسم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و عدم دعوى أنّ الوسائد و غيرها ممّا وردت فيها الروايات لعلّها كانت الصور و التماثيل فيها بنحو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غزال مثلاً نائم أو قائم بحيث كان صدق عليه الغزال المجسّم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سئل من العرف أنّ هذه الصورة أو المثال صورته من جميع الوجوه لأجاب بالنفي، و لاأقلّ من كون الصدق الحقيقي محلاًّ للشكّ سيّما مع الشواهد المذكورة في الجواهر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في الجواهر بما دلّ على تغيير رؤوس الصور أو قطعها أو كسرها 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لها نوع إشعار بالتجسيم، فذهب إلى الجواز في غير المجسّمة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التصوير و التمثال كما يصحّ إطلاقهما على الأجسام المصنوعة كذلك يصحّ إطلاقهما على الرسوم أيضاً، و لايصحّ سلبهما عنها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يطلق على مجسّمة الفردوسي أنّها تمثال و تصوير الفردوسي كذلك يطلق على صورته أنّها تصوير الفردوسي، و لايجوز أن يقال إنّها ليست تصويره و تمثاله، و هذا علامة أعمّيّتهما، و عليه فلاوجه لتخصيصهما بالمجسّم، و لذلك أفاد اُستاذنا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التماثيل و التصاوير على النقوش أيضاً شائع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جميع الموارد على قيام القرائن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تصلّي على التماثيل إذا جعلتها تحتك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الصورة المرسومة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لشيوع استعماله فيها أيضاً،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سئل من العرف أنّ هذه الصورة أو المثال صورته من جميع الوجوه لأجاب بالنفي،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التشابه من جميع الوجوه لايمنع من صدق التشابه معه من بعض الوجوه، و لو لزم في الصدق التشابه من جميع الجهات و الوجوه للزم أن لايصدق التصوير و التمثال فيما إذا كانت الصورة أكبر أو أصغر من جهة الأبعاد بالنسبة إلى ذيها، مع أنّه خلاف المرتكز و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المجسّمات ربّما تكون أصغر أو أكبر و مع ذلك يصدق عليها التصاوير و التماثيل، فيعلم من ذلك أنّ التشابه في جميع الجهات ليس لازماً في صدق التشابه، فإذا كان كذلك في ناحية المجسّمات فليكن كذلك في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هو الصدق العرفي، و هو موجود في الرسوم و الأجسام المصنوعة كليهما، فلامجال للإشكال من ناحية معنى التصوير و التمثال، بل الإشكال من جهة قصور الأدلّة سنداً، و من جهة عدم كونها في مقام البيان،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 المصلّي،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حرمة الصور المنقوشة على أشكال ذوات الأرواح بحكمة التشريع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 الحكمة في التحريم هي حرمة التشبّه بالخالق في إبداع الحيوانات و أعضائها على الأشكال المطبوعة التي يعجز البشر عن نقشها على ما هي عليه، فضلاً عن اختراعها، و لذا منع بعض الأساطين عن تمكين غير المكلّف من ذلك، و من المعلوم أنّ المادة لادخل لها في هذه الاختراعات العجيبة، فالتشبّه إنّما يحصل بالنقش و التشكيل لاغير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لتخصيص الحكمة بذلك مع احتمال أن يكون من وجوه المنع أيضاً هو التشبّه بعابد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لانسلّم عدم مدخليّة المادّة في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الدالّ عليه هو أخبار تكليف المصوّر بالنفخ، و هي ظاهرة في المجسّم كما مرّ، و عليه فلاوجه لتعميم الحرمة لرسم الصور أخذاً بالحكمة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بالحكمة مبنيّ على معمّمية الحكمة كالعلّة، ولعلّه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قاصرة إمّا سنداً أو دلالة بالنسبة إلى حرمة رسم ذوات الأرواح، فبعض أخبار التمثيل و إن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الصور المرسومة لكن لاسند له، فلايمكن الاعتماد عليه، و بعضها الآخر مقرون بقرينة تدلّ على اختصاصها بالأجسام المصنوعة، و لاأقلّ من الشكّ‌، فلاإطلاق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التصاوير و التماثيل يشمل الاقتناء أيضاً، فإذا قلنا بجواز الاقتناء في الصور بل المجسّمات يدور الأمر بين التخصيص و الحمل على الكراهة، و هكذا النهي عن التماثيل و عمل الصور يشمل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ذوات الأرواح، فمع القطع بعدم الحرمة في غير ذوات الأرواح أيضاً يدور الأمر بين التخصيص بذوات الأرواح، و حفظ العموم، و حمل النهي على الكراهة، و مع الدوران فلايتعيّن القول بحرمة التصاوير و التماثيل، نعم يتعيّن القول بالحرمة في المجسّمات من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استفاضة الأخبار على معذّبية المصوّر حتى ينفخ الروح في صور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العذاب لايجامع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الذبّ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إخراج موارد الجواز عن المطلقات هو مقتضى الجمع العرفي بين المطلقات و مقيّداتها، فلامجال بعد إمكان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المطلقات على 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المطلقات على الكراهة حتى يدور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الأدلّة على فرض إطلاقها و عمومها و شمول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مثالاً فكذا، و من صوّر صورة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تماثيلَ جميع الموجودات و إنّ ذكر النفخ فيها لمجرّد التعجيز لاللتناسب، يوجب ذلك و هناً على المطلقات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ذكر المتعلّق فيها يدلّ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العناوين أي التصوير و الصورة و التمثال تصحّ إضافتها إلى كلّ موجود جسماني بل و روحاني، و كذا إلى أجزاء و أعضاء كلّ موجود، بل بعض أعضائه، فيصدق تمثال الرأس و صورة الرجل و اليد و الشجر و ساقه و ورقه،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إخراجُ جميع الموجودات كلاً و بعضاً عن العمومات و الإطلاقات و إبقاءُ الصور التامّة للحيوان فقط تحتها من التخصيص الكثير المستهجن، فيكشف ذلك عن قرائن حافّة بها حين الصدور خرجت بها عن الاستهجان، و المتيقّن هو حرمة المجسّمات المدّعى عليها الإجماع</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الانصراف إلى خصوص الصور التامّة أو خصوص صور الحيوانات </w:t>
      </w:r>
      <w:bookmarkStart w:id="119" w:name="pg16065_152724"/>
    </w:p>
    <w:p>
      <w:pPr>
        <w:pStyle w:val="BookText"/>
        <w:rPr/>
      </w:pPr>
      <w:bookmarkEnd w:id="119"/>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الإنصاف أنّ هذا الوجه قابل للمناقشة،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العنواني لايوجب الاستهجان، هذا مضافاً إلى أنّ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بالمجسّمات من ذوات الأرواح بقرينة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تكميل الصورة بما يناسبها من نفخ الروح، و عليه فلايشمل غير ذوات الأرواح، فلاتغفل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85188_1280447820"/>
      <w:bookmarkStart w:id="121" w:name="_Toc43"/>
      <w:bookmarkEnd w:id="120"/>
      <w:r>
        <w:rPr>
          <w:rtl w:val="true"/>
        </w:rPr>
        <w:t>فروع</w:t>
      </w:r>
      <w:r>
        <w:rPr>
          <w:rtl w:val="true"/>
        </w:rPr>
        <w:t>:</w:t>
      </w:r>
      <w:bookmarkEnd w:id="121"/>
    </w:p>
    <w:p>
      <w:pPr>
        <w:pStyle w:val="Heading5"/>
        <w:numPr>
          <w:ilvl w:val="4"/>
          <w:numId w:val="1"/>
        </w:numPr>
        <w:rPr/>
      </w:pPr>
      <w:bookmarkStart w:id="122" w:name="__RefHeading___Toc285190_1280447820"/>
      <w:bookmarkStart w:id="123" w:name="_Toc44"/>
      <w:bookmarkEnd w:id="122"/>
      <w:r>
        <w:rPr>
          <w:rtl w:val="true"/>
        </w:rPr>
        <w:t>الأوّل</w:t>
      </w:r>
      <w:r>
        <w:rPr>
          <w:rtl w:val="true"/>
        </w:rPr>
        <w:t xml:space="preserve">: </w:t>
      </w:r>
      <w:r>
        <w:rPr>
          <w:rtl w:val="true"/>
        </w:rPr>
        <w:t>هل يكون عمل المجسمه و لو كانت غير كاملة محرّماً أو لا؟</w:t>
      </w:r>
      <w:bookmarkEnd w:id="123"/>
    </w:p>
    <w:p>
      <w:pPr>
        <w:pStyle w:val="BookText"/>
        <w:rPr/>
      </w:pPr>
      <w:r>
        <w:rPr>
          <w:rFonts w:ascii="Amiri" w:hAnsi="Amiri" w:eastAsia="Amiri" w:cs="Amiri"/>
          <w:color w:val="111111"/>
          <w:sz w:val="28"/>
          <w:sz w:val="28"/>
          <w:szCs w:val="28"/>
          <w:rtl w:val="true"/>
          <w:lang w:bidi="ar-SA"/>
        </w:rPr>
        <w:t>إنّه هل يكون عمل المجسّمة و لو كانت غير كاملة محرّماً، أو لا؟</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في صورة الحيوان على صدق الاسم، و تصوير البعض مع عدم صدقه عليه و كون المقصود من أوّل الأمر البعض خاصّة لامانع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المرجع في الصورة إلى العرف، فلايقدح في الحرمة نقص بعض الأعضاء، و ليس فيما ورد من رجحان تغيير الصورة بقلع عينها أو كسر رأسها دلالة على جواز تصوير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صوّر بعض أجزاء الحيوان ففي حرمته نظر بل منع، و عليه فلو صوّر نصف الحيوان من رأسه إلى وسطه فإن قدّر الباقي موجوداً بأن فرضه إنساناً جالساً لايتبيّن ما دون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 إن قصد النصف لاغير لم يحرم إلاّ مع صدق الحيوان على هذا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صوّر جسماً بلارأس أو رأساً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بلاجسم أو يداً واحدة أو رجلاً كذلك أو غير ذلك ممّا لايصدق عليه أنّه صورة الحيوان فليس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العناوين المحرّمة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 الحيوان 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 الحيوان و الإنسان، و من المعلوم أنّ الظاهر منها هو تصوير الشيء بحيث يصدق عليه عنوان الحيوان و الإنسان بالحمل الشائع من دون عناية، لاأبعاضه و أجزائه، و عليه فليس تصوير بعض الأعضاء تصويراً لصورة الحيوان أو الإنسان، بل ليس تصوير نصف الحيوان من رجله إلى وسطه أو بالعكس تصويراً لصورة الحيوان الفلاني، إلاّ إذا كان الباقي مقدّراً فيها بحيث يصدق صورة الحيوان أو الإنسان عليه، و لاأقلّ من الشكّ في صدق الحيوان على الصورة الناقصة، فلايحرم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حرمة الأبعاض و الأجزاء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شيئاً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تعميمه بالنسبة إلى الأجزاء كما يكون كذلك بالنسبة إلى الأفراد و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الصورة أو التمثال هو الصورة المضافة إلى الحيوان و تمثاله لامطلق الصورة و التمثال، كما تشهد له معتبرة محمّد بن مروان،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من الحيوان يعذّب حتى ينفخ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الظاهر من أخبار النفخ أن يكون المنفوخ فيه ممّا يصير حيواناً من الحيوانات المتعارفة بمجرّد النفخ فيه، فالناقص الذي لايصدق عليه اسم الحيوان المتعارف لايكون مشمولاً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لم يثبت تعميم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شيئاً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220:12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يكتسب به،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24" w:name="pg16065_152726"/>
    </w:p>
    <w:p>
      <w:pPr>
        <w:pStyle w:val="BookText"/>
        <w:rPr/>
      </w:pPr>
      <w:bookmarkEnd w:id="124"/>
      <w:r>
        <w:rPr>
          <w:rFonts w:ascii="Amiri" w:hAnsi="Amiri" w:eastAsia="Amiri" w:cs="Amiri"/>
          <w:color w:val="111111"/>
          <w:sz w:val="28"/>
          <w:sz w:val="28"/>
          <w:szCs w:val="28"/>
          <w:rtl w:val="true"/>
          <w:lang w:bidi="ar-SA"/>
        </w:rPr>
        <w:t>الأجزاء لو لم نقل بظهوره في الأفراد و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بُعد ما احتمله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المحتمل قريباً حرمة كلّ جزء جزء أو حرمة ما يعمّ الجزء و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 ينقدح جواز تصوير الرأس فقط على الدراهم و الدنانير أو غيرهما، سواء قلنا باختصاص الحرمة بعمل المجسّمة أو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صورة كاملة للحيوان أو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 الحيوان الكامل على الحجر و غيره، فلو كان بنحو الرسم فلايحرم بناءً على عدم حرمة الرسم، و أمّا إذا كان التصوير على الحجر على نحو التجسيم، فإن كان التصوير كاملاً و لو بنحو تقدير باقي الأعضاء أو تقدير الخلف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تجسيم الحيوان و تصويره، و إلاّ فصدق الحيوان المتعارف عليه مع أنّه لاخلف له و لو مقدّراً محلّ إشكال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85192_1280447820"/>
      <w:bookmarkStart w:id="126" w:name="_Toc45"/>
      <w:bookmarkEnd w:id="125"/>
      <w:r>
        <w:rPr>
          <w:rtl w:val="true"/>
        </w:rPr>
        <w:t>الثاني</w:t>
      </w:r>
      <w:r>
        <w:rPr>
          <w:rtl w:val="true"/>
        </w:rPr>
        <w:t xml:space="preserve">: </w:t>
      </w:r>
      <w:r>
        <w:rPr>
          <w:rtl w:val="true"/>
        </w:rPr>
        <w:t>المحرّم فى تصوير الحيوان و تمثيله هل هو تصوير الاجزاء أو</w:t>
      </w:r>
      <w:bookmarkEnd w:id="126"/>
    </w:p>
    <w:p>
      <w:pPr>
        <w:pStyle w:val="BookText"/>
        <w:rPr/>
      </w:pPr>
      <w:r>
        <w:rPr>
          <w:rFonts w:ascii="Amiri" w:hAnsi="Amiri" w:eastAsia="Amiri" w:cs="Amiri"/>
          <w:color w:val="111111"/>
          <w:sz w:val="28"/>
          <w:sz w:val="28"/>
          <w:szCs w:val="28"/>
          <w:rtl w:val="true"/>
          <w:lang w:bidi="ar-SA"/>
        </w:rPr>
        <w:t>إنّ المحرّم في تصوير الحيوان و تمثيله هل هو تصوير الأجزاء، أو تصوير مجموع الأجزاء، أو تصوير الجزء الأخير، أو تصوير الصورة المنطبقة على تمام الأجزاء؟</w:t>
      </w:r>
    </w:p>
    <w:p>
      <w:pPr>
        <w:pStyle w:val="BookText"/>
        <w:rPr/>
      </w:pPr>
      <w:r>
        <w:rPr>
          <w:rFonts w:ascii="Amiri" w:hAnsi="Amiri" w:eastAsia="Amiri" w:cs="Amiri"/>
          <w:color w:val="111111"/>
          <w:sz w:val="28"/>
          <w:sz w:val="28"/>
          <w:szCs w:val="28"/>
          <w:rtl w:val="true"/>
          <w:lang w:bidi="ar-SA"/>
        </w:rPr>
        <w:t>لامجال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متعلّق بعنوان تصوير الصورة لاالأجزاء، ولذا فإنّ من صوّر بعض الأعضاء بقصد الإتمام ثمّ بدا له في إتمامه لم يفعل الحرام، فلو كانت الأجزاء محرّمة لزم الحكم بكون ما أتى به من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تصوير بعض الأعضاء و لوبقصد الإتمام ليس تصوير الصورة، و عليه فلو اشتغل بصورة شيء ولكن بدا له قبل إتمامها أو منعه مانع عن الإتمام لم يفعل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الحرام و إن كان متجرّياً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اشتغل بتصوير حيوان فعل حراماً حتى لو بدا له في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ما فعل حراماً من حيث التصوير أ و لايحرم إلاّ من حيث التجرّي‌؟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يقع إلاّ بعض مقدّمات الحرام بقصد تحقّقه، و من أنّ معنى حرمة الفعل عرفاً ليس إلاّ حرمة الاشتغال به عمداً فلاتراعى الحرمة بإتمام العمل، و الفرق بين 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استحقاق الثواب على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الحرام هو قضاء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عرفت من أنّ متعلّق الحرمة هو تصوير الصورة، و لم يحصل مع البداء، و لافرق بين التكليف الإيجابي و التحريمي بعد وحدة المتعلّق، فكما أنّه لو أمر بتصوير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المكلّف بنقش أو رسم بعضها أو تجسيم بعضها لم يأتِ بالواجب و لم يستحقّ الثواب، كذلك لو نهي عن تصوير صورة الحيوان و أتى ببعض الأجزاء و حصل له البداء لم يأتِ بالحرام و لم يستحقّ العقاب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استحقّ عقوبة التجرّي، و لعلّه لذلك 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فلاوجه للتردّد في المسألة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هي الأجزاء بعينها، فالنهي عنها نهي عن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هي هيئة خاصّة تركيبية و متّحدة مع الأجزاء مع كيفيّة خاصّة، و النهي عنها ينحلّ على الأجزاء ولكنّه بتبع النهي عن الصورة، فما دامت الصورة لم تتحقّق لم يتوجّه النهي إلى الأجزاء، فاتّصاف كلّ جزء بكونه حراماً مشروط بتحقّق الأجزاء الاُخر مع كيفيّة معتبرة فيها، و المفروض في المقام أنّه لم تتمّ الأجزاء، فلادليل على حرمة ما أتى به بعد حصول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المحرّمة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bookmarkStart w:id="127" w:name="pg16065_152728"/>
    </w:p>
    <w:p>
      <w:pPr>
        <w:pStyle w:val="BookText"/>
        <w:rPr/>
      </w:pPr>
      <w:bookmarkEnd w:id="127"/>
      <w:r>
        <w:rPr>
          <w:rFonts w:ascii="Amiri" w:hAnsi="Amiri" w:eastAsia="Amiri" w:cs="Amiri"/>
          <w:color w:val="111111"/>
          <w:sz w:val="28"/>
          <w:sz w:val="28"/>
          <w:szCs w:val="28"/>
          <w:rtl w:val="true"/>
          <w:lang w:bidi="ar-SA"/>
        </w:rPr>
        <w:t xml:space="preserve">و ممّا ذُكر يظهر أنّ مجموع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مجموع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تدلّ على حرمة تصوير الصورة، و هي و إن كانت منطبقة على مجموع الأجزاء ولكنّها غير هذا العنوان، و يترتّب عليه أنّه لو كان المحرّم هو مجموع الأجزاء فابتدأ بالتصوير واحد و أتمّه آخر لم يفعل أيّ واحد منهما حراماً، و هذا بخلاف ما إذا كان المحرّم هو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أتمّ ما صوّره الآخر صدق على إتمامه تصوير الصورة، فيحكم بالحرمة، و المتّبع هو موضوع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لاوجه لجعل المحرّم هو الجزء الأخير، مع أنّ موضوع الأدلّة الدالّة على الحرمة هو تصوير الصورة، و هي لاتصدق على الجزء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الأخير، و هو تصوير الصورة المنطبقة على الأجزاء بكيفيّة خاصّة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85194_1280447820"/>
      <w:bookmarkStart w:id="129" w:name="_Toc46"/>
      <w:bookmarkEnd w:id="128"/>
      <w:r>
        <w:rPr>
          <w:rtl w:val="true"/>
        </w:rPr>
        <w:t>الثالث</w:t>
      </w:r>
      <w:r>
        <w:rPr>
          <w:rtl w:val="true"/>
        </w:rPr>
        <w:t xml:space="preserve">: </w:t>
      </w:r>
      <w:r>
        <w:rPr>
          <w:rtl w:val="true"/>
        </w:rPr>
        <w:t>لو اشترك اثنان أو أكثر فى عمل صورة</w:t>
      </w:r>
      <w:bookmarkEnd w:id="129"/>
    </w:p>
    <w:p>
      <w:pPr>
        <w:pStyle w:val="BookText"/>
        <w:rPr/>
      </w:pPr>
      <w:r>
        <w:rPr>
          <w:rFonts w:ascii="Amiri" w:hAnsi="Amiri" w:eastAsia="Amiri" w:cs="Amiri"/>
          <w:color w:val="111111"/>
          <w:sz w:val="28"/>
          <w:sz w:val="28"/>
          <w:szCs w:val="28"/>
          <w:rtl w:val="true"/>
          <w:lang w:bidi="ar-SA"/>
        </w:rPr>
        <w:t xml:space="preserve">إنّه لو اشترك اثنان أو أكثر في عمل صورة فالظاهر أنّه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يشمل صورة الاشتراك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إطلاقات النهي عن التماثيل و التصاوير بناءً على أنّ النهي عن عملها لاعن خصوص اقتنائها، كما مرّ البحث عنه، فحينئذ تدلّ على النهي عن عملها، و هو بإطلاقه أيضاً يشمل صورة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مفادها هو النهي عن كون الشخص عاملاً للصور و التماثيل، و هو ظاهر في الموجد للصورة المستند إيجادها إليه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للتخصيص بالوحدة بعد إطلاقها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إمكان إلغاء الخصوصيّة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الفاعل الواحد، فكما أنّه لو اشترك اثنان أو أكثر في قتل نفس محترمة لكان فعلهما محكوماً بالحرمة بإلغاء الخصوصيّة من وحدة الفاعل، كذلك نقول في </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صوّر صورة أو مثّل مثالاً و إن كان ظاهراً في وحدة الفاعل إلاّ أنّه يشمل صورة الاشتراك بإلغاء الخصوصيّة عرفاً، و يكون محكوماً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الغمض عمّا ذكر كلّه يشكل الحكم في صورة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قصور الأدلّة عن إثبات الحرمة لفعل كلّ من الفاعلَين أو الأكثر بعد 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منهما بلاريب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التمثال و الصورةً عبارة عن مجموع الصورة الخارجية، و الأجزاء لاتكون تمثالاً لحيوان و لاصورةً له، و الفاعل للجزء لايكون مصوّراً للحيوان، من غير فرق بين اشتغالهما بتصويره من الأوّل إلى الآخر أو تصوير أحدهما نصفه و الآخر نصفه الآخر، أو عمل واحد منهما الأجزاء و تركيب الآخر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الصدق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صدور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الموجود الخارجي الذي يقال له التمثال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فاعل، و الفرض عدم صدورها منه، و هو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شعراً، أو من كتب سطراً، أو من مشى من بلده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يكون المراد بهما أنّه من أوجد هيئة الصورة أو هيئة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صادق على من أتمّهما إمّا بإتيان النصف الباقي أو بتركيب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ظاهر اللفظ، و مخالف للمتفاهم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ذهب اليه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الموجد للصورة إنّمايصدق إذا كان وجود الصورة بتمام أبعاضها بإيجاد واحد و اختيار واحد، كما أنّ الماشي فرسخاً لايصدق فيما إذا مشى نصفه واحد و نصفه الآخر آخر، و ممسك النهار لايصدق إلاّ مع الإمساك في تمام النهار إذا كان بتمامه صادراً من اختيار واحد، و كذلك المصلّي لايصدق إذا صدر تمام الصلاة من اختيارين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اُخذ في مفهوم الموجد للصورة وحدة الفاعل و المختار،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عدم تعقّل توجيه نهي واحد إلى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 ممّا ذكرنا أنّه لاوجه لكون كلّ من المشتركين مصوّراً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هو الصادر منه ليس إيجاداً للصورة و إنّما هو إيجاد بعض الصورة، و هو غير العنوان المحرّم كما عرفت، و الصادر من صاحبه لاربط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الممكن في مقامنا أيضاً تعلّق الحرمة بالعنوان الأوسع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مطلق الدخالة و إعمال القوّة في وجود الصورة، سواء صدق عليه إيجاد الصورة أو صدق عليه إيجاد بعضها، لكنّه محتاج إلى الإثبات، و لامناط منقّح في البين حتى يلاحظ أنّه شامل لصورة الاشتراك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أو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موجداً لجميع الأجزاء من البدء إلى الختم، أو متمّماً للأجزاء الموجودة بفعلِ آخر، أو من دون فعل أحد، كما إذا كان بعض الأجزاء موجوداً بمقتضى الطبيعة، كأغصان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منها بدناً أو يداً أو رجلاً لصورة حيوان أو إنسان، فلو كان من اللازم أن تكون جميع الأجزاء مصنوعة بفعله لما صدقت الصورة على فعل من اتّخذ من الأشجار أو الأخشاب أو غيرهما من الفلزات الموجودة لتصوير صورة حيوانية، مع أنّ الظاهر هو صدق الصورة على فعله، و هو شاهد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تكون جميع الأجزاءمن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القول بعدم الصدق هو توهّم لزوم الإتيان بجميع ما له دخل في الصورة من فاعل واحد في صدق التصوير، مع أنّك عرفت عدم لزوم ذلك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فاعتبار وحدة الفاعل لايمنع من صدق المصوّر على من أتمّ الأجزاء عقيب إيجادها بفعل شخص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هو تصوير كلّ مكلّف صورة الحيوان أو الإنسان لاإتمام صورتهما، و تصويرهما لايصدق على مجرّد إتمامهما كما أنّه لايصدق على تصوير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بعد ما عرفت من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في الجواهر إلى صدق الاستناد إلى الأوّل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التدرّج ففي شرح الاُستاذ أنّ المدار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التعلّق بالأوّل أيضاً إذا فرض كون المقصود لهما ذلك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الاستناد إليهما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الاستناد إليهما صحيح، ولكن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أو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الفاعل، فلايشمل صورة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عدم تماميّة الأدلّة و الغمض عنها، و أمّا بناءً على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فلاإشكال في الحرمة عند اجتماع اثنين أو أزيد للشركة في صنع الصورة من الابتداء إلى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حرمة عمل الصور و التصاوير و التماثيل، ففعل كلّ واحد ممّن اشترك في عملها محكوم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 في عمل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افترق الأفراد في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أوجد النصف الأوّل شخص وأتمّه آخر، فقد عرفت أنّ الأخير هو الموجد للصورة، فيترتّب على فعله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الموجد للنصف الأوّل ففيه تفصيلات على ما أفاده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عالماً بعدم إتمامه بإلحاق النصف الآخر لامن نفسه و لامن غيره فلاإشكال في معذوريّته، فإن ألحق النصف انكشف كون عمله دخالة و إعمالاً للقوّة في وجود الصورة و أنّه كان محرّماً واقعيّاً معذوراً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الحال في صورة الشكّ في إلحاق النصف الآخر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شبهة موضوعية، و الأصل فيه البراءة ولو فرض كونه بحسب الواقع بواسطة لحوق النصف الآخر داخلاً في العنوان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لاإشكال في صورة علمه بالإلحاق و أنّه معصية واقعيّة معه و تجرٍّ مع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عطف حكم صورة البداء عليه و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يظهر الكلام فيما إذا اشتغل بالتصوير قاصداً للإتمام ثمّ بدا له في الأثناء و رفَع اليد، فإنّه حين رفع اليد عن التتمّة 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عالماً بلحوق النصف الآخر إمّا منه و إمّا من غيره أو بعدم اللحوق، و إمّا شاكّ‌، فإن كان عالماً باللحوق فلاكلام، و إن كان شاكّاً فلايورث هذا الشكّ معذوريّته لو ألحق التتمّة واقعاً متمّم، كما يورثها لو كان الشكّ من ابتداء العمل، فإنّه نظير من شرب الخمر عالماً بحرمتها و بعد الفراغ صار شاكّاً في الخمرية فإنّه لايورث المعذوريّة،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 في صورة العلم بعدم اللحوق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ألحقه ملحِق استحقّ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أنّ العمل كان مبغوضاً واقعاً و هو أيضاً كان عالماً، فالتكليف موجود مع شرائط تنجّزه، فلايجدي انقلاب العلم بعد العمل بالعلم بالخلاف في رفع الاستحقاق، و هذا أيضاً واضح، فيجب بحكم العقل في كلتا الصورتين الاحتياط بمحو ما أتى به من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لايخفى عليك أنّ مع البداء و رفع اليد كلّياً لاوجه لعطفه على صورة استمرار القصد و العلم بالإلحاق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استناد المبغوض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مشروط ببقاء القصد، فمع عدم استمرار القصد لاوجه لاستناده إليه في صورة العلم باللحوق، فضلاً عن صورة الشكّ أو العلم بعدم اللحوق، و العمل ما لم تنطبق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30" w:name="pg16065_152733"/>
    </w:p>
    <w:p>
      <w:pPr>
        <w:pStyle w:val="BookText"/>
        <w:rPr/>
      </w:pPr>
      <w:bookmarkEnd w:id="130"/>
      <w:r>
        <w:rPr>
          <w:rFonts w:ascii="Amiri" w:hAnsi="Amiri" w:eastAsia="Amiri" w:cs="Amiri"/>
          <w:color w:val="111111"/>
          <w:sz w:val="28"/>
          <w:sz w:val="28"/>
          <w:szCs w:val="28"/>
          <w:rtl w:val="true"/>
          <w:lang w:bidi="ar-SA"/>
        </w:rPr>
        <w:t>عليه الصورة لايكون مبغوضاً، و المفروض أنّه قبل انطباق الصورة عدل عن نيّة الإدامة، و عليه فبعد العدول لايكون محكوماً بالحرمة إلاّ من جهة التجرّي الصادر منه، و لاتكليف له حينئذ إلاّ الممانعة من الإتمام من جهة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لاوجه للحكم بالحرمة الواقعية فيما إذا أوجد النصف و كان عالماً بعدم إتمامه بإلحاق النصف الآخر لامن نفسه و لامن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المحرّم هو فعل المتمّم لو اُلحق اتّفاقاً بعد ما عرفت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أيضاً، لافعل من أوجد النصف مع العلم بعدم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فعله ليس بمبغوض ظاهراً و واقعاً، و إنّما المبغوض هو فعل المتمّم</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85196_1280447820"/>
      <w:bookmarkStart w:id="132" w:name="_Toc47"/>
      <w:bookmarkEnd w:id="131"/>
      <w:r>
        <w:rPr>
          <w:rtl w:val="true"/>
        </w:rPr>
        <w:t>الرابع</w:t>
      </w:r>
      <w:r>
        <w:rPr>
          <w:rtl w:val="true"/>
        </w:rPr>
        <w:t xml:space="preserve">: </w:t>
      </w:r>
      <w:r>
        <w:rPr>
          <w:rtl w:val="true"/>
        </w:rPr>
        <w:t>هل تعتبر فى حرمة تصوير الصورة مباشرة الفاعل بيده</w:t>
      </w:r>
      <w:bookmarkEnd w:id="132"/>
    </w:p>
    <w:p>
      <w:pPr>
        <w:pStyle w:val="BookText"/>
        <w:rPr/>
      </w:pPr>
      <w:r>
        <w:rPr>
          <w:rFonts w:ascii="Amiri" w:hAnsi="Amiri" w:eastAsia="Amiri" w:cs="Amiri"/>
          <w:color w:val="111111"/>
          <w:sz w:val="28"/>
          <w:sz w:val="28"/>
          <w:szCs w:val="28"/>
          <w:rtl w:val="true"/>
          <w:lang w:bidi="ar-SA"/>
        </w:rPr>
        <w:t xml:space="preserve">إنّه هل تعتبر في حرمة تصوير الصورة مباشرة الفاعل بيده بلاوساطة واسطة في البين غير ما هو من قبيل الآلة، أو لاتعتبر مطلقاً، أو يفرّق بين ما إذا كانت الواسطة فاعلاً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أكره أو بعث إنسان إنساناً على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فلايصدق على المكرِه و الباعث أنّه مصوّر، و بين ما إذا كانت الواسطة فاعلاً طبيعياً بلاشعور، فيصحّ حينئذ إسناد التصوير إلى الإنسان الذي أعمل هذا الفاعل، نظير إسناد الإحراق إلى من ألقى الحطب في النار، 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خاط الثوب إذا أعمل الآلة المعدّة للخياطة‌؟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في مادة التصوير إيجاد الصورة بأيّ نحو كان، و فيما كان الواسطة فاعلاً مختاراً لايصدق أنّه الموجد للصورة، و فيما كان فاعلاً طبيعياً يصدق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المواد يعتبر فيه عدم وساطة هذا القسم أيضاً كما في الأكل و الكتابة، حيث إنّه لو أعمل الآلة المعدّة </w:t>
      </w:r>
    </w:p>
    <w:p>
      <w:pPr>
        <w:pStyle w:val="BookText"/>
        <w:rPr/>
      </w:pPr>
      <w:r>
        <w:rPr>
          <w:rFonts w:ascii="Amiri" w:hAnsi="Amiri" w:eastAsia="Amiri" w:cs="Amiri"/>
          <w:color w:val="111111"/>
          <w:sz w:val="28"/>
          <w:sz w:val="28"/>
          <w:szCs w:val="28"/>
          <w:rtl w:val="true"/>
          <w:lang w:bidi="ar-SA"/>
        </w:rPr>
        <w:t>للكتابة لايقال على من أعمله إنّه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مقتضى إطلاقه هو عدم دخالة المباشرة، و 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التصاوير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تقييده بالمباشرة، بناءً على عدم اختصاصه بالاقتناء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المتداول في التصوير و التمثيل في تلك الأعصار تحصيلهما بمباشرة اليد و قدرة الصنع دون المكائن و القوالب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الأدلّة هو ما كان المصنوع بيد الفاعل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بعد كون القضايا بنحو الحقيقيّة لاالخارجيّة، و أنّ المبغوض هو نفس عمل الصور و إيجادها من دون خصوصيّة للمباشرة كالقتل، فعمل الصور و إن لم يكن بمباشرته، منهيّ عنه بإطلاق أدلّة مبغوضيّة عمل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صنعت ماكنة لإعدام الأشخاص و باشر شخص توصيل الكهرباء بها فاُعدموا بذلك، اُسند القتل إليه و ترتّب عليه أحكامه و إن لم يفعل إلاّ مباشرة التوصيل المذكور و إنّما الماكنة أعدمتهم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لو فُرضت ماكنة صنعت لإيجاد المجسّمات و باشر شخص توصيل الكهرباء بها فخرجت لأجلها الصور المجسّمة منها، اُسند إليه عمل الصور و أتى بالمبغوض و إن لم يباشر التصوير و التمثيل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دعوى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صورة أو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تصوير الصورة و تمثيلها بقدرته و علمه بذلك الصنع، و المباشر لاتّصال القوّة بالماكنة أو لإلقاء الجصّ في القالب ربّما لايكون مصوّراً و عالماً بالتصوير و لاقادراً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للإمام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لما عرفت من أنّ المستفاد من معتبرة الخصال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و عمل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 من مطلقات الأخبار هو أنّ نفس عمل الصور بأيّ نحو وُجد مبغوض، فالنهي عن عمل الصور يشمل الإيجاد التسبيبي من دون حاجة إلى إلغاء خصوصيّة المباشرة حتى يشكل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هيئة الفعل هو الإيجاد المباشري، و إن أمكن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لايرى للمباشرة خصوصيّة، و عدم التداول في تلك الأعصار لايمنع من إلغاء الخصوصية في عصرنا هذا،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إيقاد السراج في ليلة كذا، لم يختصّ ذلك بالمتعارف في تلك الأعصار ممّا يكون بالمباشرة، بل يكون عامّاً لمثل زماننا ممّا يكون بالتسبيب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الحكمة في ممنوعية التصوير هي التشبّه بالخالق في عمل هياكل الحيوانات، و هي حاصلة في إيجاد هياكل الحيوانات بالمعامل الكهربائية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متحقّقة فيما إذا كان التصوير بالمباشرة لابتسبيب المعامل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الخلقة من الله تعالى أعمّ‌، فربّما تكون من دون تسبيب كخلقة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تكون مع الأسباب كتوالد الحيوانات و الإنسان، فالحكمة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لاتختصّ بما إذا لم يكن سبب، بل هي موجودة فيما إذا كان بسبب المعامل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إطلاق الروايات و إطلاق الحكمة يقتضيان عدم اعتبار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بحرمة الرسم يقع الكلام في حرمة الصور المنطبعة بآلات التصوير، و قد 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المصوّر ليس مصوّراً و ممثّلاً إلاّ بضرب من التأويل و التجوّز، و لايصار إليه إلاّ بدليل و قرينة، من غير فرق بين الصور المنطبعة في الزجاجة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المنعكسة منها إلى الصحائف، و إن كان عدم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 في الأوّل أوضح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انعكاس الصورة في فلم آلة التصوير و كذا انعكاس الصورة على الصحائف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آلة التصوير قبال صور الأشخاص أو جعل الصحائف قبال الفلم، كجعل المرآة بحذاء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فيه، و التصوير المنعكس في الفلم و الصحائف يتحقّق بنفسه لابفعل المصوّر، و إنّما فعله هو حفظ ما انعكس في الفلم أو الصحائف، و عليه فلايكون المباشر مصوّراً، و لايكون ذلك عمل الصور و إيجاداً لها و لو بالتسبيب أيضاً، بل هو عمل على بقاء الصورة الواقعة من الشيء في الشيء الآخر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لاشبهة في عدم صدق المصوّر لاعلى من ألصق وراء الشيشة ما أعدّه للحكاية و لاعلى القائم بحذاء الشيشة المذكورة بل و الماء، و كذلك الحال في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مركّب من عملين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الشيشة بحذاء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دواء مخصوص على سطح الشيشة من خاصيّته إمساك ما وقع في الشيشة من صورة الجسم المحاذي، فالوقوع هنا حاله حال الوقوع في المرآة، و قد عرفت عدم صدق المصوّر على من وضعها بحذاء الجسم لتقع صورته فيها، غاية ما في الباب أنّ العكّاس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بتوسّط دواء أو غيره في هذه الصورة الواقعة فيجعلها ثابتة بحيث لاتزول بعد المحاذاة أيضاً، فهو كما لو تصرّف أحد في الصورة الواقعة في المرآة فجعلها ثابتة، فكما لايصدق على هذا المثبِت أنّه مصوّر فكذلك على العكّاس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لاإشكال في صدق التصوير على النقل من الشيشة إلى الكاغذ و نحوه،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الفوتوغرافية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 للصور الفوتوغرافية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لايوجب حرمة العمل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مقدّمة الحرام حراماً إلاّ ما ينسلب بعدها الاختيار، و هنا ليس كذلك، نعم لو كان من قصده التوصّل به إلى العمل الثاني كان تجرّياً، كالحاضر عند العكّاس إذا حضر بقصد أن ينقل العكّاس عكسه، فإنّه إعانة على الإثم لو ترتّب النقل، و تجرٍّ لو لم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بصدق المصوّر على من أثبت الصورة الواقعة في المرآة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التصوير هو إحداث الصورة الثابتة، و يكفي في صحّة استناد ذلك إلى الشخص كون الثبات بإحداثه و لو لم يكن أصل الصورة حاصلاً بإحداثه، و قد التزم بذلك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الصورة الثابتة غير إيجاد الصورة، و على هذا فالتصوير المتعارف في زماننا من قبيل الأوّل، ومع الشكّ في مفهوم التصوير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الشبهة مفهوميّة دائرة بين الأقلّ و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ولكن لايخفى عليك أنّ ما حكاه عن اُستاذه من صدق التصوير على النقل من الفلم إلى الكاغذ و نحوه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الكاغذ كالمرآة بالنسبة إلى الفلم، فكما أنّ جعل المرآة محاذية لشخص لايكون حراماً كذلك جعل الكاغذ محاذياً للفلم، فمع انعكاس الصورة من الفلم إلى الكاغذ بنفسه الذي هو كانعكاس الصور في المرآة لايكون عمل المصوّر إلاّ إثبات تلك الصورة المنعكسة في الكاغذ و إن لم تكن مرئية، لاإيجاد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قلنا بحرمة تنقيش و رسم ذوات الأرواح لم يكن التصوير المتعارف في زماننا هذا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مراحله من قبيل إثبات الصورة لاإيجادها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لايبعد صدق ذلك في المطابع الرائجة، فإنّها تطبع الصور على الورق،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33" w:name="pg16065_152738"/>
    </w:p>
    <w:p>
      <w:pPr>
        <w:pStyle w:val="BookText"/>
        <w:rPr/>
      </w:pPr>
      <w:bookmarkEnd w:id="133"/>
      <w:r>
        <w:rPr>
          <w:rFonts w:ascii="Amiri" w:hAnsi="Amiri" w:eastAsia="Amiri" w:cs="Amiri"/>
          <w:color w:val="111111"/>
          <w:sz w:val="28"/>
          <w:sz w:val="28"/>
          <w:szCs w:val="28"/>
          <w:rtl w:val="true"/>
          <w:lang w:bidi="ar-SA"/>
        </w:rPr>
        <w:t>و لذا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لايفرّق في حرمة التصوير بين أن يكون باليد أو بالطبع أو بالصياغة أو بالنسج، سواء كان أمراً دفعياً كما إذا كان بالآلة الطابعة أم تدريجياً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85198_1280447820"/>
      <w:bookmarkStart w:id="135" w:name="_Toc48"/>
      <w:bookmarkEnd w:id="134"/>
      <w:r>
        <w:rPr>
          <w:rtl w:val="true"/>
        </w:rPr>
        <w:t>الخامس</w:t>
      </w:r>
      <w:r>
        <w:rPr>
          <w:rtl w:val="true"/>
        </w:rPr>
        <w:t xml:space="preserve">: </w:t>
      </w:r>
      <w:r>
        <w:rPr>
          <w:rtl w:val="true"/>
        </w:rPr>
        <w:t>هل يجوز تصوير خصوص عظام الانسان تصويراً كاملاً أم لا؟</w:t>
      </w:r>
      <w:bookmarkEnd w:id="135"/>
    </w:p>
    <w:p>
      <w:pPr>
        <w:pStyle w:val="BookText"/>
        <w:rPr/>
      </w:pPr>
      <w:r>
        <w:rPr>
          <w:rFonts w:ascii="Amiri" w:hAnsi="Amiri" w:eastAsia="Amiri" w:cs="Amiri"/>
          <w:color w:val="111111"/>
          <w:sz w:val="28"/>
          <w:sz w:val="28"/>
          <w:szCs w:val="28"/>
          <w:rtl w:val="true"/>
          <w:lang w:bidi="ar-SA"/>
        </w:rPr>
        <w:t xml:space="preserve">إنّ مقتضى 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المحرّم هو تصوير ما يصدق عليه صورة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ما لايصدق عليه الصورة، كبعض الأعضاء من اليد و الرجل و الرأس و نحوها، فهل يجوز تصوير خصوص عظام الإنسان تصويراً كاملاً أم لايجوز؟</w:t>
      </w:r>
    </w:p>
    <w:p>
      <w:pPr>
        <w:pStyle w:val="BookText"/>
        <w:rPr/>
      </w:pPr>
      <w:r>
        <w:rPr>
          <w:rFonts w:ascii="Amiri" w:hAnsi="Amiri" w:eastAsia="Amiri" w:cs="Amiri"/>
          <w:color w:val="111111"/>
          <w:sz w:val="28"/>
          <w:sz w:val="28"/>
          <w:szCs w:val="28"/>
          <w:rtl w:val="true"/>
          <w:lang w:bidi="ar-SA"/>
        </w:rPr>
        <w:t>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صورة الانسان على مجرّد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الإنسان ليست مجرّد العظام، بل هي مركّبة منها و من العروق و اللحم و الجلد و الشعر، فالعظام المذكورة و إن كانت كاملة ولكنّها كبعض الأجزاء بالنسبة إلى الصورة الكاملة، فكما أنّ الدار لاتصدق بمجرّد نصب الأعمدة و غيرها من الفلزّات و إن كملت، كذلك لاتصدق صورة الإنسان بمجرّد تجسيم العظام أو العروق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فيما يصنع كالظلال للحيوانات من دون أجزاء لها و إنّما تشير بها إلى أبعادها، فإنّ مثله لايصدق عليه صورة الإنسان المركّبة من اليدين و الرجلين و الرأس و بقيّة الأجزاء، و إنّما هذه الصورة تحكي عن أبعادها لاعن أجزائها و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 ما يكون نشوء الإنسان منه، فما لم يصدق عليه الحيوان فلاإشكال فيه،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تصوير البيضة و العلقة و المضغة و بزر القزّ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bookmarkStart w:id="136" w:name="pg16065_152739"/>
    </w:p>
    <w:p>
      <w:pPr>
        <w:pStyle w:val="BookText"/>
        <w:rPr/>
      </w:pPr>
      <w:bookmarkEnd w:id="136"/>
      <w:r>
        <w:rPr>
          <w:rFonts w:ascii="Amiri" w:hAnsi="Amiri" w:eastAsia="Amiri" w:cs="Amiri"/>
          <w:color w:val="111111"/>
          <w:sz w:val="28"/>
          <w:sz w:val="28"/>
          <w:szCs w:val="28"/>
          <w:rtl w:val="true"/>
          <w:lang w:bidi="ar-SA"/>
        </w:rPr>
        <w:t>نحو ذلك ممّا هو نشوء الحيوان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ما لم يصدق اسم الحيوان على بعض المراحل المذكورة، و إلاّ فهو حرام من جهة صورة ذلك الحيوان لامن جهة صورة الإنسان</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85200_1280447820"/>
      <w:bookmarkStart w:id="138" w:name="_Toc49"/>
      <w:bookmarkEnd w:id="137"/>
      <w:r>
        <w:rPr>
          <w:rtl w:val="true"/>
        </w:rPr>
        <w:t>السادس</w:t>
      </w:r>
      <w:r>
        <w:rPr>
          <w:rtl w:val="true"/>
        </w:rPr>
        <w:t xml:space="preserve">: </w:t>
      </w:r>
      <w:r>
        <w:rPr>
          <w:rtl w:val="true"/>
        </w:rPr>
        <w:t>هل تلحق صورة الجن و الشيطان و الملك بالصورة الحيوانية أم لا؟</w:t>
      </w:r>
      <w:bookmarkEnd w:id="138"/>
    </w:p>
    <w:p>
      <w:pPr>
        <w:pStyle w:val="BookText"/>
        <w:rPr/>
      </w:pPr>
      <w:r>
        <w:rPr>
          <w:rFonts w:ascii="Amiri" w:hAnsi="Amiri" w:eastAsia="Amiri" w:cs="Amiri"/>
          <w:color w:val="111111"/>
          <w:sz w:val="28"/>
          <w:sz w:val="28"/>
          <w:szCs w:val="28"/>
          <w:rtl w:val="true"/>
          <w:lang w:bidi="ar-SA"/>
        </w:rPr>
        <w:t>إنّه هل تلحق صورة الجنّ و الشيطان و الملك بالصورة الحيوانية أو لا؟</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إلحاق تصوير الملك و الجنّي بذلك، بل قد يقوى جريان الحكم في تصوير ما يتخيّله في ذهنه من صورة حيوان مشارك للموجود في الخارج من الحيوان في كلّي الأجزاء، دون أعدادها و أوضاعها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عموم ممنوعية عمل الصور و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الخارج منه هو صور غير ذوات الأرواح و بقي الباقي تحت العموم، و المفروض أنّ الملك و الجنّي و الشيطان ذوو أرواح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لايشترط في صدق صورة الحيوان أو ذي الروح وجود ما يطابقها عرفاً شخصاً أو نوعاً في الخارج، بل يكفي كونها بحيث يقال عرفاً إنّه صورة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صورة الحيوان أو ذي الروح الصورة المختصّة به، و المراد شيوع الاختصاص و تعارفه و جريان العادة به، فلو صوّر صورة حيوان لم يعلم وجود نوعه ولكن كان بحيث لو فرض وجود مطابقه لكان من الحيوان بحسب العادة كان محرّماً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استشكل فيه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 في الأدلّة هو المستفيضة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أن ينفخ فيها و ليس بنافخ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منها أنّ المحرّم هو تمثال موجود يكون نحو إيجادها بالتصوير و النفخ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كالإنسان و سائر الحيوانات، فمع تصوير صورة حيوانية و تتميم تصويرها و بقاء نفخ الروح فيها و لو بنحو من المسامحة كأنّه تشبّه بالخالق في مصوّريّته ما في الأرحام، فيقال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المصوّر، انفخ فيها كما نفخ الله تعالى في الصور بعد تسويتها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مثل الجنّ و الشيطان 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كيفيّة إيجادها بغير التصوير و التخليق التدريجيّين، و بغير التسوية و النفخ، بل إيجادها بدعيّة دفعيّة سواء قيل بكونها مجرّدة أم لا، و لايكون فيها نفخ روح كما في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مساق تلك الأخبار التي هي المعتمدة في حرمة عمل المجسّمات، لاستفاضتها و اعتبار أسناد بعضها كمرسلة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المظنون بل الظاهر من مجموع الروايات أنّ وجه تحريم الصور و التماثيل هو التشبّه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المصوّرية التي هي من صفاته الخاصّة، و التصوير الخيالي من المذكورات ليس تشبّهاً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يصوّرها كذلك حتى يكون التصوير تشبّهاً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شبيهاً به في مطلق التصوير،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لايلزم ممّا ذكرناه الالتزام بجواز تصوير حيوان غير موجود، كالعنقاء مثلاً، أو مخلوق ذي رؤوس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لانقول باختصاص الأدلّة بالحيوانات الموجودة في الخارج، بل نقول باختصاصها بما يكون موجوديّته كموجوديّة الحيوانات بالتخليق و التصوير، و المذكورات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الالتزام بعدم الحرمة في بعض مصاديق مورد النقض ليس ببعيد، و ليس بتال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بعض الأخبار بالتصوير و التخليق التدريجيّين و النفخ لايوجب عدم شمول الدليل للجنّي و الملك 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الحقائق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تراث الإمام الخميني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عند العرف أيضاً كذلك، و الذي اُفيد من كون إيجادها بدعيّاً دفعيّاً ممّا قرّر في محلّه أجنبي عن فهم العرف، و المتّبع في مصاديق المفاهيم هو العرف، كما أنّ في تشخيص المفاهيم أيضاً كذلك، و عليه فدعوى خروج تلك الأمثال عن مساق الأخبار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خصوصيات بعض الروايات لاتسري إلى سائر المطلقات بعد كونهما من المنفيات، فلاوجه لرفع اليد عن عموم المنع عن عمل الصور و بنائها عدا غير ذوات الأرواح،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الحكمة هي التشبّه بالخالق في المصوّرية، و هي حاصلة بمثل تلك الأمثلة و الصور الخيالية و لو لم تكن لتلك الصور موجودية، و لاوجه لتقييد المصوّرية بالصورة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في وجه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من تصوير الجنّ و الملائكة ما هو بشكل واحد من الحيوانات، فيحرم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قصد كونه حيواناً مع فرض العلم بكونه صورة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ليس اعتبار القصد في صور المشتركات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المتعارفة من تصويرهما ممتازة عرفاً عن صور الحيوانات و إن كانت شبيهة من بعض الوجوه بالإنسان، لكن العرف يراها غير صورة الإنسان، ففرق بين كون صورة للإنسان أو لموجود آخر شبيه به، و الصور المعمولة من قبيل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أفاد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يصوّر صورة الملك و الجنّ إنّما يقصد صورتهما لاصورة الحيوان و لابما هو أعمّ منهما و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139" w:name="pg16065_152742"/>
    </w:p>
    <w:p>
      <w:pPr>
        <w:pStyle w:val="BookText"/>
        <w:rPr/>
      </w:pPr>
      <w:bookmarkEnd w:id="139"/>
      <w:r>
        <w:rPr>
          <w:rFonts w:ascii="Amiri" w:hAnsi="Amiri" w:eastAsia="Amiri" w:cs="Amiri"/>
          <w:color w:val="111111"/>
          <w:sz w:val="28"/>
          <w:sz w:val="28"/>
          <w:szCs w:val="28"/>
          <w:rtl w:val="true"/>
          <w:lang w:bidi="ar-SA"/>
        </w:rPr>
        <w:t>و عليه فلايصحّ القول بالحرمة من جهة ما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على الحرمة بصحيحة البقباق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 ولكنّها الشجر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المقابلة بين ذي الروح و غيره من حيث جواز التصوير و عدمه، و ذكر الاُمور المذكورة فيها إنّما هو من باب المثال،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التشبّث برواية أبي العبّاس ففيه مالايخفى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نقل قضية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لامعنى لإطلاق قضيّة 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فلاحاجة إلى التجشّم بالاستدلالات المذكورة بعدما عرفت من إدراج المقام في عموم أو إطلاق ممنوعية عمل الصور و بنائها، مضافاً إلى حكمة الحكم، فلاتغفل</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85202_1280447820"/>
      <w:bookmarkStart w:id="141" w:name="_Toc50"/>
      <w:bookmarkEnd w:id="140"/>
      <w:r>
        <w:rPr>
          <w:rtl w:val="true"/>
        </w:rPr>
        <w:t>السابع</w:t>
      </w:r>
      <w:r>
        <w:rPr>
          <w:rtl w:val="true"/>
        </w:rPr>
        <w:t xml:space="preserve">: </w:t>
      </w:r>
      <w:r>
        <w:rPr>
          <w:rtl w:val="true"/>
        </w:rPr>
        <w:t>لو دعت الحاجة الى عمل شىء يكون شبيها بشىء من خلق الله و لو كان حيواناً</w:t>
      </w:r>
      <w:bookmarkEnd w:id="141"/>
    </w:p>
    <w:p>
      <w:pPr>
        <w:pStyle w:val="BookText"/>
        <w:rPr/>
      </w:pPr>
      <w:r>
        <w:rPr>
          <w:rFonts w:ascii="Amiri" w:hAnsi="Amiri" w:eastAsia="Amiri" w:cs="Amiri"/>
          <w:color w:val="111111"/>
          <w:sz w:val="28"/>
          <w:sz w:val="28"/>
          <w:szCs w:val="28"/>
          <w:rtl w:val="true"/>
          <w:lang w:bidi="ar-SA"/>
        </w:rPr>
        <w:t>إنّه لو دعت الحاجة إلى عمل شيء يكون شبيهاً بشيء من خلق الله ولو كان حيواناً من غير قصد الحكاية فالظاهر من الجواهر أنّه ليس بمحرّم،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اشتركت الصورة بين الحيوان أو غيره اتّبع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دعت الحاجة إلى عمل شيء يكون شبيهاً بشيء من خلق الله و لو كان حيواناً من غير قصد الحكاية فلابأس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أوضحه في مصباح الفقاهة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لاشبهة في اعتبار قصد حكاية 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في حرمة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المذكور في الروايات النهي عن التصوير و التمثيل، و لايصدق ذلك إذا حصل التشابه بالمصادفة و الاتّفاق من غير قصد الحكاية، و هذا نظير اعتبار قصد الحكاية في صحّة استعمال الألفاظ في معانيها، و بدون ذلك ليس هناك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احتاج أحد إلى عمل شيء من المكائن أو آلاتها أو غيرهما من الأشياء اللازمة على صورة حيوان فلايكون ذلك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التصوير عليه بوجه، و المثال الواضح لذلك الطائرات المصنوعة في زماننا هذا، فإنّها شبيهة بالطيور و مع ذلك لم يفعل صانعها فعلاً محرّماً، و لايتوهّم أحد حتى الصبيان أنّ صانع الطائرة يصوّر صورة الطير، بل إنّما غرضه صنع شيء آخر للمصلحة العامّة، و كونه على هيئة الطير إنّما هو اتّفاقي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فالمعتبر في حرمة التصوير هو قصد الحكاية عن الحيوان، و لم يتحقّق ذلك في المشتركات التي يؤتى بها بقصد شيء آخر، فكما أنّه إذا أتى شخص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الشكر لابقصد القراءة لم يأتِ بالقراءة، إذ اللازم في القراءة هو قصد الحكاية عن الألفاظ المنزلة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إذا صوّر صورة لابقصد الحكاية عنها بل بقصد شيء آخر من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كالطائرات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حراماً، و لاأقلّ من الشكّ‌، فمقتضى الأصل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الحكاية مع شيء آخر فالأظهر أنّه فعل حراماً من دون فرق بين كون الحكاية أصلاً أو تبعاً،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فالمحرّم هو الحكاية و إراءة ذي الصورة بالصورة من دون فرق بين الأصالة و عدمها، فعمل بعض الحلويات بصورة الحيوانات مع قصد الحكاية عنها يكون محرّماً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142" w:name="pg16065_152744"/>
    </w:p>
    <w:p>
      <w:pPr>
        <w:pStyle w:val="BookText"/>
        <w:rPr/>
      </w:pPr>
      <w:bookmarkEnd w:id="142"/>
      <w:r>
        <w:rPr>
          <w:rFonts w:ascii="Amiri" w:hAnsi="Amiri" w:eastAsia="Amiri" w:cs="Amiri"/>
          <w:color w:val="111111"/>
          <w:sz w:val="28"/>
          <w:sz w:val="28"/>
          <w:szCs w:val="28"/>
          <w:rtl w:val="true"/>
          <w:lang w:bidi="ar-SA"/>
        </w:rPr>
        <w:t>وهل يكون تصنيع الإنسان الآلي في عصرنا محرّماً أو لا؟</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من ذلك هو الحكاية عن ذي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تبعاً فالعمل المذكور محرّم، و إلاّ فلايحرم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85204_1280447820"/>
      <w:bookmarkStart w:id="144" w:name="_Toc51"/>
      <w:bookmarkEnd w:id="143"/>
      <w:r>
        <w:rPr>
          <w:rtl w:val="true"/>
        </w:rPr>
        <w:t>الثامن</w:t>
      </w:r>
      <w:r>
        <w:rPr>
          <w:rtl w:val="true"/>
        </w:rPr>
        <w:t xml:space="preserve">: </w:t>
      </w:r>
      <w:r>
        <w:rPr>
          <w:rtl w:val="true"/>
        </w:rPr>
        <w:t>لايحرم التصوير على غير البالغ لرفع التكليف عنه</w:t>
      </w:r>
      <w:bookmarkEnd w:id="144"/>
    </w:p>
    <w:p>
      <w:pPr>
        <w:pStyle w:val="BookText"/>
        <w:rPr/>
      </w:pPr>
      <w:r>
        <w:rPr>
          <w:rFonts w:ascii="Amiri" w:hAnsi="Amiri" w:eastAsia="Amiri" w:cs="Amiri"/>
          <w:color w:val="111111"/>
          <w:sz w:val="28"/>
          <w:sz w:val="28"/>
          <w:szCs w:val="28"/>
          <w:rtl w:val="true"/>
          <w:lang w:bidi="ar-SA"/>
        </w:rPr>
        <w:t>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لايحرم التصوير على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التكليف عنه، فلو صوّر لم يفعل محرّماً، و لايجب المنع و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كالقتل و هتك عرض المؤمن ممّا لايرضى الشارع بوقوعه و وجوده و لو صدر من البهائم، كما يشهد له جواز الاقتناء، بناءً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تمكينه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وجوب منع غير المكلّف إذا باشر ذلك بنفسه، بل جواز تمكينه أيضاً إذا لم يكن بحيث يسند الفعل إلى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الدليل على وجوب المنع أو حرمة التمكين، كما في سائر المحرّمات التي لم يعلم من أدلّتها أو من الخارج اهتمام الشارع بها بحيث لايريد وجودها في الخارج أصلاً فإنّه لايجب منع غير المكلّف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المقام 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الحكمة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تماميّتها، مع أنّ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الإبقاء، و لايلتزم به 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الأخبار هو أنّ حكمة المنع عن التصوير هو التشبّه بالخالق في المصوّرية التي هي من صفاته تعالى، و التشبّه بالله تعالى في المصورية أمر مبغوض في نفسه، و هو حاصل بنفس التصوير، و الإبقاء ليس تشبّهاً في المصوّريّة، و عليه فتمكينه منه كتمكين الجاهل الغافل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bookmarkStart w:id="145" w:name="pg16065_152745"/>
    </w:p>
    <w:p>
      <w:pPr>
        <w:pStyle w:val="BookText"/>
        <w:rPr/>
      </w:pPr>
      <w:bookmarkEnd w:id="145"/>
      <w:r>
        <w:rPr>
          <w:rFonts w:ascii="Amiri" w:hAnsi="Amiri" w:eastAsia="Amiri" w:cs="Amiri"/>
          <w:color w:val="111111"/>
          <w:sz w:val="28"/>
          <w:sz w:val="28"/>
          <w:szCs w:val="28"/>
          <w:rtl w:val="true"/>
          <w:lang w:bidi="ar-SA"/>
        </w:rPr>
        <w:t>لايريده و إن جاز إبقاؤه بعد التصوير، بل مقتضى مبغوضيّة التشبّه هو المنع و النهي عن تصوير غير البالغ و إن لم يكن مكلّفاً بالحرمة، فافهم</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85206_1280447820"/>
      <w:bookmarkStart w:id="147" w:name="_Toc52"/>
      <w:bookmarkEnd w:id="146"/>
      <w:r>
        <w:rPr>
          <w:rtl w:val="true"/>
        </w:rPr>
        <w:t>التاسع</w:t>
      </w:r>
      <w:r>
        <w:rPr>
          <w:rtl w:val="true"/>
        </w:rPr>
        <w:t xml:space="preserve">: </w:t>
      </w:r>
      <w:r>
        <w:rPr>
          <w:rtl w:val="true"/>
        </w:rPr>
        <w:t>الرسم على الكرة و نحوها بصورة الحيوان لايحرم</w:t>
      </w:r>
      <w:bookmarkEnd w:id="147"/>
    </w:p>
    <w:p>
      <w:pPr>
        <w:pStyle w:val="BookText"/>
        <w:rPr/>
      </w:pPr>
      <w:r>
        <w:rPr>
          <w:rFonts w:ascii="Amiri" w:hAnsi="Amiri" w:eastAsia="Amiri" w:cs="Amiri"/>
          <w:color w:val="111111"/>
          <w:sz w:val="28"/>
          <w:sz w:val="28"/>
          <w:szCs w:val="28"/>
          <w:rtl w:val="true"/>
          <w:lang w:bidi="ar-SA"/>
        </w:rPr>
        <w:t>إنّ الرسم على الكرة و نحوها بصورة الحيوان لايحرم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الرسم لايصدق عليه التجسيم و إن صارت بعد ذلك كالحيوان المجسّد، و المفروض أنّ نفس الرسم لادليل على حرمته، فلاوجه لحرمة ذلك كما لايخفى</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85208_1280447820"/>
      <w:bookmarkStart w:id="149" w:name="_Toc53"/>
      <w:bookmarkEnd w:id="148"/>
      <w:r>
        <w:rPr>
          <w:rtl w:val="true"/>
        </w:rPr>
        <w:t>العاشر</w:t>
      </w:r>
      <w:r>
        <w:rPr>
          <w:rtl w:val="true"/>
        </w:rPr>
        <w:t xml:space="preserve">: </w:t>
      </w:r>
      <w:r>
        <w:rPr>
          <w:rtl w:val="true"/>
        </w:rPr>
        <w:t>اخذ الاجرة على التصوير المحرّم غير جائز</w:t>
      </w:r>
      <w:bookmarkEnd w:id="149"/>
    </w:p>
    <w:p>
      <w:pPr>
        <w:pStyle w:val="BookText"/>
        <w:rPr/>
      </w:pPr>
      <w:r>
        <w:rPr>
          <w:rFonts w:ascii="Amiri" w:hAnsi="Amiri" w:eastAsia="Amiri" w:cs="Amiri"/>
          <w:color w:val="111111"/>
          <w:sz w:val="28"/>
          <w:sz w:val="28"/>
          <w:szCs w:val="28"/>
          <w:rtl w:val="true"/>
          <w:lang w:bidi="ar-SA"/>
        </w:rPr>
        <w:t>إنّ أخذ الاُجرة على التصوير المحرّم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المحرّم بذاته مسلوب الماليّة شرعاً، و أخذ المال في قباله يكون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أفاد و أجاد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الاُجرة على التصوير المحرّم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الإجارة لذلك حرام و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فيما سلف من أنّ الفعل المحرّم الذي يجب على الناس منع الفاعل عنه بأدلّة النهي عن المنكر لايكون محترماً و مالاً، و لهذا لايضمن المانع عنه اُجرة المثل للعمل بلاشبهة، فلو منع مانع عبد غيره عن عمل الصورة المجسّمة لايكون ضامناً، فلايكون ذلك العمل مالاً لدى الشارع، فلايجوز أخذ الأجر عليه، و يكون الأخذ أكلاً للمال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6065_152747"/>
      <w:bookmarkStart w:id="151" w:name="pg16065_152747"/>
      <w:bookmarkEnd w:id="151"/>
    </w:p>
    <w:p>
      <w:pPr>
        <w:pStyle w:val="Heading3"/>
        <w:numPr>
          <w:ilvl w:val="2"/>
          <w:numId w:val="1"/>
        </w:numPr>
        <w:rPr/>
      </w:pPr>
      <w:bookmarkStart w:id="152" w:name="pg16065_152747"/>
      <w:bookmarkStart w:id="153" w:name="__RefHeading___Toc285210_1280447820"/>
      <w:bookmarkStart w:id="154" w:name="_Toc54"/>
      <w:bookmarkEnd w:id="152"/>
      <w:bookmarkEnd w:id="153"/>
      <w:r>
        <w:rPr>
          <w:rtl w:val="true"/>
        </w:rPr>
        <w:t>المقام الثالث في اقتناء الصور المحرّمة</w:t>
      </w:r>
      <w:bookmarkEnd w:id="154"/>
    </w:p>
    <w:p>
      <w:pPr>
        <w:pStyle w:val="Heading4"/>
        <w:numPr>
          <w:ilvl w:val="3"/>
          <w:numId w:val="1"/>
        </w:numPr>
        <w:rPr/>
      </w:pPr>
      <w:bookmarkStart w:id="155" w:name="__RefHeading___Toc285212_1280447820"/>
      <w:bookmarkStart w:id="156" w:name="_Toc55"/>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ظاهر كلام بعض القدماء هو حرمة بيع التماثيل و ابتياعها،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الأصنام و الصلبان و التماثيل المجسّمة و الشطرنج و النرد و ما أشبه ذلك حرام، و بيعه و ابتياعه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الأصنام و الصلبان و التماثيل المجسّمة و الصور و الشطرنج و النرد و سائر أنواع القمار حتى لعب الصبيان بالجوز فالتجارة فيها و التصرّف و التكسّب بها حرام محظور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هذه الكلمات أنّ استعمال و اقتناء المجسّمات و التماثيل ممنوعان، و إلاّ فلاوجه لحرمة المعاملة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الجواهر حيث ذهب إلى جواز البيع و الاقتناء و الاستعمال و الانتفاع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لم نجد من أفتى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يحكى عن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85214_1280447820"/>
      <w:bookmarkStart w:id="158" w:name="_Toc56"/>
      <w:bookmarkEnd w:id="157"/>
      <w:r>
        <w:rPr>
          <w:rtl w:val="true"/>
        </w:rPr>
        <w:t>أدلّة حرمة الاقتناء</w:t>
      </w:r>
      <w:r>
        <w:rPr>
          <w:rtl w:val="true"/>
        </w:rPr>
        <w:t>:</w:t>
      </w:r>
      <w:bookmarkEnd w:id="158"/>
    </w:p>
    <w:p>
      <w:pPr>
        <w:pStyle w:val="BookText"/>
        <w:rPr/>
      </w:pPr>
      <w:r>
        <w:rPr>
          <w:rFonts w:ascii="Amiri" w:hAnsi="Amiri" w:eastAsia="Amiri" w:cs="Amiri"/>
          <w:color w:val="111111"/>
          <w:sz w:val="28"/>
          <w:sz w:val="28"/>
          <w:szCs w:val="28"/>
          <w:rtl w:val="true"/>
          <w:lang w:bidi="ar-SA"/>
        </w:rPr>
        <w:t>استدلّ على حرمة الاقتناء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تحريم عمل الشيء مبغوضيّة وجود المعمول ابتداءً و استدامة، كحرمة عمل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هو إيجاد الصورة، و ليس وجودها مبغوضاً حتى يجب رفعه، نعم قد يفهم الملازمة من سياق الدليل أو من خارج، كما أنّ حرمة إيجاد النجاسة في المسجد يستلزم مبغوضيّة وجودها فيه المستلزم لوجوب رفعها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فيه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العرفي من الأوامر و النواهي المتعلّقة بالماهيّات التي لها بقاء و ثبات في الخارج أنّ تلك الماهيّة القارّة الذات محبوبة أو مبغوضة له، و إنّما أمر بإيجادها لمحبوبيّتها بوجودها المستقرّ المستمرّ، و نهى عنها لمبغوضيّتها كذلك، و لاتنتقل الأذهان إلى الإيجاد و الوجود بنحو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 يكون المدّعى هو التفاهم العرفي لاالملازمة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الشيخ إن رجع إلى نفي الملازمة عقلاً فلاينافي التفاهم العرفي، و هو كاف في المقام، و إن رجع إلى إنكار فهم العرف فهو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لمساعدة العرف لما ذكر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هذا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بأنّالمقام ممّا قامت القرينة على أنّالمحرّم و المبغوض هو هذا المعنى المصدري لاالماهية بوجودها البقائي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عمدة المستند في المسألة كما تقدّم هي المستفيضة المشتملة على الأمر بالنفخ، و الظاهر منها بمناسبة الحكم و الموضوع أنّ الأمر به لأجل تعجيزه عن تتميم ما خلق، و كأنّه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مصوّراً فكن نافخاً كما كان الله كذلك، فيفهم منها أنّ الممنوع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المبغوض هو التشبّه به تعالى في مصوّريّته، فهذا المعنى المصدري هو المنظور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دعوى 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بحرمة الغشّ في المعاملة، مع أنّ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بمحرّم، و إنّما كان للمشتري خيار الفسخ للتدليس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بحرمة الوطء و الاستيلاد حال الحيض أو حال الصيام، و لو فعل ذلك فلايجوز إلقاء النطفة عن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بحرمة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المحقّق الإيرواني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حرام، و مع ذلك لاتحرم تربية من تولّد من الزنا، بل يجب حفظه من التلف،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بحرمة خياطة ثوب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صاحبه، فلو خاطه كذلك لايحرم بقاؤه، بل لايجوز إتلافه، و هكذا البناء في دار الغير بموادّ البناء التابعة لصاحبها من دون إذنه،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الإيجاد و الوجود في الحقيقة شيء واحد و إنّما يختلفان بالاعتبار، فإنّ الصادر من الفاعل بالنسبة إليه إيجاد و بالنسبة إلى القابل وجود، فإذا حرم الإيجاد حرم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بما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حرمة الإيجاد و إن كان ملازماً لحرمة الوجود إلاّ أنّ الكلام هنا ليس في الوجود الأوّلي الذي هو عين الإيجاد أو لازمه، بل في الوجود في الآن الثاني الذي هو عبارة عن البقاء، و من البديهي أنّه لاملازمة بين الحدوث و البقاء لاحكماً و لاموضوعاً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أنّا إذا سلّمنا الملازمة بين مبغوضيّة الإيجاد و بين مبغوضيّة الوجود فإنّما يتمّ‌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إلى الفاعل فقط، فيجب عليه إتلافه دون غيره، مع أنّ المدّعى وجوب إتلافه على كلّ أحد، فالدليل أخصّ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الدليل لاينحصر في المستفيضة، لما عرفت من معتبرة الخصال و غيرها، و هي لاتتقيّد بما تقتضيه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الحكمة ليست كالعلّة حتى تكون مخصّصة، و إن لم يبعد القول بمعمّميتها كما ذهب إليه اُستاذنا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منحصر في نفي الملازمة، و على تقدير تسليم الملازمة اختصّ وجوب الإتلاف بالفاعل،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 الشمس و القمر؟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ما لم يكن شيئاً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الظاهر من سؤال الراوي عن التماثيل هو سؤاله عن حكم الفعل المتعارف المتعلّق بها العامّ البلوى و هو الاقتناء، و أمّا نفس الإيجاد فهو عمل مختصّ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أنّه لو سئل عن الخمر فأجاب بالحرمة أو عن العصير فأجاب بالإباحة انصرف الذهن إلى شربهما دون صنعهما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نحن فيه أولى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صنع العصير و الخمر يقع من كلّ واحد بخلاف صنع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الصحيحة غير ظاهرة في السؤال عن 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 الصور ممّا هو مركوز في الأذهان، حتى أنّ السؤال عن حكم اقتنائها بعد معرفة حرمة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لايحتمل حرمة اقتناء ما لايحرم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لتخصيص السؤال بصورة الإيجاد، بل استبعاد عدم معرفة محمّد بن مسلم لحرمة الإيجاد يقوّي أن يكون سؤاله عن حكم اقتنائها بعد معرفته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بحرمة عملها، و عليه فالرواية تدلّ على التفصيل بين تماثيل غير ذوات الأرواح فلابأس باقتنائها، و بين تماثيل ذوات الأرواح فالبأس باقتنائها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في مقام تبيّن الحدود و قيود المحرّم من أنّه هل يشمل غير ذوات الأرواح أو لا، وعليه فلايختصّ السؤال بالاقتناء بل يعمّ الإيجاد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شيئاً من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كونالسائل في مقام السؤال عن تماثيل غير ذوات الأرواح كما يشهد له تخصيص سؤاله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ذكرها من باب التفضّل، و 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بيان خصوصيات أحكام تصوير ذوات الأرواح فعليه لاإطلاق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شيئاً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يؤخذ بإطلاقه في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صورة إلاّ محوتها، و لاقبراً إلاّ سوّيته، و لاكلباً إلاّ قتلته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النبوي سياقه ظاهر في الكراهة، كما يدلّ عليه عموم الأمر بقتل الكلاب،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لاقبراً إلاّ سوّيته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المكروه لايوجب جواز التصرّف فيه بالهدم و المحو و القتل، اللّهمّ إلاّ أن يكون ذلك من جهة اقتضاء و لايتهم في الاُمور لمصلحة،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قضيّة في واقعة، كما في تعليقة الإيرواني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تصاوير المدينة كانت أصناماً و كلابها مؤذيات و قبورها مسنّمات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مرتفعات غير مسطّحات، نحو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التسنيم من شعائر النصارى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قرب الإسناد، عن عبدالله بن الحسن، عن جدّه،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التماثيل هل يصلح أن يلعب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فيه أيضاً عن المحاسن، عن موسى بن القاسم،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عن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أن يلعب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لاتدلّ إلاّ على كراهة اللعب بالصورة و لانمنعها، بل و لاالحرمة إذا كان اللعب على وجه اللهو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لاتدلّ إلاّ على الكراهة هو أنّ عدم الصلاحية أعمّ من الحرمة، فلايدلّ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مصباح الفقاهة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سلّمنا دلالته على حرمة اللعب بها فلاملازمة بين حرمته و حرمة 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اللعب أعمّ من حرمة الاقتناء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إنكار أنّ المعمول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تماثيل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الإنكار إنّما يرجع إلى مشيئة سليمان للمعمول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أصل العمل، فدلّ على كون مشيئة وجود التمثال من المنكرات التي لاتليق بمنصب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 تفسير الآية ظاهره رجوع الإنكار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باب ما يجوز من الأشياء، 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باب تزويق البيوت،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مشيئة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إذنه فيه، أو إلى تقريره لهم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عبارة اُخرى عن معمولهم، فمتعلّق المشيئة نفس المعمول، و المفروض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في الرواية أن يكون ذلك تماثيل الرجال و النساء بل هي تماثيل الأشجار و الشمس و القمر، فيدلّ على أنّ مشيئة سليمان وجود التماثيل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يكن وجه لإنكار تعلّق مشيئة سليمان بها، و هذا ممّا لاينبغي أن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الظهور بحسب اللفظ هو رجوع المشيئة إلى المعمول، إلاّ أنّ الظاهر أنّ مجرّد حبّ النبيّ و ميله إلى المرجوح لم يثبت منافاته لمرتبة النبوّة ما لم يظهر منه أثر، بل و ظهر ما ينافيه، مثلاً لو لم يحبّ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استرقاق أقاربه و قتلهم بل أحبّ راحتهم و مع ذلك أمر بقتلهم و أسرهم لايكون فيه منافاة للعصمة و منصب النبوّة، فتكون هذه قرينة على رجوع الإنكار إلى إذنه و تقريره لفعله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ما في هذا التوجيه من التعسّف و منع الظهور، و بعد كون الظاهر رجوع المشيئة إلى المعمول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بظهوره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الإنكار هو حرمة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الإنكار لايدلّ إلاّ على عدم المناسبة لمقام النبوّة لاالحرمة، فإنّ الإنكار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اللياقة بمنصب النبوّة لايستلزم الحرمة، فإنّ فعل المكروه أو بعض المباحات أيضاً لايليق بمنصب النبوّة،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يكون التماثيل في البيوت إذا غيّرت رؤوسها منها و ترك ما سوى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مفهومها هو ثبوت البأس بها مع عدم التغيير، و ثبوت البأس في شيء مطلقاً مقتضاه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البأس فيها محمول على الكراهة لأجل الصلاة أو مطلقاً، مع دلالته على جواز الاقتناء و عدم وجوب المحو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دلالته على جواز الاقتناء هو ما أشار إليه في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أجل أنّ تغيير رأسها لايوجب زوال صدق الصورة، و الصحيحة نصّ في الجواز بعد 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الاقتناء حراماً فلاوجه لزوال الحرمة بمجرّد التغيير مع صدق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التقييد بالبيوت يدلّ أو يشعر بعدم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إبقاؤها محرّماً لما ناسب ذلك التعبير و التقييد، فتخصيص البأس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عدم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بالبيوت مشعر أو دالّ على جواز الإبقاء و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التقييد بالبيوت لأجل أنّ البيت معدّ للصلاة فيه، و يكره وجود الصورة في بيت يصلّى فيه مطلقاً أو إذا كانت بحذاء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عمير، عن المثنّى،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الصور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ورد في رواية اُخرى مرويّة في 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الربا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يكره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حرمة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ورد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يكره الحلال محمول على المباح المتساوي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المكروه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الكراهة المذكورة في الرواية الاُولى أعمّ من الحرمة و الكراهة الاصطلاحيّة فلاتدلّ على حرمة اقتناء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التقييد بالبيوت مشعر بجواز اقتنائه، و إنّما المنع لأجل أنّ البيت معدّ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مكارم الأخلاق،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اُصلّي و بين يديّ و سادة فيها تماثيل طائر فجعلت عليه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اُهديت إليَّ طنفسة من الشام فيها تماثيل طير فأمرت به فغيّر رأسه فجعل كهيئة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أشدّ ما يهمّ بالإنسان إذا كان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في الطاء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و الحصير 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الحلبي لادلالة لها على الوجوب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الصورة في الطنفسة التي اُهديت إليه ليس إلاّ كفعله بنفسه، و من الواضح أنّ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الوجوب، و لايقاس ذلك بسائر الأوامر الصادرة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الرواية مرسلة فلايجوز الاستناد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الفصل العاشر في النجد و الأثاث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صدر الرواية اكتفي فيه بتغطيته بالثوب، فلو كان اقتناؤها محرّماً لم يُكتفَ بذلك، على أنّ تعليل الأمر بالتغيير بأنّ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مشعر بأنّ الأمر ليس وجوبياً، بناءً على أنّ الصدر و الذيل كانا جزءً من الرواية و لم يكونا مستقلّين،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قرب الإسناد، عن عبدالله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مسجد يكون فيه تصاوير و تماثيل أيصلّى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يُكسَّر رؤوس التماثيل و يُلطَّخ رؤوس التصاوير و يصلّى فيه، و 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يُلطَّخ أي 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الأمر بالكسر و التلطيخ لحرمة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راجعة إلى الصلاة في مسجد فيه التصوير، و لاينافي جواز إبقائها في غير المسجد، أو فيه في غير حال الصلاة، فالأمر بالكسر و التلطيخ لرفع البأس عن الصلاة فيه، لالحرمة إبقائها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يستشعر منها جواز الإبقاء لو لم نقل بدلالتها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الاستشعار أنّ الإبقاء لو كان حراماً لم يقيّد التغيير في الرؤوس بحال 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حيث دلّت على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حرام هي كلّها التي يجيء منها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منه و فيه شيء من وجوه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ظاهره أنّ كلّ ما يحرم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التصاوير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منه الفساد محضاً، فيحرم جميع التقلّب فيه بمقتضى ما ذكر في الرواية بعد هذه الفقرة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معايش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الفقرة السابقة منها الواردة في تقسيم الصناعات إلى ما يترتّب عليه الحلال و الحرام و ما لايترتّب عليه إلاّ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 بالنسبة إلى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يحرم من القسمين إلاّ ما ينحصر فائدته في الحرام و لايترتّب عليه إلاّ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وارد في مساق التعليل و إعطاء الضابطة للفرق بين الصنائع، لالبيان حرمة خصوص القسم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يسبق الحصر أمران حتى يكون بالنسبة إلى أحدهما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و إن كان حقيقيّاً لكنّه لايدلّ على أنّ كلّ محرّم يجيء منه الفساد محضاً، بل يدلّ على أنّ كلّ ما يجيء منه الفساد محضاً هو محرّم بجميع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جميع شؤون الصناعة منحصر فيما إذا كان الفساد المحض مترتّباً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الفقرة المذكورة وقعت عقيب الحكم بحلّية الصنائع المحلّلة كالخياطة و الكتابة، و إن كان قد يستعان بها على وجوه المعاصي بعنوان العلّة لتحليل هذا القسم من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فلايبتني الجواب عن رواية تحف العقول على كون الحصر إضافياً، بل مع كون الحصر حقيقيّاً أيضاً لايدلّ على أنّ كلّ محرّم لايجوز اقتناؤه و التقلّب فيه، بل يدلّ على أنّ حرمة جميع الشؤون مخصوصة بما يجيء منه الفساد محضاً و منحصرة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تعرّضها لتفسير الصناعات إلى آخرها بعد التأمّل الأكيد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فيه الفساد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محضاً حرّم الله تعالى جميع وجوه التقلّب فيه، كالبرابط و المزامير و نحوهما ممّا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إنّما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لكلامه السابق الدالّ على أنّ ما فيه مصلحة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جميع تقلّباته، و إن كانت تلك الصناعة قد يستعان بها على وجوه الفساد و المعاصي و تكون معونة على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المحرّم من جميع الجهات و جميع التقلّبات ما كان فيه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لما أجمل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المراد من هذه الفقرة مقابل الفقرات السابقة أنّ الصناعة التي هي حرام بجميع شؤونها هي التي يجيء منه الفساد محضاً كالأمثلة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فلاتدلّ الرواية على أنّ كلّ محرّم يجيء منه الفساد محضاً، بل تدلّ على أنّ المحرّم بجميع شؤونه هو ما يجيء منه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فالكاشف إنّاً من الفساد المحض هو المحرّم بجميع الشؤون لاالمحرّم في بعضها، و عليه فلاتدلّ على مطلوبهم و لو كان الحصر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الظاهر منها التعرّض للصنائع التي نشأت الحرمة فيها عن الفساد الكائن في المصنوع كالبرابط و المزامير و سائر الأمثلة المذكورة فيها، دون ما كانت الصنعة محرّمة لفساد فيها، لاالمصنوع كما في المقام حيث تكون الحرمة متعلّقة بالتصوير لفساد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تشبّهاً بالله تعالى في مصوّريته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لما ذكرناه فقرات الرواية 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 يظهر ما في كلام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الحصر كاشف عن عدم تحقّق الفرض، يعني عن عدم ثبوت مصداق له في الخارج، و مجرّد احتمال وجود فرد للعام يعلم بخروجه عن الحكم على تقدير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وجوده في الخارج لايوجب إجمالاً في شمول العام لما يحتمل من أفراده أن يكون كذلك،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جيراني، و علم أنّه على تقدير وجود عدوّ له في جيرانه لايريد إكرامه، فإنّه لايوجب إجمال العامّ في من يحتمل من جيرانه أن يكون عدوّاً له، بل يحكم بوجوب إكرامه و عدم كونه 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إذا ثبت حرمة الاكتساب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كالتصوير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يعلم أنّه ممّا يجوز سائر الانتفاعات به بعد تحقّق موضوعه بالفعل المحرّم حتى يكون ذلك تخصيصاً في حكم الحصر المزبور لكون ذلك إثباتاً لحرمة الاكتساب في غير ما يكون فيه الفساد المحض، أو يكون ممّا يحرم جميع الانتفاعات به لعدم كون جهة صلاح فيه، فالمتعيّن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العموم السليم عمّا يصلح للمعارضة، كما تقرّر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هو الأخذ بأصالة العموم لتعيين حال المشكوك و عدم التخصيص، كما يؤخذ بها فيما إذا دار الأمر بين التخصيص و التخصّص، ولكن لابناء من العقلاء على ذلك لافي المقام و لافيما إذا دار الأمر بين التخصيص 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عرفت من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أورد عليه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مفاد الرواية بعد التأمّل في مجموعها هو أنّ كلّ ما يحرم من جميع الوجوه ففيه الفساد و كلّ ما كان فيه الفساد محضاً فهو حرام من جميع الوجوه، لاأنّ كلّ حرام ففيه الفساد محضاً، فعليه يكون الحصر حقيقياً، و لايستفاد منه الحكم المطلوب، و لايكون المورد من قبيل العامّ المذكور لو سلّم في مورده جواز التمسّك به لكشف حال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متعرّضة لموضوعات فيها فساد محض أو صلاح كذلك، أو فيها صلاح و إن تستعمل أحياناً في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bookmarkStart w:id="159" w:name="pg16065_152760"/>
    </w:p>
    <w:p>
      <w:pPr>
        <w:pStyle w:val="BookText"/>
        <w:rPr/>
      </w:pPr>
      <w:bookmarkEnd w:id="159"/>
      <w:r>
        <w:rPr>
          <w:rFonts w:ascii="Amiri" w:hAnsi="Amiri" w:eastAsia="Amiri" w:cs="Amiri"/>
          <w:color w:val="111111"/>
          <w:sz w:val="28"/>
          <w:sz w:val="28"/>
          <w:szCs w:val="28"/>
          <w:rtl w:val="true"/>
          <w:lang w:bidi="ar-SA"/>
        </w:rPr>
        <w:t>و الحصر إن كان حقيقياً لايوجب استفادة حكم خارج عن مدلول الكلام،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الناشئة من الموضوعات منحصرة بما فيها الفساد، و الحرمة الناشئة من 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مفادها موضوعاً، و هو لايوجب إضافيّة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ضعف الرواية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85216_1280447820"/>
      <w:bookmarkStart w:id="161" w:name="_Toc57"/>
      <w:bookmarkEnd w:id="160"/>
      <w:r>
        <w:rPr>
          <w:rtl w:val="true"/>
        </w:rPr>
        <w:t>أدلّة جواز الاقتناء</w:t>
      </w:r>
      <w:r>
        <w:rPr>
          <w:rtl w:val="true"/>
        </w:rPr>
        <w:t>:</w:t>
      </w:r>
      <w:bookmarkEnd w:id="161"/>
    </w:p>
    <w:p>
      <w:pPr>
        <w:pStyle w:val="BookText"/>
        <w:rPr/>
      </w:pPr>
      <w:r>
        <w:rPr>
          <w:rFonts w:ascii="Amiri" w:hAnsi="Amiri" w:eastAsia="Amiri" w:cs="Amiri"/>
          <w:color w:val="111111"/>
          <w:sz w:val="28"/>
          <w:sz w:val="28"/>
          <w:szCs w:val="28"/>
          <w:rtl w:val="true"/>
          <w:lang w:bidi="ar-SA"/>
        </w:rPr>
        <w:t>و استدل للجواز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التماثيل في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إذا كانت عن يمينك و عن شمالك و عن خلفك أو تحت رجليك، و إن كانت في القبلة فألق عليها ثوباً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السؤال عن وجودها في البيت، فأجاب بعدم البأس إلاّ إذا كانت في القبلة فيلقى عليها الثوب، و إلقاؤه لأجل الصلاة، و مقتضى عمومها عدم الفرق بين المجسّمات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تحت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الاختصاص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الطبيعة إذا كانت ذات أفراد مختلفة يمكن إلقاء بعضها تحت الرجل يصحّ أن يقال فيها ما ذكر، ألاترى عدم الشبهة في شمول العموم للصور المنقوشة على الجدران مع عدم إمكان إلقائها تحت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فلاإشكال في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التماثيل في تلك الأعصار كانت غير مجسّمات، فالدليل منصرف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الأعصار لأجل قربها بعصر صنعة الأصنام المجسّمات كانت فيها صنعة المجسّمات متعارفة، مع أنّ قلّة الأفراد لاتوجب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توهّم كون الدليل في مقام بيان حكم آخر و هو الصلاة في البيت،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البيت صنم أو آلة لهو هل يجوز الصلاة فيه، فأجاب بعدم البأس، لايدلّ على جواز إبقائهما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التماثيل في البيت، و الظاهر منه أنّ السؤال عن وجودها فيه،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بحذاء القبلة ألقِ عليها الثوب لايدلّ على أنّ السؤال عن الصلاة، 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مسؤوله مع شيء زائد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لابأس بوجودها في البيت، و إذا كانت بحذاء القبلة ألقِ عليها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أنّ تلك الرواية هي عين صحيحة محمّد بن مسلم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 التماثيل قدّامي و أنا أنظر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اطرح عليها ثوباً و لابأس بها إذا كانت عن يمينك أو شمالك أو خلفك أو تحت رجلك أو فوق رأسك، و إن كانت في القبلة فألقِ عليها ثوباً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أنّها في مقام بيان حكم آخر فكذلك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لايخفى، بعد كون ألفاظهما مختلفة، و المسؤول منه في إحداهما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الاُخرى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لاحجّة على وحدتهما بعد استفادة حكم زائد من إحداهما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سلمنا وحدتهما فإلقاء الثوب على التماثيل و الصلاة ملازم لتجويز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إبقائها و اقتنائها، فلو كان الإبقاء محرّماً لأمر بكسرها و تغييرها، و التماثيل أعمّ من المجسّمة،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المحاسن، عن أبيه، عن فضالة بن أيّوب و صفوان جميعاً،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هذه التماثيل التي أراها في بيوتكم‌؟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للنساء أو بيوت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محبوب، عن العلا، عن محمّد بن مسلم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لايساعد على حرمة اقتناء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محرّماً لنهاهنّ الإمام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القضية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بأنّ التماثيل مجسّمات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قرب الإسناد، عن عبدالله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قد صوّر فيه طير أو سمكة أو شبهه يلعب به أهل البيت، هل تصلح الصلاة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يقطع رأسه أو يفسده، و إن كان قد صلّى فليس عليه 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عدم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 تلك الصورة مطلقاً قرينة على جواز اقتنائها و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الصورة هي المرسومة لاالمجسّمة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لايبعد ظهورها في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منها أنّ أهل البيت كانوا يلعبون بنفس الصورة لابشيء فيه ذلك، و هو يناسب المجسّمات، بل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صورة طير أو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بنفسها فيه، لاأنّ فيه شيئاً عليه الصورة،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نوقش فيما ذكر فلاشبهة في إطلاقها، فتشمل المجسّمات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لاشبهة في تقريره للعب أهل البيت بها و تجويزه ذلك، فجواز الإبقاء و اللعب بها مفروغ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بالإسناد المذكور في قرب الإسناد،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في بيته تماثيل أو في ستر و لم يعلم بها و هو يصلّي في ذلك البيت ثمّ علم، ما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فيما لايعلم شيء، فإذا علم فلينزع الستر و ليكسر رؤوس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الأمر بالنزع و الكسر لمكان الصلاة لاللوجوب كما هو واضح، سيّما مع اقتران أمره بالكسر للأمر بالنزع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حينئذ تدلّ على جواز الاقتناء مع قطع النظر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في التهذيب، بإسناده عن الحسين بن سعيد، عن فضالة،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فاُصلّي و بين يدي الوسادة و فيها تماثيل طير، فجعلت عليها ثوباً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ظاهر في غير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قرب الإسناد، عن عبدالله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يكون فيه نقش تماثيل سبع أو طير 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غير المجسّمة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أحمد، عن عثمان بن عيسى،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الوسادة و البساط يكون فيه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 يكون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سياق السؤال مع عموم الجواب يأبى عن تقييد الحكم بما يجوز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ظاهر في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المحاسن، عن موسى بن قاسم، عن عليّ بن جعفر، عن أخيه موسى أنّه سأل أباه عن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أن يلعب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إطلاق السؤال و تخصيص الحرمة أو الكراهة باللعب يدلاّن على جواز أصل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المحاسن أيضاً، عن أبيه، عمّن ذكره، عن مثنّى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التماثيل لايصلح أن يلعب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كراهة الصور في البيوت، كموثّقة محمّد بن أبي عمير، عن المثنّى،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الصور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الظاهر منها أنّ الكراهة إنّما تعلّقت بخصوص كونها في البيوت، فلو كان إبقاؤها محرّماً لما يناسب ذلك التعبير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الكراهة هي بالمعنى المعروف، و لايبعد أن تكون لأحد وجهين على سبيل 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564:3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أنّ الملائكة لاتدخل بيتاً فيه صورة، كما ورد في روايات متضافرة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لاتدخل بيتاً فيه صورة و لابيتاً فيه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لابيتاً فيه بول مجموع في 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لأجل أنّ البيت معدّ للصلاة فيه، و يكره وجود الصورة في بيت يصلّى فيه مطلقاً أو إذا كانت بحذاء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الملائكة لاندخل بيتاً فيه كلب و لاتمثال جسد و لاإناء يبال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هذا اللحن هو لحن الكراهة، هذا مضافاً إلى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الأخبار في الجملة تدلّ على جواز الاقتناء للمجسّمات و غيرها، و بها يرفع اليد عن الأخبار الدالّة على الحرمة لو تمّت دلالتها بحملها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سلّم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ظهور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فهي معارضة بما هو أظهر و أكثر، مثل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فالمستفادُ من جميع ما ورد من الأخبار الكثيرة في كراهة الصلاة في البيت الذي فيه التماثيل إلاّ إذا غيّرت أو كانت بعين واحدة أو اُلقي عليها ثوب جوازُ اتّخاذها، و عمومها يشمل المجسّمة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الكراهة الجمع بين اقتناء الصور و التماثيل في البيت و اقتناء الكلب و الإناء المجتمع فيه البول في الأخبار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يظهر من تلك الروايات جواز إبقائها و إن كانت مكروهة في خصوص البيوت، و مقتضى إطلاقها عدم الفرق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مكان المصلّي</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المجسّمة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ملاحظة مجموع الأخبار الواردة في ذلك الباب و في باب لباس المصلّي في كراهة الصلاة في ثوب فيه تماثيل أو درهم كذلك، توجب القطع بعدم حرمة الإبقاء بالنسبة إلى غير المجسّمة، و القريب من القطع بالنسبة إليها، فلاينبغي التأمّل في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جامع المدارك من أنّ الأخبار الظاهرة في جواز الاقتناء لاتشمل المجسّمات، فيشكل استفادة جواز الاقتناء بالنسبة إلى المجسّمات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لإطلاق بعض الروايات، كصحيحة محمّد بن مسلم و صحيحة موسى بن قاسم، و روايات كراهة الصور في البيوت مع عدم دخل البيوت لو كان الاقتناء محرّماً، و لحن الأخبار الدالّة على أنّ الملائكة لايدخلون بيتاً فيه التماثيل، هذا مضافاً إلى عدم تماميّة أدلّة المانعة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جواز الاقتناء و الإبقاء لاإشكال في المعاملة على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بعد الإحداث أموال، فيشملها عموم الأدلّة الدالّة على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أخذ الاُجرة في قبال عمل المجسّمة بعد ما عرفت من حرمته،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 أخذ الاُجرة على التصوير المحرّم غير جائز، لأنّ الإجارة لذلك حرام و فاسدة، لما ذكرناه فيما سلف من أنّ الفعل المحرّم الذي يجب على الناس منع الفاعل عنه بأدلّة النهي عن المنكر لايكون محترماً و مالاً، و لهذا لايضمن المانع عنه اُجرة المثل للعمل بلاشبهة، فلو منع مانع عبد غيره من عمل الصورة المجسّمة لايكون ضامناً، فلايكون ذلك العمل مالاً لدى الشارع،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فلايجوز أخذ الأجر عليه، و يكون الآخذ آكلاً للمال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 التماثيل قدّامي و أنا أنظر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اطرح عليها ثوباً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كراهة الصلاة في مكان يكون التمثال مقابله، من غير فرق بين المجسّم و غيره، و من دون فرق بين كونه كاملاً أو ناقصاً نقصاً لايخرجه عن صدق الصورة و التمثال، كلّ ذلك لإطلاق التماثيل و الحكم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الكراهة تزول هنا بطرح ثوب عليها، و لذلك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يكون مقابله تمثال ذي الروح، من غير فرق بين المجسّم و غيره، و لو كان ناقصاً نقصاً لايخرجه عن صدق الصورة و التمثال، و تزول الكراهة بالتغطية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تزول الكراهة أيضاً بجعل التماثيل تحت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تصلّي على كلّ التماثيل إذا جعلتها تحتك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يدلّ على كراهة وجود التماثيل في البيوت الرواياتُ الدالّة على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لاندخل بيتاً فيه صورة و لاكلب، يعني صورة إنسان، و لابيتاً فيه 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الدالّة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الصور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لايوجب ذلك كراهة الصلاة فيها، كما ذهب إليه السيّد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مواضع كراهة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تمثال و إن لم يكن مقابلاً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غايته هو كراهة وجود التماثيل في البيوت، فلاوجه للحكم بكراهة الصلاة فيها إلاّ من باب التجوّز كما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نقل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لابأس بالالتزام بكراهة الصلاة فيها تجوّزاً من باب كراهة المكث فيها لالخصوصية في الصلاة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ترتفع الكراهة بإلقاء ما فيه التمثال تحت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يوطأ فلابأس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رواه عبدالله بن يحيى الكندي، عن أبيه، و كان صاحب مطهرة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لاندخل بيتاً فيه تمثال لايوطأ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ترتفع الكراهة أيضاً بتغيير ما و لو لم يوجب عدم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يكون التماثيل في البيوت إذا غيّرت رؤوسها منها و ترك ما سوى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التغيير أعمّ ممّا يوجب عدم صدق الاسم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غيّرت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لزوم ذلك مشعر بتغيير المحلّ‌، فهو يساوق القطع الذي ذكر في بعض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البيوت هي المساكن، و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وبيت الرجل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فوجود التماثيل في الدار كاف في كراهة اقتناء التماثيل، ولكنّ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محل من الدار لم يكن فيه التماثيل لاتكون مكروهة من حيث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تكره تجوّزاً باعتبار كراهة المكث في الدار من جهة وجود التماثيل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في قرب الإسناد عن عبدالله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فيها التماثيل أيصلّى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فيها و شيء منها مستقبلك إلاّ أن لاتجد بدّاً فتقطع رؤوسها و إلاّفلاتصلِّ‌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كراهة التماثيل مخصوصة بالبيوت، و أمّا في غيرها من الدكاكين و الطرق و الشوارع فلاكراهة في اقتنائها، بل الكراهة في البيوت حيثيّة، فلايبعد زوال كراهتها بانطباق بعض العناوين الراجحة عليها كشعائر الدين، كما إذا كان نصب التماثيل موجباً لتكريم علماء الدين و ترسيخ الحكومة الإسلامية، نظير ارتفاع كراهة لبس الثياب السود إذا انطبق عليه عنوان تعظيم عزاء الحسين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يمكن أن يقال بزوال الكراهة لمجرّد المرافقة مع من يريد ذلك، كما لعلّه يدلّ عليه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هذه التماثيل التي أراها في بيوتكم‌؟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للنساء أو بيوت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لباس المصلّي،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أحكام المساكن،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6065_152771"/>
      <w:bookmarkStart w:id="163" w:name="pg16065_152771"/>
      <w:bookmarkEnd w:id="163"/>
    </w:p>
    <w:p>
      <w:pPr>
        <w:pStyle w:val="Heading2"/>
        <w:numPr>
          <w:ilvl w:val="1"/>
          <w:numId w:val="1"/>
        </w:numPr>
        <w:rPr/>
      </w:pPr>
      <w:bookmarkStart w:id="164" w:name="pg16065_152771"/>
      <w:bookmarkStart w:id="165" w:name="__RefHeading___Toc285218_1280447820"/>
      <w:bookmarkStart w:id="166" w:name="_Toc58"/>
      <w:bookmarkEnd w:id="164"/>
      <w:bookmarkEnd w:id="165"/>
      <w:r>
        <w:rPr>
          <w:rtl w:val="true"/>
        </w:rPr>
        <w:t>المسألة الثالثة عشر التطفيف</w:t>
      </w:r>
      <w:bookmarkEnd w:id="166"/>
    </w:p>
    <w:p>
      <w:pPr>
        <w:pStyle w:val="Heading3"/>
        <w:numPr>
          <w:ilvl w:val="2"/>
          <w:numId w:val="1"/>
        </w:numPr>
        <w:rPr/>
      </w:pPr>
      <w:bookmarkStart w:id="167" w:name="__RefHeading___Toc285220_1280447820"/>
      <w:bookmarkStart w:id="168" w:name="_Toc59"/>
      <w:bookmarkEnd w:id="167"/>
      <w:r>
        <w:rPr>
          <w:rtl w:val="true"/>
        </w:rPr>
        <w:t xml:space="preserve">أوّلا </w:t>
      </w:r>
      <w:r>
        <w:rPr>
          <w:rtl w:val="true"/>
        </w:rPr>
        <w:t xml:space="preserve">- </w:t>
      </w:r>
      <w:r>
        <w:rPr>
          <w:rtl w:val="true"/>
        </w:rPr>
        <w:t>المراد بالتطفيف و البخس</w:t>
      </w:r>
      <w:r>
        <w:rPr>
          <w:rtl w:val="true"/>
        </w:rPr>
        <w:t>:</w:t>
      </w:r>
      <w:bookmarkEnd w:id="168"/>
    </w:p>
    <w:p>
      <w:pPr>
        <w:pStyle w:val="BookText"/>
        <w:rPr/>
      </w:pPr>
      <w:r>
        <w:rPr>
          <w:rFonts w:ascii="Amiri" w:hAnsi="Amiri" w:eastAsia="Amiri" w:cs="Amiri"/>
          <w:color w:val="111111"/>
          <w:sz w:val="28"/>
          <w:sz w:val="28"/>
          <w:szCs w:val="28"/>
          <w:rtl w:val="true"/>
          <w:lang w:bidi="ar-SA"/>
        </w:rPr>
        <w:t xml:space="preserve">إنّ التطفيف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يخون به صاحبه في كيل أو وزن، و قد يكون النقص ليرجع إلى مقدار الحق فلايسمى تطفيفاً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 ما حكي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التبيان من أنّ المطفّف المقلّل حق صاحبه بنقصانه عن الحق في الكيل أو الوزن، و التطفيف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التنقيص على وجه الخيانة في الكيل أو 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البخس أيضاً بمعنى نقصان الحق كما نقله ابن السكيت 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القاموس و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ينقدح أنّ التطفيف متقوّم بالخيانة، كما أنّ البخس متقوّم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فلاوجه لما في تعليقة الإيرواني من أنّ التطفيف بنفسه ليس عنواناً من العناوين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الكيل بالمكيال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البخس في الميزان مع وفاء الحق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ذلك لنفسه، أو تمّم من المشتري من الخارج، أو أراد المقاصّة منه،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إعطاء الناقص أيضاً ليس حراماً بل قد يتّصف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295:10</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bookmarkStart w:id="169" w:name="pg16065_152772"/>
    </w:p>
    <w:p>
      <w:pPr>
        <w:pStyle w:val="BookText"/>
        <w:rPr/>
      </w:pPr>
      <w:bookmarkEnd w:id="169"/>
      <w:r>
        <w:rPr>
          <w:rFonts w:ascii="Amiri" w:hAnsi="Amiri" w:eastAsia="Amiri" w:cs="Amiri"/>
          <w:color w:val="111111"/>
          <w:sz w:val="28"/>
          <w:sz w:val="28"/>
          <w:szCs w:val="28"/>
          <w:rtl w:val="true"/>
          <w:lang w:bidi="ar-SA"/>
        </w:rPr>
        <w:t>بالوجوب، و إنّما المحرّم عدم دفع بقية الحق إذا لم يكن الحق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يكن ذلك أيضاً بمحرّم بل يكون التعجيل فيما أعطاه تفضّلا و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التطفيف قد اُخذ فيه عدم الوفاء بالحق، و البخس هو نقص الشيء على سبيل الظلم و هما بنفسهما من المحرمات الشرعية و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النقص في الكمية سواء كان وزناً أو كيلاً أو عدّاً أو ذرعاً يكون تطفيفاً و بخساً إذا كان على سبيل الخيانة و الظلم و هما من العناوين المحرمة، كما أنّ الغش و التدليس من العناوين المحرّمة و هما خيانة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كمزج اللبن بالماء، أو خلط الجيّد بالرديء، أو إخفاء العيب الذي فيه، أو إظهار ما ليس فيه من الكمالات،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الفرق بين التطفيف و البخس و بين الغش و التدليس في أنّ الأوّل في الكمّيات و الثاني في الكيفيات، و في اعتبار الجهل في الثاني دون الأوّل، فلاتغفل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85222_1280447820"/>
      <w:bookmarkStart w:id="171" w:name="_Toc60"/>
      <w:bookmarkEnd w:id="170"/>
      <w:r>
        <w:rPr>
          <w:rtl w:val="true"/>
        </w:rPr>
        <w:t xml:space="preserve">ثانياً </w:t>
      </w:r>
      <w:r>
        <w:rPr>
          <w:rtl w:val="true"/>
        </w:rPr>
        <w:t xml:space="preserve">- </w:t>
      </w:r>
      <w:r>
        <w:rPr>
          <w:rtl w:val="true"/>
        </w:rPr>
        <w:t>موارد تحقق التطفيف و البخس</w:t>
      </w:r>
      <w:r>
        <w:rPr>
          <w:rtl w:val="true"/>
        </w:rPr>
        <w:t>:</w:t>
      </w:r>
      <w:bookmarkEnd w:id="171"/>
    </w:p>
    <w:p>
      <w:pPr>
        <w:pStyle w:val="BookText"/>
        <w:rPr/>
      </w:pPr>
      <w:r>
        <w:rPr>
          <w:rFonts w:ascii="Amiri" w:hAnsi="Amiri" w:eastAsia="Amiri" w:cs="Amiri"/>
          <w:color w:val="111111"/>
          <w:sz w:val="28"/>
          <w:sz w:val="28"/>
          <w:szCs w:val="28"/>
          <w:rtl w:val="true"/>
          <w:lang w:bidi="ar-SA"/>
        </w:rPr>
        <w:t xml:space="preserve">إنّ 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بنقصان الكيل أو الوزن، بل يشمل أيضاً النقصان في العدد و الذرع و المدة و الوقت و غيرها من الاُمور المقررة في استحقاق الاُجرة للأجير، بل لعل التطفيف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الكيل و الوزن مذكورين من باب الغلبة، و يعضده ما حكي عن المصباح من أنّ التطفيف مثل التقليل وزناً و معنىً‌، و عليه فالنقص في العدد أو الذرع داخل في البخس و التطفيف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فلاوجه لما أفاده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البخس في العدد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bookmarkStart w:id="172" w:name="pg16065_152773"/>
    </w:p>
    <w:p>
      <w:pPr>
        <w:pStyle w:val="BookText"/>
        <w:rPr/>
      </w:pPr>
      <w:bookmarkEnd w:id="172"/>
      <w:r>
        <w:rPr>
          <w:rFonts w:ascii="Amiri" w:hAnsi="Amiri" w:eastAsia="Amiri" w:cs="Amiri"/>
          <w:color w:val="111111"/>
          <w:sz w:val="28"/>
          <w:sz w:val="28"/>
          <w:szCs w:val="28"/>
          <w:rtl w:val="true"/>
          <w:lang w:bidi="ar-SA"/>
        </w:rPr>
        <w:t>الذرع يلحق به حكماً و إن خرج عن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85224_1280447820"/>
      <w:bookmarkStart w:id="174" w:name="_Toc61"/>
      <w:bookmarkEnd w:id="173"/>
      <w:r>
        <w:rPr>
          <w:rtl w:val="true"/>
        </w:rPr>
        <w:t xml:space="preserve">ثالثاً </w:t>
      </w:r>
      <w:r>
        <w:rPr>
          <w:rtl w:val="true"/>
        </w:rPr>
        <w:t xml:space="preserve">- </w:t>
      </w:r>
      <w:r>
        <w:rPr>
          <w:rtl w:val="true"/>
        </w:rPr>
        <w:t>العنوان المأخوذ في الحرمة</w:t>
      </w:r>
      <w:r>
        <w:rPr>
          <w:rtl w:val="true"/>
        </w:rPr>
        <w:t>:</w:t>
      </w:r>
      <w:bookmarkEnd w:id="174"/>
    </w:p>
    <w:p>
      <w:pPr>
        <w:pStyle w:val="BookText"/>
        <w:rPr/>
      </w:pPr>
      <w:r>
        <w:rPr>
          <w:rFonts w:ascii="Amiri" w:hAnsi="Amiri" w:eastAsia="Amiri" w:cs="Amiri"/>
          <w:color w:val="111111"/>
          <w:sz w:val="28"/>
          <w:sz w:val="28"/>
          <w:szCs w:val="28"/>
          <w:rtl w:val="true"/>
          <w:lang w:bidi="ar-SA"/>
        </w:rPr>
        <w:t xml:space="preserve">إنّ وجه الحرمة هو كون التطفيف و البخس متقوّمين بعنوان الظلم و هو من العناوين المحرّمة، و عليه فلاوجه للترديد في تعليقة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حرمته هل هي من حيث إنّه عنوان مستقل من العناوين المحرّمة، أو باعتبار كونه داخلا في عنوان أكل مال الغير بالباطل و العدوان‌؟</w:t>
      </w:r>
    </w:p>
    <w:p>
      <w:pPr>
        <w:pStyle w:val="BookText"/>
        <w:rPr/>
      </w:pPr>
      <w:r>
        <w:rPr>
          <w:rFonts w:ascii="Amiri" w:hAnsi="Amiri" w:eastAsia="Amiri" w:cs="Amiri"/>
          <w:color w:val="111111"/>
          <w:sz w:val="28"/>
          <w:sz w:val="28"/>
          <w:szCs w:val="28"/>
          <w:rtl w:val="true"/>
          <w:lang w:bidi="ar-SA"/>
        </w:rPr>
        <w:t>و تظهر الثمرة فيما لو طفّف و لم يتصرف بعد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مرتكباً للحرام بمجرد هذا، و على الثاني لايحصل الحرام إلاّ بعد الأخذ و التصرف، نعم يحرم التطفيف من باب كونه مقدّمة للحرام،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التطفيف و البخس متقوّمان بعنواني الظلم و الخيانة و هما من العناوين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التصرف في مال الغير محرّم آخر يحصل بنفس أخذ العوض زائداً على ما استحقّه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تصرّف عدواني و لاتتوقف الحرمة على صرف العوض في شيء آخر، فلاتغفل</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85226_1280447820"/>
      <w:bookmarkStart w:id="176" w:name="_Toc62"/>
      <w:bookmarkEnd w:id="175"/>
      <w:r>
        <w:rPr>
          <w:rtl w:val="true"/>
        </w:rPr>
        <w:t xml:space="preserve">رابعاً </w:t>
      </w:r>
      <w:r>
        <w:rPr>
          <w:rtl w:val="true"/>
        </w:rPr>
        <w:t xml:space="preserve">- </w:t>
      </w:r>
      <w:r>
        <w:rPr>
          <w:rtl w:val="true"/>
        </w:rPr>
        <w:t>حرمة التطفيف و البخس</w:t>
      </w:r>
      <w:r>
        <w:rPr>
          <w:rtl w:val="true"/>
        </w:rPr>
        <w:t>:</w:t>
      </w:r>
      <w:bookmarkEnd w:id="176"/>
    </w:p>
    <w:p>
      <w:pPr>
        <w:pStyle w:val="BookText"/>
        <w:rPr/>
      </w:pPr>
      <w:r>
        <w:rPr>
          <w:rFonts w:ascii="Amiri" w:hAnsi="Amiri" w:eastAsia="Amiri" w:cs="Amiri"/>
          <w:color w:val="111111"/>
          <w:sz w:val="28"/>
          <w:sz w:val="28"/>
          <w:szCs w:val="28"/>
          <w:rtl w:val="true"/>
          <w:lang w:bidi="ar-SA"/>
        </w:rPr>
        <w:t>إنّ التطفيف و البخس محرّمان بنصّ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اشتروا يستوفون و إذا باعوا يُخسِرون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تَنْقُصُوا اَلْمِكْيٰالَ وَ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فقد ورد النهي عن التطفيف و البخس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عقاب الأعمال بسند صحيح عن أبيه، عن سعد بن عبد الله، عن أحمد بن محمد بن عيسى، عن أحمد بن محمد بن أبي نصر البزنطي، عن أبان الأحمر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 فتعوّذوا بالله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في قوم حتى يعلنوها إلاّ ظهر فيهم الطاعون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الأوجاع التي لم تكن في أسلافهم الذين مضوا، و لم ينقصوا المكيال و الميزان إلاّ اُخذوا بالسنين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المؤونة و جور السلطان، و لم يمنعوا الزكاة إلاّ منعوا القطر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 لو لاالبهائم لم يمطروا، و لم ينقضوا عهد الله و عهد رسوله إلاّ سلّط الله عليهم عدوّهم و أخذ بعض ما في أيديهم، و لم يحكموا بغير ما أنزل الله إلاّ جعل الله بأسهم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و إن كانت في مقام بيان آثار تلك المحرمات لاأحكامها ولكن الظاهر منها مفروغية حرمتها،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فيه عما يقع 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أنّ من انتظر أمرنا و صبر على ما يرى من الأذى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سنين القحط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والنهي،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فهو غداً في زمرتنا؟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الحق قد مات و ذهب أهله و رأيت الرجل معيشته من بخس المكيال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فكن على حذر، و اطلب إلى الله النجاة، و اعلم أنّ الناس في سخط الله عزّوجلّ و إنّما يمهلهم لأمر يراد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مترقّباً و اجتهد ليراك الله عزّوجلّ في خلاف ما هم عليه، فإن نزل بهم العذاب و كنتَ فيهم عجلت إلى رحمة الله، و إن اُخّرتَ ابتُلوا و كنت قد خرجت مما هم فيه من الجرأة على الله عزّوجلّ‌، و اعلم أنّ الله لايضيع أجر المحسنين و أنّ رحمة الله قريب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فذيل الرواية يدل على أنّ الاُمور المذكورة التي منها البخس في المكيال و الميزان موجبة لسخط الله و عذابه، و هو يكفي في الدلالة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عيون أخبار الرضا عليه الصلاة والسلام عن عبد الواحد بن محمد بن عبدوس النيسابوري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في شعبان سنة اثنين و خمسين و ثلاثمئة،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له محض الإسلام على سبيل الإيجاز و الاختصار،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محض الإسلام شهادة أن لاإله إلاّ الله وحده لاشريك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تعالى،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البخس في المكيال و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بطريقين آخرين،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حديث عبد الواحد بن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أصح، و لاقوة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فالسند معتبر، هذا مضافاً إلى تصحيح العلاّمة لخبر عبد الواحد بن محمد بن عبدوس، و اعتماد الكشي على علي بن محمّد بن قتيبة النيسابوري، و صحبة علي بن محمد بن قتيبة النيسابوري،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والنهي،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353:13</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bookmarkStart w:id="177" w:name="pg16065_152776"/>
    </w:p>
    <w:p>
      <w:pPr>
        <w:pStyle w:val="BookText"/>
        <w:rPr/>
      </w:pPr>
      <w:bookmarkEnd w:id="177"/>
      <w:r>
        <w:rPr>
          <w:rFonts w:ascii="IRNazanin" w:hAnsi="IRNazanin" w:eastAsia="IRNazanin"/>
          <w:color w:val="111111"/>
          <w:sz w:val="28"/>
          <w:sz w:val="28"/>
          <w:szCs w:val="28"/>
          <w:rtl w:val="true"/>
          <w:lang w:bidi="fa-IR"/>
        </w:rPr>
        <w:t>للفضل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فلاوجه لما عن بعض من أنّه لايضرّ ضعف أسانيد الصدوق بعد كثرة هذه الأخبار و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صحة الأسناد و اعتبارها،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فالآيات الكريمة و الروايات المعتبرة تدل على حرمة البخس و التطفيف، هذا مضافاً إلى حكم العقل بقبح الظلم و الخيانة، و قد عرفت أنّهما متقوّمان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فيما إذا كان محتمل المدرك أو معلومه لايكشف عن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 يظهر 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الأدلّة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85228_1280447820"/>
      <w:bookmarkStart w:id="179" w:name="_Toc63"/>
      <w:bookmarkEnd w:id="178"/>
      <w:r>
        <w:rPr>
          <w:rtl w:val="true"/>
        </w:rPr>
        <w:t xml:space="preserve">خامساً </w:t>
      </w:r>
      <w:r>
        <w:rPr>
          <w:rtl w:val="true"/>
        </w:rPr>
        <w:t xml:space="preserve">- </w:t>
      </w:r>
      <w:r>
        <w:rPr>
          <w:rtl w:val="true"/>
        </w:rPr>
        <w:t>حكم المعاملة من ناحية الصحة والفساد</w:t>
      </w:r>
      <w:r>
        <w:rPr>
          <w:rtl w:val="true"/>
        </w:rPr>
        <w:t>:</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جرت المعاوضة على الوزن المعلوم الكلي فيدفع الموزون على أنّه بذلك الوزن، فإن طفّف في أحدهما صحت المعاوضة ولكن اشتغلت ذمته بما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فيه بين كون المعاملة ربوية أو غير ربوية، كما لافرق بين كون الكلي كلياً ذمياً أو كلياً معيّناً خارجياً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جرت المعاوضة على الموزون المعين الخارجي بموزون آخر باعتقاد المشتري أنّه بذلك الوزن مع أنّه ناقص عنه، فسدت المعاوضة في الجميع، للزوم الربا لو كان العوضان 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العوضان 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المقصود شراء الموجود كائناً ما كان و كان كيله أو وزنه من جهة حصول العلم بالمقدار ليخرج عن كونه بيع المجهول، فإذا اعتقد المشتري وزنه و لو من دون كيل أو وزن و علم البائع بمقداره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المعاملة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الجهالة باعتقاد المشتري و علم البائع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لاخيار إلاّ خيار الغبن إذا ظهر أنّ الموجود لايساوي الثمن بنحو يصدق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البائع جاهلاً بمقدار ما طفّف قال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 البيع من جهة جهله بمقدار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يعتبر علم كلا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جرت المعاوضة على الموزون المعيّن الخارجي بشرط كونه بالمقدار المساوي للعوض الآخر بجعل ذلك عنواناً للعوض فحصل الاختلاف بين العنوان و المشار إليه، فقد ذهب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الفاضل الإيرواني بأنّ المعاملة باطلة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المعاملة بظهور عدم الوجود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المبيع العنوان المتحقق في هذا المشاهَد، و لاعنوان متحقق في هذا المشاهد، و ليس المبيع هذا المشاهد بأيّ عنوان كان، و لاالعنوان في أيّ مصداق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لإلغاء الإشارة أو الوصف بل اللازم الأخذ بكليهما، و نتيجته ما ذكرناه من البطلان، و هذا الحكم سيّال في كل مشاهَد بِيعَ تحت عنوان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بِيعَ هذا الذهب فظهر أنّه مُذهَّب، أو هذا البغل فظهر أنّه حمار، أو هذه الجارية فظهر أنّه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يفرّق بين الأوصاف الذاتية و العرضية فيحكم بالصحة مع الخيار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 هذا الرومي فبان أنّه زنجي، أو هذا الكاتب فبان أنّه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لاستظهار الشرطية في الأوصاف العرضية، وليكن المقام من ذلك، و 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دخل العنوان و إن كان عرضياً، و مع استظهار عدم الدخل فليكن العن و ان الذاتي أيضاً غير دخيل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المشروطة سواء كانت ذاتية أو عرضية تكون دخيلة،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لانقول بعدم الدخل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ذلك في الذاتية أيضاً، و إنّما الفرق بينهما في أنّ العناوين الذاتية تكون من الصور النوعية للشيء عند العرف بحيث يكون تخلّفها عند العرف مساوقاً لعدم وجود المبيع أصلا، و هذا بخلاف العناوين العرضية فإنّها ليست كذلك عندهم، بل يوجب تخلّفها تخلّف الوصف عن المبيع الموجود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الخيار بسبب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صغريات تعارض الإشارة و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الشيخ في أمثاله إلى تقديم جانب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أنّ العبرة بالخارج لابالوصف، و عليه فتصحّ المعاملة مع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الإشارة و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مذكورة في كتب الشيعة و السنّة إلاّ أنّها لاتنطبق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من الاُمور القصدية، فلامعنى لتردد المتبايعين فيما قصداه، نعم قد يقع التردد منهما في مقام الإثبات من جهة اشتباه ما هو المقصود بالذات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الوصف و الإشارة مقصود في المقام، و إنّما الكلام في الأقوى منهما فيما إذا لم يكن العنوان مطابقاً للواقع، فإن كان الأقوى هو الإشارة فلاعبرة بالوصف، كما يظهر من الشيخ الأعظم في خيار الرؤية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 الاشارة أقوى من الوصف عند التعارض فلو جرى فيما نحن فيه لم يكن اعتبار بالوصف، فينبغي لزوم العقد و إثبات الخيار من جهة كونه وصفاً لشخص لامشخصاً لكلي حتى يتقوّم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فلاعبرة بالوصف و إنّما المعتبر هو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العناوين في البيوع الشخصية واسطة في الثبوت لافي العروض، و عليه فالخارج مقصود، بل البيع في الأعيان الخارجية لايتعلّق بالعنوان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يرى التبادل بين الأعيان الخارجية بلاتوسّط شيء، فلاوجه للبطلان، و غايته 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لتخلّف ما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للخيار مع كون التبادل بين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و إن كان هو العين الخارجية ولكن شرط فيه شيء يتخلّف، فيوجب الخيار</w:t>
      </w:r>
    </w:p>
    <w:p>
      <w:pPr>
        <w:pStyle w:val="BookText"/>
        <w:rPr/>
      </w:pPr>
      <w:r>
        <w:rPr>
          <w:rFonts w:ascii="Amiri" w:hAnsi="Amiri" w:eastAsia="Amiri" w:cs="Amiri"/>
          <w:color w:val="111111"/>
          <w:sz w:val="28"/>
          <w:sz w:val="28"/>
          <w:szCs w:val="28"/>
          <w:rtl w:val="true"/>
          <w:lang w:bidi="ar-SA"/>
        </w:rPr>
        <w:t xml:space="preserve">نعم، لو كان العوضان متجانسين فاختلافهما في المقدار يوجب الربا، فيحكم ببطلان المعاملة من جهة الربا، فلاوجه لإطلاق الحكم بالصحة، 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المقدار بعنوان وصف المبيع يرجع إلى التعليق في الإنشاء يوجب البطلان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لاتعليق في الإنشاء، و إنّما الشرط المذكور كسائر الشروط التي تكون التزاماً في ضمن الالتزام، فلاوجه للبطلان من هذه الناحية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على أن يكون المبيع بذلك الوزن يوجب الغرر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يصر المشتري بسبب ذلك الشرط عالماً بمقدار المبيع، و الغرر يفسد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الغرر يندفع ببناء المتعاملين على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إخبار البائع بمقدار المبيع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بأدون من بيع العين الغائبة على أوصاف مذكورة في العقد،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على أنّها كذا و كذا صاعاً، فالمتعيّن حينئذ هو الصحة و الخيار في غير المتجانسين و البطلان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180" w:name="pg16065_152780"/>
    </w:p>
    <w:p>
      <w:pPr>
        <w:pStyle w:val="BookText"/>
        <w:rPr/>
      </w:pPr>
      <w:bookmarkEnd w:id="180"/>
      <w:r>
        <w:rPr>
          <w:rFonts w:ascii="Amiri" w:hAnsi="Amiri" w:eastAsia="Amiri" w:cs="Amiri"/>
          <w:color w:val="111111"/>
          <w:sz w:val="28"/>
          <w:sz w:val="28"/>
          <w:szCs w:val="28"/>
          <w:rtl w:val="true"/>
          <w:lang w:bidi="ar-SA"/>
        </w:rPr>
        <w:t>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أنّ المراد من شرط المقدار هو وصف المبيع بكونه كذا و كذا مقداراً من دون انحلال و 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المراد من الشرط المذكور انحلال المبيع و تقسيط الثمن فالمعاملة صحيحة في مقابل الموجود و باطلة في مقدار الناقص، من دون فرق بين المتجانسين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إليه أشار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ابتناؤه على أنّ لاشتراط المقدار مع تخلّفه قسطاً من العوض أم لا؟ فعلى الأوّل يصح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85230_1280447820"/>
      <w:bookmarkStart w:id="182" w:name="_Toc64"/>
      <w:bookmarkEnd w:id="181"/>
      <w:r>
        <w:rPr>
          <w:rtl w:val="true"/>
        </w:rPr>
        <w:t xml:space="preserve">سادساً </w:t>
      </w:r>
      <w:r>
        <w:rPr>
          <w:rtl w:val="true"/>
        </w:rPr>
        <w:t xml:space="preserve">- </w:t>
      </w:r>
      <w:r>
        <w:rPr>
          <w:rtl w:val="true"/>
        </w:rPr>
        <w:t>عدم اختصاص الحكم بالبيع و الأعيان</w:t>
      </w:r>
      <w:r>
        <w:rPr>
          <w:rtl w:val="true"/>
        </w:rPr>
        <w:t>:</w:t>
      </w:r>
      <w:bookmarkEnd w:id="182"/>
    </w:p>
    <w:p>
      <w:pPr>
        <w:pStyle w:val="BookText"/>
        <w:rPr/>
      </w:pPr>
      <w:r>
        <w:rPr>
          <w:rFonts w:ascii="Amiri" w:hAnsi="Amiri" w:eastAsia="Amiri" w:cs="Amiri"/>
          <w:color w:val="111111"/>
          <w:sz w:val="28"/>
          <w:sz w:val="28"/>
          <w:szCs w:val="28"/>
          <w:rtl w:val="true"/>
          <w:lang w:bidi="ar-SA"/>
        </w:rPr>
        <w:t>إنّ مقتضى ما مرّ من تعميم البخس موضوعاً هو حرمة نقصان العمل المستحق له، فإذا صار أحد أجيراً لغيره لعمل فلايجوز للعامل أن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صار بنّاء أجيراً لغيره لبناء البيت فلم يتمّه فهو بخس، و إذا صار أحد للخدمة في مدة فلم يُتمّ المدة فهو بخس، فلاتختص الحرمة بالبيع، بل البخس في الإجارة أيضاً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لتعميم عنوان البخس أو التطفيف بناءً على عدم اختصاصه بالنقصان في الكيل أو الوزن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مقتضى تعميم معنى البخس هو حرمة نقصان الحقوق والامتيازات المستحقة، فإذا كان شخص مالكا لامتياز الهاتف أو الكهرباء أو الحج ونظائرها فلايجوز لمن عليه هذه الامتيازات أن يبخس فيها،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83" w:name="pg16065_152781"/>
    </w:p>
    <w:p>
      <w:pPr>
        <w:pStyle w:val="Heading2"/>
        <w:numPr>
          <w:ilvl w:val="1"/>
          <w:numId w:val="1"/>
        </w:numPr>
        <w:rPr/>
      </w:pPr>
      <w:bookmarkStart w:id="184" w:name="__RefHeading___Toc285232_1280447820"/>
      <w:bookmarkStart w:id="185" w:name="_Toc65"/>
      <w:bookmarkEnd w:id="183"/>
      <w:bookmarkEnd w:id="184"/>
      <w:r>
        <w:rPr>
          <w:rtl w:val="true"/>
        </w:rPr>
        <w:t>المسألة الرابعة عشر تغيير الجنسيّة</w:t>
      </w:r>
      <w:bookmarkEnd w:id="185"/>
    </w:p>
    <w:p>
      <w:pPr>
        <w:pStyle w:val="Heading3"/>
        <w:numPr>
          <w:ilvl w:val="2"/>
          <w:numId w:val="1"/>
        </w:numPr>
        <w:rPr/>
      </w:pPr>
      <w:bookmarkStart w:id="186" w:name="__RefHeading___Toc285234_1280447820"/>
      <w:bookmarkStart w:id="187" w:name="_Toc66"/>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لانعني بتغيير الجنسية صِرف قطع آلة التناسل و إيجاد حفرة مكانها حتى يكون الرجل شبيهاً بالمرأة في إمكان المجامعة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لايوجب تغيير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نعني بذلك تغيير هويّة الرجل و جنسيّته بالكلّ‌، كما لو تناول الرجل مثلاً شيئاً من الأدوية بحيث يتغيّر جنسه و يدخل في جنس آخر، و هذا مجرّد فرض و لم يُحكَ وقوعه إلاّ بالإعجاز، و على فرض إمكان وقوعه لاإشكال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باب تبدّل عنوان بعنوان آخر من دون حاجة إلى مقدّمات محرّمة، و مقتضى أصالة الحلّية و أصالة البراءة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قاعدة عقلائية،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تغيير لخلق الله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لاإطلاق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في مقام مذمّة ما يدعوه المشركون و عداوة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الشيطان و طغيانه و الإشارة إلى أقواله الناشئة عن الطغيان و الأهواء الصادّة عن الفطرة التوحيدية و المؤدّية إلى الشرك و التشريعات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التغيير في التكوينيات لو كان محرّماً لزم تخصيص الأكثر و 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صدرها و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حرمة التغييرات الناشئة من إغواء الشيطان التي تؤدّي إلى خلاف الفطرة التوحيدية من الشرك و التشريعات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بهذا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تغيير الجنسية بتناول دواء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الرجل أو المرأة بالعمل الجراحي و الترقيع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يبدّل كلٌّ بآخر بتبديل أجهزة مختصّة بأحدهما، أو لايلحق‌؟</w:t>
      </w:r>
    </w:p>
    <w:p>
      <w:pPr>
        <w:pStyle w:val="BookText"/>
        <w:rPr/>
      </w:pPr>
      <w:r>
        <w:rPr>
          <w:rFonts w:ascii="Amiri" w:hAnsi="Amiri" w:eastAsia="Amiri" w:cs="Amiri"/>
          <w:color w:val="111111"/>
          <w:sz w:val="28"/>
          <w:sz w:val="28"/>
          <w:szCs w:val="28"/>
          <w:rtl w:val="true"/>
          <w:lang w:bidi="ar-SA"/>
        </w:rPr>
        <w:t>يمكن القول بالثاني من ناحية ملازمته 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إيجاد النقص في البدن محرّم، و لايرفعه إمكان ترقيعه بما للجنس المخالف، فإنّ الترقيع مؤكّد للنقص الوارد، و النقص هو الضرر، و إيراده و لو على النفس محرّم بحديث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استدعائه النظر إلى العورة أو لمسها و هما محرّمان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لغرض المعالجة كما إذا كان شخص له ميول مخصوصة بالجنس المخالف بحيث صارت تلك الميول موجبة لحدوث اختلالات في جسمه و روحه أو كانت مصلحة ملزمة اُخرى للتغيير هي أهمّ فلاإشكال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معالجة وضرورة المعالجة تبيح المحظورات، و أمّا الثاني فلأهمّية المصلحة الملزمة بالنسبة إلى حرمة الإضرار، و حرمة النظر و حرمة اللمس أيضاً مرتفعتان بضرورة المعالجة و أهمّية المصلحة الملزمة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أن يكون المعالج زوجاً أو زوجة بناءً على أنّ مجرّد قلع عضو التناسل في الرجل أو المرأة و تعويضه بعضو الجنس المقابل و خياطة المحل لايخرجه عن الزوجية، و لاأقلّ من الشكّ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الترقيع يحتاج </w:t>
      </w:r>
      <w:bookmarkStart w:id="188" w:name="pg16065_152783"/>
    </w:p>
    <w:p>
      <w:pPr>
        <w:pStyle w:val="BookText"/>
        <w:rPr/>
      </w:pPr>
      <w:bookmarkEnd w:id="188"/>
      <w:r>
        <w:rPr>
          <w:rFonts w:ascii="Amiri" w:hAnsi="Amiri" w:eastAsia="Amiri" w:cs="Amiri"/>
          <w:color w:val="111111"/>
          <w:sz w:val="28"/>
          <w:sz w:val="28"/>
          <w:szCs w:val="28"/>
          <w:rtl w:val="true"/>
          <w:lang w:bidi="ar-SA"/>
        </w:rPr>
        <w:t>إلى مضي مدّة حتى يلتئم العضو و يصير جزءً لمن يرقع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مشكلاً أو غير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 إحدى آلتيه لتقوية الاُخرى لايكون تغييراً للجنسية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إحدى الآلتين في كلّ منهما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 المشكل تكون زيادته و اضحة، فقلع الزائدة لايوجب تغييراً كما هو واضح، و في المشكل فالعضو يمكن أن يكون زائداً كما يمكن أن يكون عضواً أصلياً، فالقلع مردّد بين كونه تغييراً أو غير تغيير، فهو شبهة موضوعية للتغيير فلايترتّب عليه حكم التغيير، فلو كان التغيير للجنسية محرّماً لما أمكن القول بحرمة ذلك 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أنّه تغيير للجنسية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علاج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مشكلاً أو غير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ضرورة المعالجة تبيح المحظورات و لو كان مستلزماً للنظر و اللمس، و لاحرمة من جهة إيراد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رفع الزائدة لاالنقص، و أيضاً لعدم إحراز أنّه نقص و ضرر في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أيضاً أنّ مَن له إحدى الآلتين فقط إلاّ أنّها قد غطّيت بجلدة و نحوها فإخراجها من تحت الغطاء ليس تغييراً للجنسية، بل هو إظهار للرجولية أو الاُنوثية، و لاإشكال فيه حتى فيما إذا كان ملازماً للنظر و اللمس، لأنّها معالجة و ضرورة المعالجة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تغيير الجنسية في غير المورد النادر المذكور أوّلاً لايجوز إلاّ إذا كان معالجة أو كان فيه مصلحة ملزمة أهمّ‌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85236_1280447820"/>
      <w:bookmarkStart w:id="190" w:name="_Toc67"/>
      <w:bookmarkEnd w:id="189"/>
      <w:r>
        <w:rPr>
          <w:rtl w:val="true"/>
        </w:rPr>
        <w:t>فروع</w:t>
      </w:r>
      <w:r>
        <w:rPr>
          <w:rtl w:val="true"/>
        </w:rPr>
        <w:t>:</w:t>
      </w:r>
      <w:bookmarkEnd w:id="190"/>
    </w:p>
    <w:p>
      <w:pPr>
        <w:pStyle w:val="Heading4"/>
        <w:numPr>
          <w:ilvl w:val="3"/>
          <w:numId w:val="1"/>
        </w:numPr>
        <w:rPr/>
      </w:pPr>
      <w:bookmarkStart w:id="191" w:name="__RefHeading___Toc285238_1280447820"/>
      <w:bookmarkStart w:id="192" w:name="_Toc68"/>
      <w:bookmarkEnd w:id="191"/>
      <w:r>
        <w:rPr>
          <w:rtl w:val="true"/>
        </w:rPr>
        <w:t>الفرع الأوّل</w:t>
      </w:r>
      <w:r>
        <w:rPr>
          <w:rtl w:val="true"/>
        </w:rPr>
        <w:t xml:space="preserve">: </w:t>
      </w:r>
      <w:r>
        <w:rPr>
          <w:rtl w:val="true"/>
        </w:rPr>
        <w:t>هل يجوز تغيير الجنسية من دون استئذان زوجها؟</w:t>
      </w:r>
      <w:bookmarkEnd w:id="19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بجواز تغيير الجنسية فهل يجوز للزوجة ذلك من دون استئذان زوجها أو لايجوز؟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على ذلك من دون استئذان الزوج خروج عن طاعة الزوج و دخول في النشوز إذا كان ذلك مزاحماً لحقّ الزوج من الاستمتاع و نحوه، و النشوز محرّم، كما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عن الجاموراني، عن ابن أبي حمزة،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تجيبه إلى حاجته و إن كانت على قَتَب، و لاتعطي شيئاً إلاّ بإذنه، فإن فعلت فعليها الوزر و له الأجر، و لاتبيت ليلة و هو عليها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لاتزوّجت زوجاً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تغيير الجنسية مع مزاحمة حقّ الزوج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تجيبه إلى حاجته و إن كانت على قتب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 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عن ابن محبوب، عن مالك بن عطية،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 لاتعصيه، و لاتصدّق من بيته إلاّ بإذنه، و لاتصوم تطوّعاً إلاّ بإذنه، و لاتمنعه نفسها و إن كانت على ظهر قَتب، و لاتخرج من بيتها إلاّ بإذنه، و إن خرجت من بيتها بغير إذنه لعنتها ملائكة السماء و ملائكة الأرض و ملائكة الغضب و ملائكة الرحمة حتى ترجع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508:5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المعلوم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لاتمنعه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منع نفسها إيّاه إن دعاها إلى ذلك، و الإقدام على تغيير الجنسية في حال دعوة الزوج إيّاها للاستمتاع نشوز 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بذلك تمنعه نفسها، بل لعلّه كذلك إرضاع الزوجة من تصير بإرضاعه محرّمة على زوجها، أو تأخير طواف النساء لمنع زوجها عن الاستمتاع بها، فإنّها كلّها مشمولة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لاتمنعه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كانت دعوة الزوج إلى الاستمتاعات فعليّة، و أمّا إذا لم يدعُها زوجها للاستمتاع بالفعل فهل يكون إقدامها على تغيير الجنسية محرّماً أو لايكون‌؟ فهنا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المحرّم هو منع نفسها عند فعليّة دعوة زوجها إلى الاستمتاع فلايشمل ما إذا لم تكن له دعوة بالفعل،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معرضية الدعوة كافية في عدم جواز منع نفسها بتغيير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ذلك عدم جواز خروجها من البيت من دون استئذان الزوج بحيث إنّ الزوج إذا أراد الاستمتاع في أي ساعة كانت أمكن له ذلك، فالإقدام المذكور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يحرز أنّه ملاك وجوب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للاستئذان موضوعية ولو لم يكن معرضيّة لذلك فضلاً عن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الخروج من دون استئذان محرّماً فالخروج عن الجنسية من دون استئذان محرّم بالأولوية و إن لم يدعُها الزوج للاستمتاع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أولوية ملاكية، و لايدلّ الكلام عليها بالفحوى، و الأولوية الملاكية تحتاج إلى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على التغيير موجب لتضييع حقوق الزوج، و تضييع الحقوق محرّم لكونه ظلماً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يمكن القول بعدم جواز إقدام الزوج على ذلك في وقت ينافي حقّ الزوجة، كما إذا أراد الإقدام على تغيير الجنسية في ليلة يجب عليه المبيت عند زوجته بناءً على لزوم القسمة بين الزوجات، بل لايجوز مطلقاً لو قلنا بأنّ حقوق </w:t>
      </w:r>
      <w:bookmarkStart w:id="193" w:name="pg16065_152786"/>
    </w:p>
    <w:p>
      <w:pPr>
        <w:pStyle w:val="BookText"/>
        <w:rPr/>
      </w:pPr>
      <w:bookmarkEnd w:id="193"/>
      <w:r>
        <w:rPr>
          <w:rFonts w:ascii="Amiri" w:hAnsi="Amiri" w:eastAsia="Amiri" w:cs="Amiri"/>
          <w:color w:val="111111"/>
          <w:sz w:val="28"/>
          <w:sz w:val="28"/>
          <w:szCs w:val="28"/>
          <w:rtl w:val="true"/>
          <w:lang w:bidi="ar-SA"/>
        </w:rPr>
        <w:t xml:space="preserve">الزوجة التي تحقّقت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المضاجعة و حقّ النفقة تنافي الإقدام على تغيير الجنسية، لأنّه تضييع 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الطلاق جائز كذلك 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متشابهان،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لايجوز تغيير الجنسية لكلّ واحد من الأزواج و الزوجات إذا كان التغيير مزاحماً لحقّ الآخر أو مضيّعاً له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85240_1280447820"/>
      <w:bookmarkStart w:id="195" w:name="_Toc69"/>
      <w:bookmarkEnd w:id="194"/>
      <w:r>
        <w:rPr>
          <w:rtl w:val="true"/>
        </w:rPr>
        <w:t>الفرع الثاني</w:t>
      </w:r>
      <w:r>
        <w:rPr>
          <w:rtl w:val="true"/>
        </w:rPr>
        <w:t xml:space="preserve">: </w:t>
      </w:r>
      <w:r>
        <w:rPr>
          <w:rtl w:val="true"/>
        </w:rPr>
        <w:t>هل يجوز للعبيد و الاماء أن يغيّرواجنسيّتهم من دون اذن مواليهم‌؟</w:t>
      </w:r>
      <w:bookmarkEnd w:id="195"/>
    </w:p>
    <w:p>
      <w:pPr>
        <w:pStyle w:val="BookText"/>
        <w:rPr/>
      </w:pPr>
      <w:r>
        <w:rPr>
          <w:rFonts w:ascii="Amiri" w:hAnsi="Amiri" w:eastAsia="Amiri" w:cs="Amiri"/>
          <w:color w:val="111111"/>
          <w:sz w:val="28"/>
          <w:sz w:val="28"/>
          <w:szCs w:val="28"/>
          <w:rtl w:val="true"/>
          <w:lang w:bidi="ar-SA"/>
        </w:rPr>
        <w:t>لو قلنا بجواز تغيير الجنسية فهل يجوز للعبيد و الإماء أن يغيّروا جنسيّتهم من دون إذن مواليهم أو لايجوز؟</w:t>
      </w:r>
    </w:p>
    <w:p>
      <w:pPr>
        <w:pStyle w:val="BookText"/>
        <w:rPr/>
      </w:pPr>
      <w:r>
        <w:rPr>
          <w:rFonts w:ascii="Amiri" w:hAnsi="Amiri" w:eastAsia="Amiri" w:cs="Amiri"/>
          <w:color w:val="111111"/>
          <w:sz w:val="28"/>
          <w:sz w:val="28"/>
          <w:szCs w:val="28"/>
          <w:rtl w:val="true"/>
          <w:lang w:bidi="ar-SA"/>
        </w:rPr>
        <w:t>و لاإشكال في أنّ تغيير الجنسية تصرّف في نفس العبد و الأمة، و حيث إنّ العبد و الأمة غير قادرين في التصرّفات فالواجب عليهم هو استئذان مواليهم في تغيير الجنسية، و إلاّ فالإقدام عليه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الدالّة على ممنوعيّتهم من النكاح و غيره من دون إذن مواليهم تدلّ على ممنوعيّتهم من تغيير الجنسية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عبد أو أمة ذلك من دون استئذان لايخرج عن المملوكية للمولى و إن عصى في الإقدام عليه من دون 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تغيير الجنسية ليس من الأسباب المخرجة عن الملكية، و العين مملوكة من دون فرق بين الرجولية و الاُنوثية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تتغيّر بعض أحكام المملوك بتغيير الجنسية، فإن كان المملوك عبداً و غيّر جنسيّته جاز وطؤها مع أنّ ذلك لم يكن جائزاً قبل ذلك، كما أنّ المملوك لو كان أمة و غيّرت جنسيّتها حرم وطؤه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عبد حينئذ و لايجوز للمالك وطء عبيده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85242_1280447820"/>
      <w:bookmarkStart w:id="197" w:name="_Toc70"/>
      <w:bookmarkEnd w:id="196"/>
      <w:r>
        <w:rPr>
          <w:rtl w:val="true"/>
        </w:rPr>
        <w:t>الفرع الثالث</w:t>
      </w:r>
      <w:r>
        <w:rPr>
          <w:rtl w:val="true"/>
        </w:rPr>
        <w:t xml:space="preserve">: </w:t>
      </w:r>
      <w:r>
        <w:rPr>
          <w:rtl w:val="true"/>
        </w:rPr>
        <w:t>هل يجوز تغيير الجنسية للأجير في مدّة اجارة نفسه للغير</w:t>
      </w:r>
      <w:bookmarkEnd w:id="19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بجواز تغيير الجنسية فهل يجوز تغيير الجنسية للأجير في مدّة إجارة </w:t>
      </w:r>
      <w:bookmarkStart w:id="198" w:name="pg16065_152787"/>
    </w:p>
    <w:p>
      <w:pPr>
        <w:pStyle w:val="BookText"/>
        <w:rPr/>
      </w:pPr>
      <w:bookmarkEnd w:id="198"/>
      <w:r>
        <w:rPr>
          <w:rFonts w:ascii="Amiri" w:hAnsi="Amiri" w:eastAsia="Amiri" w:cs="Amiri"/>
          <w:color w:val="111111"/>
          <w:sz w:val="28"/>
          <w:sz w:val="28"/>
          <w:szCs w:val="28"/>
          <w:rtl w:val="true"/>
          <w:lang w:bidi="ar-SA"/>
        </w:rPr>
        <w:t>نفسه للغير مع اشتراط المباشرة بحيثيّة الرجولية أو الاُنوثية أم لايجوز؟</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لايجوز لأنّه مناف لوجوب العمل بعقد الإجارة و ملازم لتفويت حقّ الغير بدون إذنه، فلايجوز أن يقدم الأجير في مدّة الإجارة على عمل ينافي حقّ المستأجر إلاّ مع إذنه، و المفروض أنّ تغيير الجنسية يوجب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ذهب الفقهاء إلى عدم جواز أن يعمل 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يستأجر مدّة معيّنة للعمل بنفسه على وجه الاستغراق و التقييد للعمل لغيره بالإجارة أو الجعالة أو التبرّع و لالنفسه عملاً ينافي حقّ المستأجر إلاّ مع إذنه، مستدلّين له بالإجماع، مضافاً إلى 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يستأجر الرجل باُجرة معلومة، فيبعثه في ضيعة، فيعطيه رجل آخر 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كذا و كذا و ما ربحت بيني و بينك،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له الذي استأجره فليس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 هو البأس فيما إذا لم يأذن المستأجر، و ظاهر البأس هو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مورد يكون تغيير الجنسية منافياً لحقّ الغير لايجوز</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85244_1280447820"/>
      <w:bookmarkStart w:id="200" w:name="_Toc71"/>
      <w:bookmarkEnd w:id="199"/>
      <w:r>
        <w:rPr>
          <w:rtl w:val="true"/>
        </w:rPr>
        <w:t>الفرع الرابع</w:t>
      </w:r>
      <w:r>
        <w:rPr>
          <w:rtl w:val="true"/>
        </w:rPr>
        <w:t xml:space="preserve">: </w:t>
      </w:r>
      <w:r>
        <w:rPr>
          <w:rtl w:val="true"/>
        </w:rPr>
        <w:t>بطلان التزويج من حين تغيير جنسيّة الزوجة</w:t>
      </w:r>
      <w:bookmarkEnd w:id="200"/>
    </w:p>
    <w:p>
      <w:pPr>
        <w:pStyle w:val="BookText"/>
        <w:rPr/>
      </w:pPr>
      <w:r>
        <w:rPr>
          <w:rFonts w:ascii="Amiri" w:hAnsi="Amiri" w:eastAsia="Amiri" w:cs="Amiri"/>
          <w:color w:val="111111"/>
          <w:sz w:val="28"/>
          <w:sz w:val="28"/>
          <w:szCs w:val="28"/>
          <w:rtl w:val="true"/>
          <w:lang w:bidi="ar-SA"/>
        </w:rPr>
        <w:t>لو تزوّجت امرأة فغيّرت جنسها فصارت رجلاً بطل التزويج من حين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بقاء الزواج بعد صيرورة المرأة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لامشروعية لزواج رجل مع رجل أو امرأة مع مماثلتها فبطل التزويج بعدم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لاكلام في هذه الصورة، بل لاكلام فيما إذا غيّر الرجل جنسه بعد تغيير المرأة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الزوجية بينهما صارت باطلة بمجرّد تغيير المرأة جنسها، و عودها بعد صيرورة الرجل مرأة محتاج إلى دليل أو عقد جديد و هو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إنّما الكلام فيما إذا تقارن التغيير فيهما فهل يبطل النكاح أو يبقيان على نكاحهما و إن اختلفت الأحكام، فيجب على الرجل الفعلي النفقة و على المرأة الإطاعة‌؟ 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لايبعد بقاء نكاحهما، و إن كان الأحوط تجديد النكاح و عدم زواج المرأة الفعلية بغير الرجل الذي كان زوجته إلاّ بالطلاق بإذنهما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ذلك هو أنّ حقيقة النكاح هي إيجاد علقة الزوجية بين الرجل و المرأة، و هي تقتضي أن يكون كلّ واحد من الطرفين زوجاً للآخر، كما يشهد له إطلاق الزوج على كلّ واحد منهما، و جواز جعل المرأة مقدّمة على الرجل و بالعكس في إنشاء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موكّلتي موكّلك، أو زوّجت موكّلك موكّلتي، و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فالنكاح هو زوجيّة كلّ منهما للآخر ليس إلاّ، و هذه العلقة مقطوعة الحدوث بينهما، فإذا تغيّر جنس الزوجين في زمان واحد نشكّ في ارتفاعها، و حيث إنّ أحدهما امرأة أمكن بقاء علقة الزوجية المعلومة الحدوث بينهما، فيجري فيها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بين الرجل و المرأة الزوجية، و بعد تغيير الجنسية نشكّ في بقائها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اعتبار النكاح هو صيرورة الرجل و المرأة زوجاً 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الرجل المعهود يكون رجلاً لامرأة معهودة و المرأة المعهودة تكون امرأة له، و من المعلوم أنّ الهوية و الشخصية دخيلة في تلك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الزوجية و إن كانت من الإضافات ولكن لاتكون كالاُخوّة متشابهة الأطراف، بل هي كالاُبوّة و البنوّة من الإضافات غير المتشابهة الأطراف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201" w:name="pg16065_152789"/>
    </w:p>
    <w:p>
      <w:pPr>
        <w:pStyle w:val="BookText"/>
        <w:rPr/>
      </w:pPr>
      <w:bookmarkEnd w:id="201"/>
      <w:r>
        <w:rPr>
          <w:rFonts w:ascii="Amiri" w:hAnsi="Amiri" w:eastAsia="Amiri" w:cs="Amiri"/>
          <w:color w:val="111111"/>
          <w:sz w:val="28"/>
          <w:sz w:val="28"/>
          <w:szCs w:val="28"/>
          <w:rtl w:val="true"/>
          <w:lang w:bidi="ar-SA"/>
        </w:rPr>
        <w:t>كما هو واضح بمراجعة المرتكزات العرفية، و لذا يشترط تعيين الزوج و الزوجة على وجه يمتاز كلّ منهما عن غيره بالاسم أو الوصف الموجب له أو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أغراض العقلاء باختلافهما، فالزوجان في النكاح كالعوضين في سائر العقود في لزوم معرفتهما، بخلاف باب البيع فإنّه لايتعلّق غرض بخصوص المشتري أو البائع، وليس الإنشاء في عقد النكاح متعلّقاً بالكلّي المردّد بينهما حتى يصحّ استصحاب علقة النكاح، بل متعلّق بخصوص كون هذا زوجاً لتلك و تلك زوجةً لهذا، و هذه الخصوصية غير باقية بتبدّلهما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الزوج على كلّ واحد منهما فليس باعتبار هذه العلقة الحادثة، بل هو باعتبار كون كلّ منهما ثانياً للآخر و زوجاً له بمفهوم إضافي عامّ ينتزع من كلّ من القرينين، كالخفّين و المصراعين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موكّلك موكّلتي، هو أنّي جعلت في حبالة موكّلك موكّلتي، كما 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في حبالتك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فحقيقة الزوجية المذكورة مقطوعة الارتفاع بتغيير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للرجل و المرأة موضوعية فيها، و مع تغيير الجنسية لابقاء لموضوع الإضافة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الزوجية المطلقة و الكلّية فهي مشكوكة الحدوث، فلامجال للاستصحاب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المجرى لهما، أمّا الزوجية الخاصّة فللقطع بارتفاعها، و أمّا الزوجية المطلقة فللشكّ في حدوثها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85246_1280447820"/>
      <w:bookmarkStart w:id="203" w:name="_Toc72"/>
      <w:bookmarkEnd w:id="202"/>
      <w:r>
        <w:rPr>
          <w:rtl w:val="true"/>
        </w:rPr>
        <w:t>الفرع الخامس</w:t>
      </w:r>
      <w:r>
        <w:rPr>
          <w:rtl w:val="true"/>
        </w:rPr>
        <w:t xml:space="preserve">: </w:t>
      </w:r>
      <w:r>
        <w:rPr>
          <w:rtl w:val="true"/>
        </w:rPr>
        <w:t>اذا بطل النكاح بتغيير جنسية هل يجب على الزوج كل المهر مطلقاً</w:t>
      </w:r>
      <w:bookmarkEnd w:id="20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بطل النكاح بتغيير الجنسية فهل يجب على الزوج السابق كلّ المهر مطلقاً، أو ليس عليه شيء مطلقاً، أو يجب جميعه إن كان التغيير بعد الدخول بها و نصفه إن كان قبل الدخول، أو ليس عليه شيء إذا كان تغيير الجنسية من جانب الزوجة بلارضاية الزوج‌؟ </w:t>
      </w:r>
    </w:p>
    <w:p>
      <w:pPr>
        <w:pStyle w:val="BookText"/>
        <w:rPr/>
      </w:pPr>
      <w:r>
        <w:rPr>
          <w:rFonts w:ascii="Amiri" w:hAnsi="Amiri" w:eastAsia="Amiri" w:cs="Amiri"/>
          <w:color w:val="111111"/>
          <w:sz w:val="28"/>
          <w:sz w:val="28"/>
          <w:szCs w:val="28"/>
          <w:rtl w:val="true"/>
          <w:lang w:bidi="ar-SA"/>
        </w:rPr>
        <w:t>في المسألة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فلعلّه هو مقتضى عقد النكاح الذي يكون مقروناً بذكر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الزوجة تصير مالكة لما جعل مهراً لها بنفس العقد، كما يشهد له الروايات الدالّة على أنّ النماءات الحاصلة بين العقد و الطلاق تكون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على مئة شاة، ثمّ ساق إليها الغنم، ثمّ طلّقها قبل أن يدخل بها و قد ولدت الغنم،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الغنم حملت عنده رجع بنصفها و نصف أولادها، و إن لم يكن الحمل عنده رجع بنصفها ولم يرجع من الأولاد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الرجوع هو تملّكها بالعقد، و بعد وضوح الملكية بنفس العقد فعند تغيير الجنسية نشكّ في بقائه على ملكيّتها و عدمها، فمقتضى الاستصحاب هو بقاؤه على ملكيّتها من دون تفصيل بين كلّ المهر ونصفه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لاكلام فيه فيما إذا كان تغيير الجنسية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المهر صار مملوكاً لها بالعقد و استقرّ تمامه لها بالدخول و لاسبب لانتفائه، بل الأمر كذلك فيما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مقتضى العقد و استصحاب البقاء، و لادليل على إلحاق تغيير الجنسية بالطلاق في التفصيل بين الدخول و تمام المهر و عدمه 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الأدلّة مخصوصة بالطلاق، فلايشمل صورة تغيير الجنسية، و لذا ذهب جماعة إلى عدم التفصيل في الموت و الردّة و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لذلك 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التمام،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نصفه مع عدم الدخول أو تمامه‌؟ فيه إشكال، و الأشبه التمام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إناطة وجوب جميع المهر بالدخول في الأخبار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جميع المهر إذا كان التغيير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 أنا حاضر عن رجل تزوّج امرأة فاُدخلت عليه ولم يمسّها ولم يصل إليها حتى طلّقها، هل عليها عدّة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 لم ينزل‌؟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مورد السؤال إنّما هو العدّة و البحث عن موجبها،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تفضّل في الجواب و أفاد أنّ موضوع وجوب كلّ من المهر و الغسل و العدّة واحد و هو الإدخال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 و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الأخبار الدالّة على أنّ الدخول يوجب المهر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مفهومه أنّه إذا لم يولج فليس عليه كلّه، فإذا حصل الفراق بتغيير جنسيّة أحدهما قبل الدخول فلامحالة لايجب عليه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هو عدم الدخول و الإيلاج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لادافع عن دلالة الروايات إلاّ دعوى انصرافها إلى خصوص مورد الطلاق، و هو ممّا لاوجه له بعد كونه في مقام بيان موضوع حكمه كما في حكم العدّة و الغسل و الرجم، أو دعوى أنّها في مقام بيان خصوص ما يوجب جميع المهر في الموارد التي قد ينصّف فيها المهر، و أمّا أنّ هذه الموارد ما هي فليطلب من 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65:15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أيضاً دعوى بلاشاهد، بل الشاهد على خلافها 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الوجه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الشرطية لاتدلّ على العلّية المنحصرة، بل غايتها هو أنّ الدخول و الإيلاج علّة للاُمور المذكورة، و أمّا أنّ غير الدخول لايوجب ذلك فلاتعرّض لها، و عليه فلايدلّ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الدخول علّة منحصرة لوجوب تمام المهر، كما لايدلّ على أنّ الدخول تمام العلّة للعدّة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العدّة في الوفاة و لو لم يدخل، و لوجوب الغسل بالاحتلام، فلاينافي أن تكون هنا اُمور اُخرى توجب تلك الاُمور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استقرار المهر بموت الزوج قبل الدخول، و إلى إلحاق ردّة الزوج عن فطرة بموته في الاستقرار كما صرّح به غير واحد، بل عن غاية المراد أنّه المشهور في 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الذوق العرفي أنّ الفراق إن كان لقصور في موضوع العقد لموت أو ارتداد أو رضاع موجب لكون الزوجة من المحارم أو نحو ذلك لزم جميع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خلل في العقد بل الخلل في موضوعه، فهو باق في موضوعه الحقيقي الذي ارتفع بطروّ الطارئ، فالطارى إنّما يرفع موضوع العقد ولايرفع نفس العقد، نظير ما لو باعه أو وهبه طعاماً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الأكل لايبطل البيع و لاالهبة، و كذا موت أحد الزوجين لايبطل النكاح، و لذلك كان الأصل فيه بقاء تمام المهر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326:39</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هذا يتعيّن تمام المهر في جميع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الفراق بالفسخ الاختياري بطل 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المهر قائم بالعقد و قد ارتفع و انحلّ‌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المذكورة مسوقة لبيان عدم استقرار تمام المهر بمجرّد الخلوة مع الزوجة بل يحتاج إلى الدخول، فلاينفي تلك الأخبار عدم استقرار تمام المهر بغير الدخول بمثل تغيير الجنسية،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 إن كان محتملاً في بعض الأخبار ولكنّه لاشاهد له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التالي في القضية الشرطية إذا كان مجموع أشياء كان مفهومه سلب هذا المجموع، و من المعلوم أنّ سلب المجموع لايفيد سلب كلّ جزء كمالايخفى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الواحدة في حكم القضايا المتعدّدة، و كلّ واحدة منها لها مفهوم، و لعلّه يؤيّده الجمع بين المحرّم و المحلّل في التالي في بعضها، كالجلد و الرجم فإنّه للدخول المحرّم، و المهر للدخول المحلّل، هذا مضافاً إلى تكرار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فتحصّل أنّ تغيير الجنسية يوجب استقرار تمام المهر مطلقاً، سواء كان قبل الدخول أو بعده، كما أنّ الموت و الارتداد و الرضاع كذلك، و لادليل على انحصار إيجاب استقرار تمام المهر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النكاح معاوضة تقع بين بضع المرأة و المهر، و حيث إنّ تغيير الجنسية يوجب انفساخ هذه المعاوضة فلامحالة يرجع كلّ عوض إلى مكانه الأوّل، وعليه فيصير كلّ المهر ملكاً للزوج، ومقتضاه أنّ الزوجة لاتملك شيئاً منه بتغيير الجنسية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أجاب عنه في كتاب كلمات سديدة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التحقيق أنّ حقيقة اعتبار النكاح عند العقلاء ليس إلاّ صيرورة هذا زوجاً لها و هذه زوجة له، أو إلاّ كون كلّ منهما زوجاً للآخر، فينشأ بينهما بالإيجاب و القبول هذا الأمر الاعتباري يوجبه أحدهما و يقبله الآخر، و لاتتقوّم حقيقته إلاّ بهذا، و المهر بمنزلة هديّة يهديها الرجل زوجته، و أوجبه الشرع زائداً على قوام النكاح مع اعترافه بصحّة نكاح مفوّضة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نطق القرآن الكريم بانعقاد النكاح قبل فرض المهر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الطلاق قبل فرض المهر لايكون إلاّ إذا انعقد النكاح قبله، فإذا طلّقها قبل فرض مهر لها و قبل مسّها فلايجب عليه المهر أصلاً، و إن وجب عليه أن يمتّعها متعة على حسب وسعه فعلى الموسع قدره و على المقتر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النكاح ليست معاوضة شيء بالمهر ليقتضي انفساخه رجوع المهر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كونها تلك المعاوضة لما نسلّم أنّ مآل بطلانه بتغيير الجنسية إلى انفساخه، فإنّه إنّما كان يسلّم ذلك إذا كان هنا إنشاء الفسخ كالفسخ بالخيار أو الرجوع في الطلاق، و أمّا هنا فليس إلاّ عدم إمكان بقاء اعتبار الزوجية لصيرورتهما رجلين أو امرأتين مثلاً، و لادليل على أنّ العقد و القرار السابق ينفسخ من الحين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جوامع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تفرضوا لهنّ فريضة أو حتى تفرضوا لهنّ فريضة، وفرض الفريضة تسمية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تدخل على المضارع فيُنصب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لايمكن بقاؤه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فالطارئ يرفع موضوع العقد لانفس العقد، فالفسخ و الانفساخ لامورد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الأخير فهو أنّ الزوجة إذا كانت مقدمة على التغيير فقد أوردت على زوجها ضرراً مالياً يجب عليها ضمانه، فإن أخذته قبل التغيير فعليها ردّه، و لايجوز لها أخذه إذا لم تكن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إتلاف الزوجة للمال ممنوع، و إنّما هي مانعة من نيل الزوج أهدافه، ولكنّه ليس من موجبات الضمان و إن قلنا بحرمة ذلك تكليفاً، بل اشتغال الذمّة بالمهر حصل بالعقد، و الزوجية ليست بمال حتى تكون متلفة لها، و لافرق في السبب الطارئ أن يوجد باختيار الزوج لاالزوجة أو باختيارهما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كلّ و احد من الصور يلزم جميع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الخلل في العقد بل الخلل في موضوعه، و قد عرفت أنّ مقتضى العقد هو مالكية الزوجة لجميع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الأقوى هو الوجه الأوّل، وهو وجوب تمام المهر مطلقاً، سواء كان قبل الدخول أو بعده، وسواء استأذنت الزوجة الزوج أو لم تستأذنه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يتمّ بالنسبة إلى النكاح الدائم، وأمّا بالنسبة إلى المتعة فلايخلو 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المتعة من المعاوضات كما تدلّ عليه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عبيد بن زرارة،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المتعة أهي من الأربع‌؟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منهنّ ألفاً فإنّهنّ مستأجرات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لاتطلّق ولاترث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مستأجرة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عن عبدالسلام،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في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أهي من الأربع‌؟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 الأربع، إنّما هي 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لاوجه لتخصيص التنزيل بمنزلة المستأجرة في مجرّد أنّها تخرج عن عقد الزوج بانقضاء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ذهب المشهور إلى أنّه لو ظهر أنّ المهر ملك لغير الزوج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المهر عوض البضع، و لابدّ أن يخرج العوض من ملك من يدخل في ملكه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يؤيّد ذلك ما دلّ على أنّ الزوج له أن ينقص من المهر مع عدم وفاء المرأة، كصحيح عمر بن حنظلة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فأحبس عنها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خذ منها بقدر ما تخلفك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نصف شهر فالنصف، و إن كان ثلثاً فالثلث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المتعة من مصاديق الإجارة تنزيلاً أو حقيقةً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عموم التنزيل، و لعدم التزام أحد بجواز إنشاء عقد المتعة بصيغة الإجارة، ولكن مع ذلك لو تغيّر جنس الزوجة من دون إذن زوجها تخلّفت عن زوجها، فيرجع الزوج إليها بنسبة مدّة التخلّف من دون فرق فيه بين الدخول و عدمه، كما دلّ عليه صحيح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المتعة يرجع من المهر بمقدار تخلّف المدّة، فالزوجة إذا تغيّرت جنسيّتها وجب عليها أن تردّ من المهر بمقدار زمان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استأذنت زوجها في ذلك لم تضمن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 الزوج على ذلك،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461:5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4" w:name="pg16065_152797"/>
    </w:p>
    <w:p>
      <w:pPr>
        <w:pStyle w:val="BookText"/>
        <w:rPr/>
      </w:pPr>
      <w:bookmarkEnd w:id="204"/>
      <w:r>
        <w:rPr>
          <w:rFonts w:ascii="Amiri" w:hAnsi="Amiri" w:eastAsia="Amiri" w:cs="Amiri"/>
          <w:color w:val="111111"/>
          <w:sz w:val="28"/>
          <w:sz w:val="28"/>
          <w:szCs w:val="28"/>
          <w:rtl w:val="true"/>
          <w:lang w:bidi="ar-SA"/>
        </w:rPr>
        <w:t>لعلّه يرجع إلى إبراء المدّة كما لايخفى</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85248_1280447820"/>
      <w:bookmarkStart w:id="206" w:name="_Toc73"/>
      <w:bookmarkEnd w:id="205"/>
      <w:r>
        <w:rPr>
          <w:rtl w:val="true"/>
        </w:rPr>
        <w:t>الفرع السادس</w:t>
      </w:r>
      <w:r>
        <w:rPr>
          <w:rtl w:val="true"/>
        </w:rPr>
        <w:t xml:space="preserve">: </w:t>
      </w:r>
      <w:r>
        <w:rPr>
          <w:rtl w:val="true"/>
        </w:rPr>
        <w:t>تغيير جنس المرأة في زمان عدّتها</w:t>
      </w:r>
      <w:bookmarkEnd w:id="206"/>
    </w:p>
    <w:p>
      <w:pPr>
        <w:pStyle w:val="BookText"/>
        <w:rPr/>
      </w:pPr>
      <w:r>
        <w:rPr>
          <w:rFonts w:ascii="Amiri" w:hAnsi="Amiri" w:eastAsia="Amiri" w:cs="Amiri"/>
          <w:color w:val="111111"/>
          <w:sz w:val="28"/>
          <w:sz w:val="28"/>
          <w:szCs w:val="28"/>
          <w:rtl w:val="true"/>
          <w:lang w:bidi="ar-SA"/>
        </w:rPr>
        <w:t xml:space="preserve">لو تغيّر جنس المرأة في زمان عدّتها، 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عدّتها ساقطة حتى عدّة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العدّة تكون على النساء، فإذا تغيّر جنس المرأة خرجت عن موضوع الحكم، و لامعنى لبقاء الحكم مع عدم بقاء الموضوع، كما لاتبقى سائر الأحكام بانتفاء موضوعها كحرمة النظر إليها و وجوب الستر عليها، و عدّة الوفاة و إن كانت للحداد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الزينة لاحترام الميّت ولكن موضوعها هو أيضاً المرأة، كما في صحيحة محمّد بن مسلم و بريد بن معاوية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الغائب عنها زوجها إذا توفّي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تعتدّ من يوم يأتيها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تحدّ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عبّر سيّدنا الإمام في قوله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أنّها أيضاً مرتفعة و إن كانت مشروعيّتها لحكمة رعاية احترام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لزوم ابتدائها من زمن بلوغ الخبر، فربّما يمكن أن يتوهّم بهذه الملاحظة بقاؤها قضاءً للاحترام، فلاتغفل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85250_1280447820"/>
      <w:bookmarkStart w:id="208" w:name="_Toc74"/>
      <w:bookmarkEnd w:id="207"/>
      <w:r>
        <w:rPr>
          <w:rtl w:val="true"/>
        </w:rPr>
        <w:t>الفرع السابع</w:t>
      </w:r>
      <w:r>
        <w:rPr>
          <w:rtl w:val="true"/>
        </w:rPr>
        <w:t xml:space="preserve">: </w:t>
      </w:r>
      <w:r>
        <w:rPr>
          <w:rtl w:val="true"/>
        </w:rPr>
        <w:t>تغيير جنس الرجل الولى الى المخالف</w:t>
      </w:r>
      <w:bookmarkEnd w:id="208"/>
    </w:p>
    <w:p>
      <w:pPr>
        <w:pStyle w:val="BookText"/>
        <w:rPr/>
      </w:pPr>
      <w:r>
        <w:rPr>
          <w:rFonts w:ascii="Amiri" w:hAnsi="Amiri" w:eastAsia="Amiri" w:cs="Amiri"/>
          <w:color w:val="111111"/>
          <w:sz w:val="28"/>
          <w:sz w:val="28"/>
          <w:szCs w:val="28"/>
          <w:rtl w:val="true"/>
          <w:lang w:bidi="ar-SA"/>
        </w:rPr>
        <w:t xml:space="preserve">لو تغيّر جنس الرجل الولي إلى المخالف، 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الظاهر سقوط ولايته على صغاره، كما أنّه لو تغيّر جنس المرأة إلى جنس الرجل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446:15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العدد،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لاتثبت لها الولاية على الصغار بل ولايتهم للجدّ للأب، و مع فقده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الأوّل فلأنّ الملاك في الولاية 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الرجولية، والاُبوّة أو الجدودة، و هما غير باقيين مع تغيير الجنسية، و قد دلّت على ذلك الروايات الواردة في تزويج الصغير و الصغيرة، و الروايات الواردة في الوصية إلى رجل بولده و بماله، و غير ذلك من الموارد، و هذه الروايات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لذات يوم عند زياد بن عبيدالله الحارثي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أبي زوّج ابنتي بغير إذني،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عبدالله‌؟ فلما سألني 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فيما تروون أنتم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يستعديه على أبيه في مثل هذا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هذا و هو و ماله لأبيه و لايجوز 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 ترك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ابنة ابنه فهو جائز على ابنه، و لابنه أيضاً أن يزوّجها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وجدّها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أن يزوّج ابنته بغير إذنها؟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ليس يكون للولد مع الوالد أمر إلاّ أن تكون امرأة قد دخل بها قبل ذلك، فتلك لايجوز نكاحها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تستأمر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أوصى إلى رجل بُولده و بمال لهم، و أذن له عند الوصية أن يعمل بالمال و أن يكون الربح بينه و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أباه قد أذن له في ذلك 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تدلّ على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الرجولية و الاُبوّة أو الجدودة، و يكفي للأوّل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 من أجل أنّ أباه قد أذن له في ذلك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أنّ موضوع الولاية هو عنوان الأب أو الجدّ في الرجل فمع ارتفاع الموضوع بتغيير الجنسية تسقط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المذكور منوط إمّا بعدم صدق الأب عليه بعد التغيير مع أنّ الولاية مترتّبة على عنوان الأب، و إمّا باختصاص الولاية بالأب بشرط بقائه على صفة الرجولية و 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المعيار في صدق الاُبوّة هو مجرّد إفراغ المني في رحم اُمّ الولد و كون النطفة من منيّه، و هذا لايتغيّر بتغيّر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التغيير يكون هو هو، و لذا يصدق عليه عنوان الأب بالفعل بهذا المعنى حقيقةً من باب صدق عنوان المشتقّ على المتلبّس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و لاينكر أن يقول ولدها أنّ أبانا هو هذه المرأة إلاّ أنّه صار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يمنع الاختصاص بحالة الرجولية، غايته أنّ الأدلّة لاتدلّ على ثبوتها له إذا صار امرأة، فحينئذ مع زوال الرجولية يمكن إثبات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478:13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بقاء الولاية ببركة الاستصحاب بعد كون الموضوع هو هذا الشخص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بعد تغيير جنسيّته وصيرورته امرأة لايصدق عليه عنوان الأب بالفعل مع كونها معنونة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عليها أنّ هذه المرأة كانت قبل ذلك رجلاً و أباً لذلك الولد، و عليه فحيث لم يصدق عليه عنوان الأب بالفعل فلاتبقى ولاية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بقاء موضوعه،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حدوث المبدأ في الصدق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في أذهان المتشرّعة هو دخالة الرجولية في الولاية، فجعلها من الأحوال و كون الموضوع هو الشخص و لو صار امرأة خلاف الارتكاز، و لاأقلّ من الشكّ في كون الموضوع هو الشخص أو الرجل، و معه لامجال لاستصحاب الولاية لعدم إحراز الموضوع، و لايمكن إبقاء الموضوع بالاستصحاب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موضوعية الباقي و هو الشخص، و عنوان الرجل في المقام ليس من الأحوال عرفاً كعنوان تغيّر الماء بالنجاسة في الماء المتغيّر، فلايصحّ قياسه بها مع دخالة الرجولية في الولايات، بل هو كبيع الفرس فبان حماراً في المباينة بين المبيع و بين الموجود، و ليس كبيع الفرس العربي فبان غير عربي،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حدوث الولاية للاُمّ بتغيير الجنسية و صيرورتها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العنوان الذي ثبت له الولاية هو الأب، و لاتصير الاُمّ بمجرّد تغيير جنسها إلى الرجل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الأب هو الذي تكوّن الولد من منيّه، و هو ليس من كان شأنه حمل الولد 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دعوى أنّها بعد تغيير جنسها أيضاً يصدق عليه بالفعل أنّه 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حمله بشخصه و نفسه، و مع صدق الاُمّ عليه لايصدق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209" w:name="pg16065_152801"/>
    </w:p>
    <w:p>
      <w:pPr>
        <w:pStyle w:val="BookText"/>
        <w:rPr/>
      </w:pPr>
      <w:bookmarkEnd w:id="209"/>
      <w:r>
        <w:rPr>
          <w:rFonts w:ascii="Amiri" w:hAnsi="Amiri" w:eastAsia="Amiri" w:cs="Amiri"/>
          <w:color w:val="111111"/>
          <w:sz w:val="28"/>
          <w:sz w:val="28"/>
          <w:szCs w:val="28"/>
          <w:rtl w:val="true"/>
          <w:lang w:bidi="ar-SA"/>
        </w:rPr>
        <w:t>عليها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لايجتمعان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لايصدق عليه عنوان الاُمّ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ملاكه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الرجل ليس بالفعل حاملاً و 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ذلك الرجل هي التي حملته و 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كاف لصدق الاُمومة عليه بالفعل مع كونه معنوناً بالرجل، ولكن عرفت أنّ حدوث المبدأ في أمثال المقام كاف في الصدق، ألاترى أنّ عنوان القاتل صادق مع أنّ المبدأ لايدوم‌؟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فتحصّل أنّه لاتبقى و لاية للأب مع تغيير جنسه كما لاتثبت للاُمّ ولاية بعد صيرورتها رجلاً، فلاتغفل</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85252_1280447820"/>
      <w:bookmarkStart w:id="211" w:name="_Toc75"/>
      <w:bookmarkEnd w:id="210"/>
      <w:r>
        <w:rPr>
          <w:rtl w:val="true"/>
        </w:rPr>
        <w:t>الفرع الثامن</w:t>
      </w:r>
      <w:r>
        <w:rPr>
          <w:rtl w:val="true"/>
        </w:rPr>
        <w:t xml:space="preserve">: </w:t>
      </w:r>
      <w:r>
        <w:rPr>
          <w:rtl w:val="true"/>
        </w:rPr>
        <w:t>لاتتغيّر عناوين النسبيّه بتغيير الجنسيّة</w:t>
      </w:r>
      <w:bookmarkEnd w:id="211"/>
    </w:p>
    <w:p>
      <w:pPr>
        <w:pStyle w:val="BookText"/>
        <w:rPr/>
      </w:pPr>
      <w:r>
        <w:rPr>
          <w:rFonts w:ascii="Amiri" w:hAnsi="Amiri" w:eastAsia="Amiri" w:cs="Amiri"/>
          <w:color w:val="111111"/>
          <w:sz w:val="28"/>
          <w:sz w:val="28"/>
          <w:szCs w:val="28"/>
          <w:rtl w:val="true"/>
          <w:lang w:bidi="ar-SA"/>
        </w:rPr>
        <w:t>لو قلنا بتغيير عنوان الأب أو الجدّ بتغيير الجنسية فهو غير جار في غيرهما من العناوين النسبية كعنوان الاُخوّة و العمومة و الخؤولة، فإنّ تلك العناوين لاتتغيّر بتغيّر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منشأ انتزاعها و هو الاشتراك في الأب أو الاُمّ بلاواسطة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تغيّر جنس كلّ من الأخ و الاُخت بالمخالف لم ينقطع انتسابهما بل صار الانتساب معكوساً، فيصير الأخ اُختاً و الاُخت أخاً، و تبدّل العنوانين لايخرجهما عن الاُخوّة و اشتراكهما في الانتساب و ولادتهما من الأب الواحد أو الاُمّ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العمومة و الخؤولة و نحوهما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كانت الآثار مترتّبة على عنوان الاُخوّة و العمومة و الخؤولة من دون فرق بين الذكر و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النكاح و جواز النظر بقيت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الموضوعات باقية، بخلاف الأحكام التي ترتّبت على بقاء العناوين المختصّة بالذكر أو الاُنثى كالابن و البنت و الأخ و الاُخت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لاتبقى بعد عدم صدق </w:t>
      </w:r>
    </w:p>
    <w:p>
      <w:pPr>
        <w:pStyle w:val="BookText"/>
        <w:rPr/>
      </w:pPr>
      <w:r>
        <w:rPr>
          <w:rFonts w:ascii="Amiri" w:hAnsi="Amiri" w:eastAsia="Amiri" w:cs="Amiri"/>
          <w:color w:val="111111"/>
          <w:sz w:val="28"/>
          <w:sz w:val="28"/>
          <w:szCs w:val="28"/>
          <w:rtl w:val="true"/>
          <w:lang w:bidi="ar-SA"/>
        </w:rPr>
        <w:t>موضوعاتها بالفعل، فإذا كان شخص رجلاً و ابناً ثمّ غيّر جنسيّته قبل موت والده فلايرث إرث الأبناء بل له إرث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هو صدق تلك العناوين بالفعل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مات عن ابن جديد و بنت جديدة فللذكر الفعلي ضعف الاُنثى الفعلية، و هكذا في سائر طبقات الإرث، فكما أنّ الدليل يشمل القديم منهما كذلك يشمل الجديد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لإطلاق أدلّة الإرث،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عنوان الأب و الاُمّ إن كانا ثابتين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تغيّر جنسهما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فلافرق بينهما و بين عنوان الاُخوّة و العمومة و نحوهما من سائر العناوين في بقاء أحكامها من الإرث و غيره، و أمّا إن قلنا بتغيّرهما مع تغيير الجنسية فيشكل ذلك في إرثهما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بعد تغيير جنسها إلى الرجل ليس الرجل الفعلي اُمّاً و لاأباً بالفعل، كما أنّ الرجل بعد تغيير جنسه إلى المرأة ليست المرأة الفعلية أباً و لااُمّاً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يقع الكلام في أنّهما يرثان أو لايرثان أصلاً، و قد ذهب في تحرير الوسيلة إلى الأوّل، واستدلّ له بالأخبار المستفيضة التي فيها المعتبرة على أنّ ميراث الميّت إنّما يكون للأقرب إليه، ففي موثّقة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اُولي الأرحام في المواريث و لم يعنِ أولياء النعمة، فأولاهم بالميّت أقربهم إليه من الرحم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يجرّه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ظاهرها أنّ ملاك الأولوية الموجبة لأن يكون هو الوارث إنّما هو الأقربية إلى الميّت، و ذكر الوالدين في قبال الأقربين لايضرّ بهذا الاستظهار، كما أنّ الأولوية عبارة اُخرى عن الحاجبية لمن لم يكن مشتركاً مع الأقرب في المرتبة، و من المعلوم أنّ أقربية الوالدين لايحصل فيها تغيير بتغيير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إرثهما و لو بعد التغيّر ممّا لاينبغي الشكّ فيه، كما أنّهما يحجبان من تتأخّر مرتبة قربه من الميّت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تشهد له صحيحة أبي أيّوب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لدلالتها على أنّ المعتبر في الإرث هو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خبر حسين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من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للأقرب أو العصبة‌؟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للأقرب، و العصبة في فيه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مقام نفي العصبة، فلاإطلاق لها بالنسبة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نفي إرث العصبة بملاك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الأقربية يكفي في الدلالة على أنّ المعيار في الإرث هو الأقربية، كما يشهد له تعليل إرث كلّ مرتبة في معتبرة يزيد الكناسي بأولويّتها ممّن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أولى بك من ابن ابنك، و ابن ابنك أولى بك من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لأبيك و اُمّك أولى بك من أخيك لأبيك، و أخوك لأبيك أولى بك من أخيك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414:17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الإرث،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418:17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الإرث،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الإرث،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متفرّعة على صدق الاُبوّة و الاُمومة، و هما غير صادقين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ناشئة عن كونهما منشأ للولادة و لو بمدخليتهما فيها حدوثاً، فلاوجه لتفرّع الأولوية على صدق الاُبوّة و الاُمومة فعلاً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الفرق بين عنوان الوالدين و عنوان الأب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الوالدين بعد التغيّر صادق عليهما و إن لم نقل بصدق عنوان الأب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حدوث إلقاء النطفة في رحم المرأة و وضع الحمل في الصدق، و عنوان الوالدين موضوع للإرث كما نصّت عليه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كلاماً في مقدار إرثهما بعد معلومية إرثهما بملاك الأقربية، و قد ذهب في تحرير الوسيلة إلى أنّ اختلافهما في الإرث بلحاظ حال انعقاد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فللأب حال انعقاد النطفة ثلثان و للاُمّ ثلث، و الأحوط التصالح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استفادته من منطوق الأدلّة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المقدار هو الأب و الاُمّ أو ما يرجع إليهما، و هو لايصدق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الفرض فلامحيص إلاّ إلغاء الخصوصية هنا عن العنوان الفعلي إلى الأعمّ حتى يشمل من كان مصداقاً للعنوانين و زال عنه بالتغيّر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الأقربية و إن كانت مشتركة بينهما ولكن صدق الوالد والوالدة ليس بمشترك، و مقتضى اختصاص الوالد بمن تكون منه النطفة والوالدة بمن وضعت حملها هو الاختلاف في الإرث بالثلث، و عليه فالعبرة بلحاظ حال انعقاد النطفة كما ذهب إليه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إلغاء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الخصوصية عن العنوان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ظاهر 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لاحاجة مع صدق عنوان الوالد والوالدة إلى استصحاب إرث شخصهما قبل 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دليل حيث لادليل، فمع صدق العنوانين يشملهما إطلاق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الاستصحاب المذكور من عدم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وارثيّة شخص الرجل أو شخص المرأة منوط بموت المورّث قبل تغيير الجنسية، و المفروض هو عدم وقوع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لايقاس المقام باستصحاب الولاية لشخص الأب قبل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الكلّي المجعول شرعاً في باب الولاية انطبق على الأب قبل التغيير، فحدث حكم جزئي، فيجري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بقائه لما بعد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المورّث إن مات قبل التغيير كان لأبويه كذا و كذا و الآن كان كذا، كما نصّ عليه سبحانه و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 فَإِنْ لَمْ يَكُنْ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لايجري الاستصحاب في الحكم التعليقي إلاّ إذا كان شرعياً، كالضمان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دلالته على وجوب الرد و على الضمان إن تلف و ليس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هو تعليق السدس فيهما على الموت و وجود الولد، أو الثلثين و الثلث على الموت و عدم وجود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لاوجه للقول بأنّ الاستصحاب التعليقي معارض لأصالة عدم انتقال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88:17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الغصب،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2" w:name="pg16065_152806"/>
    </w:p>
    <w:p>
      <w:pPr>
        <w:pStyle w:val="BookText"/>
        <w:rPr/>
      </w:pPr>
      <w:bookmarkEnd w:id="212"/>
      <w:r>
        <w:rPr>
          <w:rFonts w:ascii="Amiri" w:hAnsi="Amiri" w:eastAsia="Amiri" w:cs="Amiri"/>
          <w:color w:val="111111"/>
          <w:sz w:val="28"/>
          <w:sz w:val="28"/>
          <w:szCs w:val="28"/>
          <w:rtl w:val="true"/>
          <w:lang w:bidi="ar-SA"/>
        </w:rPr>
        <w:t>الزائد كالثلث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عدم الانتقال ناشئ عن بقاء الحكم السابق و عدمه، فمع جريان الاستصحاب في ناحية السبب لامجال لجريانه في ناحية المسبّب،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مراعاة الاحتياط هل يكون بينهما فقط؟ أو بينهما و بين غيرهما من الورّاث أيضاً؟ فإن فرغنا عن أصل إرثهما بالأقربية فلامجال للتصالح بينهما و بين غيرهما، فإنّهما أولى بالإرث من غيرهما، و أمّا إن شككنا في ذلك و قلنا بلزوم صدق عنوان الأب و الاُمّ و هما غير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صدقهما بتغيير الجنسية فالتصالح بينهما و بين غيرهما من الورّاث ممّن في طبقتهما أو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هو عدم لزوم التصالح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الوالد والوالدة بعد 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حدوث المبدأ في صدقهما ولو لم نقل بصدق الأب و الاُمّ‌، و مقتضاه هو إرث كلّ واحد منهما بما يتعيّن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الثلثان في الأب و الثلث في الاُمّ عند عدم الولد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85254_1280447820"/>
      <w:bookmarkStart w:id="214" w:name="_Toc76"/>
      <w:bookmarkEnd w:id="213"/>
      <w:r>
        <w:rPr>
          <w:rtl w:val="true"/>
        </w:rPr>
        <w:t>الفرع التاسع</w:t>
      </w:r>
      <w:r>
        <w:rPr>
          <w:rtl w:val="true"/>
        </w:rPr>
        <w:t xml:space="preserve">: </w:t>
      </w:r>
      <w:r>
        <w:rPr>
          <w:rtl w:val="true"/>
        </w:rPr>
        <w:t>حكم حرمة النكاح و جواز النظر فى غير الابوين لايتغيّر بتغيير الجنسيّة</w:t>
      </w:r>
      <w:bookmarkEnd w:id="214"/>
    </w:p>
    <w:p>
      <w:pPr>
        <w:pStyle w:val="BookText"/>
        <w:rPr/>
      </w:pPr>
      <w:r>
        <w:rPr>
          <w:rFonts w:ascii="Amiri" w:hAnsi="Amiri" w:eastAsia="Amiri" w:cs="Amiri"/>
          <w:color w:val="111111"/>
          <w:sz w:val="28"/>
          <w:sz w:val="28"/>
          <w:szCs w:val="28"/>
          <w:rtl w:val="true"/>
          <w:lang w:bidi="ar-SA"/>
        </w:rPr>
        <w:t>إنّ حكم حرمة النكاح و جواز النظر في غير الأبوين لايتغيّر بتغيير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تغيير النسبة و العنوان مع بقاء ملاك انتزاعهما و هو الاشتراك في الأب و الاُمّ بلاواسطة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فتغيير جنسيّة كلّ من الأخ و الاُخت لايخرجهما عن الاُخوّة، و هكذا في العمومة و الخؤولة، فكما أنّه كان يحرم النكاح بينهما و كان يجوز نظر كلٍّ منهما إلى الآخر قبل التغيير كذلك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الملاك</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الأمر كذلك بالنسبة إلى غيرهما، فكلّ من الأخ و الاُخت كما أنّه كان يحرم نكاحهما من أولاد الآخر و كان يجوز نظر كلّ منهم إلى الآخر كذلك يحرم النكاح و يجوز النظر بعد التغيير، لأنّهما لايخرجان بالتغيير عن الخؤولة و العمومة</w:t>
      </w:r>
      <w:r>
        <w:rPr>
          <w:rFonts w:eastAsia="Amiri" w:cs="Amiri" w:ascii="Amiri" w:hAnsi="Amiri"/>
          <w:color w:val="111111"/>
          <w:sz w:val="28"/>
          <w:szCs w:val="28"/>
          <w:rtl w:val="true"/>
          <w:lang w:bidi="ar-SA"/>
        </w:rPr>
        <w:t xml:space="preserve">. </w:t>
      </w:r>
      <w:bookmarkStart w:id="215" w:name="pg16065_152807"/>
    </w:p>
    <w:p>
      <w:pPr>
        <w:pStyle w:val="BookText"/>
        <w:rPr/>
      </w:pPr>
      <w:bookmarkEnd w:id="215"/>
      <w:r>
        <w:rPr>
          <w:rFonts w:ascii="Amiri" w:hAnsi="Amiri" w:eastAsia="Amiri" w:cs="Amiri"/>
          <w:color w:val="111111"/>
          <w:sz w:val="28"/>
          <w:sz w:val="28"/>
          <w:szCs w:val="28"/>
          <w:rtl w:val="true"/>
          <w:lang w:bidi="ar-SA"/>
        </w:rPr>
        <w:t>و هكذا بنت اُخت الزوجة و بنت أخيها تحرمان على الزوج إلاّ برضاها، و لايختلف ذلك بتغيّر جنس الاُخت بالأخ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بنتهما لاتخرج عن بنت الاُخت و الأخ بتغيّر جنسهما كما لايخفى</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85256_1280447820"/>
      <w:bookmarkStart w:id="217" w:name="_Toc77"/>
      <w:bookmarkEnd w:id="216"/>
      <w:r>
        <w:rPr>
          <w:rtl w:val="true"/>
        </w:rPr>
        <w:t>الفرع العاشر</w:t>
      </w:r>
      <w:r>
        <w:rPr>
          <w:rtl w:val="true"/>
        </w:rPr>
        <w:t xml:space="preserve">: </w:t>
      </w:r>
      <w:r>
        <w:rPr>
          <w:rtl w:val="true"/>
        </w:rPr>
        <w:t>لو تغيّر جنس الأمّ و صارت رجلاً هل يجوز له نكاح بناته‌؟</w:t>
      </w:r>
      <w:bookmarkEnd w:id="217"/>
    </w:p>
    <w:p>
      <w:pPr>
        <w:pStyle w:val="BookText"/>
        <w:rPr/>
      </w:pPr>
      <w:r>
        <w:rPr>
          <w:rFonts w:ascii="Amiri" w:hAnsi="Amiri" w:eastAsia="Amiri" w:cs="Amiri"/>
          <w:color w:val="111111"/>
          <w:sz w:val="28"/>
          <w:sz w:val="28"/>
          <w:szCs w:val="28"/>
          <w:rtl w:val="true"/>
          <w:lang w:bidi="ar-SA"/>
        </w:rPr>
        <w:t>لو تغيّر جنس الاُمّ و صارت رجلاً فهل يجوز له نكاح بناته أو لا؟</w:t>
      </w:r>
    </w:p>
    <w:p>
      <w:pPr>
        <w:pStyle w:val="BookText"/>
        <w:rPr/>
      </w:pP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الحرمة هو نكاح البنت، و هو صادق بعد التغيير و صيرورة الاُمّ رجلاً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البنات أولاده و نكاحهنّ محرّم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الاستدلال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الرجل الجديد أيضاً في حرمة نكاحهنّ و دعوى الانصراف عن مثله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بدوي، فالعنوان بعمومه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تأييد ذلك بإشعار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الحرمة هو البنتيّة، و هو قرينة على إرادة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البنتيّة إليه باعتبار كونه امرأة سابقاً لاباعتبار الرجولية، و عنوان المرأة غير صادق بعد تغيير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باعتبار كونها والدة، و هي صادقة بعد تغيير الجنسية أيضاً، فالمعيار هو الوالدية والولدية و هما باقيان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تنقيح المناط القطعي في المقام بعدم جواز النكاح مع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نظر الاُمّ إلى بناتها بعد صيرورتها رجلاً فللملازمة بين حرمة النكاح و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استصحاب جوازه لكلّ منهما الثابت قبل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18" w:name="pg16065_152808"/>
    </w:p>
    <w:p>
      <w:pPr>
        <w:pStyle w:val="BookText"/>
        <w:rPr/>
      </w:pPr>
      <w:bookmarkEnd w:id="218"/>
      <w:r>
        <w:rPr>
          <w:rFonts w:ascii="Amiri" w:hAnsi="Amiri" w:eastAsia="Amiri" w:cs="Amiri"/>
          <w:color w:val="111111"/>
          <w:sz w:val="28"/>
          <w:sz w:val="28"/>
          <w:szCs w:val="28"/>
          <w:rtl w:val="true"/>
          <w:lang w:bidi="ar-SA"/>
        </w:rPr>
        <w:t>حدوث هذا التغيير بناءً على ولادة البنات قبل هذا التغيير، و الموضوع باق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الاُمّ و البنات كان باقياً بشخصه، ولكنّه مبنيّ على كون الاُنوثية و الرجولية من الأحوال، كما يؤيّده ما إذا بيع مملوك بعنوان أنّه رجل أو اُنثى ثمّ بان خلافه، فإنّ البيع ليس باطلاً بل محكوم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باب تخلّف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بيع الفرس ثمّ بان حماراً أو كان المورد من باب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للرجولية خصوصية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لجواز النظر هو دخول كلّ منهما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خروجه بتغيّر الجنس عن عنوان النساء المذكور في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إبداء الزينة، و لزوم الستر، و عدم صيرورته أباً لأولادها إذا صارت رجلاً حتى يشمله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 أَوْ آبٰائِهِنَّ‌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وعليه فلايكون الرجل الفعلي الذي كان اُمّاً قبل التغيير مشمولاً للمستثنى و إن توهّم صدق الأب عليه، و لخروجه عن عنوان النساء، و هذان العنوانان من أسباب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عدم صدق الموضوع الدليلي لايضرّ في جريان الاستصحاب بعد بقاء الموضوع عرفاً، و من المعلوم أنّ الموضوع في جواز النظر بعد تطبيق العنوان الدليلي على الاُمّ و بناتها هو شخص الاُمّ و البنات، و كلّ منهما باق على ما هو عليه، بناءً على أنّ الرجولية و الاُنوثية من الأحوال و عدم تغاير النظر إلى المماثل مع النظر إلى غير المماثل، و عليه فيطول عمر المستثنى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الاستصحاب في 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85258_1280447820"/>
      <w:bookmarkStart w:id="220" w:name="_Toc78"/>
      <w:bookmarkEnd w:id="219"/>
      <w:r>
        <w:rPr>
          <w:rtl w:val="true"/>
        </w:rPr>
        <w:t>الفرع الحادي عشر</w:t>
      </w:r>
      <w:r>
        <w:rPr>
          <w:rtl w:val="true"/>
        </w:rPr>
        <w:t xml:space="preserve">: </w:t>
      </w:r>
      <w:r>
        <w:rPr>
          <w:rtl w:val="true"/>
        </w:rPr>
        <w:t>اذا تغيّر جنس الأب فصار امرأة فزواجها مع ابنائها محرّم بالضرورة</w:t>
      </w:r>
      <w:bookmarkEnd w:id="220"/>
    </w:p>
    <w:p>
      <w:pPr>
        <w:pStyle w:val="BookText"/>
        <w:rPr/>
      </w:pPr>
      <w:r>
        <w:rPr>
          <w:rFonts w:ascii="Amiri" w:hAnsi="Amiri" w:eastAsia="Amiri" w:cs="Amiri"/>
          <w:color w:val="111111"/>
          <w:sz w:val="28"/>
          <w:sz w:val="28"/>
          <w:szCs w:val="28"/>
          <w:rtl w:val="true"/>
          <w:lang w:bidi="ar-SA"/>
        </w:rPr>
        <w:t>أنّه إذا تغيّر جنس الأب فصار امرأة، فزواجها مع أبنائها محرّم بالضرورة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تنقيح المناط القطعي، و عدم التعرّض في الأدلّة لايمنع من حرمته، كالشرب من الإناء الذي نصفه فضّة و نصفه ذهب، و من المعلوم أنّه محرّم، مع أنّه ليس في الأدلّة إلاّ إناء الفضّة أو إناء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المخاطب بها هو الرجال، و الأبناء و إن كانوا داخلين في الخطاب ولكن لم يذكر في عداد المحرّمات نكاح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لايتصوّر نكاح الرجال مع آبائهم في المتعارف، و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الأب الذي صار امرأة فرد نادر، و الآية الكريمة غير متعرّضة له حتّى يقال بشمولها للأب المذكور، فالأبناء و إن كانوا من المخاطبين بحرمة المذكورات في الآية، و يحرم عليهم التزوّج بالمذكورات، ولكنّ تزويج الأب الذي صار امرأة خارج عن نطاق الآية، فلو ذكر في الآية تحريم الآباء أمكن القول بشموله على إشكال، ولكنّ الآية غير متعرّضة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حرمة النكاح مع أبنائها إلى التمسّك بالملازمة بين جواز النظر في المحارم النسبيّة و حرمة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المفروض في المقام هو جواز نظر المرأة المذكورة إلى أبنائها كما يدلّ عليه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221" w:name="pg16065_152810"/>
    </w:p>
    <w:p>
      <w:pPr>
        <w:pStyle w:val="BookText"/>
        <w:rPr/>
      </w:pPr>
      <w:bookmarkEnd w:id="22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الدلالة على جواز نظر المرأة المذكورة إلى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الأبناء عليهم بالنسبة إلى الأب الذي صار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 قيام الضرورة و ثبوت الملازمة المذكورة و تنقيح المناط القطعي لامجال للأصل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دليل حيث لادليل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له حالة سابقة هو حرمة لواط الأب مع الابن قبل تغيير الجنسيّة، لاحرمة النكاح، فالحرمة المذكورة متعلّقة بعنوان لواط الرجل مع الرجل، فمع تبدّل الرجل إلى امرأة و إن كان متعلّق الحكم باقياً بناءً على كون الرجوليّة و الاُنوثيّة من الأحوال، لكنّ الحكم المتيقّن و المشكوك غير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اللواط و النكاح متغايران، ألاترى أنّه لو شكّ في جواز تقليد زيد و كان زيد جائز الاقتداء في السابق لم يكف بقاء زيد لاستصحاب جواز الاقتداء لإثبات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 الاستصحاب هو الاتّحاد بين القضيّتين محمولاً و موضوعاً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85260_1280447820"/>
      <w:bookmarkStart w:id="223" w:name="_Toc79"/>
      <w:bookmarkEnd w:id="222"/>
      <w:r>
        <w:rPr>
          <w:rtl w:val="true"/>
        </w:rPr>
        <w:t>الفرع الثاني عشر</w:t>
      </w:r>
      <w:r>
        <w:rPr>
          <w:rtl w:val="true"/>
        </w:rPr>
        <w:t xml:space="preserve">: </w:t>
      </w:r>
      <w:r>
        <w:rPr>
          <w:rtl w:val="true"/>
        </w:rPr>
        <w:t>لو تغيّر جنس الأم فصارت رجلاً فهل تكون بعد الرجوليه كالأب</w:t>
      </w:r>
      <w:bookmarkEnd w:id="223"/>
    </w:p>
    <w:p>
      <w:pPr>
        <w:pStyle w:val="BookText"/>
        <w:rPr/>
      </w:pPr>
      <w:r>
        <w:rPr>
          <w:rFonts w:ascii="Amiri" w:hAnsi="Amiri" w:eastAsia="Amiri" w:cs="Amiri"/>
          <w:color w:val="111111"/>
          <w:sz w:val="28"/>
          <w:sz w:val="28"/>
          <w:szCs w:val="28"/>
          <w:rtl w:val="true"/>
          <w:lang w:bidi="ar-SA"/>
        </w:rPr>
        <w:t>أنّه لو تغيّر جنس الاُمّ فصارت رجلاً، فهل تكون بعد الرجوليّة كالأب في تحريم حليلة الأبناء أم لا؟</w:t>
      </w:r>
    </w:p>
    <w:p>
      <w:pPr>
        <w:pStyle w:val="BookText"/>
        <w:rPr/>
      </w:pPr>
      <w:r>
        <w:rPr>
          <w:rFonts w:ascii="Amiri" w:hAnsi="Amiri" w:eastAsia="Amiri" w:cs="Amiri"/>
          <w:color w:val="111111"/>
          <w:sz w:val="28"/>
          <w:sz w:val="28"/>
          <w:szCs w:val="28"/>
          <w:rtl w:val="true"/>
          <w:lang w:bidi="ar-SA"/>
        </w:rPr>
        <w:t xml:space="preserve">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التحريم على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للحرمة بأنّ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الرجل الجديد أيضاً، وتوصيف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565:2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الأبناء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الاختصاص بالآباء بتوهمّ أنّ الأصلاب مختصّ بالرجال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 منيّ المرء يخرج من الصلب دون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الصلب قد فسّر ببعض من البدن محصور بين جداري عظام الظهر و عظام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فلايختصّ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الإشارة إليه من أنّ إضافة الحلائل إلى الأبناء دالّة على أنّ الملاك للحرمة كونها حليلة الابن، فلاينبغي للإنسان أن ينكح حليلة ابنه، و يكون حينئذ التوصيف المذكور لمجرّد إخراج الأدعياء، و لذلك فلاينافي حرمة حلائل الأبناء الرضاعيّين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استصحاب الحرمة أيضاً قاض بحرمة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لاأقلّ من عروض الإجمال في عموم تحريم حليلة الابن، فيسري إلى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فلادليل اجتهادي على الجواز، والاستصحاب يقضي بعدم ترتّب الأثر بعد إنشاء العقد،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أنّه لايخلو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تحريم المحارم النسبيّة و السببيّة مع الرجال، و هو موجب لتخصيص الأصلاب بهم و إن لم يكن الصلب و التريبة مختصّين في نفسهما بالرجال بل يعمّان النساء أيضاً بحسب اللغة، و عليه فشموله للرجال الذين ليسوا بآباء غير واضح 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تعميم الرجال للرجال المتجدّدين لايكون لفظ الأصلاب مخصوصاً بالرجال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إلحاق حلائل الأبناء الرضاعيّين للدليل لايوجب إلحاق غيرهم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381:20</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24" w:name="pg16065_152812"/>
    </w:p>
    <w:p>
      <w:pPr>
        <w:pStyle w:val="BookText"/>
        <w:rPr/>
      </w:pPr>
      <w:bookmarkEnd w:id="224"/>
      <w:r>
        <w:rPr>
          <w:rFonts w:ascii="Amiri" w:hAnsi="Amiri" w:eastAsia="Amiri" w:cs="Amiri"/>
          <w:color w:val="111111"/>
          <w:sz w:val="28"/>
          <w:sz w:val="28"/>
          <w:szCs w:val="28"/>
          <w:rtl w:val="true"/>
          <w:lang w:bidi="ar-SA"/>
        </w:rPr>
        <w:t>نحن فيه من دون 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حرمة المساحقة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قبل تغيير الجنسيّة بين الاُمّ و الحليلة مغايرة مع حرمة النكاح بين الرجل و الحليلة، و مع المغايرة لاتتّحد القضيّة المشكوكة مع المتيقّنة موضوعاً و محمولاً، فلامجال لاستصحاب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استصحاب عدم ترتيب الأثر بعد إنشاء العقد جار فيما إذا لم يدلّ دليل على نفي المانعيّة عن صحّة العقد، و إلاّ فلامجال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ترتيب الأثر ناشئ عن الشكّ في المانعيّة و عدمها، فلو قلنا بأنّ حديث الرفع يجري لنفي الشرطيّة و المانعيّة لم يكن مجال لاستصحاب عدم ترتيب الأثر بعد 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اللتيا و التي يمكن القول بالاعتماد على أنّ ملاك الحرمة هو حلائل الأبناء، و هو صادق، و 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نظر الاُمّ بعد صيرورتها رجلاً إلى حليلة أبنائها فلايستفاد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الاُمّ بعد التغيير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هاهنا عنوان آخر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لذلك الملازمة بين حرمة النكاح مع حليلة الأبناء و جواز النظر، أو استصحاب جواز النظر الثابت بين الاُمّ و حليلة ابنها قبل التغيير فيما إذا كان تغيير الجنسيّة بعد نكاح ابنها، بناءً على أنّ الرجوليّة و الاُنوثيّة من الأحوال و عدم مغايرة النظر إلى المماثل مع النظر إلى غير المماثل، فتأمّل</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85262_1280447820"/>
      <w:bookmarkStart w:id="226" w:name="_Toc80"/>
      <w:bookmarkEnd w:id="225"/>
      <w:r>
        <w:rPr>
          <w:rtl w:val="true"/>
        </w:rPr>
        <w:t>الفرع الثالث عشر</w:t>
      </w:r>
      <w:r>
        <w:rPr>
          <w:rtl w:val="true"/>
        </w:rPr>
        <w:t xml:space="preserve">: </w:t>
      </w:r>
      <w:r>
        <w:rPr>
          <w:rtl w:val="true"/>
        </w:rPr>
        <w:t>اذا تغيّر جنسيّة حليلة الابن فصارت رجلاً</w:t>
      </w:r>
      <w:bookmarkEnd w:id="226"/>
    </w:p>
    <w:p>
      <w:pPr>
        <w:pStyle w:val="BookText"/>
        <w:rPr/>
      </w:pPr>
      <w:r>
        <w:rPr>
          <w:rFonts w:ascii="Amiri" w:hAnsi="Amiri" w:eastAsia="Amiri" w:cs="Amiri"/>
          <w:color w:val="111111"/>
          <w:sz w:val="28"/>
          <w:sz w:val="28"/>
          <w:szCs w:val="28"/>
          <w:rtl w:val="true"/>
          <w:lang w:bidi="ar-SA"/>
        </w:rPr>
        <w:t>أنّه إذا تغيّرت جنسيّة حليلة الابن فصارت رجلاً، فالحكم بحرمة زواجه حينئذ مع اُمّ زوجه السابق كجواز نظره إليها و بالعكس محتاج إلى الدليل،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المفروض عدم انطباق العناوين المحرّمة على نكاح اُمّ الزوج، و جواز النظر لكلّ منهما إلى الاُخرى تابع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هو عدم ذلك بعد تغيير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العقد على كلّ من لم تذكر من النساء في الآية السابقة ومنها 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قبل العقد تكون أجنبيّة للرجل الجديد كسائر الأجانب لايجوز له النظر إليها و لالها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دعوى أنّ نسبة الرجل الجديد إلى اُمّ زوجه السابق كنسبة الاُمّ المتغيّرة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حرمة زواجها إذا صارت رجلاً مع حليلة الابن، فكذا هنا فهي من القول بالرأي الذي نحن منه 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النظر لكلّ منهما إلى الآخر ثابت قبل تغيير الجنسيّة، فيمكن استصحابه بناءً على أنّ الرجوليّة و الاُنوثيّة من الأحوال، و وحدة حكم النظر إلى المماثل مع النظر إلى غير المماثل، و مع ثبوت جواز النظر يحكم بحرمة تزويج اُمّ زوجه بعد تغيير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بين جواز النظر و حرمة النكاح، و لعلّ هذا هو وجه ما ذهب إليه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لايبعد الحرمة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صيرورة الحليلة رجلاً يندرج الرجل الجديد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اندراجه فيه لامجال للاستصحاب حتى يكون جواز النظر باقياً، و مع بقائه يحكم بحرمة التزويج من باب الملازمة بينهما، و كذلك لامجال لاستصحاب حرمة المساحقة الثابتة في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27" w:name="pg16065_152814"/>
    </w:p>
    <w:p>
      <w:pPr>
        <w:pStyle w:val="BookText"/>
        <w:rPr/>
      </w:pPr>
      <w:bookmarkEnd w:id="227"/>
      <w:r>
        <w:rPr>
          <w:rFonts w:ascii="Amiri" w:hAnsi="Amiri" w:eastAsia="Amiri" w:cs="Amiri"/>
          <w:color w:val="111111"/>
          <w:sz w:val="28"/>
          <w:sz w:val="28"/>
          <w:szCs w:val="28"/>
          <w:rtl w:val="true"/>
          <w:lang w:bidi="ar-SA"/>
        </w:rPr>
        <w:t>كونه امرأة لإثبات حرمة النكاح بعد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لمغايرة المساحقة مع النكاح، و الوحدة في القضيّة المتيقّنة و المشكوكة غير محفوظة، على أنّ الأصل المذكور يتمّ لو لم يدلّ دليل اجتهادي على جواز النكاح، و هو موجود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طريق النجاة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85264_1280447820"/>
      <w:bookmarkStart w:id="229" w:name="_Toc81"/>
      <w:bookmarkEnd w:id="228"/>
      <w:r>
        <w:rPr>
          <w:rtl w:val="true"/>
        </w:rPr>
        <w:t>الفرع الرابع عشر</w:t>
      </w:r>
      <w:r>
        <w:rPr>
          <w:rtl w:val="true"/>
        </w:rPr>
        <w:t xml:space="preserve">: </w:t>
      </w:r>
      <w:r>
        <w:rPr>
          <w:rtl w:val="true"/>
        </w:rPr>
        <w:t>اذا تغيّرت جنسية الزوج و صار امرأة ارتفعت علقة الزوجية</w:t>
      </w:r>
      <w:bookmarkEnd w:id="229"/>
    </w:p>
    <w:p>
      <w:pPr>
        <w:pStyle w:val="BookText"/>
        <w:rPr/>
      </w:pPr>
      <w:r>
        <w:rPr>
          <w:rFonts w:ascii="Amiri" w:hAnsi="Amiri" w:eastAsia="Amiri" w:cs="Amiri"/>
          <w:color w:val="111111"/>
          <w:sz w:val="28"/>
          <w:sz w:val="28"/>
          <w:szCs w:val="28"/>
          <w:rtl w:val="true"/>
          <w:lang w:bidi="ar-SA"/>
        </w:rPr>
        <w:t>أنّه إذا تغيّرت جنسيّة الزوج و صار امرأة ارتفعت علقة الزوجيّة بينه و بين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تصوّر الزوجيّة بين المتماثلين، فإن عاد بعد صيرورته امرأة إلى الحال الأوّل وصار رجلاً فهل يحكم بعودة تلك العلقة من دون حاجة إلى العقد أو يحتاج إلى عقد جديد؟</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لمّا كان يرى جواز إعادة المعدوم يحكم بأنّ هذا العائد هو عين الرجل السابق كأنّه لم يزل، و يرتّب عليه جميع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زوجيّة زوجته، و ملكيّة أمواله، و بقاء بدنه على النجاسة لو كان قبل التغيير نجساً و لم يحصل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حكم بنظير ذلك اُستاذنا المحقّق الشيخ محمّد علي الآراكي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استحالة الماء بخاراً ثمّ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لايرى العرق الحاصل بالتصعيد شيئاً آخر وراء نفس الماء المستحيل بخاراً، بل إنّهم يرون أنّ الماء صار بخاراً ثمّ صار ثانياً ماءً‌، و يرون الماء الثاني عين الماء الأوّل من دون حاجة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يشكل بانفصال زمان الشكّ عن زمان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العرف كما يحكمون بأنّه هو الرجل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حكمهم بعينيّة هذا مع هذا كحكمهم في المفاهيم و تطبيقها على المصاديق حجّة كذلك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يحكمون بأنّه متكوّن من المرأة المتغيّرة و المتبدّلة، و حيث إنّه في حال كونه امرأة يحكم العرف بعدم وجود العلقة بينهما فيقع التعارض، و هو يوجب التساقط، و مع التساقط يحكم بلزوم 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لاتعارض بين اللاّاقتضاء و اقتضاء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يجتمعان، فالمرأة المتبدّلة من الرجوليّة بالنسبة إلى الزوجيّة لااقتضاء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لاموجب لزوجيّتها، و عينيّة الرجل مع الرجل السابق مقتضية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سبب الزوجيّة بينهما، فيجتمعان كما تجتمع الطهارة الذاتيّة مع النجاسة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تزوّجت زوجته مع آخر بعد التغيّر وقبل عود الرجل الذي صار امرأة إلى الحال الأوّل، فبعد العود إن قلنا بعينيّة الرجل مع الرجل السابق وبقاء الزوجيّة السابقة بطل نكاحها مع الثاني من حين العود، و كانت زوجة للزوج الأوّل من السابق بالسبب السابق، فيعتبر بالعود بقاء زوجيّته زوجه الأوّل بسببه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لامنافاة بين هذا الاعتبار و اعتبار زوجيّتها مع الآخر في حال تغيير جنسيّة زوجها قبل العود إلى شكله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الأسباب وتعدّد زمان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زمان اعتبار زوجيّتها للغير غير زمان اعتبار زوجيّتها للأوّل، والزوجيّة في كليهما مستندة إلى السبب، ولكنّ مقتضى تقدّم السبب الأوّل وعينيّة الرجل بعد العود مع الرجل السابق هو تأثير السبب الأوّل فيما بقي، وبطلانه في الثاني من حين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السببين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هو التفصيل بين النكاح المنقطع و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السبب الأوّل يقتضي زوجيّتها للزوج الأوّل مرسلة ومن دون قيد، فإذا بدّل الزوج جنسيّته و صار امرأة لامجال لاقتضائه زوجيّتها في حال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الزوجيّة لاتكون مشروعة إلاّ بين الجنسين المتخالفين، فإذا تبدّلت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المتبدّلة جنسيّتها إلى الرجل فحيث إنّ العرف يحكمون بعينيّته مع الرجل الأوّل فلايمنع مانع من تأثير السبب الأوّل في مقتضاه من الزوجيّة مطلقاً عدا مدّة تبدّله إلى المرأة، فكان السبب </w:t>
      </w:r>
    </w:p>
    <w:p>
      <w:pPr>
        <w:pStyle w:val="BookText"/>
        <w:rPr/>
      </w:pPr>
      <w:r>
        <w:rPr>
          <w:rFonts w:ascii="Amiri" w:hAnsi="Amiri" w:eastAsia="Amiri" w:cs="Amiri"/>
          <w:color w:val="111111"/>
          <w:sz w:val="28"/>
          <w:sz w:val="28"/>
          <w:szCs w:val="28"/>
          <w:rtl w:val="true"/>
          <w:lang w:bidi="ar-SA"/>
        </w:rPr>
        <w:t>الأوّل منقطع الوسط، ومعه فالسبب الثاني إن كان عقد التمتّع فهو أيضاً صحيح في الوسط، و لايكون معارضاً مع سبب عقد النكاح لاقبلاً و لابعداً كما لايكون السبب الأوّل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تلك الحال لامجال لتأثيره لكونهما متجانسين، و إن كان النكاح الدائم فالسبب الثاني باطل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وقوعه بحسب الواقع بعد فرض عودة المرأة إلى صورة الرجل، و إن كان العاقدان حال وقوع السبب الثاني جاهلين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يكونا يعلمان بعودة المرأة المتبدّلة إلى صورة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قصدا ما لم يقع في الخارج، فما قصداه لم يقع و ما وقع لم يقصداه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الإرسال لم يلحظ في حال العقد، بل نفس النكاح و الدوام من جهة عدم التقيّد، فعقد النكاح وقع صحيحاً، و إنّما يرفع اليد عنه بقاءً كالفسخ لقوّة السبب الأوّل، وعليه فلاوقع للتفصيل المذكور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الحمد أوّلاً وآخراً وظاهراً وباطناً </w:t>
      </w:r>
      <w:bookmarkStart w:id="230" w:name="pg16065_152817"/>
    </w:p>
    <w:p>
      <w:pPr>
        <w:pStyle w:val="Heading2"/>
        <w:numPr>
          <w:ilvl w:val="1"/>
          <w:numId w:val="1"/>
        </w:numPr>
        <w:rPr/>
      </w:pPr>
      <w:bookmarkStart w:id="231" w:name="__RefHeading___Toc285266_1280447820"/>
      <w:bookmarkStart w:id="232" w:name="_Toc82"/>
      <w:bookmarkEnd w:id="230"/>
      <w:bookmarkEnd w:id="231"/>
      <w:r>
        <w:rPr>
          <w:rtl w:val="true"/>
        </w:rPr>
        <w:t>المسألة الخامسة عشر التلقيح</w:t>
      </w:r>
      <w:bookmarkEnd w:id="232"/>
    </w:p>
    <w:p>
      <w:pPr>
        <w:pStyle w:val="Heading3"/>
        <w:numPr>
          <w:ilvl w:val="2"/>
          <w:numId w:val="1"/>
        </w:numPr>
        <w:rPr/>
      </w:pPr>
      <w:bookmarkStart w:id="233" w:name="__RefHeading___Toc285268_1280447820"/>
      <w:bookmarkStart w:id="234" w:name="_Toc83"/>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إنّ التلقيح له صور مختلفة، و قد تختلف أحكام هذه الصور تكليفاً و وضعاً، لذا فسنبحث حكم كل صورة على حدة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85270_1280447820"/>
      <w:bookmarkStart w:id="236" w:name="_Toc84"/>
      <w:bookmarkEnd w:id="235"/>
      <w:r>
        <w:rPr>
          <w:rtl w:val="true"/>
        </w:rPr>
        <w:t>الصورة الاُولى</w:t>
      </w:r>
      <w:r>
        <w:rPr>
          <w:rtl w:val="true"/>
        </w:rPr>
        <w:t xml:space="preserve">: </w:t>
      </w:r>
      <w:r>
        <w:rPr>
          <w:rtl w:val="true"/>
        </w:rPr>
        <w:t>اذا ألقى مني الزوج بوسيلة ما في رحم زوجته</w:t>
      </w:r>
      <w:bookmarkEnd w:id="236"/>
    </w:p>
    <w:p>
      <w:pPr>
        <w:pStyle w:val="BookText"/>
        <w:rPr/>
      </w:pPr>
      <w:r>
        <w:rPr>
          <w:rFonts w:ascii="Amiri" w:hAnsi="Amiri" w:eastAsia="Amiri" w:cs="Amiri"/>
          <w:color w:val="111111"/>
          <w:sz w:val="28"/>
          <w:sz w:val="28"/>
          <w:szCs w:val="28"/>
          <w:rtl w:val="true"/>
          <w:lang w:bidi="ar-SA"/>
        </w:rPr>
        <w:t>ما إذا اُلقي مني الزوج بوسيلة ما في رحم زوجته أو مني المالك في رحم مملوكته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ذلك جائز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لامنع من هذه الكيفية و إن لم تكن عاديّة، و لو شكّ في حلّيتها أو حرمتها فمقتضى البراءة الشرعية و العقلية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توقّفت هذه الكيفيّة على مقدّمات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الملقّح أجنبياً، أو استلزام التلقيح للنظر إلى ما لايجوز النظر إليه و لو لم يكن الملقّح أجنبياً، أو استلزام إخراج المني بالاستمناء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الاحتراز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الاجتناب عن المقدّمات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لم تتوقّف على هذه الاُمور كما إذا فرض أنّ النطفة خرجت بوجه محلّل و لقّحها شخص الزوج بزوجته، فلاوجه للحرمة كما لايخفى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الولد المتكوّن من هذا الطريق الجديد ولد لهما حقيقةً و إن كانت المقدّمات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أنّ الولد خلق من مائهما و لامدخلية للجماع، و </w:t>
      </w:r>
      <w:bookmarkStart w:id="237" w:name="pg16065_152818"/>
    </w:p>
    <w:p>
      <w:pPr>
        <w:pStyle w:val="BookText"/>
        <w:rPr/>
      </w:pPr>
      <w:bookmarkEnd w:id="237"/>
      <w:r>
        <w:rPr>
          <w:rFonts w:ascii="Amiri" w:hAnsi="Amiri" w:eastAsia="Amiri" w:cs="Amiri"/>
          <w:color w:val="111111"/>
          <w:sz w:val="28"/>
          <w:sz w:val="28"/>
          <w:szCs w:val="28"/>
          <w:rtl w:val="true"/>
          <w:lang w:bidi="ar-SA"/>
        </w:rPr>
        <w:t xml:space="preserve">لذا لو أفرغ الزوج ماءه خارج الفرج ثمّ جذبه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بإعانة فلاريب في أنّ الحمل منه و الولد لهما، و لااصطلاح خاصّ في الولادة، و لانهي شرعي في مثل المقام، فصدق الولد عليه كاف في ترتّب جميع أحكامه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85272_1280447820"/>
      <w:bookmarkStart w:id="239" w:name="_Toc85"/>
      <w:bookmarkEnd w:id="238"/>
      <w:r>
        <w:rPr>
          <w:rtl w:val="true"/>
        </w:rPr>
        <w:t>الصورة الثانية</w:t>
      </w:r>
      <w:r>
        <w:rPr>
          <w:rtl w:val="true"/>
        </w:rPr>
        <w:t xml:space="preserve">: </w:t>
      </w:r>
      <w:r>
        <w:rPr>
          <w:rtl w:val="true"/>
        </w:rPr>
        <w:t>اذا كان التلقيح بماء غير الزوج هل يجوز ذلك ام لا؟</w:t>
      </w:r>
      <w:bookmarkEnd w:id="239"/>
    </w:p>
    <w:p>
      <w:pPr>
        <w:pStyle w:val="BookText"/>
        <w:rPr/>
      </w:pPr>
      <w:r>
        <w:rPr>
          <w:rFonts w:ascii="Amiri" w:hAnsi="Amiri" w:eastAsia="Amiri" w:cs="Amiri"/>
          <w:color w:val="111111"/>
          <w:sz w:val="28"/>
          <w:sz w:val="28"/>
          <w:szCs w:val="28"/>
          <w:rtl w:val="true"/>
          <w:lang w:bidi="ar-SA"/>
        </w:rPr>
        <w:t>فيما إذا كان التلقيح بماء غير الزوج فهل يجوز ذلك أم لايجوز؟</w:t>
      </w:r>
    </w:p>
    <w:p>
      <w:pPr>
        <w:pStyle w:val="BookText"/>
        <w:rPr/>
      </w:pPr>
      <w:r>
        <w:rPr>
          <w:rFonts w:ascii="Amiri" w:hAnsi="Amiri" w:eastAsia="Amiri" w:cs="Amiri"/>
          <w:color w:val="111111"/>
          <w:sz w:val="28"/>
          <w:sz w:val="28"/>
          <w:szCs w:val="28"/>
          <w:rtl w:val="true"/>
          <w:lang w:bidi="ar-SA"/>
        </w:rPr>
        <w:t xml:space="preserve">ذهب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بآيات كريمة و روايات شريفة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المؤمنين و المصلّين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الفرج عن غير الزوجة و ملك اليمين مطلق يشمل كلّ حفظ، فيعمّ حفظه عن الجماع و التفخيذ و إرسال منيّه إلى فرج امرأة غيرها، فمن لم يحفظ فرجه وصبّ ماءه في رحم امرأة محرّمة و لو بمثل الوسائل الحديثة فهو عاد و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المنصرف القطعي من حفظ الفرج على النساء أن لايستمتع بفرجه بهنّ و أن لايباشرهنّ بفرجه بالجماع و سائر الاستمتاعات، فحفظ الفرج عليهن كناية عن خصوص الاستمتاع بهنّ بالفرج، و لايعمّ مثل صبّ قطرة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559:2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ماء خرج من الفرج بواسطة شيء غيرِ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زوج المرأة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فرجهنّ من دون مقدّمات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في الآية يدلّ على لزوم حفظ الفرج حتى عن الاستيلاد بالنحو المذكور، فلاوجه لدعوى الانصراف لو كان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بقرينة ما قبلها و بعدها في مقام وصف المؤمنين بأوصاف مذكورة إجمالاً و ليست في مقام بيان تفصيلها، و لذلك لاإطلاق لها بحيث يشمل الاستيلاد بالطرق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للاستدلال قوله تعالى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لِلْمُؤْمِنٰاتِ يَغْضُضْنَ مِنْ أَبْصٰارِهِنَّ وَ يَحْفَظْنَ فُرُوجَهُنَّ‌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المقام مقام بيان غضّ البصر و حفظ الفرج، و مقتضى الإطلاق هو عدم جواز مثل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حذف المتعلّق يدلّ على الإطلاق و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الطوائف المذكورة قد حكم بكونها محرّمة على الرجال، و الحرمة هي الممنوعية، و حيث إنّها مطلقة اُسندت إلى الذوات دلّت على حرمة كلّ فعل يتعلّق بهنّ‌، فيحرم تلقيح الماء في رحمهنّ حتى لو كان بوسيلة غيرِ الفرج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بالآية الكريمة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انصراف الحرمة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النكاح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الاستمتاع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زبدة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تحريم نكاحهنّ‌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 تأخّر، و للتبادر من مثله كتبادر الأكل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تحريم الذات، و النكاح أولى ما يمكن تقديره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 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أشار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 في الآية الثانية بعد ذكر المحصنات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ظاهره أنّ ما أحلّ الله للرجال من سائر النساء التي ما وراء ذلكم فهو محرّم منهنّ و هو العقد بهنّ و الازدواج معهنّ بالصداق، و قوله تعالى في الآية السابقة على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 إِلاّٰ مٰا قَدْ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و قرينة على أنّ مورد الكلام في هذه الآيات هو النكاح بالنساء، و الآيات في مقام بيان الحلال و الحرام منهنّ في هذه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الاستشهاد لاتدلّ على انحصار مدلول آية تحريم الاُمّهات في النكاح لو لم نقل بانصرافها عن غير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منع دعوى الانصراف و التبادر إلى خصوص النكاح، بل حذف المتعلّق يدلّ على إرادة عموم ما يتعلّق بهنّ من النكاح و الاستمتاعات و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حيث كانت في مقام ذكر موارد المحرّمات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نسبية كانت أو رضاعية أو 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لاإطلاق لها بالنسبة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خصوصيات المحرّم و كيفيّاته، و عليه فلاتشمل الاستيلاد بالطرق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يعقوب الكليني، عن علي بن إبراهيم، عن أبيه، عن عثمان بن عيسى، عن عليّ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رجل أقرّ نطفته في رحم يحرم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أنّ العذاب الشديد مترتّب على إقرار النطفة في الرحم الذي يحرم عليه بحيث لو زنى الزاني و عزل ماءه لما تحقّق موضوع لهذا العذاب الأشدّ، فيدلّ الحديث دلالة واضحة على أنّ نفس جعل نطفته في رحم يحرم عليه معصية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فكونه بالزنى و الجماع طريق عادي للوصول إلى هذا الأمر المحرّم، و إلاّ فإذا أوجده بطريق آخر غير عادي أيضاً لما كان شكّ في حصول موضوعه و شمول الإطلاق له و ترتّب حكم الحرمة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التعبير بالنطفة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أمشاج من منيّ الرجل و بييضة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تمام موضوع الحرمة هو عقد النطفة بماء امرأة محرّمة عليه، فلو كان مجرّد إفراغ المني من دون أن ينعقد به نطفة لما تحقّق موضوع هذا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فالمتحصّل من مثل هذاالحديث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مع أدلّة حرمة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الزنى و الإيلاج حرام، و وضع نطفته المنعقدة من منيّه و بييضة المزني بها في رحمها حرام آخر،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بتناسب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يعمّ ما إذا كان بطريق الإفراغ العادي أو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الحرام إنّما هو إقرار النطفة في رحم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يحرم عليه فارغاً عن خصوصية أسبابه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بعليّ بن سالم لجهالته، اللّهمّ إلاّ أن يكتفى بنقل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 النطفة في الرحم منصرف إلى الزنى و الإيلاج و الإدخال حتى يتحقّق الإقرار في الرحم، و يؤيّده كون فاعل ذلك أشدّ عذاباً يوم القيامة من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صبّ المني في الفرج المحرّم ليس أشدّ عذاباً من الزنى من دون إفراغ المني، كما أنّه ليس له حدّ الزاني، ويؤيّده ورود أشدّ العذاب في المعاصي الكبيرة العظيمة،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من وصف عدلاً ثمّ خالفه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آدم الذي قتل أخاه، ونمرود الذي حاجّ إبراهيم في ربّه، واثنان من بني إسرائيل هوّدا قومهم و نصّراهم، و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 اثنان من هذه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لاأقلّ من الشكّ‌، فلايشمل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لاشاهد في التعبير بالنطفة على أنّ تمام موضوع الحرمة هو عقد النطفة بماء امرأة محرّمة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إسناد النطفة إلى من أقرّ دون صاحب الرحم المحرّم عليه ظاهر في خصوص نطفة المقرّ لانطفة مركّبة من الرجل و بييضة المرأة، و استعمال النطفة في بعض الموارد بذلك المعنى لايدلّ على أنّه المراد في جميع الموارد، و يؤيّده ما سيأتي من الأخبار من التعبير بإفراغ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مفاده هو حرمة إقرار صاحب النطفة، فلايشمل ما إذا أفرغ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 منيّه في وعاء ثمّ أقرّه زوج امرأة في رحم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الإفراغ للإقرار يوجب إسناد إقرار الزوج أو المرأة إليه،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المباشر في الإقرار،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الاستدلال بما رواه الصدوق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جازماً و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الخصال بإسناده عن ابن الوليد، عن سعد بن عبدالله، عن القاسم بن محمّد، عن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غير واحد من أصحابنا يروي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يعمل ابن آدم عملاً أعظم عند الله تبارك و تعالى من رجل قتل نبيّاً أو إماماً، أو هدم الكعبة التي جعلها الله عزّوجلّ قبلة لعباده، أو أفرغ ماءه في امرأة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الانصراف إلى الزنى مع إفراغ الماء في رحم محرّم عليه، كما يناسبه تشديد العذاب عليه و جعله في عداد قتل النبي أو الإمام أو هدم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الحديث في الإفراغ و لو بدون الزنا، بعيدة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احتمال أنّ الحرام وصف للإفراغ، و مع هذا الاحتمال لايدلّ إلاّ على المنع عن الإفراغ الحرام، فلايصلح للتمسّك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تمسّك بالعام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حرمة الإفراغ بالطريق المفروض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وصف للمرأة لقربه منها،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سند الرواية لايخلو من الضعف من جهة الإرسال و جهالة القاسم بن محمّد،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الإسناد الجزمي من الصدوق مع تصريح جامع الرواة بوحدة القاسم بن محمّد الإصبهاني و القاسم بن محمّد الجوهري و القاسم بن محمّد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 في الراوي و المروي عنه، ونقل الأجلاّء كابن أبي عمير وصفوان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الجوهري، يكفي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بالإفراغ في هذه الرواية شاهد على أنّ المراد إقرار النطفة أيضاً هو ذلك، لاعقد مني الرجل مع مني المرأة، فالحديث كالحديث السابق يدلّ على تغليظ حرمة المركّب من الأمرين،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مع إفراغ الماء وإنزاله، ومن المعلوم أنّه أشدّ عذاباً من نفس الإيلاج والإدخال الذي هو الزنى من دون إفراغ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لانعقاد النطفة بوجه 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في الكافي عن محمّد بن أحمد، عن أبي عبدالله الرازي، عن الحسن بن علي بن أبي حمزة، عن أبي عبدالله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أشدّ أو شرب الخمر؟ وكيف صار في الخمر ثمانين وفي الزنى مئة‌؟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الحدّ واحد، ولكن زِيد هذا لتضييعه النطفة، ولوضعه إيّاها في غير موضعها الذي أمره الله عزّوجلّ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ضرب العشرين جلدة المزيدة في حدّ الزنى باستلزامه تضييع النطفة، فقد دلّ على أنّ تضييع النطفة حرام حتى أنّه أوجب زيادة العشرين جلدة على ما هو الحدّ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تضييع النطفة المذكور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ولوضعه إيّاها في غير موضعها الذي أمره الله عزّوجلّ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بالنطفة هي المركّبة من مني الرجل و بييضة المرأة، و هي أوّل ما يخلق من مبدأ نشوء الإنسان، كما في موثّقة إسحاق بن عمّار الواردة في النهي عن شرب الدواء المسقط للحمل من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يخلق النطفة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262:7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قصاص النفس،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حينئذ، فوجه إسناد وضع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مع أنّه لايضع إلاّ ماءه و منيّه هو أنّ إفراغه لمائه هو السبب القوي في تكوّن نطفة الإنسان و قرارها في رحم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 الحديث على أنّ إقراره لنطفته المتكوّنة من مائه و بييضة المرأة في غير موضعها الذي أمره الله عزّوجلّ به حرام، و هذا عنوان عامّ يشمل ما كان بالطريق المتعارف و ما كان بالطريق المفروض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مرّ من أنّ المستفاد من مثله أنّ تمام الموضوع و الموجب للحرمة هو وضع النطفة و إقرارها في غير موضعها الذي أمره الله به، و هو صادق على مفروض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أنّ المراد بالنطفة مجرّد منيه فلاينبغي الشكّ في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 في غير موضعها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قرارها في غير رحم زوجته حتى يعمّ مثل العزل الذي قد وردت أخبار مستفيضة بجوازه و إن أمر مائه بيده يصرفه حيث يشاء لاسيّما إذا رضيت به زوجته، بل المراد به خصوص وضعها في رحم غير زوجته، فيساوق ما مرّ في خبر الخصال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 ماءه في امرأة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لاشتمالها على المجاهيل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المذكورة ليست عامّة بل مختصّة بالزاني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الزاني حيث ضيّع نطفته 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لايوجب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المزيد من الحدّ على حدّ الشارب، و لايستفاد منه حرمة مطلق الوضع مع عدم صدق التضييع، و وضع النطفة في غير الموضع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الصدق على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أنّه لاأظنّ أحداً يلتزم بحرمة تضييع النطفة مطلقاً ولو لم يرتكب محرّماً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لزوم الاحتياط في باب الفروج و الاستيلاد، كصحيحة شعيب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يقرئك السلام، و قد أراد أن يتزوّج امرأة، وقد وافقته وأعجبه بعض شأنها، وقد كان لها زوج فطلّقها على غير السنّة، و قد كره أن يقدم على تزويجها حتى يستأمرك فتكون أنت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الفرج و أمر الفرج شديد، و منه يكون الولد، و نحن نحتاط، فلايتزوّجها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موضوعية لاحكمية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يحتط فيها بل بيّن حكمها، ثمّ إنّ وجه الاحتياط لعلّه لأنّ الطلاق البدعي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باطل إن صدر منّا، كطلاق الحائض بعد الدخول مع حضور الزوج معها أو مع غيبته من دون مضي المدّة المشترطة، و هكذا النفساء، أو كطلاقها في طهر المواقعة، ومنها صحيح، كطلاق الثلاث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إنشاء الطلاق ثلاث مرّات في مجلس واحد،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وقوع الواحدة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الراوي لم يعيّن الموضوع علم أنّه لم يتمكّن من إحراز كيفيّة وقوع الطلاق البدعي فصار مشتبهاً، فأوصى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و ترك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 هذه الرواية ما دلّ على صحّة طلاق الثلاث و حسابها واحدة إذا اجتمعت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الرواية في مورد الشبهة لاالعلم بالكيفية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النسبة بينهما هي الإطلاق و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470:7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117:32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حمل الرواية على الأولوية و الاحتياط دون الحكم و الوجوب،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واضح بعد كون بعض أقسام مورد الرواية باطلا، فلايجوز تزويج زوجة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عدم مناسبة تشديد أمر الفرج مع الأولوية و الاستحباب، فالظاهر من الرواية هو الأمر بالاحتياط في باب النكاح و الاستيلاد فيما إذا لم يجرِ أصل منقّح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 ولكن الرواية في الشبهات الموضوعية، و كلامنا في حكم التلقيح الصناعي، و هو 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إذا كان لازماً في الشبهات الموضوعية المذكورة يكون الأمر كذلك في الشبهات الحكمية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الحسن بن موسى الخشّاب، عن عليّ بن حسّان، عن علي بن عقبة، عن موسى بن اكيل النميري،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وكّلت رجلاً بأن يزوّجها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النكاح أحرى وأحرى أن يحتاط فيه، و هو فرج و 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الشيخ إلى العلاء صحيح، ولكن لاتوثيق للعلاء نفسه إلاّ أن يكتفى بما يظهر من جامع الرواة من أنّ ابن أبي عمير روى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بعد تصريحه بصحّة تزويج الموكّل قبل إعلام العزل إليه أمَرَ بالاحتياط في أمر النكاح، و الشبهة فيه 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من أفتى ببطلان التزويج لو كان بعد العزل و لو لم يعلمه بالعزل، و مع هذا الاعتراض لايكون الأمر بالاحتياط أمراً استحبابياً،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فمقتضى تعليل الاحتياط في الفرج و النكاح بكونه منشأ للولد هو لزوم الاحتياط في التلقيح الصناعي، و لامجال للرجوع إلى البراءة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هذه الروايات هو لزوم الاحتياط في الشبهات الموضوعية و الحكمية في النكاح و الاستيلاد، و يعتضد ذلك بما تقرّر في محلّه من عدم جواز الرجوع إلى البراءة العقلية و الشرعية في الشبهة الموضوعية و المصداقية في باب الدماء و الفروج و الأعراض و النفوس مستدلاًّ باهتمام الشارع بحفظ هذه الموارد، و هو يمنع عن الترخيص في الاقتحام في شبهاتها و كاشف عن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لو رئي شبح من بعيد لم يُعلم أنّه مهدور الدم أو محقونه لايجوز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صورة الشكّ في تحقّق الموضوع و عدمه و إن كان الشكّ من جهة نفس الموضوع شكّاً في الموضوع لكن ما هو المضاف إلى هذا الموضوع من الاحترام و الحفظ منقّح الموضوع، فإنّ حفظ الشيء من التلف يصدق حقيقة في مورد احتماله كما أنّ عدم المبالاة فيه صادق حقيقة على ترك الحفظ و لو لم يكن لنفس الشيء تحقّق و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حال الحفظ حال الاحتياط، فكما أنّه صادق في مورد احتمال الضرر و لو لم يكن ضرر واقعاً و تركه تهوّر كذلك أيضاً و لايدور شيء منهما مدار وجود الواقع بل الاحتمال هو الدخيل التامّ في صدقهما، فكذلك الحفظ و رعاية الجانب، فإذا رأيت شخصاً و احتملت كونه مسلماً و رميته فقد صدق عليك أنّك ما حافظت عن نفس المسلم و صرت بمقام تعريضه في الخطر، فأنت فاعل للحرام و إن كان المرمي كافراً واقعاً، و هكذا لو سلكت طريقاً لايؤمن اللص أو السبع فيه، فأنت بنفس السلوك مندرج في عنوان من لايتقيّد بحفظ نفسه من الوقوع في معارض الخطر و مظانّه و لو فرض أنّه لم يعترضك شيء منهما في الطريق</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يعلم أنّ حكمهم بعصيان سالك الطريق المظنون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p>
    <w:p>
      <w:pPr>
        <w:pStyle w:val="BookText"/>
        <w:rPr/>
      </w:pPr>
      <w:r>
        <w:rPr>
          <w:rFonts w:ascii="Amiri" w:hAnsi="Amiri" w:eastAsia="Amiri" w:cs="Amiri"/>
          <w:color w:val="111111"/>
          <w:sz w:val="28"/>
          <w:sz w:val="28"/>
          <w:szCs w:val="28"/>
          <w:rtl w:val="true"/>
          <w:lang w:bidi="ar-SA"/>
        </w:rPr>
        <w:t xml:space="preserve">عليه إتمام الصلاة ولو انكشف 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القاعدة، و ليس من باب التجرّي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لاشبهة موضوعية أو مصداقية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متكفّل لإثبات الحرمة و الاحترام و الرعاية و الحفظ في هذه الموضوعات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هذا فلامساغ للرجوع إلى أصل البراءة، لكن لاينافي هذا مع جريان الأصل المنقّح للموضوع نفياً و إثباتاً، فإذا كان عدم الضرر له الحالة السابقة يجري الاستصحاب و يحكم بجواز السلوك، و كذلك بجواز الصوم لو شكّ في كونه ضررياً أم لامع سبق عدم ضرريّته، و هكذا لو كان مسبوقاً بالكفر أو عدم الإيمان أو التجاهر أو عدم الكراهة جاز استصحاب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 إن رتّب على الاحتمال و الاحترام بنحو تمام الدخل لكن من المعلوم أنّ الواقع علّة لهذا الحكم، فهو و إن لم يكن حيثيّة تقييدية لكنّه حيثية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إنّما حرّم الإقدام و الاقتحام في محتمل الضرر لكون النفس و العرض من المسلم عنده محترماً و ذا شأن، فإذا قام أصل على نفي هذه العلّة و أنّ هذا موضوع لايرى له الشارع شأناً و احتراماً فلامحالة يكون حاكماً على الدليل الدالّ على احترام المؤمن و وجوب احتفاظ دمه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لسانه في مورد الشكّ أنّ المؤمن ذو شأن عند الشارع فاحتفظه، و الأصل لسانه أنّ هذا الشخص ليس مؤمناً قد أوجب الشارع احترامه و حمايته، و من المعلوم حكومة هذا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الاحتمال و إن حكمنا بكونه مشمولاً للدليل و مورداً للتمسّك به لكنّه ما دام لم يكن حاكم عليه فإذا كان الاستصحاب موجوداً فهو حاكم على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و بهذا الأصل نرفع اليد عن ذلك الدليل، فافهم و اغتنم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دلالة بعض الأخبار على لزوم الاحتياط في الفرج و الاستيلاد لاوجه لتخصيص دائرة الاحتياط بمورد النكاح و الدماء و الفروج، فكما أنّ الاحتياط فيها مطلوب كذلك في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الإحصان و العفّة ممّا أكّد عليهما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قوام العائلة بهما، و ينافيهما عدم حفظ الرجل ماءه عن الأجنبية و عدم حفظ المرأة فرجها عن ماء غير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دعوى قيام سيرة المتشرّعة على الاجتناب عن مياه غير الأزواج و لو مع عدم تمكّن الأزواج من الاستيلاد غير مجازفة، و القول بعدم اتّصالها إلى زمان المعصوم أو أنّها مستندة إلى الفتاوى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تجويز التلقيح الصناعي بماء الأغيار مع عدم إقامة الشهود و اختفاء الفعل يوجب اختلاط الأنساب و ذهابها، لاسيّما إذا كان صاحب الماء غير معلوم، و قد دلّ بعض الأخبار على أنّ من حكمة تحريم الزنى هو ذهاب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الصدوق بإسناده عن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إليه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الله الزنى لما فيه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النفس، و ذهاب الأنساب، و ترك التربية للأطفال، و فساد المواريث، و ما أشبه ذلك من وجوه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بن عليّ بن أبي طالب الطبرسي في الاحتجاج،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الزنى‌؟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الفساد و ذهاب المواريث و انقطاع الأنساب، لاتعلم المرأة في الزنى من أحبلها،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311:20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لاالمولود يعلم من أبوه، و لاأرحام موصولة، و لاقرابة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يقرّب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تدلاّن على أنّ ذهاب الأنساب سرّ من أسرار حرمة الزنى، فهو أمر مبغوض يجب الاجتناب عنه مهما كان، و كونه حكمة لايدور حرمة الزنى مدارها لايضرّ بالقول بحرمة كلّ عمل اشتمل على هذه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الحكمة لاتقصر عن العلّة في موارد ثبوتها بل تزيد عليها في موارد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الحكمة بمثابة من الأهمّية توجب احتمالها و مظنّتها إنشاء الحكم بنحو الإطلاق بخلاف العلّة، و 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 ضعيفة من جهة اشتمال طريق الصدوق إلى محمّد بن سنان على القاسم بن الربيع الصحّاف و عليّ بن عبّاس و هما ضعيفان، هذا مع الغمض عن محمّد بن سنان، و الرواية الثانية ضعيفة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الاُمور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جعل الشارع و تشريعه حرمة الزنى و معمّميّة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الإحاطة بعدم المانع في سائر الموارد، و هو أوّل الكلام،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تماميّة دلالة بعض الآيات و الروايات، و مقتضى العفّة و الإحصان، و قاعدة الاحتياط في النفوس و الأعراض و الدماء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الاجتناب عن تلقيح ماء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الولد بالنسبة إلى صاحب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المتكوّن من طريق التلقيح من ماء الأجنبي المعلوم هو ولد لصاحب الماء و صاحب الماء 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عنوان الأب و الابن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المعيار فيه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تكوّنه من ماء صاحب الماء و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كون الماء من شخص لايكفي في لحوق الولد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الثابت من النسب فيه الوطء الصحيح و لو شبهةً‌، و ليس هذا منه، و ليس مطلق التولّد من الماء موجباً للنسب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كون العنوان فيه الخلق من مائه، و الصدق اللغوي بعد معلومية الفرق بين الإنسان و غيره من الحيوان بمشروعيّة النكاح فيه دونه، بل المراد منه تحقّق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لادليل على دخالة الوطء الصحيح في صدق الولد وتحقّق النسب شرعاً، كما يشهد له انتساب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مريم و آبائها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لاوطء فيه، و أيضاً انتساب الولد المنخلق من ماء الزوج إلى أبيه شرعاً و لو لم يتحقّق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أنزل ماءه على فرج زوجته و جذبته إليه، و كذلك انتساب الولد إلى الزوج شرعاً إذا وطئ زوجته في حال الحيض أو النفاس أو الصوم مع أنّه لم يقع الوطء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فلامجال لدعوى دخالة الوطء الصحيح في تحقّق النسب شرعاً، كما لادخالة له في صدق الولد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عدم دخالة الوطء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الشيخ الكبير الذي نكح جارية حدثة فصارت الجارية حاملاً مع أنّ الشيخ لم يجامعها و إنّما أنزل الماء في قبلها من غير وصول إليها بالافتضاض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له، و الولد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الوطء الصحيح مقارناً غالبياً له، و مع عدم دليل على لزوم ذلك فلاوجه لرفع اليد عن المعيار العرفي في صدق الولد و النسب من تكوّن الولد من ماء صاحب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398:41</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379:21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أحكام الأولاد،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نفي الولدية في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الولد لُغْية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وقع على وليدة قوم حراماً ثمّ اشتراها فادّعى ولدها فإنّه لايورث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لايورث ولد الزنى إلاّ رجل يدّعي ابن وليدته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مخصوص بالزنى، فلايشمل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إلحاقه بالزنى في نفي الولدية لادليل له بعد عدم صدق الزنى عليه، بل إجراء حكم الزنى عليه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إسراء 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الملاك في نفي الولد في الزنى هو عدم وجود العلقة الشرعية بينهما و هو جار في مثل التلقيح الصناعي، غير سديد بعد عدم معلوميّة الملاك، و لعلّ للوطء مدخلية في ذلك، كما أنّه موجب للحدّ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فمع صدق العناوين من الابن و الولد و الأب و الوالد تشمله الأدلّة الدالّة على أحكام الولد و الوالد، و لاينافي الصدق المذكور اقتران التلقيح بمقدّمات محرّمة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لو وقع خطأً فاشتبه منيّ زوجها بمنيّ الأجنبي لم تقع مقدّمات محرّمة، بل هو كالوطء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مناقشة صاحب الجواهر المذكورة مع قطع النظر عن النصوص، و إلاّ فهي اجتهاد في مقابل النصّ‌، و يكفي في ذلك الروايات المستفيضة الواردة في حكم ما لو جامع الرجل امرأته فساحقت جارية فحملت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عدّة من أصحابنا، عن أحمد بن محمّد بن خالد، عن عمرو بن عثمان و عن أبيه جميعاً،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274:26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ميراث ولد الملاعنة،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محمّد، أردنا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تخبرونا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بحموتها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على جارية بكر فساحقتها، فألقت النطفة فيها فحملت، فما تقول في هذا؟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أبو الحسن لها، و أقول فإن أصبت فمن الله ثمّ من أمير المؤمنين، و إن أخطأت فمن نفسي، فأرجو أن لااُخطئ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إلى المرأة فيؤخذ منها مهر الجارية البكر في 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لايخرج منها حتى تشقّ فتذهب عذرتها، ثمّ ترجم المرأة لأنّها محصنة، ثمّ ينتظر بالجارية حتى تضع ما في بطنها، ويردّ الولد إلى أبيه صاحب النطفة، ثمّ تجلد الجارية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القوم من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إنّني المسؤول ما كان عندي فيها أكثر ممّا قال ابني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حمزة، عن إسحاق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رجل امرأة فاحتملت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فساحقت به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رجمت المرأة وجلدت الجارية و اُلحق الولد بأبيه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تدلّ على أنّ الولد لصاحب النطفة، و هي معمول بها، و لايضرّ بالعمل بها ما حكي عن ابن إدريس من أنّ أصحابنا لايرجمون المساحقة، فلايجترى على رجمها بخبر واحد لايعضده كتاب أو سنّة متواترة أو 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حكي عن الشيخ و القاضي و ابن حمزة من أنّهم عملوا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بشهوتها، و حمو الشيء 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170:28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 السحق و القيادة،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397:41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الرجم أيضاً، و على فرض التسليم فعدم العمل مخصوص بتلك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و إن كانت واردة في مورد معلومية صاحب الماء لكن تعليق الحكم بالوصف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الولد إلى أبيه صاحب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الولد لصاحب النطفة معلوماً كان أو مجهولاً،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لامجال للحكم بكون الولد للزوج مستدلاًّ بقوله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متكوّن من ماء غير الزوج يقيناً، و معه لامجال للأخذ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أمارة فيما إذا شكّ أنّ الحمل منه أو من الغير، و أمّا إذا علم أنّه من الغير فلامعنى لجعل الأمارة فيه،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الأخبار الدالّة على أنّ الولد للفراش و للعاهر الحجر هو صورة التداعي و الشكّ‌،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لقّحت نطفة الأجنبي في الزوجة و قاربها زوجها ثمّ حملت و احتمل أنّ الولد من ماء الزوج صحّ الأخذ بعموم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بكون الولد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حكي عن ابن إدريس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الولد بصاحب الماء في فرض مساحقة زوجته مع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غير مولود على فراش الرجل فكيف يلتحق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حصر الولد في الفراش حتى ينافي إلحاق الولد في الصورة المذكورة و إنّما هو في مقابل الزاني، فالولد في الفرض المذكور ملحق بصاحب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ماء غير زان،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274:26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ميراث ولد الملاعنة،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274:26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ميراث ولد الملاعنة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398:41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انخلق منه الولد فيلحق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الموافق للعرف و اللغة، و أقصى ما هناك أنّ الزاني خارج منه فيبقى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من ذلك ما إذا وقع التلقيح بتوهّم أنّ الماء ماء زوجها أو بتوهّم أنّ المرأة زوجته فبان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المورد المذكور كالوطء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الولد بالنسبة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الملقّحة بماء غير الزوج ذات بييضة و انعقدت نطفة الغير مع نطفتها فالولد متكوّن منها أيضاً كما أنّه متكوّن من صاحب الماء، و مع كون تكوّنه منهما يصدق أنّها اُمّه و أنّه ولدها كما يصدق أنّه ولد لصاحب الماء و أنّه أب له، و مع صدق هذه العناوين تترتّب عليها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الولد إلى صاحب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انتسابه إلى الاُمّ هو اختصاص صاحب النطفة بالولد، فهو ينافي كونه ولداً بالنسبة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ساكتة من جهة نسب المرأة ولاتدلّ على نفي الولدية عنها، و 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الولد إلى صاحب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إثبات شيء لاينفي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أن تكون المساحقة كالزنى في إيجاب نفي الولد، و حيث إنّ الجارية طاوعت في ذلك كانت كالزانية، و لذا لم ينسب الولد إليها،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لعلّه من جهة مفروغية انتساب الولد إلى الجارية،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 عدم وضوح دلالة الرواية على نفي الولد بالنسبة إلى الاُمّ لاوجه لرفع اليد عن حكم العرف بالولدية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معيارها و هو انخلاق الولد من مائها أيضاً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المرأة عقيماً فلقّحت نطفة الرجل مع بييضة مرأة اُخرى غير </w:t>
      </w:r>
    </w:p>
    <w:p>
      <w:pPr>
        <w:pStyle w:val="BookText"/>
        <w:rPr/>
      </w:pPr>
      <w:r>
        <w:rPr>
          <w:rFonts w:ascii="Amiri" w:hAnsi="Amiri" w:eastAsia="Amiri" w:cs="Amiri"/>
          <w:color w:val="111111"/>
          <w:sz w:val="28"/>
          <w:sz w:val="28"/>
          <w:szCs w:val="28"/>
          <w:rtl w:val="true"/>
          <w:lang w:bidi="ar-SA"/>
        </w:rPr>
        <w:t>عقيمة فانعقدت نطفة الولد، فهل يلحق بالمرأة صاحبة البييضة أم بالاُخرى التي تصير ملقّحة‌؟ هنا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المرأة المذكورة التي زرع المنيّ في رحمها اُمّ للولد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 هي المرأة التي تلد الولد،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تلد الولد سواء كانت صاحبة البييضة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الآية الكريمة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ذلك في مقابل ما كانوا يتوهّمونه من الحرمة الأبدية لزوجاتهم بالظهار بمثل قولهم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سبحانه و تعالى في ردّهم بأنّ هذا القول لايوجب صيرورة الزوجة اُمّاً لزوجها حتى تترتّب عليها أحكام الاُمومة، بل الاُمّ هي التي ولدته، فلاتدلّ الآية إلاّ على نفي الاُمومة عن اللاّتي ظاهرهنّ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التولّد في صدق الاُمومة في جميع الموارد حتى مثل المقام فلاتكون الآية في مقام بيانه، فلادخالة للتولّد في الاُمومة، و يشهد لذلك أنّه لو اُخرج الجنين من غير الموضع الطبيعي لاتصدق الولادة، و مع ذلك لاريب في صدق الاُمومة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فلعلّ ذكر الولادة للطفل بملاحظة كونها أمراً غالبياً أو دائمياً في تلك الأزمنة، أو لعلّ المراد من الولادة هو تكوّن الولد من مائها كما أنّ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الاعتبار أيضاً يطلق الوالد على الأب،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إطلاق الوالد على الأب باعتبار كونه سبباً للحمل و الوضع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لازمه هو أن يكون إطلاق الوالد على الأب مجازاً من باب علاقة السبب و المسبّب،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فلاوجه لرفع اليد عن الحكم العرفي في باب الولدية بمثل الآية الكريمة التي لاإطلاق لها بالنسبة إلى المقام، فالمحكّم هو ما مرّ من أنّ الأب هو صاحب الماء و الاُمّ هي صاحبة البييضة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ما ذهب إليه السيّد المجاهد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ثبت أنّ نطفة الزوجين منشأً للطفل فالظاهر إلحاقه بهما، سواء انتقل إلى رحم المرأة أو رحم صناعية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أوضحه في كلمات سديدة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الاُمومة عند العرف مثل ملاك الاُبوّة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الطفل في مبدأ خلقته مخلوقاً بمائها، فإذا كان المفروض أنّ نطفته التي هي مبدأ خلقته و أوّل ما يخلق حاصلة من تركّب ماءين فهذا المخلوق الأوّل هو أوّل مراحل وجود الطفل، فالطفل بوجوده الأوّل متقوّم ومستند إلى صاحب المنيّ والبييضة، بل هو مركّب من جزأين كلّ منهما لواحد من صاحبي البييضة و المنيّ‌، و التغذّي الذي يلحقه و يحصل له إنّما يوجب 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فالغذاء الذي يتغذّى به في رحم المرأة كالغذاء الذي يتغذّى به بعد أن تولّد و خرج من الرحم لايوجب انقلابه عمّا كان عليه من كونه طفلاً لصاحبي الماءين،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560:2</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أنّه لو أجهض النطفة و ربّيت في مصنع معدّ لمثل ذلك إلى أن بلغت مرحلة نفخ الروح و تمكّنت من إدامة الحياة خارج المصنع كسائر أبناء البشر فكما أنّه لاريب حينئذ في أنّه ولد لصاحبي البييضة و المنيّ‌، فهكذا إذا كان رحم المرأة مكان ذاك المصنع المفروض، فالطفل يلحق بصاحبة البييضة، و هي اُمّ له عند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يظهر من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الأدلّة المذكورة لتعيين الاُمّ‌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الشبهة هو أنّ مقتضى الآية الكريمة اعتبار الولادة ولو بإمكانها، فلاينافي ذلك صدق الاُمومة على من اُخرج من غير الموضع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لاإطلاق لها، و عدم وضوح حكم العرف بانخلاق الولد من ماء المرأة، مع ذهابهم إلى أنّ الاُمّ هي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علمهم بتأثير بييضة المرأة، فمع كون امرأة عقيماً والتأثير لبييضة امرأة اُخرى يحكمون بانخلاقها ممّن لها البييضة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فلو شكّ في اُمومتهما كانت المسألة من أطراف العلم الإجمالي، و مقتضى القاعدة هو الاحتياط برعاية أحكامهما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الاُمومة ليست خارجة عنهما، ففي مثل الإرث يكون اللازم هو تصالحهما، و في مثل النكاح و النظر و نحوه يكون اللازم هو لزوم الاجتناب على الولد بالنسبة إليهما، و عليهما بالنسبة إلى الولد،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تُزرع بييضة امرأة لها بييضة برحم امرأة عقيم، و إلاّ فبعد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الطبية</w:t>
      </w:r>
      <w:r>
        <w:rPr>
          <w:rFonts w:eastAsia="Amiri" w:cs="Amiri" w:ascii="Amiri" w:hAnsi="Amiri"/>
          <w:color w:val="111111"/>
          <w:sz w:val="28"/>
          <w:szCs w:val="28"/>
          <w:rtl w:val="true"/>
          <w:lang w:bidi="ar-SA"/>
        </w:rPr>
        <w:t xml:space="preserve">. </w:t>
      </w:r>
      <w:bookmarkStart w:id="240" w:name="pg16065_152840"/>
    </w:p>
    <w:p>
      <w:pPr>
        <w:pStyle w:val="BookText"/>
        <w:rPr/>
      </w:pPr>
      <w:bookmarkEnd w:id="240"/>
      <w:r>
        <w:rPr>
          <w:rFonts w:ascii="Amiri" w:hAnsi="Amiri" w:eastAsia="Amiri" w:cs="Amiri"/>
          <w:color w:val="111111"/>
          <w:sz w:val="28"/>
          <w:sz w:val="28"/>
          <w:szCs w:val="28"/>
          <w:rtl w:val="true"/>
          <w:lang w:bidi="ar-SA"/>
        </w:rPr>
        <w:t>زرعها و صيرورتها جزءً لها فالولد المتكوّن منها ولد للمرأة التي كانت عقيماً دون من اُخذت البييضة منها و إن قيل إنّ البييضة واجدة لما يتركّب منها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الجزئية أمر عرفي، فإذا زُرعت و صدقت الجزئية للثانية كان كلّ ما يتولّد منها متولّداً من المرأة التي تكون البييضة جزءً لها فعلاً، و لذلك 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البييضة إن صارت جزءً لبدن المرأة الثانية كان الولد ملحقاً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85274_1280447820"/>
      <w:bookmarkStart w:id="242" w:name="_Toc86"/>
      <w:bookmarkEnd w:id="241"/>
      <w:r>
        <w:rPr>
          <w:rtl w:val="true"/>
        </w:rPr>
        <w:t>الصورة الثالثة</w:t>
      </w:r>
      <w:r>
        <w:rPr>
          <w:rtl w:val="true"/>
        </w:rPr>
        <w:t xml:space="preserve">: </w:t>
      </w:r>
      <w:r>
        <w:rPr>
          <w:rtl w:val="true"/>
        </w:rPr>
        <w:t>أن يؤخذ المنى أو البييضة من النباتات</w:t>
      </w:r>
      <w:bookmarkEnd w:id="242"/>
    </w:p>
    <w:p>
      <w:pPr>
        <w:pStyle w:val="BookText"/>
        <w:rPr/>
      </w:pPr>
      <w:r>
        <w:rPr>
          <w:rFonts w:ascii="Amiri" w:hAnsi="Amiri" w:eastAsia="Amiri" w:cs="Amiri"/>
          <w:color w:val="111111"/>
          <w:sz w:val="28"/>
          <w:sz w:val="28"/>
          <w:szCs w:val="28"/>
          <w:rtl w:val="true"/>
          <w:lang w:bidi="ar-SA"/>
        </w:rPr>
        <w:t>أن يؤخذ المني أو البييضة من النباتات فيلقح في رحم إنسان فتنعقد النطفة هناك إلى آخر مراتب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دخول شيء منها في موضوع الحرمة المستفادة من الأدلّة و لو بإلغاء الخصوصية، فيكون الأصل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صدق إقرار النطفة في رحم الأجنبية بناءً على تمامية ذلك الدليل على الحرمة، فإنّه غير صادق على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ظاهره هو إقرار الأجنبي نطفته في رحم يحرم عليه، و في المقام ليست النطفة للأجنبي، كما لايكون في ذلك مخالفة للإحصان و العفّة أو اختلاط الأنساب و غير ذلك، و لايشمله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لانصرافه إلى الحفظ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المتولّد من ذلك ليس له أب و إنّما له اُمّ إن كان المأخوذ من النباتات هو المنيّ‌، و ليس له اُمّ إن كان المأخوذ منها هو البييضة و قلنا بعدم كون المرأة الملقّحة اُمّاً، و ليس له أب و اُمّ لو كان المأخوذ منها كليهما و قلنا بعدم كون المرأة الملقّحة 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43" w:name="pg16065_152841"/>
    </w:p>
    <w:p>
      <w:pPr>
        <w:pStyle w:val="BookText"/>
        <w:rPr/>
      </w:pPr>
      <w:bookmarkEnd w:id="243"/>
      <w:r>
        <w:rPr>
          <w:rFonts w:ascii="Amiri" w:hAnsi="Amiri" w:eastAsia="Amiri" w:cs="Amiri"/>
          <w:color w:val="111111"/>
          <w:sz w:val="28"/>
          <w:sz w:val="28"/>
          <w:szCs w:val="28"/>
          <w:rtl w:val="true"/>
          <w:lang w:bidi="ar-SA"/>
        </w:rPr>
        <w:t>فأولاد الأب و الاُمّ من غير هذا الطريق إخوة لمن عدّ ابناً له أو لها، و أمّا إذا لم يكن ابناً لهما فلاقرابة بينه و بينهما و بين أولادهما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الأمر إذا كان المنيّ و البييضة كلاهما مأخوذين من النباتات و جعلا في رحم صناعية، فإنّه لاقرابة بين المتولّدين من هذا الطريق و بين غيرهم، و لذلك يجوز تزويج بعضهم لبعض</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85276_1280447820"/>
      <w:bookmarkStart w:id="245" w:name="_Toc87"/>
      <w:bookmarkEnd w:id="244"/>
      <w:r>
        <w:rPr>
          <w:rtl w:val="true"/>
        </w:rPr>
        <w:t>الصورة الرابعة</w:t>
      </w:r>
      <w:r>
        <w:rPr>
          <w:rtl w:val="true"/>
        </w:rPr>
        <w:t xml:space="preserve">: </w:t>
      </w:r>
      <w:r>
        <w:rPr>
          <w:rtl w:val="true"/>
        </w:rPr>
        <w:t>أن يؤخذ مني الزوج و بييضته الزوجة و يركّبان في خارج الرحم ثم يزرع في رحم الزوجة</w:t>
      </w:r>
      <w:bookmarkEnd w:id="245"/>
    </w:p>
    <w:p>
      <w:pPr>
        <w:pStyle w:val="BookText"/>
        <w:rPr/>
      </w:pPr>
      <w:r>
        <w:rPr>
          <w:rFonts w:ascii="Amiri" w:hAnsi="Amiri" w:eastAsia="Amiri" w:cs="Amiri"/>
          <w:color w:val="111111"/>
          <w:sz w:val="28"/>
          <w:sz w:val="28"/>
          <w:szCs w:val="28"/>
          <w:rtl w:val="true"/>
          <w:lang w:bidi="ar-SA"/>
        </w:rPr>
        <w:t>أن يؤخذ منيّ الزوج و بييضة الزوجة و يركّبان في خارج الرحم، ثمّ تزرع النطفة بعد مدّة قليلة أو كثيرة في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فيه لو كان ذلك بمقدّمات غير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الطفل منسوب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انخلاق الطفل من مائهما، و مجرّد كون التركيب في الخارج لايضرّ بذلك، فالطفل ولد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في النسب الشرعي هو الوطء الصحيح و هو غير موجود في المقام، ولكن عرفت سابقاً عدم دليل على ذلك و إن ادّعاه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مجرّد غلبة الوطء الصحيح في موارد النسب الشرعي لايدلّ على الاعتبار، بل عرفت موارد لم يكن فيها وطء أو وطء صحيح و مع ذلك حكم بالنسب الشرعي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 عدم وضوح دليل على ذلك لاوجه لرفع اليد عن الحكم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الأب و الاُمّ و الولد بذلك</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زرعهما في رحم حليلته الاُخرى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حلّية رحم حليلته الاُخرى لايصدق إقرار النطفة في رحم يحرم عليه بناءً على تمامية دلالته، و المرأة قد حملت نطفة زوجها أو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المنع من ورود نطفة امرأة اُخرى فلادليل له، اللّهمّ إلاّ أن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إطلاقه </w:t>
      </w:r>
      <w:bookmarkStart w:id="246" w:name="pg16065_152842"/>
    </w:p>
    <w:p>
      <w:pPr>
        <w:pStyle w:val="BookText"/>
        <w:rPr/>
      </w:pPr>
      <w:bookmarkEnd w:id="246"/>
      <w:r>
        <w:rPr>
          <w:rFonts w:ascii="Amiri" w:hAnsi="Amiri" w:eastAsia="Amiri" w:cs="Amiri"/>
          <w:color w:val="111111"/>
          <w:sz w:val="28"/>
          <w:sz w:val="28"/>
          <w:szCs w:val="28"/>
          <w:rtl w:val="true"/>
          <w:lang w:bidi="ar-SA"/>
        </w:rPr>
        <w:t>لمثل تلقيح بييضة امرأة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ممّا ذكر حكم زرعهما في رحم يحرم عليه أيضاً بالأولوية، و دعوى الانصراف في الآية الكريمة غير ثابتة، و عليه فلايجوز إجارة الرحم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يظهر ممّا ذكر حكم ما إذا لُقّحت بييضة امرأة في رحم امرأة اُخرى عقيم فجامعها عقيبه زوجها فحبلت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قبول بييضة امرأة ينافي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لو كان تلقيح البييضة من حيوان في رحم امرأة عقيم مثلاً فجامعها زوجها فالظاهر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حرمته، و الآية الكريمة منصرفة عنه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85278_1280447820"/>
      <w:bookmarkStart w:id="248" w:name="_Toc88"/>
      <w:bookmarkEnd w:id="247"/>
      <w:r>
        <w:rPr>
          <w:rtl w:val="true"/>
        </w:rPr>
        <w:t>الصورة الخامسة</w:t>
      </w:r>
      <w:r>
        <w:rPr>
          <w:rtl w:val="true"/>
        </w:rPr>
        <w:t xml:space="preserve">: </w:t>
      </w:r>
      <w:r>
        <w:rPr>
          <w:rtl w:val="true"/>
        </w:rPr>
        <w:t>أن يؤخذ منى الزوج و الزوجة و يركّبان في خارج الرحم ثم يزرع في رحم صناعية</w:t>
      </w:r>
      <w:bookmarkEnd w:id="248"/>
    </w:p>
    <w:p>
      <w:pPr>
        <w:pStyle w:val="BookText"/>
        <w:rPr/>
      </w:pPr>
      <w:r>
        <w:rPr>
          <w:rFonts w:ascii="Amiri" w:hAnsi="Amiri" w:eastAsia="Amiri" w:cs="Amiri"/>
          <w:color w:val="111111"/>
          <w:sz w:val="28"/>
          <w:sz w:val="28"/>
          <w:szCs w:val="28"/>
          <w:rtl w:val="true"/>
          <w:lang w:bidi="ar-SA"/>
        </w:rPr>
        <w:t>أن يؤخذ منيّ الزوج و الزوجة و يركّبان في خارج الرحم ثمّ يجعل المزيج منهما في رحم صناعية لتنشئته و تربيته حتى يتكامل و يصير حيّاً سويّاً خارج الرحم من دون وطء و حمل و وضع و تغذية الاُمّ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العرفي موجود في هذا الفرض أيضاً، فالزوج أب و الزوجة اُمّ و لو لم يقع وطء و حمل و غير ذلك، و مع صدق عناوين الأب و الاُمّ و الولد تترتّب عليها أحكامها، و أولادهما من غير هذا الطريق إخوة للولد المذكور،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لايضرّ عدم وجود هذا النوع من الأولاد في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الأدلّة ليس مأخوذاً بنحو القضية الخارجية بل بنحو القضية الحقيقية، فالولد مأخوذ في الأدلّة بأنّ كلّ شيء يوجد و يصدق عليه الولد فحكمه كذا، و من المعلوم أنّه صادق على الولد المذكور</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85280_1280447820"/>
      <w:bookmarkStart w:id="250" w:name="_Toc89"/>
      <w:bookmarkEnd w:id="249"/>
      <w:r>
        <w:rPr>
          <w:rtl w:val="true"/>
        </w:rPr>
        <w:t>الصورة السادسة</w:t>
      </w:r>
      <w:r>
        <w:rPr>
          <w:rtl w:val="true"/>
        </w:rPr>
        <w:t xml:space="preserve">: </w:t>
      </w:r>
      <w:r>
        <w:rPr>
          <w:rtl w:val="true"/>
        </w:rPr>
        <w:t>أن يؤخذ ماء رجل معلوم و بييضة امرأة معلومة من دون ان يكون بينهما علقة الزوجية</w:t>
      </w:r>
      <w:bookmarkEnd w:id="250"/>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يؤخذ ماء رجل معلوم و بييضة امرأة معلومة من دون أن تكون بينهما </w:t>
      </w:r>
    </w:p>
    <w:p>
      <w:pPr>
        <w:pStyle w:val="BookText"/>
        <w:rPr/>
      </w:pPr>
      <w:r>
        <w:rPr>
          <w:rFonts w:ascii="Amiri" w:hAnsi="Amiri" w:eastAsia="Amiri" w:cs="Amiri"/>
          <w:color w:val="111111"/>
          <w:sz w:val="28"/>
          <w:sz w:val="28"/>
          <w:szCs w:val="28"/>
          <w:rtl w:val="true"/>
          <w:lang w:bidi="ar-SA"/>
        </w:rPr>
        <w:t>علقة الزوجية و يركّبان معاً ثمّ يجعل المزيج منهما في رحم صناعية ليتربّى و ينشأ و يتكامل و يصير حيّاً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النطفة بالوجه المذكور لاينبغي الريب في أنّه ليس مشمولاً للعناوين المأخوذة في أدلّة الحرمة، فإنّها عناوين خاصّة منتزعة من قرار الماء أو النطفة في الرحم، و المفروض هنا انعقاد النطفة خارج الرحم فلاتعمّه 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تلغى عنها خصوصية قرارها في الرحم و يدّعى أنّ تمام الموضوع إنّما هو انعقاد النطفة بماء الرجل و بييضة امرأة تحرم عليه و أنّ ذكر الرحم مثلاً إنّما هو بلحاظ أنّه كان هو الطريق المتعارف،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النطفة في المكائن الصناعية الحديثة وضع لها في غير موضعها الذي أمر الله عزّوجلّ به، فيعمّه العنوان المأخوذ في خبر إسحاق بلاحاجة إلى دعوى إلغاء الخصوصية، لكنّك خبير بأنّ المنصرف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رحم غير حليلته، و لايعمّ مثل المكائن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إلغاء الخصوصية فهي على عهدة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و عدم الجزم بها فأصالة البراءة تقتضي الجواز،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الرجل صاحب المنيّ معلوماً، و أمّا إذا لم يعلم هو بعينه فاللازم من عقد النطفة حينئذ ذهاب الأنساب الذي قد عرفت مبغوضيّته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لحرمة إعطاء الماء من الرجل و المرأة إلى غيرهما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أعطى ماءه غيره لم يحفظ فرجه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مع حذف المتعلّق لاوجه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الحفظ من الوطء و الاستمتاعات و الاستيلاد، و الانصراف لو كان فهو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معلوميّة صاحب الماء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زرعها بعد عقدها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ينافيه إطلاق الآية الكريمة الدالّة على وجوب حفظ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من جعل فرجه في معرض مياه الأغيار لم يحفظ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عصى بأخذ الماء من الطرفين و عقدهما و جعلهما في رحم صناعية فالمتكوّن منهما ولد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معيار الاُبوّة هو انخلاق نطفة الطفل من منيّ الشخص فهذا الشخص أب له، و هكذا ملاك الاُمومة إنّما هو انعقاد نطفته من بييضة الشخص فهذا الشخص اُمّه، فلامحالة يلحق المولود بصاحب المنيّ فيكون أباه و بصاحبة البييضة فتكون اُمّه، و لادخل للحمل و الوضع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لامحالة تترتّب عليهما أحكام الأب و الاُمّ‌، و كذا تترتّب على سائر من انتسب بهما إلى الطفل الأحكام الخاصّة المترتّبة على عناوينها، فأولاد الأب و الاُمّ إخوة لهذا الطفل المصنوع خارج الرحم،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صوراً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كأخذ منيّ إنسان و بييضة حيوان و عقدهما و زرعهما في رحم إنسان آخر محلّل أو محرّم أو في رحم حيوان، أو أخذ بييضة إنسان و منيّ حيوان و عقدهما و زرعهما في رحم إنسان محلّل أو محرّم أو رحم حيوان، أو أخذ المنيّ و البييضة من حيوانين أو نباتين أو من نبات وحيوان، و غير ذلك</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حكم هذه الصور ممّا تقدّم، و لاحاجة إلى تفصيلها و تكرار ماذكرنا</w:t>
      </w:r>
      <w:r>
        <w:rPr>
          <w:rFonts w:eastAsia="Amiri" w:cs="Amiri" w:ascii="Amiri" w:hAnsi="Amiri"/>
          <w:color w:val="111111"/>
          <w:sz w:val="28"/>
          <w:szCs w:val="28"/>
          <w:rtl w:val="true"/>
          <w:lang w:bidi="ar-SA"/>
        </w:rPr>
        <w:t xml:space="preserve">. </w:t>
      </w:r>
      <w:bookmarkStart w:id="251" w:name="pg16065_152845"/>
    </w:p>
    <w:p>
      <w:pPr>
        <w:pStyle w:val="Heading2"/>
        <w:numPr>
          <w:ilvl w:val="1"/>
          <w:numId w:val="1"/>
        </w:numPr>
        <w:rPr/>
      </w:pPr>
      <w:bookmarkStart w:id="252" w:name="__RefHeading___Toc285282_1280447820"/>
      <w:bookmarkStart w:id="253" w:name="_Toc90"/>
      <w:bookmarkEnd w:id="251"/>
      <w:bookmarkEnd w:id="252"/>
      <w:r>
        <w:rPr>
          <w:rtl w:val="true"/>
        </w:rPr>
        <w:t>المسألة السادسة عشر التنجيم و علم النجوم</w:t>
      </w:r>
      <w:bookmarkEnd w:id="253"/>
    </w:p>
    <w:p>
      <w:pPr>
        <w:pStyle w:val="Heading3"/>
        <w:numPr>
          <w:ilvl w:val="2"/>
          <w:numId w:val="1"/>
        </w:numPr>
        <w:rPr/>
      </w:pPr>
      <w:bookmarkStart w:id="254" w:name="__RefHeading___Toc285284_1280447820"/>
      <w:bookmarkStart w:id="255" w:name="_Toc91"/>
      <w:bookmarkEnd w:id="254"/>
      <w:r>
        <w:rPr>
          <w:rtl w:val="true"/>
        </w:rPr>
        <w:t>حكم التنجيم</w:t>
      </w:r>
      <w:r>
        <w:rPr>
          <w:rtl w:val="true"/>
        </w:rPr>
        <w:t>:</w:t>
      </w:r>
      <w:bookmarkEnd w:id="255"/>
    </w:p>
    <w:p>
      <w:pPr>
        <w:pStyle w:val="Heading4"/>
        <w:numPr>
          <w:ilvl w:val="3"/>
          <w:numId w:val="1"/>
        </w:numPr>
        <w:rPr/>
      </w:pPr>
      <w:bookmarkStart w:id="256" w:name="__RefHeading___Toc285286_1280447820"/>
      <w:bookmarkStart w:id="257" w:name="_Toc9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في هذا البحث نتعرّض إلى الصور المختلفة للإخبار استناداً إلى النجوم و الأوضاع الفلكية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85288_1280447820"/>
      <w:bookmarkStart w:id="259" w:name="_Toc93"/>
      <w:bookmarkEnd w:id="258"/>
      <w:r>
        <w:rPr/>
        <w:t>1</w:t>
      </w:r>
      <w:r>
        <w:rPr>
          <w:rtl w:val="true"/>
        </w:rPr>
        <w:t xml:space="preserve"> - </w:t>
      </w:r>
      <w:r>
        <w:rPr>
          <w:rtl w:val="true"/>
        </w:rPr>
        <w:t>الإخبار عن الأوضاع الفلكية المبتنية على سير الكواكب</w:t>
      </w:r>
      <w:r>
        <w:rPr>
          <w:rtl w:val="true"/>
        </w:rPr>
        <w:t>:</w:t>
      </w:r>
      <w:bookmarkEnd w:id="259"/>
    </w:p>
    <w:p>
      <w:pPr>
        <w:pStyle w:val="Heading5"/>
        <w:numPr>
          <w:ilvl w:val="4"/>
          <w:numId w:val="1"/>
        </w:numPr>
        <w:rPr/>
      </w:pPr>
      <w:bookmarkStart w:id="260" w:name="__RefHeading___Toc285290_1280447820"/>
      <w:bookmarkStart w:id="261" w:name="_Toc94"/>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ليس ثمّة دليل على حرمة الإخبار عن الأوضاع الفلكية المبتنية على سير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كالخسوف الناشئ عن حيلولة الأرض بين النيّرين، و الكسوف الناشئ عن حيلولة القمر أو غيره بين الأرض 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الإخبار بذلك إمّا جزماً إذا استند إلى ما يعتقده برهاناً، أو ظناً إذا استند إلى 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الإخبار عن ذلك محرّماً، فالنظر فيها و الاعتقاد بها أيضاً ليس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لادليل لدعوى الحرمة فيها، فعدم الدليل كما يقتضي عدم الحرمة في الإخبار كذلك يقتضي عدمها في النظر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الفاضل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كل الأفعال الثلاثة جائزة لابأس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بكفر و لافسق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62" w:name="pg16065_152846"/>
    </w:p>
    <w:p>
      <w:pPr>
        <w:pStyle w:val="BookText"/>
        <w:rPr/>
      </w:pPr>
      <w:bookmarkEnd w:id="262"/>
      <w:r>
        <w:rPr>
          <w:rFonts w:ascii="Amiri" w:hAnsi="Amiri" w:eastAsia="Amiri" w:cs="Amiri"/>
          <w:color w:val="111111"/>
          <w:sz w:val="28"/>
          <w:sz w:val="28"/>
          <w:szCs w:val="28"/>
          <w:rtl w:val="true"/>
          <w:lang w:bidi="ar-SA"/>
        </w:rPr>
        <w:t>الدليل على المنع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الأصل و القاعدة هو جواز النظر فيها و الإذعان بها و الإخبار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فالتنجيم بهذا المعنى جائز، و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بمعرفة آثار الكواكب في الحوادث الأرضية، أو ارتباط بعض الحوادث السفلية بالأجرام العلوية، بل هو داخل في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معرفة مواقيت النجوم و سيرها في طلوعها و غروبها، و هو يشمل أوضاعها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المتنجِّم والنَّجّام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في النجوم بحسب مواقيتها و سيرها في طلوعها و غروبها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فالمحكي عن السيد المرتضى و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ممن أنكر 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بجواز هذا النوع،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الكسوفات و اقتران الكواكب و انفصالها من باب الحساب و سير الكواكب، و له اُصول صحيحة و قواعد سديدة، و ليس كذلك ما يدّعونه من تأثير الكواكب في الخير و الشر و النفع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جواز ذلك في جامع المقاصد مؤيداً ذلك بما ورد من كراهة السفر و الزواج في برج العقرب، كما حكاه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التأييد أنّ ما ورد في كراهة السفر راجع إلى الفلكيات، فلايرتبط بالمقام إلاّ بالأولوية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85292_1280447820"/>
      <w:bookmarkStart w:id="264" w:name="_Toc95"/>
      <w:bookmarkEnd w:id="263"/>
      <w:r>
        <w:rPr>
          <w:rtl w:val="true"/>
        </w:rPr>
        <w:t>الأدلّة المجوّزة</w:t>
      </w:r>
      <w:r>
        <w:rPr>
          <w:rtl w:val="true"/>
        </w:rPr>
        <w:t>:</w:t>
      </w:r>
      <w:bookmarkEnd w:id="264"/>
    </w:p>
    <w:p>
      <w:pPr>
        <w:pStyle w:val="BookText"/>
        <w:rPr/>
      </w:pPr>
      <w:r>
        <w:rPr>
          <w:rFonts w:ascii="Amiri" w:hAnsi="Amiri" w:eastAsia="Amiri" w:cs="Amiri"/>
          <w:color w:val="111111"/>
          <w:sz w:val="28"/>
          <w:sz w:val="28"/>
          <w:szCs w:val="28"/>
          <w:rtl w:val="true"/>
          <w:lang w:bidi="ar-SA"/>
        </w:rPr>
        <w:t>و يدل على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عن كتاب النجوم للسيد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رويت بعدة طرق إلى يونس بن عبد الرحمان في جامعه الصغير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علم النجوم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 من علم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يعلمه‌؟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أعلم الناس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تصحيح أصل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عبد الله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لايحل النظر فيها، و هي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تضرّ بديني فلاحاجة لي في شيء يضرّ بديني، و إن كانت لاتضرّ بديني فوالله إنّي لأشتهيها و أشتهي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لاتضرّ بدينك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تنظرون في شيء منها كثيرُه لايدرَك، و قليله لاينتفع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قد ورد في جواز المعرفة بالآثار، ولكن يدل على المقام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هذا الحديث أصحابنا في المصنفات و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النجوم حقٌّ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من يعلمها؟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في الأرض من يعلمها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الكراجكي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 الطب للأبدان، و النحو للّسان، و النجوم للأزمان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235:58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قوله هذا النجفي في جواهر الكلام </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خبر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بصرك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 أبصر بالنجوم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دوران الفلك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العسكرين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حاسب و في هذا حاسب، فيحسب هذا لصاحبه بالظفر، و يحسب هذا لصاحبه بالظفر، فيهزم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كانت النحوس‌؟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إنّ أصل الحساب حق، ولكن لايعلم ذلك إلاّ من علم مواليد الخلق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النجوم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يعلمها إلاّ أهل بيت بالهند و أهل بيت من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و هارون ابني سهل و كتبا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و جدّنا كان ينظر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 فهل يحلّ النظر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أنّهما كتبا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ولد بني نوبخت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النظر في علم النجوم‌؟ فكتبت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يختلفون في صفة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يخرج من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الأحاديث نقلا عن كتاب نزهة الكرام و بستان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هارون الرشيد بعث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 فلمّا حضر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ينسبونكم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النجوم، و إنّ معرفتكم بها معرفة جيّدة، و فقهاء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225:17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لعلّ المناسب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ينظران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228:17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الحسن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أصحابي فاسكتوا، و إذا ذكروا القدر فاسكتوا، و إذا ذكر النجوم فاسكتوا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الخلائق بعلم النجوم، و أولاده و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تقول الشيعة بإمامتهم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عارفين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ضعيف، و إسناده مطعون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مدح النجوم، و لولا أنّ النجوم صحيحة ما مدحها الله عزّوجل، و الأنبياء كانوا عالمين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إبراهيم خليل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لم يكن عالماً بعلم النجوم ما نظر فيها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أهل زمانه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برجاً و سبعة 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بالليل و النهار بأمر الله عزّوجلّ بعد علم القرآن ما يكون أشرف من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الأنبياء و الأوصياء و ورثة الأنبياء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نعرف هذا العلم و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لاتظهروه عند الجهّال و عوام الناس حتى لايشنعوا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تموت قبلي أو أنا أموت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تعرف هذا من علم النجوم‌؟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آمنّي حتى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أموت قبلك، و ما كذبت و لاأكذب، و وفاتي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بسام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أصحّ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229:17</w:t>
      </w:r>
      <w:r>
        <w:rPr>
          <w:rFonts w:eastAsia="Amiri" w:cs="Amiri" w:ascii="Amiri" w:hAnsi="Amiri"/>
          <w:color w:val="111111"/>
          <w:sz w:val="28"/>
          <w:szCs w:val="28"/>
          <w:rtl w:val="true"/>
          <w:lang w:bidi="ar-SA"/>
        </w:rPr>
        <w:t xml:space="preserve">. </w:t>
      </w:r>
      <w:bookmarkStart w:id="265" w:name="pg16065_152850"/>
    </w:p>
    <w:p>
      <w:pPr>
        <w:pStyle w:val="BookText"/>
        <w:rPr/>
      </w:pPr>
      <w:bookmarkEnd w:id="265"/>
      <w:r>
        <w:rPr>
          <w:rFonts w:ascii="Amiri" w:hAnsi="Amiri" w:eastAsia="Amiri" w:cs="Amiri"/>
          <w:color w:val="111111"/>
          <w:sz w:val="28"/>
          <w:sz w:val="28"/>
          <w:szCs w:val="28"/>
          <w:rtl w:val="true"/>
          <w:lang w:bidi="ar-SA"/>
        </w:rPr>
        <w:t xml:space="preserve">الرؤيا، و ذلك هو كانت صحيحة حين لم تُرَدّ الشمس على يوشع بن نون و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ردّ الله عزّوجلّ الشمس عليهما ضلّ فيها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مصيب و مخطئ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أبي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و أعرفها و أعرف الطالع، فيدخلني من ذلك شيء، فشكوت ذلك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نفسك شيء فتصدّق على أوّل مسكين ثم 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يدفع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الفقيه بسند صحيح عن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صحة السند تأمل</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85294_1280447820"/>
      <w:bookmarkStart w:id="267" w:name="_Toc96"/>
      <w:bookmarkEnd w:id="266"/>
      <w:r>
        <w:rPr>
          <w:rtl w:val="true"/>
        </w:rPr>
        <w:t>الأدلّة المانعة</w:t>
      </w:r>
      <w:r>
        <w:rPr>
          <w:rtl w:val="true"/>
        </w:rPr>
        <w:t>:</w:t>
      </w:r>
      <w:bookmarkEnd w:id="267"/>
    </w:p>
    <w:p>
      <w:pPr>
        <w:pStyle w:val="BookText"/>
        <w:rPr/>
      </w:pPr>
      <w:r>
        <w:rPr>
          <w:rFonts w:ascii="Amiri" w:hAnsi="Amiri" w:eastAsia="Amiri" w:cs="Amiri"/>
          <w:color w:val="111111"/>
          <w:sz w:val="28"/>
          <w:sz w:val="28"/>
          <w:szCs w:val="28"/>
          <w:rtl w:val="true"/>
          <w:lang w:bidi="ar-SA"/>
        </w:rPr>
        <w:t>و في قبال تلك الروايات المجوّزة هناك روايات تدل على مذموميّة علم النجوم، و تشبِّه المنجّم بالكاهن و الساحر،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نصر بن قابوس المروية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علي الكوفي، عن إسحاق بن إبراهيم،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و أكل كسبها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يدل على ذمّ المنجّم و تشبيهه بالكاهن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195:17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لاإطلاق لها بعد كونها في مقام عدّ الملعونين و تشبيههم، فلاتنافي جواز ما مرّ من الإخبار عن الأوضاع الفلكية المبتنية على سير الكواكب كالكسوف و الخسوف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وجود شواهد في الروايات تدل على أنّ المراد من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و آمن بتأثير النجوم، و كذّب القدر و قضاء الله سبحانه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ضادّ الله في علمه بزعمه أنّه يردّ قضاء الله عن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أخبر جزماً و بتّاً بوقوع الحوادث بحيث لامجال للاستعانة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منعه بعضٌ‌، من طريق النجوم، عن السير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أنّك تهدي إلى الساعة التي من سار فيها صُرِف عنه السوء و تُخوِّفُ مِن الساعة التي من سار فيها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صدّقك بهذا فقد كذّب القرآن و استغنى عن الاستعانة بالله في نيل المحبوب و دفع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إيّاكم و 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يهتدى به في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ذلك الباب أيضاً ما رواه في مرآة العقول عن الصدوق في الفقيه بسند حسن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فاُريد الحاجة، فإذا نظرت إلى الطالع و رأيت الطالع الشرّ جلست و لم أذهب فيها، و إذا رأيت الطالع الخير ذهبت في الحاجة‌؟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المجلسي في شرح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للناس بأمثال ذلك و تخبرهم بأحكام النجوم و سعودها و نحوسها؟ أو بالمجهول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أذهبت في الطالع الخير تُقضى حاجتك و تعتقد ذلك‌؟ و على التقديرين يدل على عدم جواز النظر في النجوم و الإخبار بأحكامها و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تأويله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للنجوم تأثيراً،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العبارة في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عبد الملك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أنّ الرواية مرسلة لاحسنة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فالخبر يدل على جواز النظر فيها من دون القضاء و الاعتقاد، و عدم جوازه مع القضاء و الاعتقاد بالتأثير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مطلق النظر و الإخبار من دون القضاء و الاعتقاد،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 الأوضاع الفلكية و النظر فيها و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الكسوف و الخسوف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الأخبار عن هذه الصورة، أو لقيام شواهد في الأخبار تدل على أنّ الموضوع المنهي عنه غير هذه الصورة، و لاأقلّ من الشك في شمول الأدلّة الناهية لمثل ذلك، فمقتضى القاعدة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المنجّم الملعون هو الذي يقول بقِدم الفلك و لايقول بمُفلكه و خالقه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يدّعيه المنجّمون من ارتباط بعض الحوادث السفلية بالأجرام العلوية، إن زعموا أنّ تلك الأجرام هي العلّة المؤثرة في تلك الحوادث بالاستقلال أو أنّها شريكة في التأثير فهذا لايحلّ للمسلم اعتقاده، و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478:26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479:26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النجوم المبتني على هذا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حمل ما ورد في الحديث من التحذير عن علم النجوم و النهي عن اعتقاده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 الاعتماد على إخباره فقد فصّل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إخباره في البديهي فيجوز، و بين غيره فلايجوز،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خطأهم في الحساب في غاية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لايجوز الاعتماد في ذلك على عدولهم، فضلا عن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حسابهم مبتن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اُمور نظرية مبتنية على نظريات اُخر، إلاّ فيما هو كالبديهي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إخبارهم بكون القمر في هذا اليوم في برج العقرب، و انتقال الشمس من برج إلى برج في هذا اليوم، و إن كان يقع الاختلاف بينهم فيما يرجع إلى 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الاعتماد في مثل ذلك على شهادة عدلين منهم إذا احتاج الحاكم لتعيين أجَلِ دين أو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عبارته أنّه جعله من باب الشهادة، مع أن الشهادة مبتنية على الحسّ‌، و النجوم مبتنية على المحاسبات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التعدد في الشهادة على الموضوعات محل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مع قيام بناء العقلاء على جواز الاكتفاء بقول ثقة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خبر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ما شكّ في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كلّها على الحلّية ما لم تستبن حرمتها أو تقوم بها البينة، و هو ردع للبناء المذكور، بناءً على أنّ المراد من البينة هو البينة الاصطلاحية التي هي 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لايخلو سنده و دلالته عن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الاحتياط هو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المنجّم يمكن اعتباره من باب كونه من أهل الخبرة، فلابأس بالاعتماد عليه ما لم يرد نهي في مورد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 أفطر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حسابهم مبتنية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ما أثبتناه، كما أنّه صحيح أيضاً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حساباتهم مبتنية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68" w:name="pg16065_152854"/>
    </w:p>
    <w:p>
      <w:pPr>
        <w:pStyle w:val="BookText"/>
        <w:rPr/>
      </w:pPr>
      <w:bookmarkEnd w:id="268"/>
      <w:r>
        <w:rPr>
          <w:rFonts w:ascii="Amiri" w:hAnsi="Amiri" w:eastAsia="Amiri" w:cs="Amiri"/>
          <w:color w:val="111111"/>
          <w:sz w:val="28"/>
          <w:sz w:val="28"/>
          <w:szCs w:val="28"/>
          <w:rtl w:val="true"/>
          <w:lang w:bidi="ar-SA"/>
        </w:rPr>
        <w:t>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فرق بين كون إخباره في البديهي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عروض الخطأ فلايختص بهذا العلم، بل هو شائع في العلوم، و إنّما الاختلاف في القلة و الكثرة، فما لم تكن الكثرة بحدّ لايعتني العقلاء بقوله فلابأس بالاعتماد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احتمل في البلغة جواز الرجوع إلى المنجم من باب كونه من أهل الخبرة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النهي عن تصديق المنجم فسيأتي في الفروع الآتية اختصاصه بغير المقام، فانتظر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85296_1280447820"/>
      <w:bookmarkStart w:id="270" w:name="_Toc97"/>
      <w:bookmarkEnd w:id="269"/>
      <w:r>
        <w:rPr/>
        <w:t>2</w:t>
      </w:r>
      <w:r>
        <w:rPr>
          <w:rtl w:val="true"/>
        </w:rPr>
        <w:t xml:space="preserve"> - </w:t>
      </w:r>
      <w:r>
        <w:rPr>
          <w:rtl w:val="true"/>
        </w:rPr>
        <w:t>الإخبار عمّا يقع في المستقبل استناداً إلى الأوضاع الفلكية مع عدم اعتقاد تأثيرها</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الإخبار بحدوث الأحكام عند الاتصالات و الحركات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يحكم بوجود كذا في المستقبل مستنداً إلى الوضع المعيّن من القرب و البعد و المقابلة و الاقتران بين الكوكبين، إذا كان على وجه الظن المستند إلى تجربة محصّلة أو منقولة في وقوع تلك الحادثة بإرادة الله عند الوضع الخاص من دون اعتقاد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السببية 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أصلا، بل الظاهر حينئذ جواز الإخبار على وجه القطع إذا استند إلى تجربة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لاحرج على من حكم قطعاً بالمطر في هذه الليلة نظراً إلى ما جرّبه من نزول كلبه عن السطح إلى داخل البيت مثلاً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ما سيجيء في عدم جواز تصديق المنجّم يراد به غير هذا، أو ينصرف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معنى التنجيم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القول و الاعتقاد بربط الحركات بالحوادث كربط الكاشف و المكشوف لم يقل أحد بكونه كفراً، كما صرح به الشيخ، و حكى عن الشيخ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اتصالات تلك الأجرام و ما يعرض لها من الأوضاع علاماتٌ على بعض حوادث هذا العالم ممّا يوجده الله سبحانه بقدرته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لامانع منه و لاحرج في اعتقاده، و ما روي في صحة علم النجوم و جواز تعلّمه محمول على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محكي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المقام خارج عن مورد طعن العلماء على المنجّمين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المنجّمين بين قائل بحياة الكواكب و كونها فاعلة مختارة، و بين من قال إنّها موجبة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ذكره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الشيخ الأعظم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في المنجّمين أحد يذهب إلى أنّ الله تعالى أجرى العادة بأن يفعل عند قرب بعضها من بعض أو بعده أفعالا من غير أن يكون للكواكب بأنفسها تأثير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ادّعى منهم هذا المذهب الآن فهو قائل بخلاف ما ذهب إليه القدماء، و متجمل بهذا المذهب عند أهل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و الاعتقاد بحدوث الحوادث عن الاتصالات عند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اعتقاد بالربط و السببية بل بإرادته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فيه، و لايكون تنجيماً اصطلاحياً، و إن صدق عليه التنجيم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القطعي بنزول المطر في هذه الليلة داخل في التنجيم المنكر 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المذكور و لو كان قطعياً من دون اعتقاد ربط و سببية و علّية بين الفلكيات و السفليات و من دون نفي تأثير الدعاء و الصدقات، مشكوكُ‌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الدخول في الأخبار المانعة، و اللازم هو الاقتصار على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اعتقاد العلّية و السببية الاستقلالية و الاشتراكية، أو الإخبار عن مكتوم الاُمور الذي لايبتني على المحاسبات و التجارب بل يعدّ من 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كإخبارات الكهنة عن الاُمور الغيبية كما يقتضيه تشبيه المنجّم بالكاهن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حمل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زيد بن خالد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عبادي مؤمن بي و كافر بالكواكب، و كافر بي و مؤمن بالكواكب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بفضل الله و رحمته فذلك مؤمن بي و كافر بالكواكب،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 و كذا فذلك كافر بي و مؤمن بالكواكب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اعتقاد مدخليتها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كوكب في المغرب و طلوع رقيبه في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المنع من الإيمان بالكواكب و الكفر بالله تعالى، و أنّ التنجيم الممنوع هو ما يؤدي إلى المضادّة مع الله تعالى في الفعل و الإخبارات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الاُمور لاتأتي في المقام، و لاإطلاق للأدلّة الناهية أو الذامّة حتى يشمل المقام، هذا مضافاً إلى ضعف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أخبر جزماً على نحو يوجب الاستغناء عن الاستعانة بالله تعالى بحيث لايكون للدعاء و الصدقات و نحوهما أيّ تأثير فهو كفر من جهة المخالفة مع واضحات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بمراد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الإخبار القطعي المبتني على التجارب لاينافي التغيير الحاصل بالدعاء و إرادةِ الله سبحانه و تعالى، و إن كان ينبغي له الاجتناب عن الحكم القطعي و أن يحكم على سبيل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وقوع الخطأ في حساب المنجّمين، و عدم الإحاطة بالموانع و الروادع، كما تدل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الريان بن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سؤاله عن علم النجوم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علم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يستدرك المنجّمون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234:17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271" w:name="pg16065_152857"/>
    </w:p>
    <w:p>
      <w:pPr>
        <w:pStyle w:val="BookText"/>
        <w:rPr/>
      </w:pPr>
      <w:bookmarkEnd w:id="271"/>
      <w:r>
        <w:rPr>
          <w:rFonts w:ascii="Amiri" w:hAnsi="Amiri" w:eastAsia="Amiri" w:cs="Amiri"/>
          <w:color w:val="111111"/>
          <w:sz w:val="28"/>
          <w:sz w:val="28"/>
          <w:szCs w:val="28"/>
          <w:rtl w:val="true"/>
          <w:lang w:bidi="ar-SA"/>
        </w:rPr>
        <w:t>منها، فشابوا الحق بالكذب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مجرد كون النجوم دلالات و علامات لايجدي مع عدم الإحاطة بتلك العلامات و معارضاتها، و الحكم مع عدم الإحاطة لايكون قطعياً بل و لاظنياً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العبارة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فالأولى التجنب عن الحكم بها، و مع الارتكاب فالأولى الحكم على سبيل التقريب و أنّه لايبعد أن يقع كذا عند كذا، و الله المسدّد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التنجيم بالمعنى الثاني أيضاً لاإشكال فيه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85298_1280447820"/>
      <w:bookmarkStart w:id="273" w:name="_Toc98"/>
      <w:bookmarkEnd w:id="272"/>
      <w:r>
        <w:rPr/>
        <w:t>3</w:t>
      </w:r>
      <w:r>
        <w:rPr>
          <w:rtl w:val="true"/>
        </w:rPr>
        <w:t xml:space="preserve"> - </w:t>
      </w:r>
      <w:r>
        <w:rPr>
          <w:rtl w:val="true"/>
        </w:rPr>
        <w:t>الإخبار عن الحوادث و الحكم بها مع الاعتقاد بحياة الأفلاك عدم استقلاليتها في التأثير</w:t>
      </w:r>
      <w:r>
        <w:rPr>
          <w:rtl w:val="true"/>
        </w:rPr>
        <w:t>:</w:t>
      </w:r>
      <w:bookmarkEnd w:id="273"/>
    </w:p>
    <w:p>
      <w:pPr>
        <w:pStyle w:val="BookText"/>
        <w:rPr/>
      </w:pPr>
      <w:r>
        <w:rPr>
          <w:rFonts w:ascii="Amiri" w:hAnsi="Amiri" w:eastAsia="Amiri" w:cs="Amiri"/>
          <w:color w:val="111111"/>
          <w:sz w:val="28"/>
          <w:sz w:val="28"/>
          <w:szCs w:val="28"/>
          <w:rtl w:val="true"/>
          <w:lang w:bidi="ar-SA"/>
        </w:rPr>
        <w:t>لو كان الإخبار عن الحوادث و الحكم بها مستنداً إلى تأثير الاتصالات المذكورة، و وجود الربط بين العلويات و السفليات، و كون العلويات ذات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يعتقد أن العلويات تفعل الآثار المنسوبة إليها ولكن الله هو المؤثّر الأعظم، سواء يقال إنّها حية مختارة أو إنّها موجبة، فهل يعدّ ذلك كفراً؟</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أكثر العبارات أنّه كفر، و لعل وجهه أن نسبة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ضرورة الدين على استنادها إلى الله تعالى كالخلق و الرزق و الإحياء و الإماتة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تعالى مخالف لضرورة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عليه بأن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شيخنا الشهيد في القواعد عدم الكفر،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اعتقد أنّها تفعل الآثار المنسوبة إليها و الله سبحانه هو المؤثر الأعظم فهو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لاحياة لهذه الكواكب ثابتة بدليل عقلي و لانقلي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ظاهره أن عدم القول بذلك لعدم المقتضي له و هو الدليل، لالوجود المانع منه و هو انعقاد الضرورة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ممكن غير معلوم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أن الضروري عدم نسبة تلك الأفعال إلى فاعل مختار باختيار مستقل مغاير لاختيار الله، كما هو ظاهر قول المفوّضة، أمّا استنادها إلى الفاعل بإرادة الله المختار بعين مشيّته و اختياره حتى يكون كالآلة بزيادة الشعور و قيام الاختيار به بحيث يصدق أنّه فعله و فعل الله،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المخالف للضرورة إنكار نسبة الفعل إلى الله تعالى على وجه الحقيقة، لاإثباته لغيره أيضاً بحيث يصدق أنّه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الشهيد من عدم الدليل عليه حق، فالقول به تخرّص، و نسبة فعل الله إلى غيره بلادليل،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مأخذه ما في الاحتجاج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الزنديق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يزعم أن هذا التدبير الذي يظهر في هذا العالم تدبير النجوم السبعة‌؟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يحتاجون إلى دليل أنّ هذا العالم الأكبر و العالم الأصغر من تدبير النجوم التي تسبح في الفلك و تدور حيث دارت منقّبة لاتفتر و سائرة لاتقف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لكل نجم منها موكّل مدبّر، فهي بمنزلة العبيد المأمورين المنهيّين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قديمة أزلية لم تتغيّر من حال إلى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العبيد المأمورين المنهيّين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حركاتهم، لاأنّهم مأمورون بتدبير العالم بحركاتهم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مدبّرة باختياره المنبعث عن أمر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بالجملة، فكفر المعتقد بالربط على هذا الوجه لم يظهر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bookmarkStart w:id="274" w:name="pg16065_152859"/>
    </w:p>
    <w:p>
      <w:pPr>
        <w:pStyle w:val="BookText"/>
        <w:rPr/>
      </w:pPr>
      <w:bookmarkEnd w:id="274"/>
      <w:r>
        <w:rPr>
          <w:rFonts w:ascii="Amiri" w:hAnsi="Amiri" w:eastAsia="Amiri" w:cs="Amiri"/>
          <w:color w:val="111111"/>
          <w:sz w:val="28"/>
          <w:sz w:val="28"/>
          <w:szCs w:val="28"/>
          <w:rtl w:val="true"/>
          <w:lang w:bidi="ar-SA"/>
        </w:rPr>
        <w:t>الأخبار، و مخالفته لضرورة الدين لم تثبت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العلّية التامة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الثالث و الثاني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فرض أي ربط في الثاني دون الثالث كما عرفت، فالاعتقاد بالربط المذكور لايوجب الكفر، ولكنه لادليل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الإخبار به لامانع منه إذا كان مستنداً إلى المحاسبات، سواء كانت تلك المحاسبات ظنية أو قطعية، نعم يلزم أن يكون الإخبار على نحو لاينافي تأثير الدعاء و الصدقات و نحوهما، و إلاّ لكان مخالفاً لضروريّ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الإخبار بنحو لايستند إلى المحاسبات بل كان بنحو يشبه إخبار الكهنة فلعله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دخوله في أخبار تشبيه المنجّم بالكاهن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85300_1280447820"/>
      <w:bookmarkStart w:id="276" w:name="_Toc99"/>
      <w:bookmarkEnd w:id="275"/>
      <w:r>
        <w:rPr/>
        <w:t>4</w:t>
      </w:r>
      <w:r>
        <w:rPr>
          <w:rtl w:val="true"/>
        </w:rPr>
        <w:t xml:space="preserve"> - </w:t>
      </w:r>
      <w:r>
        <w:rPr>
          <w:rtl w:val="true"/>
        </w:rPr>
        <w:t>الإخبار مع عدم الاعتقاد بحياة الأفلاك</w:t>
      </w:r>
      <w:r>
        <w:rPr>
          <w:rtl w:val="true"/>
        </w:rPr>
        <w:t>:</w:t>
      </w:r>
      <w:bookmarkEnd w:id="276"/>
    </w:p>
    <w:p>
      <w:pPr>
        <w:pStyle w:val="BookText"/>
        <w:rPr/>
      </w:pPr>
      <w:r>
        <w:rPr>
          <w:rFonts w:ascii="Amiri" w:hAnsi="Amiri" w:eastAsia="Amiri" w:cs="Amiri"/>
          <w:color w:val="111111"/>
          <w:sz w:val="28"/>
          <w:sz w:val="28"/>
          <w:szCs w:val="28"/>
          <w:rtl w:val="true"/>
          <w:lang w:bidi="ar-SA"/>
        </w:rPr>
        <w:t>لو كان إخباره بحيث أسند الحوادث إلى العلويات، و اعتقد بوجود الربط بينها و بين السفليات من دون استقلال في التأثير أو الاشتراك، و من دون وجود حياة في العلويات، كما يستند الإحراق إلى النار، فهل يجوز ذلك أم لا؟</w:t>
      </w:r>
    </w:p>
    <w:p>
      <w:pPr>
        <w:pStyle w:val="BookText"/>
        <w:rPr/>
      </w:pPr>
      <w:r>
        <w:rPr>
          <w:rFonts w:ascii="Amiri" w:hAnsi="Amiri" w:eastAsia="Amiri" w:cs="Amiri"/>
          <w:color w:val="111111"/>
          <w:sz w:val="28"/>
          <w:sz w:val="28"/>
          <w:szCs w:val="28"/>
          <w:rtl w:val="true"/>
          <w:lang w:bidi="ar-SA"/>
        </w:rPr>
        <w:t>و الفرق بين الرابع و الثالث واضح من جهة اعتبار الحياة في الثالث دون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الاستناد محتاج إلى الدليل، و استناد بعض الأشياء إلى 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الاُمور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لايشهد على أنّ الاُمور الاُخر أيضاً مستندة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من اعتقد بوجود الربط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كربط بعض الأشياء في السفليات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معتقد بما يوجب الكفر إن اعتقد بأنّ المؤثر الأعظم هو الله سبحانه و تعالى، و أنّ الربط ربما يتغيّر بسبب الدعاء و التوكل و الصدقات، فلاإشكال في الاعتقاد المذكور و الإخبار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كلمات كثير ممن تقدم كون هذا الاعتقاد كفراً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عليه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شيخنا الشهيد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استناد الأفعال إليها كاستناد الإحراق إلى النار و غيرها من 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الله تعالى أجرى عادته أنها إذا كانت على شكل مخصوص أو وضع مخصوص يفعل ما ينسب إليها، و يكون ربط المسببات بها كربط مسببات الأدوية و الأغذية بها مجازاً باعتبار الربط العادي لاالربط العقلي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لايكفّر معتقده، لكنه مخطئ و إن كان أقل خطأً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وقوع هذه الآثار عندها ليس بدائم و لاأكثر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غرض الشهيد من التعليل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وقوع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عدم ثبوت الربط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ثبوته بالحسّ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كالحرارة الحاصلة بسبب النار و الشمس، و برودة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لابالعادة الدائمة و لاالغالبة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بتكرر الدفعات كثيراً حتى يحصل العلم أو الظن، ثم على تقديره فليس فيه دلالة على تأثير تلك الحركات في الحوادث، فلعل الأمر بالعكس أو كلتاهما مستندتان إلى مؤثر ثالث، فيكونان من المتلازمين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فمقتضى ما ورد من أنّه أبى الله أن يجري الأشياء 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حادث مسبّباً، و أمّا أن السبب هي الحركة الفلكية أو غيرها فلم يثبت</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لو سلّم ذلك لم يثبت أيضاً كونه مخالفاً لضرورة الدين، مع ما في بعض الأخبار من ظهور تأثير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لليماني المنجّم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اسم النجم الذي إذا طلع هاجت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اسم النجم الذي إذا طلع هاجت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النجم الذي إذا طلع هاجت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في قولك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نقل كلام الشيخ مع تلخيص و توضيح ما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إنكار التأثير في الأدوية و الأغذية و نحوها من السفليات حقيقةً كما ترى، بل لامجال لإنكار التأثير في العلويات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كتأثير الكواكب و القمر في بعض الحوادث، كالجزر و المدّ، و تلوين الفواكه، و نموّ الأشجار، و تقوية التربة،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لافرق بين تأثير الأجرام العلوية و تأثير الجواهر 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الثاني لاينافي الاعتقادات و لاالضروريات فكذلك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تأثير الفلكيات في السفليات يوجب المخالفة مع ضروريّ الدين من تأثير الدعاء و الصدقة و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ضروريّ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المحقق الإيرواني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تأثير الدعاء و الصدقة في الجملة لافي 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نرى التخلّف كثيراً ما، فليكن هذا من موارد التخلّف، فكان اعتقاد التخلّف في مقام غير مناف لضروريّ الدين، و كما يحصل هذا الاعتقاد بعد حصول التخلّف فليحصل في مقام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أخبر على سبيل القطع بوقوع شيء من دون احتمال التخلّف بالدعاء و الصدقة في جميع الموارد لكان مخالفاً لضروريّ الدين، مضافاً إلى أنّه لامجال لدعوى القطع مع احتمال التخلّف بالدعاء و الصدقة باختلاف الأسباب الظاهرية و محكوميتها بالأسباب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يأتي احتمال البداء في الاُمور لو لم يخبر الله تعالى بحيثية وقوع الشيء،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فالإخبار عمّا تقتضيه العلويات بنحو الإخبار عمّا تقتضيه السفليات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219:58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77" w:name="pg16065_152862"/>
    </w:p>
    <w:p>
      <w:pPr>
        <w:pStyle w:val="BookText"/>
        <w:rPr/>
      </w:pPr>
      <w:bookmarkEnd w:id="277"/>
      <w:r>
        <w:rPr>
          <w:rFonts w:ascii="Amiri" w:hAnsi="Amiri" w:eastAsia="Amiri" w:cs="Amiri"/>
          <w:color w:val="111111"/>
          <w:sz w:val="28"/>
          <w:sz w:val="28"/>
          <w:szCs w:val="28"/>
          <w:rtl w:val="true"/>
          <w:lang w:bidi="ar-SA"/>
        </w:rPr>
        <w:t>لايدخل في الأخبار الناهية إذا استند إلى المحاسبات و لم يكن قصد المخبر الإخبار بما يشبه 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فلعله يدخل في أخبار تشبيه المنجّم بالكاهن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الاعتقاد بتأثير العلويات مع كون المؤثر الأصلي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الإخبار به من دون نفي احتمال تأثير الدعاء، لايوجب الكفر و لايكون حراماً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85302_1280447820"/>
      <w:bookmarkStart w:id="279" w:name="_Toc100"/>
      <w:bookmarkEnd w:id="278"/>
      <w:r>
        <w:rPr/>
        <w:t>5</w:t>
      </w:r>
      <w:r>
        <w:rPr>
          <w:rtl w:val="true"/>
        </w:rPr>
        <w:t xml:space="preserve"> - </w:t>
      </w:r>
      <w:r>
        <w:rPr>
          <w:rtl w:val="true"/>
        </w:rPr>
        <w:t>الإخبار مع الاعتقاد بما يتنافى مع الإيمان بالله و وحدانيته</w:t>
      </w:r>
      <w:r>
        <w:rPr>
          <w:rtl w:val="true"/>
        </w:rPr>
        <w:t>:</w:t>
      </w:r>
      <w:bookmarkEnd w:id="279"/>
    </w:p>
    <w:p>
      <w:pPr>
        <w:pStyle w:val="BookText"/>
        <w:rPr/>
      </w:pPr>
      <w:r>
        <w:rPr>
          <w:rFonts w:ascii="Amiri" w:hAnsi="Amiri" w:eastAsia="Amiri" w:cs="Amiri"/>
          <w:color w:val="111111"/>
          <w:sz w:val="28"/>
          <w:sz w:val="28"/>
          <w:szCs w:val="28"/>
          <w:rtl w:val="true"/>
          <w:lang w:bidi="ar-SA"/>
        </w:rPr>
        <w:t xml:space="preserve">هل يجوز الإخبار عن الحوادث و الحكم بها مع إسناد ذلك إلى تأثير الاتصالات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بالاستقلال أو بالمدخلية بحيث ينافي الاعتقاد بالمبدأ المتعال أو ينافي الوحدانية‌؟</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المصطلح عليه بالتنجيم، فظاهر الفتاوى و النصوص حرمته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جملة منها بقوله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يشتبه على مسلم بطلان أحكام النجوم و قد أجمع المسلمون قديماً و حديثاً على تكذيب المنجّمين و الشهادة بفساد مذهبهم و بطلان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من دين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تكذيب ما يدعيه المنجّمون و الإزراء عليهم و التعجيز لهم، و في الروايات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لايحصى كثرة، و كذا عن علماء أهل بيته و خيار أصحابه، فما زالوا يبرؤون من مذاهب المنجّمين و يعدّونها ضلالا و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هذه الشهرة في دين الإسلام كيف يصرّ بخلافه منتسب إلى الملة و مصلٍّ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أفتى بتحريم التنجيم و تعلّم النجوم مع اعتقاد أنّها مؤثرة أو أنّ لها مدخلاً في التأثير في الضرّ و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كل من اعتقد ربط الحركات النفسانية و الطبيعية بالحركات الفلكية و الاتصالات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461:26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الكوكبية،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اعتقد في الكواكب أنّها مدبّرة لهذا العالم و موجدة له فلاريب أنّه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التنجيم مع اعتقاد أنّ للنجوم تأثيراً في الموجودات السفلية ولو على جهة المدخلية،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تعلّم النجوم على هذا الوجه، بل هذا الاعتقاد كفر في نفسه، و نعوذ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يدّعيه المنجّمون من ارتباط بعض الحوادث السفلية بالأجرام العلوية إن زعموا أنها هي العلة المؤثرة في تلك الحوادث بالاستقلال أو أنّها شريكة في التأثير فهذا لايحلّ للمسلم اعتقاده، و علم النجوم المبتني على هذا كفر 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حمل ما ورد من التحذير عن علم النجوم و النهي عن اعتقاد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لانزاع بين الاُمّة في أن من اعتقد أن الكواكب هي المدبّرة لهذا العالم و هي الخالقة لما فيه من الحوادث و الخيرات و الشرور، فإنّه يكون كافراً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موضع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بأنّها علة فاعلية بالإرادة و الاختيار و إن توقف تأثيرها على شرائط اُخر،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الوسائل نسبة دعوى ضرورة الدين على بطلان التنجيم و القول بكفر معتقده إلى جميع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علماؤنا بتحريم علم النجوم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308:58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العمل بها، و بكفر من اعتقد تأثيرها أو مدخليتها في التأثير، و ذكروا أن بطلان ذلك من ضروريات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المحكي عن ابن أبي الحديد أنّ الحكم كذلك عند علماء العامة أيضاً، حيث قال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ضرورةً من الدين إبطال حكم النجوم، و تحريم الاعتقاد بها، و النهي و الزجر عن تصديق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صدّقك بهذا فقد كذّب بالقرآن و استغنى عن الاستعانة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كفر من اعتقد باستقلال العلويات أو اشتراكها في التأثير بحيث ينافي الاعتقاد بالمبدأ المتعال أو وحدانيّته، و الإخبار بذلك إظهار للكفر، و هو غير جائز بلاكلام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ظاهر بعض العبائر المذكورة شمول الاعتقاد بالتأثير ولو لم يكن بنحو استقلالي أو اشتراكي في التأثير، بل يكون مؤثّراً كتأثير السفليات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تأثير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الاعتقاد ليس اعتقاداً بمحال، و ليس بكفر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طول علّية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لزوم الكفر من ناحية كيفية الإخبار بنحو يستدعي انتفاء فاعلية الدعاء و يلزم منه الاستغناء عن الاستعانة بالله في جلب الخير و دفع الشر، غير مجازفة مع الالتفات إلى ذلك و عدمه على 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مناف لضروريّ الدين من تأثير الدعاء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فلاوجه للحكم بكفرِ مطلقِ من اعتقد بتأثير الكواكب، بل الكافر هو من اعتقد بالتأثير بنحو ينكر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اعتقد بقدم الأجرام العلوية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101:12</w:t>
      </w:r>
      <w:r>
        <w:rPr>
          <w:rFonts w:ascii="Amiri" w:hAnsi="Amiri" w:eastAsia="Amiri" w:cs="Amiri"/>
          <w:color w:val="111111"/>
          <w:sz w:val="28"/>
          <w:sz w:val="28"/>
          <w:szCs w:val="28"/>
          <w:rtl w:val="true"/>
          <w:lang w:bidi="ar-SA"/>
        </w:rPr>
        <w:t xml:space="preserve">، هامش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تأثيرها، أو من اعتقد بحدوثها و تفويض التدبير إليها و صيرورة يده تعالى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إنكار المبدأ المتعال كفر كما أنّ الاعتقاد بتعدّد القدماء شرك، بل الاعتقاد بالتفويض و استقلال المخلوقات في البقاء أيضاً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الاعتقاد بعدم حاجتها في البقاء إلى المبدأ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لم يقل بإحدى الصور الثلاث، بل يعتقد بأنّ حركة الأفلاك تابعة لإرادة الله، فهي مظاهر لإرادة الخالق تعالى و مجبولة على الحركة على طبق اختيار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بزيادة أنّها مختارة باختيار هو عين اختياره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لايلزم منه إنكار المبدأ المتعال أو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ظاهر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زالوا يبرؤون من مذاهب المنجّمين و يعدّونها ضلالا و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ذلك بالصور الثلاث، و عليه فإطلاق المنع في كلمات القدماء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المحال في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كلام العلاّمة و الشهيد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كلماتهما، و هكذا قول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هذا الاعتقاد في نفسه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مراده هو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تكون في نفسها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يثبت الإجماع على حرمة اعتقاد تأثير الفلكيات على نحو يشمل غير الصور الثلاث، كما إذا اعتقد بتأثيرها بإرادة الله تعالى سواء كانت الفلكيات مختارة أو مجبولة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الصور الثلاث من جهة الجواز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ما تقدم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المنجّم بمنزلة الكاهن الذي هو بمنزلة الساحر الذي هو بمنزلة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الفرق الثلاث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عدم الإشكال في كون الفرق الثلاث من أكفر الكفّار لابمنزلتهم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عدم جواز الاعتقاد باقتضاء العلويات للحوادث السفلية و إن 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يستلزم الكفر بأحد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تحت تنزيله و تشبيهه بالكاهن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تشبيه المنجّم بالكاهن و اشتراكهما في وجه من الوجوه أن يكون المقصود هو الإخبار بالمغيّبات كالكهنة، لامجرد الإخبار عمّا تقتضيه العلويات مستنداً إلى المحاسبات، و إنّما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الكهنة استندوا في إخباراتهم إلى الجنّ‌، و المنجّمين استندوا إلى العلويات و الطوالع، فهذا الأمر و إن لم يكن كفراً في نفسه، ولكنه منزّل بمنزلة الكهانة و محرّم، و لاأقلّ من الشك، و عليه فلاتشمل الرواية مجرد الاعتقاد بما تقتضيه العلويات مستنداً إلى المحاسبات بالنسبة إلى التكوينيات و نحوها على وجه لايشابه إخبارات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لايجوز الحكم بوقوع المقتضَيات بتّاً و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عن ذلك في بعض الأخبار من جهة منافاته لضرورة تأثير الدعاء و التوكل و الصدقات في الجملة، و لزوم الاستغناء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في الجواهر أيضاً حيث اقتصر في الاستثناء من مورد النهي على صورة كون الأوضاع الفلكية أمارة دالة على ما جرت العادة من فعل الله له في هذا العالم، و إن جاز تغييرها بالصدقة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هذه الصورة و ما إذا اعتقد التأثير على نحو لاينافي التغيير بالصدقة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الاعتقاد أو الإخبار لايوجب الكفر، فالواجب هو الرجوع فيما يعتقده المنجّم إلى ملاحظة مطابقته لأحد موجبات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كإنكار الصانع، أو إنكار وحدانيّته، أو إنكار تدبيره بقاءً‌، أو استلزام إخباره إنكار ضروريٍّ من الدين مع الالتفات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اعتقاده مطابقاً لأحد هذه الاُمور أو أخبر بما يوجب إنكار الضروري عن التفات يُحكم بكفره، و إلاّ فلادليل على كفره و إن كان إخباره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أخبر على نحو إخبار الكهنة بالمغيبات، سواء لم يعتقد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بالربط أو اعتقد به على نحو لايلزم منه إنكار الصانع أو وحدانيّته أو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النظر و الاعتقاد و الإخبار فيما إذا لم يخبر على نحو إخبار الكهنة أو على نحو البتّ و الجزم حتى ينافي تأثير الدعاء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النهي عن النظر في النجوم هو الحرمة، كما في خبر القاسم بن عبد الرحمان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خصال منها مهر البغي، ومنها النظر في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خبر نصر بن قابوس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 الكاهن ملعون، و الساحر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محمول على الصور الموجبة للكفر في نفسه، أو المستلزمة لإنكار ضروريّ من الدين، أو التي يتشابه الإخبار فيها مع إخبار الكهنة، و أمّا غيرها فيجوز جمعاً بينها و بين أخبار تدل على جواز النظر في النجوم فيما إذا لم تكن 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منع الإطلاق في خبري القاسم بن عبد الرحمان و نصر بن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في مقام ذكر الخصال المذمومة، والثاني في صدد عدّ الملعونين، فلاإطلاق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فالأخبار الناهية عن النجوم إمّا أن ترجع إلى الاُمور الموجبة للكفر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كالإيمان بالنجوم و تكذيب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كزعم المنجّم أنّه يردّ قضاء الله عن خلقه بعلمه و يضادّه،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إذا أنكر المبدأ المتعال أو وحدانيّته أو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ترجع إلى إنكار تأثير الدعاء و الإخبار القطعي بالمغيبات بنحو إخبار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103:12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270:8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السفر إلى الحج،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104:12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 نسبه إلى المشهور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له رائد من الجن يأتيه بالأخبار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المعاصي المنصوص عليها الإخبار عن الغائبات على البتّ لغير نبيّ أو وصي نبيّ‌، سواء كان بالتنجيم أو الكهانة أو القيافة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 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يهتدى به في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تدعو إلى الكهانة، و الكاهن كالساحر، و الساحر كالكافر، و الكافر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بالنجوم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نظر إلى الطالع الشر فجلس، و إلى الطالع الخير فذهب، ثمّ سأل عن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النواهي مختص بالمذكورات، فلامانع من النظر و التعلّم و التعليم و الإخبار عما تقتضيه العلويات بإذنه تعالى لاعلى وجه القطع و البتّ‌، سواء اعتقد أنّ العلويات أمارات أو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خارج عن موضوع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أخبار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جواب عبد الرحمان بن سيابة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لايحلّ النظر فيها، و هي تعجبني، فإن كانت تضرّ بديني فلاحاجة لي في شيء يضرّ بديني، و إن كانت لاتضرّ بديني فوالله إنّي لأشتهيها و أشتهي النظر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لاتضر بدينك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89:22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تنظرون في شيء منها كثيره لايدرك و قليله لاينتفع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عبد الرحمان بن سيابة الذي كان مضطرباً من جهة كونه مضراً بدينه لم يعتقد بتأثير النجوم على نحو الاستقلال أو الاشتراك على نحو يخالف الاعتقاد بالمبدأ المتعال و وحدانيّته، و لم يمكنه الإخبار القطعي مع ما أفاده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كثيره لايدرك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أنظر في النجوم و أعرفها و أعرف الطالع، فيدخلني من ذلك شيء، فشكوت ذلك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نفسك شيء فتصدّق على أوّل مسكين ثم 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يدفع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ابن أبي عمير لم يعتقد بما يوجب الكفر، و لم يحكم بالقطع و البتّ‌، و لم يخبر بنحو إخبار الكهنة الذين يخبرون إخبارات قطعية غيبية، و لم ينكر تأثير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بالتصدّق و لم يمنعه من النظر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 روايات كثيرة تدل على أنّ علم النجوم في نفسه حقٌّ‌، و أنّ تأثير النجوم في السفليات حقّ‌، ولكن لايكون بحيث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كثيراً ما يخطئون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الحساب حق، ولكن لايعلم ذلك إلاّ من علم مواليد الخلق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أصح من الرؤيا، و ذلك هو كانت صحيحة حين لم تُردّ الشمس على يوشع بن نون و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ردّ الله عزّوجلّ الشمس عليهما ضلّ فيها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مصيب و مخطئ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102:12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102:12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السفر إلى الحج،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80" w:name="pg16065_152870"/>
    </w:p>
    <w:p>
      <w:pPr>
        <w:pStyle w:val="BookText"/>
        <w:rPr/>
      </w:pPr>
      <w:bookmarkEnd w:id="280"/>
      <w:r>
        <w:rPr>
          <w:rFonts w:ascii="Amiri" w:hAnsi="Amiri" w:eastAsia="Amiri" w:cs="Amiri"/>
          <w:color w:val="111111"/>
          <w:sz w:val="28"/>
          <w:sz w:val="28"/>
          <w:szCs w:val="28"/>
          <w:rtl w:val="true"/>
          <w:lang w:bidi="ar-SA"/>
        </w:rPr>
        <w:t>و من المعلوم أنّ الظاهر منها أنّه لايجوز الاعتقاد و الإخبار البتّي و القطعي بتأثير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مطابقتهما مع الواقع، و أكثر المحذورات من لوازم البتّ و القطع، فإذا علم بكثرة الخطأ فعليه ألاّ يعتقد و لايخبر عنه بالبتّ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ما عرفت من أنّه لابأس بالنظر في هذا العلم، و تعلّمه و تعليمه، و الإخبار عما يقتضيه مما وصل إليه من قواعده، لاعلى جهة الجزم بل على معنى جريان عادة الله تعالى بفعله كذا عند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الاعتقاد بالتأثير لاعلى جهة الجزم بل بمعنى أن العلويات مؤثّرات بإذنه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إخبار المنجّم عما يترتب عليه من الآثار فلاإشكال فيه أيضاً إن كان على سبيل الظن مع احتمال الخلاف، بل و إن كان على سبيل الجزم مع إظهار اعتقاد أنّ الله تعالى يمحو ما يشاء و يثبت و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على سبيل الجزم و أنّه لايحتمل الخلاف فهو سحر و كهانة و تنجيم، على الوجه المحرم الذي اُشير إليه في الأخبار السابقة من أنّه تكذيب للقرآن و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85304_1280447820"/>
      <w:bookmarkStart w:id="282" w:name="_Toc101"/>
      <w:bookmarkEnd w:id="281"/>
      <w:r>
        <w:rPr>
          <w:rtl w:val="true"/>
        </w:rPr>
        <w:t>فروع مرتبطة بالتنجيم</w:t>
      </w:r>
      <w:bookmarkEnd w:id="282"/>
    </w:p>
    <w:p>
      <w:pPr>
        <w:pStyle w:val="Heading4"/>
        <w:numPr>
          <w:ilvl w:val="3"/>
          <w:numId w:val="1"/>
        </w:numPr>
        <w:rPr/>
      </w:pPr>
      <w:bookmarkStart w:id="283" w:name="__RefHeading___Toc285306_1280447820"/>
      <w:bookmarkStart w:id="284" w:name="_Toc102"/>
      <w:bookmarkEnd w:id="283"/>
      <w:r>
        <w:rPr>
          <w:rtl w:val="true"/>
        </w:rPr>
        <w:t>الأوّل</w:t>
      </w:r>
      <w:r>
        <w:rPr>
          <w:rtl w:val="true"/>
        </w:rPr>
        <w:t xml:space="preserve">: </w:t>
      </w:r>
      <w:r>
        <w:rPr>
          <w:rtl w:val="true"/>
        </w:rPr>
        <w:t>هل يجوز تصديق المنجّم وترتيب الأثر على قوله أم لايجوز؟</w:t>
      </w:r>
      <w:bookmarkEnd w:id="284"/>
    </w:p>
    <w:p>
      <w:pPr>
        <w:pStyle w:val="BookText"/>
        <w:rPr/>
      </w:pPr>
      <w:r>
        <w:rPr>
          <w:rFonts w:ascii="Amiri" w:hAnsi="Amiri" w:eastAsia="Amiri" w:cs="Amiri"/>
          <w:color w:val="111111"/>
          <w:sz w:val="28"/>
          <w:sz w:val="28"/>
          <w:szCs w:val="28"/>
          <w:rtl w:val="true"/>
          <w:lang w:bidi="ar-SA"/>
        </w:rPr>
        <w:t>لاإشكال في عدم جوازه إذا أخبر عن اُمور تكون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كاستقلال العلويات أو اشتراكها في التأثير أو تفويض التأثير إليها بعد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التصديق الجناني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أمثال ذلك مساوق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لايجوز تصديقه فيما إذا أخبر بتّاً و جزماً عن تأثيرها مع الاعتقاد بكونها مخلوقة للباري تعالى و أنّه هو المؤثر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الإخبار البتّي و الجزمي ينافي الضروري من الدين من تأثير الدعاء و الصدقات و نحوهما، بل لو التفت إلى أنّ ذلك يؤدي إلى إنكار ضروريّ من الضروريات كان التصديق المذكور موجباً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إذا أخبر عن اُمور مع تأثير العلويات أو بدونه عند صيرورة الأفلاك في أوضاع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 الكهنة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تصديقه و لو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عنه في الأخبار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الأمالي بإسناده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أهل النهروان أتاه منجّم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لاتسر في هذه الساعة و سر في ثلاث ساعات يمضين من النهار،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في هذه الساعة أصابك و أصاب أصحابك أذىً و ضرّ شديد، و إن سرت في الساعة التي أمرتك ظفرت و ظهرت و أصبت كلّ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ما في بطن هذه الدابة أذَكَر أم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صدّقك على هذا القول فقد كذّب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ما ادّعيت، أتزعم أنّك تهدي إلى الساعة التي من صار فيها صرف عنه السوء و الساعة التي من صار فيها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صدّقك بهذا استغنى بقولك عن الاستعانة بالله في ذلك الوجه، و أحوج إلى الرغبة إليك في دفع المكروه عنه، و ينبغي أن يوليك الحمد دون ربّه عزّوجلّ‌، فمن آمن لك بهذا فقد اتّخذك من دون الله ضدّاً و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لاطير إلاّ طيرك، و لاضير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ضيرك، و لاخير إلاّ خيرك، و لاإله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المنجّم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نكذّبك و نسير في الساعة التي نهيت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هو المنع عن تصديق المنجّم فيما أخبر عنه بالإخبار القطعي، سواء كان التصديق جنانياً أو عملياً، هذا مضافاً إلى أنّه لادليل على اعتبار قولهم، فلاوجه للاعتماد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قيس المروية في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 بقول عرّاف و لاقائف و لالصّ‌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لاأقبل شهادة فاسق إلاّ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العرّاف هو المنجّم، و أمّا بناءً على أن المراد منه هو الكاهن فلاتدل إلاّ بضميمة أن المنجّم كالكاهن، ولكنه منوط بعموم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من النهي عن الأخذ هو النهي عن التصديق العملي بقول المنجّم، فلايجوز التصديق العملي بقول المنجّم الذي أخبر عن اُمور بالإخبار القطعي، بل اللازم هو العمل بالقواعد و الاُصول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الحسين بن زيد عن الصادق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 صدّقه فقد برئ مما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يمطر نوء كذا، و نوء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269:8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السفر إلى الحج،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لايمطر، ومنها أنّهم كانوا يأتون العرفاء فيصدّقونهم بما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لايجوز التعويل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صدّق كاهناً أو منجّماً فهو كافر بما اُنزل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أنّ المستفاد من هذه الأخبار هو النهي عن تصديق المنجّم الذي أخبر بتّاً و جزماً بحيث يوجب استغناء المخاطب عن الله تعالى، أو الذي اعتقد أن العلويات مستقلات أو مشتركات في التأثير، أو غير ذات حاجة إلى المبدأ المتعال بقاءً في الوجود و التأثير، كما يشير إليه إطلاق المشرك عليه و أنّه كافر بما اُنزل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لايشمل 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أخبر بأنّ اقتضاءها بإذن الله تعالى كذا و كذا بحيث لايستغني المخاطب عن الله تعالى، و لايوجب الشرك، و لايستلزم الكفر بما اُنزل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لايكون إخباره شبيهاً بإخبار الكاهن، فضلا عما إذا لم يعتقد باقتضائها أصلا، فالتصديق الجناني بالنسبة إليه لايوجب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التصديق العملي فلايجوز ما لم يوجب قوله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صدّق منجّماً أو كاهناً فقد كفر بما اُنزل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تصديق المنجّم تكذيب للشارع المكذّب له، و يدل على ذلك عطف الكاهن عليه، كما أفاده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 هو الكفر من جهة لزوم إنكار ما أنزل الله لاتكذيب الشارع في تكذيبه للمنجّم، و لعل وجه الإنكار هو الإخبار القطعي و البتّي الذي يؤول إلى الاستغناء عن الله تعالى، و هو كفر لو التفت إليه، و المفروض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271:8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231:17</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85" w:name="pg16065_152874"/>
    </w:p>
    <w:p>
      <w:pPr>
        <w:pStyle w:val="BookText"/>
        <w:rPr/>
      </w:pPr>
      <w:bookmarkEnd w:id="285"/>
      <w:r>
        <w:rPr>
          <w:rFonts w:ascii="Amiri" w:hAnsi="Amiri" w:eastAsia="Amiri" w:cs="Amiri"/>
          <w:color w:val="111111"/>
          <w:sz w:val="28"/>
          <w:sz w:val="28"/>
          <w:szCs w:val="28"/>
          <w:rtl w:val="true"/>
          <w:lang w:bidi="ar-SA"/>
        </w:rPr>
        <w:t>غيره،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لادليل على تكذيب الشارع لمطلق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الجناني بالنسبة إلى المنجّم فيما كان يعتقده كفراً و إنكاراً للضروري من الدين غير جائز، دون ما لم يكن كذلك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التصديق العملي فإنه لايجوز إلاّ إذا حصل الاطمئنان من قوله</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85308_1280447820"/>
      <w:bookmarkStart w:id="287" w:name="_Toc103"/>
      <w:bookmarkEnd w:id="286"/>
      <w:r>
        <w:rPr>
          <w:rtl w:val="true"/>
        </w:rPr>
        <w:t>الثاني</w:t>
      </w:r>
      <w:r>
        <w:rPr>
          <w:rtl w:val="true"/>
        </w:rPr>
        <w:t xml:space="preserve">: </w:t>
      </w:r>
      <w:r>
        <w:rPr>
          <w:rtl w:val="true"/>
        </w:rPr>
        <w:t>هل يجوز تعلّم علم النجوم و تعليمه أم لا؟</w:t>
      </w:r>
      <w:bookmarkEnd w:id="287"/>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حرمته لو لم يكن المقصود منه هو ترتيب الأثر أو الإخبار بمقتضاه على جهة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الكهانة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بعدم الحرمة في العلم و التعلّم و التعليم لاللعمل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غيره بعد انصراف الكهانة و الكاهن للعمل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بعدم انفكاك العلم عن العمل هنا، و فيه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في الكاهن هكذا ففي المنجّم الذي شُبّه به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الدالة على كثرة الخطأ في علم النجوم فهي لاتدل على النهي عن ذلك، بل غايتها أن كثرة الخطأ مانعة من الحكم البتّي و القطعي في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الإحاطة بتمام دقائق هذا العلم مما لايتيسر إلاّ لخزّان علم الله دون غيرهم الذين قد يتخيّلون دلالة القِران المخصوص على النحس و هو سعد و بالعكس، كما اتفق للمنجّم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الإحاطة بتمام اقتراناتها و أحوالها، لكن ذلك لايمنع من النظر فيما دوّنوه من بعض أحوالها الجارية مجرى الغالب، و لامن العمل بما يقوله أهلها على 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يحمل تعلّم جماعة من الشيعة و غيرهم و فيهم العلماء و المحدثون و غيرهم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بن موسى النوبختي، و موسى بن الحسن و غيره من بني نوبخت، و أحمد بن محمد بن خالد البرقي، و أحمد بن محمد بن طلحة، و الجلودي البصري، و محمد بن أبي عمير، و محمد بن مسعود العياشي، و الفضل بن أبي سهل الذي أخبر المأمون بخطأ المنجّمين في الساعة التي اختاروها لولاية العهد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فزجره المأمون و نهاه أن يخبر بذلك أحداً، فعلم أنّه 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غيرهم ممن وقفنا لهم على أشياء يقطع الإنسان بأنّها ليست محض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 على من تتبع أحوالهم، و وقف على جملة مما نقل من إخباراتهم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ولكن لاوجه لقصر الجواز على التعلّم و التعليم و العمل على وجه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جواز الإخبار لاعلى جهة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فلامانع من جوازهما للإخبار من دون جزم و قطع،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التعليم و التعلّم و النظر في النجوم مع اعتقاد كونها علامات و دلالات على ما يحدث من الحوادث و الكائنات أكثر، لكن بحيث يجوز للقادر الحكيم أن يغيّرها و يبدّلها لأسباب و دواع على وفق إرادته و حكمته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الأمر كذلك مع اعتقاد كونها مؤثرات بإذن الله بحيث يجوز للقادر الحكيم التغيير و التبديل، بل يجوز الإخبار من دون بتّ و حكم 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فالمحرم في التنجيم هو الاعتقاد بكون العلويات مؤثرات استقلالا أو اشتراكاً، أو مفوّضات في التأثير، أو مؤثرات من دون إمكان التغيير و التبديل، أو الإخبار البتّي و القطعي على نحو ينافي الضروري من الدين من تأثير الدعاء و الصدقات، أو على نحو الإخبار الغيبي كإخبارات الكهنة،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461:26</w:t>
      </w:r>
      <w:r>
        <w:rPr>
          <w:rFonts w:eastAsia="Amiri" w:cs="Amiri" w:ascii="Amiri" w:hAnsi="Amiri"/>
          <w:color w:val="111111"/>
          <w:sz w:val="28"/>
          <w:szCs w:val="28"/>
          <w:rtl w:val="true"/>
          <w:lang w:bidi="ar-SA"/>
        </w:rPr>
        <w:t xml:space="preserve">. </w:t>
      </w:r>
      <w:bookmarkStart w:id="288" w:name="pg16065_152876"/>
    </w:p>
    <w:p>
      <w:pPr>
        <w:pStyle w:val="Heading4"/>
        <w:numPr>
          <w:ilvl w:val="3"/>
          <w:numId w:val="1"/>
        </w:numPr>
        <w:rPr/>
      </w:pPr>
      <w:bookmarkStart w:id="289" w:name="__RefHeading___Toc285310_1280447820"/>
      <w:bookmarkStart w:id="290" w:name="_Toc104"/>
      <w:bookmarkEnd w:id="288"/>
      <w:bookmarkEnd w:id="289"/>
      <w:r>
        <w:rPr>
          <w:rtl w:val="true"/>
        </w:rPr>
        <w:t>الثالث</w:t>
      </w:r>
      <w:r>
        <w:rPr>
          <w:rtl w:val="true"/>
        </w:rPr>
        <w:t xml:space="preserve">: </w:t>
      </w:r>
      <w:r>
        <w:rPr>
          <w:rtl w:val="true"/>
        </w:rPr>
        <w:t>هل يكون الكلام في الرمل و الفأل و غيرهما كذلك أم لا؟</w:t>
      </w:r>
      <w:bookmarkEnd w:id="290"/>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الكلام في الرمل و الفأل و نحوهما من العلوم التي يستكشف بها علم الغيب، فإنها تحرم مع اعتقاد المطابقة لامع عدمه، 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الفأل و يكره الطيرة، بل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كثيرة كالاستخارة و بعض الحسابات و غيرهما مما يستفاد منه كثير من المغيبات، لكن لاعلى وجه الجزم و اليقين، و لعل ذلك كله من فضل الله على عباده و هدايته بهم، نحو ما جاء عنهم في الرُّقى أنها تدفع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الباب باب عظيم ليس المقام مقام ذكره، خصوصاً ما يتعلق في الحروز و الطلسمات و خواص الحروف و بعض الأشياء و غيرها و ما يتولد منها من المصالح و المفاسد، ولكن ينبغي تجنّب ما فيه ضرر على الناس، و استعمال ما فيه نفع لهم مما هو ليس بسحر،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منه أن الإخبار عن الغائبات على سبيل الجزم محرم من أي طريق كان، و يدل عليه صحيحة 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الشيء يُسرق أو شبه ذلك فنسأله‌؟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فيما يقول فقد كفر بما أنزل الله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هذه الصحيحة أن الإخبار عن الغائبات على سبيل الجزم محرّم مطلقاً، سواء كان بالكهانة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المخبر بالشيء الغائب بين الساحر و الكاهن و الكذّاب، و جعل الكل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108:12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291" w:name="pg16065_152877"/>
    </w:p>
    <w:p>
      <w:pPr>
        <w:pStyle w:val="Heading2"/>
        <w:numPr>
          <w:ilvl w:val="1"/>
          <w:numId w:val="1"/>
        </w:numPr>
        <w:rPr/>
      </w:pPr>
      <w:bookmarkStart w:id="292" w:name="__RefHeading___Toc285312_1280447820"/>
      <w:bookmarkStart w:id="293" w:name="_Toc105"/>
      <w:bookmarkEnd w:id="291"/>
      <w:bookmarkEnd w:id="292"/>
      <w:r>
        <w:rPr>
          <w:rtl w:val="true"/>
        </w:rPr>
        <w:t>المسألة السابعة عشر في حرمة حفظ كتب الضلال</w:t>
      </w:r>
      <w:bookmarkEnd w:id="293"/>
    </w:p>
    <w:p>
      <w:pPr>
        <w:pStyle w:val="Heading3"/>
        <w:numPr>
          <w:ilvl w:val="2"/>
          <w:numId w:val="1"/>
        </w:numPr>
        <w:rPr/>
      </w:pPr>
      <w:bookmarkStart w:id="294" w:name="__RefHeading___Toc285314_1280447820"/>
      <w:bookmarkStart w:id="295" w:name="_Toc106"/>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يقع الكلام في جهات</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85316_1280447820"/>
      <w:bookmarkStart w:id="297" w:name="_Toc107"/>
      <w:bookmarkEnd w:id="296"/>
      <w:r>
        <w:rPr>
          <w:rtl w:val="true"/>
        </w:rPr>
        <w:t>الجهة الاُولى في نقل كلمات الأصحاب</w:t>
      </w:r>
      <w:r>
        <w:rPr>
          <w:rtl w:val="true"/>
        </w:rPr>
        <w:t>:</w:t>
      </w:r>
      <w:bookmarkEnd w:id="297"/>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الأجر على كتب المصاحف و جميع علوم الدين و الدنيا جائز و لايحلّ كتب الكفر و تخليده الصحف إلاّ لإثبات الحجج في فساده و التكسّب بحفظ كتب الضلال و كَتْبِه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التكسّب بحفظ كتب الضلال و نسخه حرام محظور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بأخذ الأجر على نسخ كتب العلوم الدينيّة و الدنيويّة و لايجوز نسخ كتب الكفر و الضلال و تخليدها إلاّ لإثبات الحجج بذلك على الخصم أو النقض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المبسوط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 المغنم كتب نظر فيها فإن كانت مباحة يجوز إقرار اليد عليها مثل كتب الطبّ و الشعر و اللغة و المكاتبات فجميع ذلك غنيمة و كذلك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كتباً لايحلّ‌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إمساكها كالكفر و الزندقة و ما أشبه ذلك، كلّ ذلك لايجوز بيعه و ينظر فيه، فإن كان ممّا ينتفع بأوعيته إذا غسل كالجلود و نحوها فإنّها غنيمة و إن كان ممّا لاينتفع بأوعيته كالكاغذ فإنّه يمزّق و لايحرّق لأنّه ما من كاغذ إلاّ و له قيمة، و حكم التوراة و الإنجيل هكذا كالكاغذ، فإنّه يمزّق لأنّه كتاب مغيّر مبدّل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سلاّر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المحرّم من المكاسب و الأجر على كتب الكفر إلاّ أن يراد به النقص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البرّاج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المحرّم من المكاسب و نسخ كتب الضلال و حفظه و إيراد الشبهة القادحة و تخليدها في الكتب من غير نقض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زهرة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المحرّمات و أحاديث القُصّاص و أسباب الفرح بالأباطيل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الصهرشتي في إصباح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المحرّمات و التكسّب ينسخ كتب الضلال و 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أخذ الاُجرة على مدائح أهل الإيمان بالصدق و على نسخ كتب الضلال و انتساخها لإثبات الحجج على الخصم و النقض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 في السرائر في عداد المحرمات و نسخ الضلال و حفظه و الاُجرة عليه و إيراد الشُبه القادحة و تخليدها باتّخاذ الكتب من غير نقض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275:13</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في عداد المحرّمات و أحاديث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 الحلّي، في نزهة الناظر في عداد المحرّمات و بيع كتب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الأعمال المحرّمة و حفظ كتب الضلال و نسخها لغير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في عداد الأعمال المحرّمة و حفظ كتب الضلال و نسخها لغير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في عداد ما نصّ الشرع على تحريمه و حفظ كتب الضلال و نسخها لغير النقض أو الحجّة و نسخ التوراة و الإنجيل و تعليمهما و أخذ الاُجرة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الأعمال المحرّمة و حفظ كتب الضلال و نسخها لغير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كتب الضلال و نسخها لغير النقض 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تلخيص المرام مع إضافة التوراة و 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281:35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414:14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497:14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200:35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312:35</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w:t>
      </w:r>
      <w:r>
        <w:rPr>
          <w:rFonts w:eastAsia="Amiri" w:cs="Amiri" w:ascii="Amiri" w:hAnsi="Amiri"/>
          <w:color w:val="111111"/>
          <w:sz w:val="28"/>
          <w:szCs w:val="28"/>
          <w:lang w:bidi="ar-SA"/>
        </w:rPr>
        <w:t>335:35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حفظ كتب الضلال و نسخها لغير النقض أو الحجّة و تعلّمها و نسخ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منسوخان محرّفان و تعليمهما و تعلمهما حرام و أخذ الاُجرة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حفظ كتب الضلال و نسخها لغير النقض و الحجّة عليهم بلاخلاف، و كذا يحرم نسخ التوراة و الإنجيل و تعليمهما و أخذ الاُجرة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مساعدة على الحقّ و تقوية الباطل و لاخلاف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نهاية الأحكام في ضمن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 نسخها لغير النقض أو الحجّة و نسخ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منسوخان و خرج عليّ عليه السلام يوماً إلى المسجد و في يد عمر شيء من التوراة فأمره بإلقائها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حيّين لما وسعهما إلاّ اتّباعي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لأنّهما قد حرّفا و غيّرا و بدّلا، و كذا تعليمهما و أخذ الاُجرة عليهما لما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نسخ الكتب المنسوخة و تعلّمها و تعليمها و كتب اهل الضلال و البدع إلاّ لحاجة من نقض أو حجّة أو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المحرّمات و حفظ كتب الضلال عن التلف أو عن ظهر القلب و نسخها و درسها قرائة و مطالعة و مذاكرة لغير النقض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توجد الرواية في الجوامع إلاّ بكيفية اُخرى روى في مسند أحمد عن عبدالله بن ثابت قال جاء عمر بن الخطّاب إلى النبيّ صلّى الله عليه و آله فقال يا رسول الله إنّي مررت بأخ لي من بني قريظة فكتب لي جوامع من التوراة ألا أعرضها عليك فتغيّر وجه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لو أصبح فيكم موسى ثمّ اتّبعتموه و تركتموني لظللتم أنّكم حظّي من الاُمم و أنا حظّكم من النبيّين 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الكوفيّين حديث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الاحكام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bookmarkStart w:id="298" w:name="pg16065_152881"/>
    </w:p>
    <w:p>
      <w:pPr>
        <w:pStyle w:val="BookText"/>
        <w:rPr/>
      </w:pPr>
      <w:bookmarkEnd w:id="298"/>
      <w:r>
        <w:rPr>
          <w:rFonts w:ascii="Amiri" w:hAnsi="Amiri" w:eastAsia="Amiri" w:cs="Amiri"/>
          <w:color w:val="111111"/>
          <w:sz w:val="28"/>
          <w:sz w:val="28"/>
          <w:szCs w:val="28"/>
          <w:rtl w:val="true"/>
          <w:lang w:bidi="ar-SA"/>
        </w:rPr>
        <w:t>لها أو الحجّة على أهلها بما اشتملت عليه مما يصلح دليلاً لإثبات الحقّ أو نقض الباطل لمن كان من أهلها أو التقيّة و بدون ذلك يجب إتلافها ان لم يمكن أفراد مواضع الضلال و إلاّ اقتصر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على الطباطبائي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 كتب الضلال عن الإندراس أو عن ظهر القلب و نسخها و تعليمها و تعلّمها لغير النقض لها و الحجّة على أربابها بما اشتملت عليه ممّا يصلح دليلاً لإثبات الحق أو نقض الباطل لمن كان من أهلهما و يلحق به الحفظ للتقيّة أو لغرض الاطّلاع على المذاهب و الآراء ليكون على بصيرة و تمييز الصحيح من الفاسد أو لغرض الإعانة على التحقيق أو تحصيل ملكة للبحث و الاطّلاع على الطرق الفاسدة ليتحرّز عنها أو غير ذلك من الأغراض الصحيحة كما ذكره جماعة، و ينبغى تقييده بشرط الأمن على نفسه من الميل إلى الباطل بسببها، و أما بدونه فمشكل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الضرر الواجب الدفع عن النفس و لو من باب المقدمة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الأصل في المسألة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ذلك بعدم القول بالفرق بين الطايفة مضافاً إلى عدم الخلاف فيها مطلقاً، بل و عليه الإجماع عن ظاهر المنتهى مع أنّ فيه نوع إعانة على الإثم و وجوه الفساد الواجب دفعها من باب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85318_1280447820"/>
      <w:bookmarkStart w:id="300" w:name="_Toc108"/>
      <w:bookmarkEnd w:id="299"/>
      <w:r>
        <w:rPr>
          <w:rtl w:val="true"/>
        </w:rPr>
        <w:t>الجهة الثانية في تبيين الموضوع للبحث</w:t>
      </w:r>
      <w:r>
        <w:rPr>
          <w:rtl w:val="true"/>
        </w:rPr>
        <w:t>:</w:t>
      </w:r>
      <w:bookmarkEnd w:id="300"/>
    </w:p>
    <w:p>
      <w:pPr>
        <w:pStyle w:val="BookText"/>
        <w:rPr/>
      </w:pPr>
      <w:r>
        <w:rPr>
          <w:rFonts w:ascii="Amiri" w:hAnsi="Amiri" w:eastAsia="Amiri" w:cs="Amiri"/>
          <w:color w:val="111111"/>
          <w:sz w:val="28"/>
          <w:sz w:val="28"/>
          <w:szCs w:val="28"/>
          <w:rtl w:val="true"/>
          <w:lang w:bidi="ar-SA"/>
        </w:rPr>
        <w:t>و المذكور في كلمات الأصحاب هو كتب الكفر و كتب الضلال و كتب الكفر و الزندقة و ما أشبه ذلك و إيراد الشبهة القادحة و التوراة و الإنجيل و الكتب المنسوخة و كتب أهل الضلال و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الكلمات و معقد الإجماع أنّ المحرّم هو ما يكون موجباً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اوائل كتاب التجارة ط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للضلال و هو عنوان أعمّ و لاينافيه تخصيص بعضهم موضوع البحث بعنوان أضيق كالكفر أو التوراة و الإنجيل و الكتب المنسوخة لأنّ مرادهم ليس هو إنحصار الموضوع في هذه العناوين المضيّقة بل ذكرها من باب مصداق ما يوجب الضلال و عليه فلايبعد دعوى أنّ الأصحاب أجمعوا على أنّ موضوع حرمة الحفظ هو ما يوجب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معقد نفي الخلاف إلاّ حرمة ما كان موجباً للضلال و هو الذي دلّ عليه الأدلّة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لافرق في صدق الضلال بين أن تكون الكتب موضوعة لغرض الضلال و إغواء الناس و بين أن يكون موجبة لذلك و لولم تكن محرّرة بقصد ذلك فإنّها على كلّ تقدير يترتّب عليهم الضلال نعم اللازم حينئذ من هو غلبة المفسدة و أمّا إذا كانت المصلحة غالبة في الكتب التي لم توضع للإضلال مشمول الكلمات و الأدلّة بالنسبة إليها غير ثابت إذ مع ترتّب المصلحة الغالبة لاينطبق عليه عنوان يجيء منها الفساد محضاً و نحوه و لايحكم العقل بعدم الجواز في هذه الصورة إن لم نقل بأنّه يحكم بالوجوب حفظاً للدين كما في جامع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التفوّه بحرمة حفظ الأحاديث المشكلة و المستصعبة التي ربما توجب ضلالة بعض النفوس النازلة و ليس ذلك إلاّ لما عرفت من أنّ الملاك في الحرمة هو المفسدة الغالبة فمع المصلحة الغالبة لاينطبق عليه عنوان ما في الأدلّة من الفساد المحض أو ما يقوى به الكفر بل بعلّة لاينطبق على نافيه مصلحة غير نادرة بعد كون الموضوع متّخذاً من الأدلّة ثمّ إنّ المراد من الضلال هل هو الضلال في المعارف الدينيّة أو يراد به الأعمّ من الفاسد الإطلاقيّة و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الضلال هو الضلال عن الدين بالإنكار أو الشكّ في أحد المعارف الخمس و ما يتبعها و يحتمل أن يراد به في المقام الأعمّ من ذلك و ممّا يوجب الفسق و الاقدام على المعاصي كالكتب المفسقة في علم السحر و الشعبدة و الكهانة و نحوها و يدلّ عليه عموم بعض الأدلّة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أنّه لاوجه لدعوى الإنصراف مع تصريح بعض الأصحاب و البدع و الشبهات القادحة، هذا مضافاً إلى عدم خصوصيّة في الضلال عن المعارف الدينيّة بل عموم الأدلّة يكفى للتجاوز عن خصوص الضلال عن المعارف الدينية كما أشار إليه و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أفاد و أجاد في مصباح الفقاهة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بكتب الضلال كلّ ما وضع لغرض الإضلال و إغواء الناس و أوجب الضلالة و الغواية في الاعتقادات أو الفروع فيشمل كتب الفحش و الهجو و السخرية و كتب القصص و الحكايات و الجرائد المشتملة على الضلالة و بعض كتب الحكمة و العرفان و السحر و الكهانة و نحوها ممّا يوجب الإضلال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أنّ مجرّد اشتمال الكتب على الأمور الباطلة لايدرجها في الكتب الضالّة و عليه فيشكل شمول عنوان الضلالة لمثل كتب القصص و الهجو و السخريّة من دون أن يكون مضلّة و إن كانت باطلة بل يشكل إدراج الكتب المحرّفة في كتب الضلال من جهة أنّها لاتوجب ضلالة بالنسبة إلى المسلمين بعد بداهة نسخها نعم إنّها كانت موجبة للضلال بالنسبة إلى اليهود و النصارى قبل نسخ دينهما إلاّ أنّ عنوان الضلالة لايصدق عليها بالفعل بعد الإسلام لضلالة اليهود و النصارى بعد البعثة النبويّة فلايوجب الكتب المحرّفة ضلالة اُخرى في حقّهم كما لاتوجب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ضلالة في حقّ المسلمين لعلمهم بالنسخ مع أنّ اللازم هو صدق عنوان الضلالة عليها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تنقيح هذا العنوان و أنّ المراد بالضلال ما يكون باطلاً في نفسه فالمراد الكتب المشتملة على المطالب الباطلة أو أنّ المراد به مقابل الهداية فيحتمل أن يراد بكتبه ما وضع لحصول الضلال و أن يراد ما أوجب الضلال و إن كان مطالبها حقّة كبعض كتب العرفاء و الحكماء المشتملة على ظواهر منكرة يدعون أنّ المراد غير ظاهرها فهذه أيضاً كتب ضلال على تقدير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الكتب السماويّة المنسوخة الغير المحرّفة لاتدخل في كتب الضلال و أمّا المحرّفة كالتوراة و الإنجيل على ما صرّح به جماعة داخلة في كتب الضلال بالمعنى الأوّل بالنسبة إلينا حيث إنّها لايوجب للمسلمين بعد بداهة نسخها ضلالة نعم توجب الضلالة لليهود و النصارى قبل نسخ دينهما فالأدلّة المتقدّمة لاتدلّ على حرمة حفظهما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الضلالة عن مثل التوراة و الإنجيل المحرّفة غير مقبول لرجوع اليهود و النصارى إليهما نسلاً بعد نسل مع أنّها محرّفة كما أنّ نشرها في الجوامع الإسلاميّة ربّما توجب الضلالة في بعض النفوس النازلة فيصدق عليهما عنوان الضلالة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ممّا ذكر حكم تصانيف المخالفين في الاُصول و الفروع و الحديث و التفسير و اُصول الفقه و غيرها من العلوم، فإنّها إن اشتملت على الضلالة و الإضلال فهي مندرجة تحت كتب الضلال بلاكلام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تكن كذلك فلايكون حفظها محرّماً كبعض الكتب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جريان الأدلّة في حفظ شيء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تلك الكتب إلاّ القليل مما الّف في خصوص إثبات الجبر و نحوه و إثبات تفضيل الخلفاء أو فضائلهم و شبه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حكم تصانيف الكفّار و لايخفى عليك أنّ المحرّم هو موضع الضلالة لاغيره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كتب الضلال لاخصوصيّة لها في تحريم حفظها، بل يحرم حفظ كلّ ما يوجب الضلالة و إن لم تكن كتباً كالمسجّلات و الأفلام و المقابر المضلّة و نحوهما ممّا يتعارف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أفاد و أجاد السيّد المحقّق اليزدى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لاخصوصية للكتب في ذلك، فيحرم حفظ غيرها أيضاً ممّا من شأنه الإضلال كالمزار و المقبرة و المدرسة و نحو ذلك فكان الأولى تعميم العنوان و لعلّ غرضهم المثال لكون الكتب من الأفراد الغالبة لهذا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معيار الضلالة هو الإنحراف عن الضروريّات الدينيّة أو المذهبيّة أو اليقينيّات من الدين و المذهب سواء كانت اعتقاديّة أو عمليّة أو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بالضلال، ما خالف الحق واقعاً كما يخالف الضروري أو بحسب علم المكلّف خاصّة و أما ما خالفه بحسب ظنّه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فلايكون الأقوال الفقهيّة النادرة من مصاديق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موافقتها للواقع، و أيضاً لايكون ما يخالف العادات و الرسوم الغير الدينيّة و المذهبيّة من مصاديق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العادات المذكورة لسيت من الدين 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ما يوجب الفساد الأخلاقي أو العملي مندرج في الإنحراف العملي و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الإنحراف المذكور أعمّ من أن يكون عين الكتاب أو من لوازمه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ج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لايخفى عليك أنّ الظاهر من الأدلّة هو إلحاق كتب السحر و القيافة و أمثالهما بكتب الضلال، إن كانت مفاسدها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المستند أنّه هل يلحق بكتب الضلال كتب السحر و القيافة و أمثالهما من المحرّمات‌؟ الظاهر من رواية التحف ذلك ولكن لعدم تصريح الأصحاب به، لم يعلم الشهرة الجابرة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ينفيه إلاّ مع قصد التوصّل إلى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بعد كون المذكور في كلمات الأصحاب من باب المثال، لاضير في عدم التصريح بخصوص كتب السحر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المعتبر هو الأدلة و لاإشكال في انطباق الفساد عليها إذا كانت مفاسدها غالبيّة، و لاينحصر الأدلّة برواية التحف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أنّه لو علم بعدم ترتّب الضلال على كتب الضلال هل يكون حفظه محرّماً أو لا؟</w:t>
      </w:r>
    </w:p>
    <w:p>
      <w:pPr>
        <w:pStyle w:val="BookText"/>
        <w:rPr/>
      </w:pPr>
      <w:r>
        <w:rPr>
          <w:rFonts w:ascii="Amiri" w:hAnsi="Amiri" w:eastAsia="Amiri" w:cs="Amiri"/>
          <w:color w:val="111111"/>
          <w:sz w:val="28"/>
          <w:sz w:val="28"/>
          <w:szCs w:val="28"/>
          <w:rtl w:val="true"/>
          <w:lang w:bidi="ar-SA"/>
        </w:rPr>
        <w:t xml:space="preserve">قال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الاستدلال برواية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لافادة حرمة ما يجيء منه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أنّه قد تقدّم الاستدلال بمثل هذه الأدلّة على حرمة بيع الأعيان التي لايقصد منها إلاّ الحرام كهياكل العبادات المخترعة و آلات اللهو و القمار و نحوها و لم يعتبروا في ذلك ترتّب الحرام أو القصد إلى وقوعه و العلم بترتبه عليه، فلايكون بيع الأعيان المذكورة بنفسها قسماً محرّماً مقابلاً للأقسام المذكورة و هو خلاف صريح كلماتهم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مقتضى كلماتهم هناك أن المحرّم بمقتضى تلك الأدلة هو ما لايكون له فائدة إلاّ الحرام و إن لم يترتّب على هذا البيع تلك الفائدة بأن يعلم أنّ هذا الصنم الذي يبيعه لايقع عليه عبادة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في ما نحن فيه أن يقال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حفظ كتب الضلال و إن علم بعدم ترتّب ضلال على هذه الكتب الشخصيّة فضلاً عن صورة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كلماتهم في هذا المقام عدم ثبوت الحرمة إلاّ مع العلم بترتّب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الضلال عليه أو احتمال معتدّ به و التدافع بين الكلامين و الاستدلال في المقامين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الأظهر ما ذكروه هناك بقرينة إطلاق الأمثلة المذكورة في الرواية من هياكل العبادة المحرّمة و البرابط و المزامير و غيرها، بل عمومها المانع من دعوى انصرافها إلى ما يترتّب عليه الحرام و الفساد فعلا مضافاً إلى مقابلة تلك الفقرة بالفقرة السابقة في بيان ضابط ما يصحّ إجارته و بيعه بما فيه الصلاح و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لايعتبر في صحّة البيع و الإجارة ترتّب الصلاح و الانتفاع عليهما مخلاً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حينئذ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نفي الخلاف المحكيّ عن التذكرة و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يستفاد من الأدلة أنّ وجه الحرمة هو إمكان الإضلال و ترتّب الفساد المحض و هما لاينطبقان على ما علم أنّه لايترتّب عليه الإضلال و الفساد و لايرد عليه بالخصوص نهي شرعيّ حتّى يؤخذ به فيما إذا علم بأنّه لايترتّب عليه الاُمور المذكورة و قياس المقام بباب الآلات الملاهي و نحوهما ممّا ورد فيها النهي بالخصوص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علم بعدم ترتّب الإضلال أو الفساد فلاوجه لحرمة حفظه و الاستشهاد بقرينة المقابلة ينتج عكس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 القرينة المقابلة هو اشتراط إمكان ترتّب الصلاح و الانتفاع لافعليّتهما، فكما أنّ إمكانهما شرط في صحّة الإجارة و البيع فكذلك إمكان الإضلال و ترتّب الفساد المحض شرط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301" w:name="pg16065_152888"/>
    </w:p>
    <w:p>
      <w:pPr>
        <w:pStyle w:val="BookText"/>
        <w:rPr/>
      </w:pPr>
      <w:bookmarkEnd w:id="301"/>
      <w:r>
        <w:rPr>
          <w:rFonts w:ascii="Amiri" w:hAnsi="Amiri" w:eastAsia="Amiri" w:cs="Amiri"/>
          <w:color w:val="111111"/>
          <w:sz w:val="28"/>
          <w:sz w:val="28"/>
          <w:szCs w:val="28"/>
          <w:rtl w:val="true"/>
          <w:lang w:bidi="ar-SA"/>
        </w:rPr>
        <w:t>حرمة الأمثلة المذكورة 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بعدم ترتب الفساد و الإضلال فلاوجه للحرمة، و عليه فما جعل من الكتب في محلّ آثار قديمة لاراءة قدمتها بحيث لايمكن الاستفادة منها لايشمله أدلّة حرمة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 رواية عبد الملك حيث شكى إلى الصادق عليه السلام إنّي ابتليت بالنظر إلى النجوم، فقال عليه السلام أتقضى‌؟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الأمر للوجوب دون الإرشاد للخلاص من الابتلاء بالحكم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الاستفصال في هذه الرواية أنّه إذا لم يترتّب على إبقاء كتب الضلال مفسدة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حفظ كلّ شيء بحسبه و حفظ الكتب أو الأقلام و المسجّلات اقتنائها في محلّ تبقى و تصون من الآفات سواء كان المحلّ المذكور هو المكتبات أو تصوير صورها في الأجهزة الحديثة نحو ميكروفيلم أو كامبيوتر بل يشمل حفظها في الأذهان بأن تكرّر بحيث تثبت في الحافظة و لايعرضها السهو و النسيان و لقد أفاد و أجاد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الحفظ المحرّم يراد به الأعمّ من الحفظ بظهر القلب و النسخ و المذاكرة و جميع ما له دخل في بقاء المطالب المضلّة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85320_1280447820"/>
      <w:bookmarkStart w:id="303" w:name="_Toc109"/>
      <w:bookmarkEnd w:id="302"/>
      <w:r>
        <w:rPr>
          <w:rtl w:val="true"/>
        </w:rPr>
        <w:t>الجهة الثالثة</w:t>
      </w:r>
      <w:r>
        <w:rPr>
          <w:rtl w:val="true"/>
        </w:rPr>
        <w:t xml:space="preserve">: </w:t>
      </w:r>
      <w:r>
        <w:rPr>
          <w:rtl w:val="true"/>
        </w:rPr>
        <w:t>في الأدلّة</w:t>
      </w:r>
      <w:bookmarkEnd w:id="303"/>
    </w:p>
    <w:p>
      <w:pPr>
        <w:pStyle w:val="BookText"/>
        <w:rPr/>
      </w:pPr>
      <w:r>
        <w:rPr>
          <w:rFonts w:ascii="Amiri" w:hAnsi="Amiri" w:eastAsia="Amiri" w:cs="Amiri"/>
          <w:color w:val="111111"/>
          <w:sz w:val="28"/>
          <w:sz w:val="28"/>
          <w:szCs w:val="28"/>
          <w:rtl w:val="true"/>
          <w:lang w:bidi="ar-SA"/>
        </w:rPr>
        <w:t>في الأدلّة،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قطع مادّة الفساد كما في المكاسب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العمدة، و المراد من مادّة الفساد هو ما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في مصباح الفقاهة بأنّ مدرك حكمه إن كان هو حسن العدل و قبح الظلم بدعوى أنّ قلع مادّة الفساد حسن و حفظها ظلم و هتك للشارع فيرد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لادليل على وجوب دفع الظلم في جميع الموارد و إلاّ لوجب على الله و على الأنبياء و الأوصياء الممانعة عن الظلم تكويناً مع أنّه تعالى هو الذي أقدر الإنسان على فعل الخير و الشرّ و هداه السبيل إما شاكراً و إما كفوراً و إن كان مدرك حكمه وجوب الإطاعة و حرمة المعصية لأمره تعالى بقلع مادّة الفساد فلادليل على ذلك إلاّ في موارد خاصة كما في كسر الأصنام و الصلبان و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بوجوب دفع مادّة الإفساد واضح لأنّ المراد من قبح الظلم أنّ فاعله مستحق للذمّ بحكم العقل، و هذا أمر من بديهيّات العقول فمقتضى كون الظلم قبيحاً بحكم العقل هو أن يكون الإضلال و الإفساد أيضاً قبيحاً لأنّه من أظهر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ظلم في حقّ الله و حقّ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بين أن يكون الإضلال و الإفساد فعلاً مباشرياً أو فعلاً تسبيبيّاً، فكما أنّ إلقاء الشبهة للإضلال محكوم بالقبح، فكذلك حفظ كتب الضلال مع معرضيّتها للمراجعة إليها، و الإضلال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إضلال 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ترى الإضلال التسبيبي أهون من فتح باب السيّارة مع معرضيّة لطرح الأطفال و نحوهم‌؟ ألا ترى أن العقل يحكم باستحقاق مذمّة الفاتح لو طرح طفل من السيّارة و قتل‌؟ فإذا حكم العقل في مثله بذلك فكيف لايحكم به في حفظ ما يكون له المعرضية للإضلال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مخالفة الله تعالى عن تحقّق الظلم تكويناً لاينافي ذلك لأنّ النظام الأتمّ يتقوّم بالاختيار فمع الممانعة التكوينيّة لايبقى الاختيار، و المفروض أنّ الحكمة أوجبت وجود النظام الأتمّ المتقوّم بالإختيار ليحصل فيه التكامل الاختياري الذي ليس له بدل في عالم من العوالم، فلو منع الله تعالى تكويناً عن تحقّق الظلم و الإفساد لزم الجبر و الإلجاء، و هو مناقض مع غرضه من خلقة النظام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الأتمّ المذكور، و عليه فاقداره تعالى الناس بالنسبة إلى فعل الخير و الشرّ معنون بعنوان مصلحة أتمّ و لايكون قبيحاً، بل هو مقتضى الحكمة العالية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لدعوى التلازم بين وجوب دفع الظلم و ممانعة التكوينيّة من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ترتّب المصلحة التي هي أتمّ على الإقدار، و من المعلوم أنّ حكم العقل في مصاديق العدل و الظلم يختلف باختلاف الحيثيّات و الجهات، فإذا كان شيء معنون بعنوان أحسن و أتمّ يتحقّق التكامل الإختياري به فهو محكوم بالحسن و الوجوب، و عليه فلايقاس المقام بفعله تعالى، فالعقل يحكم بقبح الإضلال و الإفساد المباشري أو التسبيبي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الملازمة المذكورة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دعوى إستقلال العقل بوجوب دفع المنكر كدفعه من جهة الحكمة المقتضية لتقريب الجامعة نحو السعادة و تبعيدهم عن الشقاوة و المفاسد فإنّها دليل عامّ لايختصّ بالمبدأ المتعال في إيجاب الشعبة و الرسالة بل يشملنا بعموم الملاك، فإذا وجب دفع المنكر كرفعه فدفع الكتب الضالّة واجب، فإنّ ما يوجب الضلال من أنكر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مستقلّ بوجوب منع تحقّق معصية المولى و مبغوضة و قبح التواني عنه، سواء في ذلك التوصّل إلى النهي أو الأمور الآخر الممكنة، فكما تسالموا على وجوب المنع من تحقّق ما هو مبغوض الوجود في الخارج سواء صدر من مكلّف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لمناط مبغوضيّة وجوده، فكذلك يجب المنع من تحقّق ما هو مبغوض صدوره من مكلّف و يرى العبد صدوره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المناط في كليهما واحد و هو تحقّق المبغوض، و إن اختلفا في أنّ الأوّل نفس وجوده مبغوض، و الثاني صدوره من مكلّف مبغوض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 يظهر ما في بلغة الطالب من منع استقلال العقل بوجوب دفع المنكر الذي منه ما نحن فيه و أنّه يكفي في اللطف الواجب الترحيب و الترهيب الصادران من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العقلي سابق على الترغيب و الترحيب الصادرين من الشرع، فينبغي أن يبحث بأنّ ما ورد في الشرع بعد حكم العقل هل هو إرشاديّ أو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فالعقل يحكم بلزوم المنع عن تحقّق المبغوض عند إمكانه و يرى الإخلال به خروجاً عن زيّ العبديّة بالنسبة إلى المولى و يحكم باستحقاق المخل للمذمّة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إلاّ معنى الوجوب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التكليف العقلي بوجوب دفع مادّة الفساد كسائر التكاليف مشروط بالقدرة العقليّة، فما كان خارجاً عن قدرته لم يكن محكوماً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بقبح التحفّظ على مادّة الفساد و الضلال المتتبّع بحرمته شرعاً بقاعدة الملازمة غير مسلّم و إلاّ لاستقلّ العقل بإزالة كلّ ما فيه أو منه فساد كالهجوم على أهل الكفر و الشرك و محو شوكتهم و معابدهم و كتبهم فإنّهم و ما معهم منشأ الفساد على الأرض و لااستقلال للعقل بذلك، و وجوب الجهاد حكم شرعيّ تعبدّيّ لالحكم العقل بلزوم قهر الناس على الإيمان مع أنّ الدنيا دار امتحان يكون فيها الخيار بين الهدى و الضلال و الكفر و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أنّه لااستيحاش في استقلال العقل بإزالة كلّ ما يكون منشأ للفساد ولكنّه كما عرفت مشروط بالقدرة العقليّة، فما خرج عن طاقة الفاعل لايجب عليه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مضافاً إلى إمكان منع كلّ كافر مفسداً كما إذا صار الكفّار من أهل الذمّة أو المعاهدة أو الاستيمان فليس القلع محكوماً بالوجوب، بل العهد و الميثاق يقتضي وجوب الوفاء به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التحفّظ على مادّة الفساد بحكم العقل لاينافي إختيار العباد و كون الدنيا دار 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لايصيرون بالوجوب المذكور مسلوب الإرادة و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في كلام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لو حكم بذلك لحكم بوجوب قتل الكافر، بل مطلق من يضلّ عن سبيل الله بعين ذلك الملاك، و لحكم أيضاً بوجوب حفظ مال الغير عن التلف، لكن حكمه بذلك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حكمه هو حكمه بقبح إلقاء الفساد و مصداقه فيما نحن فيه تأليف كتب الضلال، لاحفظ المؤلّف منها أو عدم التعرّض لإتلافها أو إثبات اليد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 الدليل القطع يعمّ الإضلال التسبيبي، و عليه فلايختصّ حكم العقل بصورة تأليف كتب الضلال بل يشمل المؤلّف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حفظه يكون معرضاً للإضلال و الإفساد التسبيبي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حرمة قتل بعض الكفّار كالذمّيّين و المعاهدين و المستأمنين لوجود مصالح آخر لاينافي حكم العقل بوجوب قلع مادّة الإفساد، كما لايلزم من الحكم العقلي في المقام الحكم بوجوب حفظ مال الغير عن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قلع مادّة الفساد هو قلع ما يوجب الإفساد لاكلّ فاسد و تألّف،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تماميّة حكم العقل بقبح حفظ ما يوجب الإضلال و الإفساد و معناه هو وجوب قلع مادّة الإفساد و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تقريب آخر ذهب إليه الشيخ مرتضى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حكم العقل، و تقريبه بما لم يسبق إليه على ما أعلم أنّه بعد ما علم أنّ بعض الاُمور تكون أهمّيّته عند الشارع بمثابة أوجب الاحتياط في محتمله، كما في الدماء و الفروج و الأموال، لاسيّما بالنسبة إلى الدماء، فإنّ دخالة شطر كلمة في قتل المؤمن و لو بنحو الإحتمال موجب للعقوبة، كما ورد في الأخبار، بل يأتي يوم القيامة و مكتوب على وجهه، أنّه آيس من رحمة الله فلاريب أنّ حفظ الإيمان و العقائد الحقّة أولى بالمراعات، فإنّه يهراق له الدماء، فحينئذ يحكم العقل بوجوب الاحتياط أو يكشف عن وجوب الاحتياط شرعاً على الوجهين في مقدّمات الإنسداد،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بكشف العقل عن وجوب الاجتناب حتّى بالنسبة إلى القاطع بعدم ترتّب الضلال إذا كان الواقع في مجموع موارد القطع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تقريب الحكومة في هذا الفرض اشكال ذكرناه في التعليق على المكاسب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مقتضى ذلك سدّ طريق احتمال حصول الضلالة، فكلّ كتاب يكون في حفظه أو نسخه أو بيعه أو شرائه أو ترك إتلافه احتمال الضلالة لنفسه أو لغيره يحرم عليه ذلك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ولكنّه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كشف أولويّة التحفّظ عن الضلال شرعاً من وجوب الاحتياط و التحفّظ الشرعي في الاُمور المتّهم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غير حكم العقل بقبح حفظ ما يوجب الضلال، و يقرب منه ما في المواهب، من أنّ العقل يحكم بوجوب التحفّظ على مقاصد المولى و حفظ حرمتها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يتمسّك بوجوب دفع الضرر المحتمل أو المظنون عن النفس،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أورد عليه في المستند، بأنّه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يفيد لو انحصر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الفضيلة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الدفع بذلك،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بعدم الرجوع أو المجاهدة في دفع الشبهة و لذا يتعلّق التكليف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ليس هو ما علم عدم ترتّب الضلال أو صورة اعداد الجواب، كما هو سيرة العلماء في حفظ الكتب الضلال، بل غير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في أنّ الكتب الضلال تكون معرضاً للضلال، و الضلال ضرر أبديّ لايقاس به الضرر الدنيوي فكلّ مورد يحتمل أن يكون حفظ الكتاب مؤدّياً إلى ضلال النفس أو الأهل فلاإشكال في حكم العقل بدفعه، و دفعه بإتلافه أو وضعه في مكتبة لامعرضية للإضلال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الدليل أخصّ من المدّعى فإنّه يدلّ على حرمة حفظ الكتاب فيما إذا كان مؤدياً لضرر نفسه أو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ضررهم كضرره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يؤدّ إلى ذلك بل يؤدي إلى ضرر الأغيار، فهذا الدليل قاصر بالنسبة إلى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ضررهم ليس ضرراً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ضلالتهم و إن لم تكن ضلالة له ولكن عقوبة إضلال الأغيار ضرر لنفسه فإضلال الأغيار مشمول لذلك الدليل بهذه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تماميّة التقريبات المذكورة للدليل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صاحب الجواهر و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اللهو إلى الحديث معناها 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بعض الحديث الذي هو اللهو منه، و اللهو كلّ باطل اَلْهى عن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lang w:bidi="fa-IR"/>
        </w:rPr>
        <w:t>346:1</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متعلّق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الحقيقة وصف ضلال الضالّين دون إضلال المضلّين، و إن كانوا أيضاً لاعلم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المجمع يدخل فيه كلّ شيء يلهي عن سبيل الله و عن طاعته من الأباطيل و المزامير و الملاهي و 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السخريّة في القرآن و اللغو فيه و كلّ لهو و لعب و الأحاديث الكاذبة و الأساطير الملهية عن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يتخذها هزواً، أي ويتّخذ آيات القرآن هزواً، و يتّخذ سبيل الله هزواً يستهزأ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حينئذ أنّه يدخل فيه القصص و الحكايات السالفة التي لافائدة تحتها، بل جميع الأشياء التي ليس بعبادة فتأمّل، ولكن قد يخصّ بالمعاصي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التأمّل الأوّل أنّ صورة عدم الفائدة ليس هو الإضلال عن سبيل الله و اتّخاذ سبيل الله هزواً، فشمول الآية بالنسبة إليها غير واضح، كما أنّ وجه التأمّل الثاني هو أنّ الآية الكريمة لاتشمل الصغائر بقرينة توعيد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غرض الشيخ من الاستدلال بالآيتين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الآية و آية الاجتناب عن قول الزور كما سيأتى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الاستدلال بفحوى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الفحوى أنّ الآية الدالّة على حرمة اشتراء الأحاديث اللهويّة بفرض حصول الإضلال تدل بالفحوى على حرمة اشتراء كتب الضلال بذلك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بالآية الكريمة في المقام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المذمّة فيها عن التعاطى بفرض الإضلال و هو لايشمل المقام، فإنّ غرض من يشتري الكتب الضالّة و يجعلها في مكتبته ليس إضلال الناس، بل يكون مقصوده هو أن تصير مكتبته جامعة لأنواع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أورد على الاستدلال بالآية الكريمة في مصباح الفقاهة بأنّ المذموم في ظاهر الآية هو اشتراء لهو الحديث للإضلال، و من الواضح أنّ هذا المعنى أجنبيّ عن حفظ كتب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اللام في قوله ليضلّ عن سبيل الله للعاقبة و النتيجة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الاستدلال بها في المقام لترتّب الإضلال على حفظ كتب الضلال، ولكن حمل اللام للعاقبة خلاف الظاهر من الآية، فإنّ المستفاد منها خصوصاً بقرينة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يتخذها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في الاتّخاذ القصدي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اللام للغاية، لاللعاقبة، و المراد من الإضلال هو الإضلال القصدي لاالقهري، كما يؤيّده أيضاً ما ورد في شأن نزولها من أنّها نزلت في النضر بن الحارث و كان يشتري كتباً فيها أخبار الأعاجم و يحدث بها أهل مكّة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حدثكم أحاديث عاد و ثمود و أنا اُحدّثكم أحاديث فارس و الروم و ملوك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بقرب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تطبيق الآية الكريمة على مثل شراء الغناء و المغنيّات في الروايات مع أنّ الإضلال في الشراء كثيراً ما يكون قهريّاً لاقصديّاً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اشتري الغناء للتعيّش و التفرّج، لاللإضلال ممّا يشهد على أنّ اللام للعاقبة، ولكنّه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 لابن 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إدراج شراء الغناء إدراجاً حكميّاً لأهميّته فلاينافي مع ظهور اللام في الغاية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تقريب آخر كما في ابتغاء الفضيلة، و هو أن من يشتري لهو الحديث لايقطع بكونه مضلاً، بل يكون ذلك برجاء الإضلال 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عند العرف أنّ القصد تابع للمقصود فإنّه لولاحرمة الإشتراء الذي يحتمل أن يقع في سبيل الإضلال فلاوجه لحرمة قصده فالعمل الذي يمكن أن يقع في سبيل الإضلال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في الآية هو الإشتراء الذي يأتي به للاضلال لاالاشتراء الذي يقع بنفسه في سبيل الإضلال، فشمول الآية للمقام الذي لايريد الإضلال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تسليم تماميّة الآية في الدلالة على حرمة إشتراء كتب الضلال،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الآية حرمة إشتراء كتب الضلال و لادلالة فيها على حرمة ابقائها و حفظها بعد الشراء، كما أنّ التصوير حرام و أمّا اقتناؤها فليس بحرام، و الزنا حرام و تربية أولاد الزنا ليس بحرام، كما في مصباح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نظر و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ملاك حرمة اشتراء كتب الضلال هو حرمة الإضلال و هو موجود في الإلقاء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الأمثلة المذكورة، فإنّ ملاك حرمة التصوير هو التشبّه بالخالق في الخلقة و هو ليس باقياً في الاقتناء، كما أنّ وجه حرمة الزنا اجنبيّ عن تربية أولاد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الزور من الزَور و الإزورار، و هو الانحراف، كما أنّ الإفك من أفكه إذا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 قولهم هذا حلال و هذا حرام و ما أشبه ذلك من افترائهم،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 عن النبي صلى الله عليه و آله و سلّم إنّه صلّى الصبح فلمّا سلّم قام قائماً و استقبل الناس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شهادة الزور الاشراك بالله و كرّر ثلاثاً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البهتان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الظاهر أنّ المراد من الزور هو المعنى العام و هو الإنحراف و الميل عن الحق و الموارد المذكورة من باب ذكر بعض المصاديق و لاتختصّ الموارد بما ذكر، بل ورد في بعض الأخبار أيضاً تفسير قول الزور بالغناء و قول الرجل للّذي يغنّي أحسنت، كما في صحيحة حمّاد و هو شاهد على تعميم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الزور الباطل و الكذب و سمّى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أميل عن الحق،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 عن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زوراء أي مائلة و كلّ ما عدا الحق فهو كذب و باطل و 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حرمته أيضاً ممّا دلّ على وجوب اجتناب قول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استدلّ بها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الأمر بالاجتناب عن 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المذكور بأنّ الأمر بالاجتناب عن قول الزور، كالأمر بالاجتناب عن الغيبة و البهتان و غيرهما من سائر المحرّمات يراد به ترك إيجاده لاترك الموجود منه بالفرار منه أو إعدامه مع أنّ صدق القول على الكتابة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كتابته و نسخه مندرجاً تحت 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55:12</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56:22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الزور مضافاً إلى أنّ أحداً لم يلتزم بوجوب إعلام الأكاذيب المحرّرة أو بحرمة إثبات اليد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في قول الزور بيانيّة، و المعنى و الله العالم اجتنب عن القول و هو الزور، و الزور ظاهر في المعنى الغير المصدري، و هو الباطل فالمراد من المقول هو القول، و الاجتناب عن الباطل له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إيجاده،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حفظه،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نشره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حذف المتعلّق في مثله هو إفادة العموم فلاوجه لتخصيصه بترك الايجاد لاترك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فلفظ القول بمعنى المقول لابمعنى التقوّل، و هو يصدق على الملفوظ و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أفاده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توضيح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الإجتناب عن قول الزور و إن كان ظاهراً في نفسه في الاجتناب عن القول الباطل بمعنى التكلّم به، إلاّ أنّه بعد ما فسّرت الآية الشريفة في الأخبار بالاجتناب عن استماع الغناء، علم أنّ المراد بها الأعمّ من الاجتناب عن تكلّم نفسه به، و حينئذ لايستبعد أن يستفاد منها لزوم الاجتناب عن كتبه، كما قد يدّعى عن استفادة حجّيّة ما يكتبه العادل ممّا دلّ على اعتبار قوله و وجوب تصديقه في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المستفاد من أمثال تلك العبارات الاجتناب عن مطلق ما يدل على الباطل قولاً كان أو كتابةً‌، و كذا حجيّة كلّ صادر من العادل ممّا يحكي عن الواقع قولاً كان أو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الروايات بعنوان تفسير قول الزور هو الغناء لااستماع الغناء فلايصحّ الاستشهاد بهذه الأخبار على إرادة الأعمّ من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ظاهر في المعنى الإسم المصدري، و الاجتناب عن الغناء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يقتضى الاجتناب عن التغنّي و الاستماع كليهما، و هذا يشهد على أنّ المراد من قول الزور هو المقول، و الاجتناب عنه أعمّ من ترك الإحداث و الحفظ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إليه يؤوّل ما أفاده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شمول الآية و عمومها، فإنّ مقتضى إطلاق الاجتناب عن القول الزور الاجتناب عنه بجميع الأنحاء الذي منها ما نحن فيه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السيّد أيضاً، أنّ غرض الشيخ من الاستدلال بالآية الكريمة هو الاستدلال بالفحوى فلايرد على الاستدلال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الشمول بدعوى أنّ الظاهر بوجوب الاجتناب عن نفس القول الزور على وجوب الاجتناب عن الكذب و البهتان و نحوهما، فلايشمل حفظ الأقوال الكاذبة عن الإندراس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الفحوى أنّ الآية الكريمة التي تدلّ على حرمة القول المصدري مع أنّه لايدوم و لايكون قابلاً للإشاعة الكثيرة الوسيعة، تدلّ بالفحوى على حرمة تأليف كتب الضلال أو حفظها في محالّ يترتّب عليه الضلالة و الانحراف في سطح وسيع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 لاٰ تَقُمْ فِيهِ أَبَداً لَمَسْجِدٌ أُسِّسَ عَلَى اَلتَّقْوىٰ مِنْ أَوَّلِ يَوْمٍ أَحَقُّ أَنْ تَقُومَ فِيهِ فِيهِ رِجٰالٌ يُحِبُّونَ أَنْ يَتَطَهَّرُوا وَ اَللّٰهُ يُحِبُّ اَلْمُطَّهِّرِينَ أَ فَمَنْ أَسَّسَ بُنْيٰانَهُ عَلىٰ تَقْوىٰ مِنَ اَللّٰهِ وَ رِضْوٰانٍ خَيْرٌ أَمْ مَنْ أَسَّسَ بُنْيٰانَهُ عَلىٰ شَفٰا جُرُفٍ هٰارٍ فَانْهٰارَ بِهِ فِي نٰارِ جَهَنَّمَ وَ اَللّٰهُ لاٰ يَهْدِي اَلْقَوْمَ اَلظّٰالِمِينَ لاٰ يَزٰالُ بُنْيٰانُهُمُ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بَنَوْا رِيبَةً فِي قُلُوبِهِمْ إِلاّٰ أَنْ تَقَطَّعَ قُلُوبُهُمْ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جوامع الجامع روى أنّ بنى عمروبن عوف لمّا بنوا مسجد قباء و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حسدتهم إخوتهم بنو غَنْم بن عوف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مسجداً نصلّي فيه و لانَحْضُر جماعة محمّد، فبنوا مسجداً إلى جنب مسجد قباء و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يتجهّز إلى تبوك إنّا نحبّ أن تأتينا فتصلّي لنا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جناح سفر، و لمّا انصرف من تبوك نزلت فأرسل من هدم المسجد و إحرقه و أمر أن يتّخذ مكانه كناسة تُلقى فيها الجيف و القمامة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يقرّب الاستدلال بالآية الكريمة بأنّها تدلّ على هدم المسجد فيما إذا كان المسجد موجباً للضرار و الإضلال و التفريق بين المؤمنين و الحماية عن المحاربين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بالهدم مع النهي عن إقامة الصلاة فيه يدلّ على عدم جواز حفظ محلّ يوجب الضلال فإذا كان المسجد مع إمكان العبادة فيه ممنوع الحفظ من جهة وقوع الضلال فيه، فحفظ الكتب الضلال يكون كذلك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الكتب الضلال لايترتّب عليها إلاّ الضلال، و لاداعى لتأليفها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لاتدلّ على الهدم أو عدم جواز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ذلك ولكن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أمر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بهدمه فهو حكم سلطانيّ لاإطلاق له حتّى يؤخذ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84:1</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ضراراً مفعول لإجله كما أنّ كفراً و تفريقاً الذين عطفا عليه كذلك و من قبل إمّا متعلّق بقوله اتّخذوا و إمّا بقوله لمن حارب الله قوله لاتقم فيه أبداً خبر لقوله و الذين اتّخذوا أو أنّ قوله و الذين اتّخذوا عطف على قوله و آخرون مرجون أو أنّ قوله و الذين اتّخذوا مبتدأ خبره محذوف أي و فيمن و 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قوله و الذين اتّخذوا منصوب على الاختصاص و الشفا الشفير وجرف الوادي جانبه الذي يتحفّر </w:t>
      </w:r>
    </w:p>
    <w:p>
      <w:pPr>
        <w:pStyle w:val="BookText"/>
        <w:rPr/>
      </w:pPr>
      <w:r>
        <w:rPr>
          <w:rFonts w:ascii="Amiri" w:hAnsi="Amiri" w:eastAsia="Amiri" w:cs="Amiri"/>
          <w:color w:val="111111"/>
          <w:sz w:val="28"/>
          <w:sz w:val="28"/>
          <w:szCs w:val="28"/>
          <w:rtl w:val="true"/>
          <w:lang w:bidi="ar-SA"/>
        </w:rPr>
        <w:t>و دعوى استظهار لزوم الهدم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جهة دلالته على أنّ البنيان موجب للريبة دائماً وهو لايكون إلاّ إذا كانوا في مقام الإفساد والإضلال،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في مقام أنّ ما بنوه صار قلقاً في قلوبهم وموجباً لاضطراب أنفسهم حتّى يدركهم الموت أو تابوا، فلايكون الآية في مقام جواز الهدم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مُوسىٰ وَيْلَكُمْ لاٰ تَفْتَرُوا عَلَى اَللّٰهِ كَذِباً فَيُسْحِتَكُمْ بِعَذٰابٍ وَ قَدْ خٰابَ مَنِ اِفْتَرىٰ‌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الآيات المذكورة ونحوها هو حرمة الإفتراء على الله تعالى ولاربط له مع المقام الذي هو مجرّد حفظ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 تأليف الكتب الضالّ التي تحتوي الإفتراء على الله تعالى وأين هو من حفظ الكتب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في ابتغاء الفضيلة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المقصود التوجّه إلى الباطل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حرمة الإستفادة لاحرمة حفظ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بالماء وتجرفه السيول و انهار الهائر الذي اشفى على السقوط و التهدّم فانهار به في نار جهنّم أي هو به الباطل في نار جهنّم ريبة أي شكا في الدين و 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أيضاً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تشمل ما لو قرء كتاب الضلال الذي فيه الكفر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عند العرف بينه ومطالعته، فإذا حرم الإنتفاع به حرم التكسّب به، ولكن أورد عليه في آخر كلامه بأنّها لاتدلّ على حرمة الحفظ ووجوب الإتلاف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 لَنُحَرِّقَنَّهُ ثُمَّ لَنَنْسِفَنَّهُ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المستفاد منه هو لزوم إتلاف ما يوجب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عجل السامري كان من هياكل العبادة ولزوم إتلافه لايلازم لزوم إتلاف كلّ ما يوجب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لايدلّ إلاّ على فعل موسى على نبيّنا وآله وعليه السلام وهو لايدلّ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المكرّر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و لننسفنّه يشهد على اللزوم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في المستند، وهو موثقة أبي عبيدة الحذّاء المرويّة في الكافي عن أحمد عن محمّد بن عبد الحميد عن العلاء بن رزين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ولاينقص اولئك من اُجورهم شيئاً ومن علّم باب ضلال كان عليه مثل أوزار من عمل به ولاينقص اولئك من أوزارهم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منها موثّقة محمّد بن مسلم المرويّة في المحاسن عن أحمد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الأمر والنهي وما يناسبها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عن أبان بن محمد البجلّي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باب هدى كان له أجر من عمل به و لاينقص اولئك من اُجورهم و من عمل باب ضلال كان عليه مثل و زر من عمل به و لاينقص اولئك من أوزارهم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يؤيّدهما أيضاً خبر عبد 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لايتكلّم الرجل بكلمة حقّ يؤخذ بها إلاّ كان له مثل أجر من أخذ بها، و لايتكلّم بكلمة ضلال يؤخذ بها إلاّ كان عليه مثل و زر من أخذ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الإستدلال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كتب الضلال و إن لم يكن تعليماً أو تكلّماً أو عملاً بالضلال ولكنّه مشترك مع هذه الاُمور في ترتّب الضلالة، فإنّها كما يحتمل أن تترتّب على العمل بالضلالة أو التكلّم بكلمة الضلال، فكذلك يحتمل ترتّبها على حفظ كتب الضلال، فإذا منع من العمل أو التكلّم بها من جهة احتمال ترتّب الضلالة فحفظ كتب الضلال أيضاً ممنوع بهذه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لاموضوعيّة للتعليم أو العمل أو التكلّم، بل المعيار هو الإضلال و هو مترتّب على حفظ الكتاب أيضاً فإثبات الوزر على التعليم و العمل يكفي في إثباته في صورة الحفظ مع احتمال ترتّب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الروايات هو ما إذا كان المقصود هو الإضلال و ليس ذلك في حفظ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فقرات من رواية تحف العقول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إنّما حرّم الله الصناعة التي هى حرام كلّها التي يجيء منها الفساد محضاً نظير البرابط و المزامير والشطرنج و كلّ مَلْهُوّ به و الصُلْبان و الأصنام و ما أشبه ذلك من صناعات الأشربة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المذكور في السابق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المذكور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يقوي به الكفر و الشرك في جميع وجوه المعاصي أو باب يوهن به الحق فهو حرام محرّم بيعه و شراؤه و إمساكه و ملكه و هبته و عاريته و جميع التقلّب فيه إلاّ في حال تدعوا الضرورة 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 محضاً و لايكون منه و لافيه شيء من وجوه الصلاح، فحرام تعليمه و تعلّمه و العمل به و أخذ الاُجرة عليه و جميع التقلّب فيه من جميع وجوه الحركات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استدل بها صاحب الجواهر و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تمسّك بها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ضعفها 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هذه الرواية هي الصنعة و لئن استفيد منها المناط العامّ يتعدّى منها إلى غير الصنعة ممّا يشاركها في علّة المنع، و هي منشأيّة الفساد، لا إلى حفظ المصنوع أو الموجود ممّا هو منشأ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استفيد منها مبغوضيّة الفساد بوجوده حتّى كان إعدامه و قلع مادّته مطلوباً فضلاً عن المحافظة عليه من التلف صحّ الاستدلال بها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منشأ للفساد هو ما يوجد للفساد حتّى يفترق عن الذي يكون علّة للفساد التي ذكرها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في بلغة الطالب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وجه الاستدلال حتّى لو سلّمنا أنّ الحصر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غايته أنّ ما حرم صناعته حرم جميع منافعه و الإحساس لذلك بحفظه، إلاّ أن يكون صناعته عبارة عن تأليفه و الانتفاع عبارة عن إبقائه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ما يكتسب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44/100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أنت خبير بأنّ المستفاد من الرواية هو أنّ ما يقوّي به الكفر و الشرك أو يوهن به الحق فهو حرام حتّى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يشمل حفظ كتب الضلال فإنّ في حفظها و إمساكها يقوّي به الكفر و يؤمن به الحق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منه و فيه الفساد محضاً جميع التقلب فيه من جميع وجوه الحركات كلّها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يشمل اشتراء الكتب و نقلها إلى المكتبات و حفظها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وجوه التقلّب و الحركات و التصرّفات، بل يشمل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يجيء منها الفساد محضاً باعتبار أنّ تأليف كتب الضلال صنعة تأليف، فإذا استفيد منها حرمة جميع منافعها تدلّ الرواية على حرمة إبقاؤها أيضاً فإنّ الإبقاء من منافع صنعة التأليف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مصباح الفقاهة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هذه الفقرة هو حرمة الصناعة و الصناعة صادقة على تأليف كتب الضلال و استنساخها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الحفظ و الإبقاء فلايصدق عليه الصنعة، كما أنّ صدق التقلّب على الحفظ ممنوع، و ليس الحفظ تقوية للكفر و إهانة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السند و عدم إنجبارها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باستناد العمل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البقاء و الإبقاء من منافع الصنعة و لاحاجة إلى صدق الصنعة على نفس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لاخفاء في أنّ حفظ كتب الضالّة ممّا يوجب تقوية الكفر و إهانة الحقّ و إنكار ذلك مكابرة، كما أنّ حفظ الكتاب في المكتبة لايمكن بدون التقلّب و التصرف، فالأولى في الإشكال هو الاقتصار في السند بكونه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استناد الأصحاب إليه غير معلوم، و إن اخترنا جبران الضعف في صورة استناد الأصحاب خلافاً لبعض الأعلام حيث ذهب إلى منع جبران الضعف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 لايفيد الوثوق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اللازم هو الوثوق بالصدور لاالوثوق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بالراوي، و اعتبار كون الراوي ثقة لاخصوصيّة فيه، بل هو طريق إلى 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فتطابق مضمون فتوى المشهور للمرسلة لايوجب الوثوق بالاستناد حتّى يحصل الوثوق بالصدور لوجود القواعد و الأدلّة الاُخرى، و من المحتمل أن يكون استنادهم إلى الأدلّة و القواعد لارواية التحف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عبد الملك بن أعين المروية في الفقيه 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فاُريد الحاجة فإذا نظرت إلى الطالع و رأيت الطالع الشرّ جلست و لم أذهب فيها و إذا رايت طالع الخير ذهبت في الحاجة،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 في ابتغاء الفضيلة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عبدالملك الوارد في التنجيم و فيه أحرق كتبك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يبتني على أن يكون الأمر بالإحراق أمراً مولويّاً، فإنّه حينئذ يكون ظاهراً في الإيجاب النفسي فيدلّ على عدم جواز إبقاء الكتب النجوم، فيتعدّى من كتب النجوم إلى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لولم تكن أكثر فساداً من كتب النجوم فلاأقلّ من مساواتها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الأمر مولوياً لاحتمال أن يكون الأمر للإرشاد للخلاص من الابتلاء بالحكم بالنجوم، كما يشعر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السؤال إنّي قد ابتليت بهذا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التفصيل في الرواية هو جواز حفظ كتب النجوم و الاستفادة منها مع عدم الحكم، كما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التفصيل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آداب السفر إلى الحج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04" w:name="pg16065_152908"/>
    </w:p>
    <w:p>
      <w:pPr>
        <w:pStyle w:val="BookText"/>
        <w:rPr/>
      </w:pPr>
      <w:bookmarkEnd w:id="304"/>
      <w:r>
        <w:rPr>
          <w:rFonts w:ascii="Amiri" w:hAnsi="Amiri" w:eastAsia="Amiri" w:cs="Amiri"/>
          <w:color w:val="111111"/>
          <w:sz w:val="28"/>
          <w:sz w:val="28"/>
          <w:szCs w:val="28"/>
          <w:rtl w:val="true"/>
          <w:lang w:bidi="ar-SA"/>
        </w:rPr>
        <w:t>الرواية القاطع للشركة هو جواز الحفظ مع عدم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تنافي سائر الأدلّة التي تدلّ على عدم جواز الحفظ و الاستفادة من الكتب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ضلال كتب النجوم في اعتقاد التأثير الاستقلالي و الحكم الجزمي، فإذا كان حفظها بدون ذلك، لامانع من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ممّا لايترتّب عليها الفساد فلامنافاة، بين هذه الرواية و سائر الأدلّة الدالّة على حرمة حفظ الكتب الضالّة فيما إذا ترتّب عليها الفساد قطعاً أو احتمالاً دون ما إذا لم يترتّب الفساد، بل تكونان متوافقتين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85322_1280447820"/>
      <w:bookmarkStart w:id="306" w:name="_Toc110"/>
      <w:bookmarkEnd w:id="305"/>
      <w:r>
        <w:rPr>
          <w:rtl w:val="true"/>
        </w:rPr>
        <w:t>الجهة الرابعة</w:t>
      </w:r>
      <w:r>
        <w:rPr>
          <w:rtl w:val="true"/>
        </w:rPr>
        <w:t xml:space="preserve">: </w:t>
      </w:r>
      <w:r>
        <w:rPr>
          <w:rtl w:val="true"/>
        </w:rPr>
        <w:t>في اعتبار ترتب الفساد عليه و عدمه</w:t>
      </w:r>
      <w:bookmarkEnd w:id="306"/>
    </w:p>
    <w:p>
      <w:pPr>
        <w:pStyle w:val="BookText"/>
        <w:rPr/>
      </w:pPr>
      <w:r>
        <w:rPr>
          <w:rFonts w:ascii="Amiri" w:hAnsi="Amiri" w:eastAsia="Amiri" w:cs="Amiri"/>
          <w:color w:val="111111"/>
          <w:sz w:val="28"/>
          <w:sz w:val="28"/>
          <w:szCs w:val="28"/>
          <w:rtl w:val="true"/>
          <w:lang w:bidi="ar-SA"/>
        </w:rPr>
        <w:t>في أنّ المحرّم هل هو مجرّد كون كتاب، كتاب الضلال و الباطل من دون اعتبار ترتّب مفسدة الضلالة عليه قطعاً أو احتمالا قريباً أو المحرّم هو كتاب الضلال من حيث احتمال ترتب مفسدة الضلالة عليه بحيث لولم يترتّب عليها المفسدة لم يكن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يدّعى قيام الإجماع على حرمة عنوان كتب الضلال من دون اعتبار ترتّب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معناه هو الأمر بالاجتناب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فالمحرّم هو كتاب الضلال و الباطل من دون إعتبار ترتّب مفسدة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بالإجماع في المسألة مع وجود الأدلّة المختلفة في الباب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مقتضى الجمع بين الأدلّة هو تقيّد المطلقات بصورة ترتّب الفساد، كما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الاستفصال في حسنة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307" w:name="pg16065_152909"/>
    </w:p>
    <w:p>
      <w:pPr>
        <w:pStyle w:val="BookText"/>
        <w:rPr/>
      </w:pPr>
      <w:bookmarkEnd w:id="307"/>
      <w:r>
        <w:rPr>
          <w:rFonts w:ascii="Amiri" w:hAnsi="Amiri" w:eastAsia="Amiri" w:cs="Amiri"/>
          <w:color w:val="111111"/>
          <w:sz w:val="28"/>
          <w:sz w:val="28"/>
          <w:szCs w:val="28"/>
          <w:rtl w:val="true"/>
          <w:lang w:bidi="ar-SA"/>
        </w:rPr>
        <w:t xml:space="preserve">عبدالملك أنّه إذا لم يترتّب على إبقاء كتب الضلال مفسدة لم يحرم، و هذا أيضاً مقتضى ماتقدّم من أناطة التحريم بما يجيء منه الفساد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تحصّل من ذلك أنّ حفظ كتب الضلال لايحرم إلاّ من حيث ترتّب مفسدة الضلالة قطعاً أو احتمالاً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مقتضى الجمع بين الأدلّة هو تقييد العنوان بما إذا ترتّب عليه المفسدة ولو احتمالا و إلاّ فما لايجيء منه الفساد فلايشمله الدليل الذي يدلّ على حرمة ما يجيء منه الفساد، كما لايشمله وجوب دفع الضرر المحتمل إذ لاضرر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الاستفصال في حسنة عبد الملك بناء على كون الأمر فيه بالإحراق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أنّه القدر المتيقّن من الأدلّة الاُخرى</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85324_1280447820"/>
      <w:bookmarkStart w:id="309" w:name="_Toc111"/>
      <w:bookmarkEnd w:id="308"/>
      <w:r>
        <w:rPr>
          <w:rtl w:val="true"/>
        </w:rPr>
        <w:t>الجهة الخامسة</w:t>
      </w:r>
      <w:r>
        <w:rPr>
          <w:rtl w:val="true"/>
        </w:rPr>
        <w:t xml:space="preserve">: </w:t>
      </w:r>
      <w:r>
        <w:rPr>
          <w:rtl w:val="true"/>
        </w:rPr>
        <w:t>في جواز الحفظ عند وجود مصلحة و عدمه</w:t>
      </w:r>
      <w:bookmarkEnd w:id="309"/>
    </w:p>
    <w:p>
      <w:pPr>
        <w:pStyle w:val="BookText"/>
        <w:rPr/>
      </w:pPr>
      <w:r>
        <w:rPr>
          <w:rFonts w:ascii="Amiri" w:hAnsi="Amiri" w:eastAsia="Amiri" w:cs="Amiri"/>
          <w:color w:val="111111"/>
          <w:sz w:val="28"/>
          <w:sz w:val="28"/>
          <w:szCs w:val="28"/>
          <w:rtl w:val="true"/>
          <w:lang w:bidi="ar-SA"/>
        </w:rPr>
        <w:t>إنّ مقتضى ما تقدّم هو حرمة حفظ الكتاب فيما إذا ترتّب المفسدة عليه قطعاً أو احتمالاً، فيقع الكلام حينئذ فيما أنّه هل يجوز الحفظ فيما إذا كان معه المصلحة أم لايجوز؟</w:t>
      </w:r>
    </w:p>
    <w:p>
      <w:pPr>
        <w:pStyle w:val="BookText"/>
        <w:rPr/>
      </w:pPr>
      <w:r>
        <w:rPr>
          <w:rFonts w:ascii="Amiri" w:hAnsi="Amiri" w:eastAsia="Amiri" w:cs="Amiri"/>
          <w:color w:val="111111"/>
          <w:sz w:val="28"/>
          <w:sz w:val="28"/>
          <w:szCs w:val="28"/>
          <w:rtl w:val="true"/>
          <w:lang w:bidi="ar-SA"/>
        </w:rPr>
        <w:t>يمكن أن يقال وجود المصلحة لايوجب الجواز مع ترتّب المفسدة قطعاً أو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الأدلّة العقليّة، كوجوب دفع الضرر أو كوجوب قلع مادّة الفساد و الإضلال أو كوجوب التحفظ على مقاصد المولى، هو عدم جواز الحفظ و لو مع وجود المصلحة و الأغراض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أمن من الخلل الاعتقاديّة لنفسه و أهله و غيره، فلامانع من أن يحفظ الكتاب لكلّ فائدة و غرض صحيح، كما يظهر من جامع القاصد حيث قال بعد ذكر استثناء القواعد صورة نقض مسائل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الضلال أو الحجّة على مسائل الحقّ من كتب الضلال و ظاهره حصر جواز الحفظ و النسخ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فوائده كثيرة فلو اُريد نقل المسائل أو الفروع الزائدة أو معرفة بعض اُصول المسائل أو الدلائل و نحو ذلك، جاز الحفظ و النسخ أيضاً لمن له أهليّة النقض لامطلقاً لأنّ ضعفاء البصيرة لايؤمن عليهم خلل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خروج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فيما إذا ترتّب المفسدة على الحفظ مع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مجرّد وجود المصلحة لايوجب جواز الحفظ و لذلك قال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صورة ترتّب المفسدة على بقائه لايكفي مجرّد ترتّب مصلحة على بقائه أيضاً في رفع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المحرّم لايصير محلّلاً بمجرّد وجود مصلحة في فعله، كالمصلحة في الكذب و الغناء و نحوهما من المحرّمات، بل لابدّ في ذلك من كون المصلحة مصلحة ملزمة يترتّب على تركها وفواتها المفسدة، و حينئذ يصير من باب التزاحم الواجب و الحرام فنختار الأهمّ و إلاّ فالتخيير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إليه يؤوّل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تحصّل من ذلك أنّ حفظ كتب الضلال لايحرم إلاّ من حيث ترتّب مفسدة الضلالة قطعاً أو احتمالا، فإن لم يكن كذلك أو كانت المفسدة المحقّقة معارضة بمصلحة أقوى أو عارضت المفسدة المتوقّعة مصلحة أقوى أو أقرب وقوعاً منها، فلادليل على الحرمة إلاّ أن يثبت إجماع أو يلتزم بإطلاق عنوان معقد نفي الخلاف الذي لايقصر عن نقل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الأقوى في كلامه على المصلحة الملزمة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10" w:name="pg16065_152911"/>
    </w:p>
    <w:p>
      <w:pPr>
        <w:pStyle w:val="BookText"/>
        <w:rPr/>
      </w:pPr>
      <w:bookmarkEnd w:id="310"/>
      <w:r>
        <w:rPr>
          <w:rFonts w:ascii="Amiri" w:hAnsi="Amiri" w:eastAsia="Amiri" w:cs="Amiri"/>
          <w:color w:val="111111"/>
          <w:sz w:val="28"/>
          <w:sz w:val="28"/>
          <w:szCs w:val="28"/>
          <w:rtl w:val="true"/>
          <w:lang w:bidi="ar-SA"/>
        </w:rPr>
        <w:t>و كيف ما كان يبقى السؤال عن أنّ المصلحة التي تكون مقدمة على مفسدة الضلال أيّة شيء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أمثلتها هو ما إذا كان احتمال مفسدة الضلال ضعيفاً في مقابل لزوم وجود الكتب الضلال عند جماعة من المتّفقين في الجامعات حتّى يفيد نفورهم عن هذه المقالة الضالّة و النفور العلمي عن هذه المكاتب أمر لازم لاسيّما في الجوامع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أمثلتها أيضاً لزوم نقل الشبهات القادحة و الجواب عنها في الكتب و الحوزات العلميّة يحتمل أن يكون تلك الشبهات موجبة لضلالة بعض النفوس المتّبعة للمتشابهات و أيضاً ربّما يتوقّف النقض و قلع مادّة الفساد على ايجاد المجال للمضلّ حتّى يتكلّم أو يكتب ما أراد حتّى يجيب عند المحقّقون فإيجاد المجال ربّما لايخلو عن المفسدة ولكن مصلحة الجواب و النقض ملزمة تتقدّم عليه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85326_1280447820"/>
      <w:bookmarkStart w:id="312" w:name="_Toc112"/>
      <w:bookmarkEnd w:id="311"/>
      <w:r>
        <w:rPr>
          <w:rtl w:val="true"/>
        </w:rPr>
        <w:t>الجهة السادسة</w:t>
      </w:r>
      <w:r>
        <w:rPr>
          <w:rtl w:val="true"/>
        </w:rPr>
        <w:t xml:space="preserve">: </w:t>
      </w:r>
      <w:r>
        <w:rPr>
          <w:rtl w:val="true"/>
        </w:rPr>
        <w:t>في بطلان المعاملة و عدمه</w:t>
      </w:r>
      <w:bookmarkEnd w:id="312"/>
    </w:p>
    <w:p>
      <w:pPr>
        <w:pStyle w:val="BookText"/>
        <w:rPr/>
      </w:pPr>
      <w:r>
        <w:rPr>
          <w:rFonts w:ascii="Amiri" w:hAnsi="Amiri" w:eastAsia="Amiri" w:cs="Amiri"/>
          <w:color w:val="111111"/>
          <w:sz w:val="28"/>
          <w:sz w:val="28"/>
          <w:szCs w:val="28"/>
          <w:rtl w:val="true"/>
          <w:lang w:bidi="ar-SA"/>
        </w:rPr>
        <w:t>إنّه لاإشكال في بطلان معاملة الكتب الضالّة فيما إذا لم تترتّب عليها المصلحة و لاالمفسدة أو لم يترتّب عليها إلاّ خصوص المفسدة لعدم المنفعة المحلّلة المقصودة العقلائيّة في كلاالصورتين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بما ذكر ما إذا ترتّبت عليها المصلحة النادرة أو موهومة سواء ترتَّبت عليها المفسدة أو لالعدم المنفعة المحلّلة المقصودة فيها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ترتّبت عليها المفسدة مع المصلحة الشايعة، فإن كانت المصلحة ملزمة صحّت المعاملة و جاز بيعها و شراؤها، و أمّا إذا لم تكن المصلحة ملزمة فلايجوز بيعها و شراؤها لإطلاق الأدلّة المانعة إذ العقل يحكم بوجوب دفع الضرر المحتمل و بوجوب التحفّظ على مقاصد الشارع و بوجوب قلع مادّة الفساد و الإضلال، ولكن لو عصى و باع أمكن القول بصحّة بيعها و شرائها لوجود المنفعة </w:t>
      </w:r>
      <w:bookmarkStart w:id="313" w:name="pg16065_152912"/>
    </w:p>
    <w:p>
      <w:pPr>
        <w:pStyle w:val="BookText"/>
        <w:rPr/>
      </w:pPr>
      <w:bookmarkEnd w:id="313"/>
      <w:r>
        <w:rPr>
          <w:rFonts w:ascii="Amiri" w:hAnsi="Amiri" w:eastAsia="Amiri" w:cs="Amiri"/>
          <w:color w:val="111111"/>
          <w:sz w:val="28"/>
          <w:sz w:val="28"/>
          <w:szCs w:val="28"/>
          <w:rtl w:val="true"/>
          <w:lang w:bidi="ar-SA"/>
        </w:rPr>
        <w:t>المحلّلة فيها كالاطّلاع على الأدبيّات أو بعض الفنون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بعض الكتاب موجباً لمحض الضلال فالواجب هو إتلاف البعض الضالّ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توقّف محو البعض الضالّ على محو جميع الكتاب لجاز ذلك إلاّ أن يزاحم مصلحة وجوده مع مفسدة وجود الضلال، كما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 تمحض البعض في الضلال لايصحّ بيع المجموع لاشتماله على الضالّ و هل يكون مصلحة البعض الآخر مزاحمة لمفسدة وجود الضلال في البعض الآخر أو لا؟ يمكن أن يقال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المصلحة إن كانت ملزمة وجب شراء البعض الذي فيه المصلحة فلامجوّز لبيع البعض الآخر الذي يكون ممحّضاً في الضلالة إلاّ إذا لايمكن بيع البعض الذي له مصلحة ملزمة إلاّ ببيع المجموع فيجوز بيع الواحد بتمامه</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85328_1280447820"/>
      <w:bookmarkStart w:id="315" w:name="_Toc113"/>
      <w:bookmarkEnd w:id="314"/>
      <w:r>
        <w:rPr>
          <w:rtl w:val="true"/>
        </w:rPr>
        <w:t>الجهة السابعة</w:t>
      </w:r>
      <w:r>
        <w:rPr>
          <w:rtl w:val="true"/>
        </w:rPr>
        <w:t xml:space="preserve">: </w:t>
      </w:r>
      <w:r>
        <w:rPr>
          <w:rtl w:val="true"/>
        </w:rPr>
        <w:t>هل يجب اتلاف كتب الضالة أوْ لايجب</w:t>
      </w:r>
      <w:bookmarkEnd w:id="315"/>
    </w:p>
    <w:p>
      <w:pPr>
        <w:pStyle w:val="BookText"/>
        <w:rPr/>
      </w:pPr>
      <w:r>
        <w:rPr>
          <w:rFonts w:ascii="Amiri" w:hAnsi="Amiri" w:eastAsia="Amiri" w:cs="Amiri"/>
          <w:color w:val="111111"/>
          <w:sz w:val="28"/>
          <w:sz w:val="28"/>
          <w:szCs w:val="28"/>
          <w:rtl w:val="true"/>
          <w:lang w:bidi="ar-SA"/>
        </w:rPr>
        <w:t>إنّ الكتب الضالّة هل يجب إتلافها أو لايجب‌؟ و لايخفى عليك أنّ معنى في حرمة الحفظ هو وجوب إتلافها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الحفظ أعمّ من الإتلاف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مقتضى الأدلّة العقليّة الماضية هو قلع مادّة الإفساد و الإضلال و دفع الضرر المحتمل و ممّا لايتحقّقان بدون الإتلاف و تفويت جميع ما يكون موجباً للضلال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وضعها في مكتبة لاتترتّب عليها الضلالة فلايجب إتلافها، بل يجوز له الأمران،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بخروج غالب كتب المخالفين و الملل الفاسدة عن الضلال في هذه الأوقات باعتبار ما وقع من جملة من أصحابنا من نقضها و إفسادها، فهي حينئذ كالتالفة فلايجب حينئذ إتلافها بمعنى اعدامها عن الوجود، بل لابأس ببيعها و شرائها و الاستيجار على كتابتها و نحو ذلك، ضرورة صيرورتها بذلك كالكلام المنقوض في كتب أهل الحقّ مثل الشافي و كشف الحق و </w:t>
      </w:r>
    </w:p>
    <w:p>
      <w:pPr>
        <w:pStyle w:val="BookText"/>
        <w:rPr/>
      </w:pP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اعمّيّة النقض للأمرين معاً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ذكره الجواهر صحيح فيما إذا لم يترتّب عليه الضلال ولو احتمالاً و إلاّ فمعه لايكفي في رفع وجوب الإتلاف مجرّد كونها كالمنقوص في الكتب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أنّه هل يكون في إتلاف كتب الضلال ضمان أم لا؟</w:t>
      </w:r>
    </w:p>
    <w:p>
      <w:pPr>
        <w:pStyle w:val="BookText"/>
        <w:rPr/>
      </w:pPr>
      <w:r>
        <w:rPr>
          <w:rFonts w:ascii="Amiri" w:hAnsi="Amiri" w:eastAsia="Amiri" w:cs="Amiri"/>
          <w:color w:val="111111"/>
          <w:sz w:val="28"/>
          <w:sz w:val="28"/>
          <w:szCs w:val="28"/>
          <w:rtl w:val="true"/>
          <w:lang w:bidi="ar-SA"/>
        </w:rPr>
        <w:t>و 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مالاً ولو تعبّداً، كما صرّح به في المستند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 وجوب إتلاف ما فيه ضلال من الكتب و عدم لزوم غرامة على من أتلفه من غيره إلاّ إذا احتمل الغرض المستثنى في حقّه مع ادّعائه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إتلاف الكتب الضالّة و نحوها إن أمكن بدون إتلاف مادّتها كمحو الخطوط و إزالتها فلايجوز إتلاف المادّة فلو أتلفها مع إمكان إعدام المكتوبات بدون إتلاف المادّة فمقتضى القاعدة هو الضمان بالنسبة إلى المادّة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فمثل الكتب لايجوز إحراقها أو إلقائها في البحر مع إمكان تخميرها أو تمزيقها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إمكان التخمير و التمزيق و حفظ المادّة كان الإحراق أو الإلقاء في البحر إتلافاً للمال و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المسبوط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 المغنم كتب 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كتباً لايحلّ إمساكها كالكفر و الزندقة و ما أشبه ذلك، كلّ ذلك لايجوز بيعه، و ينظر فيه فإن كان ممّا ينتفع بأوعيته إذا غسل كالجلود و نحوها فإنّها غنيمة، و إن كان ممّا لاينتفع بأوعيته كالكاغذ، فإنّه يمزق و لايحرق لأنّه ما من كاغذ إلاّ و له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59:22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316" w:name="pg16065_152914"/>
    </w:p>
    <w:p>
      <w:pPr>
        <w:pStyle w:val="BookText"/>
        <w:rPr/>
      </w:pPr>
      <w:bookmarkEnd w:id="316"/>
      <w:r>
        <w:rPr>
          <w:rFonts w:ascii="Amiri" w:hAnsi="Amiri" w:eastAsia="Amiri" w:cs="Amiri"/>
          <w:color w:val="111111"/>
          <w:sz w:val="28"/>
          <w:sz w:val="28"/>
          <w:szCs w:val="28"/>
          <w:rtl w:val="true"/>
          <w:lang w:bidi="ar-SA"/>
        </w:rPr>
        <w:t>و عليه فمثل الأشرطة أو المسجلات لايجوز إتلافها، بل اللازم هو إمحاء محتواها و هكذا لايجوز إعدام موادّ غير الكتب كأبنية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فالموادّ أو الكاغذ بعد تمزيقها أو تخميرها يرجع إلى صاحبها و لايجوز إتلافها و مع الإتلاف محكوم بالضمان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أتلف شخص كتاب الضلال الذي يكون عند من يؤمن عليه من الفساد و الضلال، فإن كان له منافع محلّلة فهو ضامن بنسبة المالية الحاصلة لها بلحاظ خصوص المنافع المحلّلة و بالنسبة إلى موادّها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مطالبها الضالّة فلاضمان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باطلة و الباطل لامالية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خطوط المطالب الباطلة من جهة نوع الخط أو قدمة الخط و نحوهما، لها مالية أمكن القول بالضمان بالنسبة إليها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إتلاف كتب الضلال الذي يشتمل على القرآن بمثل الإحراق و التمزيق أو لايجوز يمكن القول بالثاني إذا صدق هتك القرآن، و عليه فاللازم هو الاقتصار في مثله بالتخمير و الإمحاء بنحو لايوجب الهتك</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85330_1280447820"/>
      <w:bookmarkStart w:id="318" w:name="_Toc114"/>
      <w:bookmarkEnd w:id="317"/>
      <w:r>
        <w:rPr>
          <w:rtl w:val="true"/>
        </w:rPr>
        <w:t>الجهة الثامنة</w:t>
      </w:r>
      <w:r>
        <w:rPr>
          <w:rtl w:val="true"/>
        </w:rPr>
        <w:t xml:space="preserve">: </w:t>
      </w:r>
      <w:r>
        <w:rPr>
          <w:rtl w:val="true"/>
        </w:rPr>
        <w:t>في وجوب النهى عن ابقاء كتاب الضلال او نشره</w:t>
      </w:r>
      <w:bookmarkEnd w:id="318"/>
    </w:p>
    <w:p>
      <w:pPr>
        <w:pStyle w:val="BookText"/>
        <w:rPr/>
      </w:pPr>
      <w:r>
        <w:rPr>
          <w:rFonts w:ascii="Amiri" w:hAnsi="Amiri" w:eastAsia="Amiri" w:cs="Amiri"/>
          <w:color w:val="111111"/>
          <w:sz w:val="28"/>
          <w:sz w:val="28"/>
          <w:szCs w:val="28"/>
          <w:rtl w:val="true"/>
          <w:lang w:bidi="ar-SA"/>
        </w:rPr>
        <w:t>إنّه لاإشكال في وجوب النهي عن إبقاء كتاب الضلال أو عن نشر كتاب الضلال فإنّه من المنكرات فمع الإصرار و عدم الإنتهاء فعلى الحكومة أن تأمره بالإتلاف، فإن أتلف فهو و إلاّ فاللازم عليها أن يتلفها مع حفظ مادتها ولو لم يمكن إتلافها إلاّ بالمصادرة إتلاف المادة لجاز ذلك للحكومة، ولكن لادليل على عدم ضمان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لاملازمة بين جواز الإتلاف و عدم ضمان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تجويز إتلاف المادة من باب المزاحمة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ورد نص خاص على لزوم إتلاف المادة لايبعد استفادة عدم الضمان ولكنه غير موجود</w:t>
      </w:r>
      <w:r>
        <w:rPr>
          <w:rFonts w:eastAsia="Amiri" w:cs="Amiri" w:ascii="Amiri" w:hAnsi="Amiri"/>
          <w:color w:val="111111"/>
          <w:sz w:val="28"/>
          <w:szCs w:val="28"/>
          <w:rtl w:val="true"/>
          <w:lang w:bidi="ar-SA"/>
        </w:rPr>
        <w:t xml:space="preserve">. </w:t>
      </w:r>
      <w:bookmarkStart w:id="319" w:name="pg16065_152915"/>
    </w:p>
    <w:p>
      <w:pPr>
        <w:pStyle w:val="Heading3"/>
        <w:numPr>
          <w:ilvl w:val="2"/>
          <w:numId w:val="1"/>
        </w:numPr>
        <w:rPr/>
      </w:pPr>
      <w:bookmarkStart w:id="320" w:name="__RefHeading___Toc285332_1280447820"/>
      <w:bookmarkStart w:id="321" w:name="_Toc115"/>
      <w:bookmarkEnd w:id="319"/>
      <w:bookmarkEnd w:id="320"/>
      <w:r>
        <w:rPr>
          <w:rtl w:val="true"/>
        </w:rPr>
        <w:t>الجهة التاسعة</w:t>
      </w:r>
      <w:r>
        <w:rPr>
          <w:rtl w:val="true"/>
        </w:rPr>
        <w:t xml:space="preserve">: </w:t>
      </w:r>
      <w:r>
        <w:rPr>
          <w:rtl w:val="true"/>
        </w:rPr>
        <w:t>هل يجوز الاشتراك فى الاتصالات المخابرية الحديثة</w:t>
      </w:r>
      <w:bookmarkEnd w:id="321"/>
    </w:p>
    <w:p>
      <w:pPr>
        <w:pStyle w:val="BookText"/>
        <w:rPr/>
      </w:pPr>
      <w:r>
        <w:rPr>
          <w:rFonts w:ascii="Amiri" w:hAnsi="Amiri" w:eastAsia="Amiri" w:cs="Amiri"/>
          <w:color w:val="111111"/>
          <w:sz w:val="28"/>
          <w:sz w:val="28"/>
          <w:szCs w:val="28"/>
          <w:rtl w:val="true"/>
          <w:lang w:bidi="ar-SA"/>
        </w:rPr>
        <w:t xml:space="preserve">إنّه هل يجوز الاشتراك في الاتّصالات المخابريّة الحديثة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معرضة لإرائة مطالب أو تصاوير ضالّة مضلّة أو لايجوز؟ يمكن القول بالجواز لمن أمكن أن يجتنب عن البرنامج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اختصاصها بالمطالب الضالّة و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الحكومة الإسلاميّة، فاللازم حينئذ هو الاجتناب عن ذلك، و أمّا إذا لم يتمكّن من الاجتناب أو صار وسيلة لإضلال الآخرين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عرفت من الأدلّة العقليّة الدالّة على قلع مادّة الإفساد و الإضلال أو دفع الضرر المحتمل أو وجوب التحفّظ على مقاصد المولى هو حرمة الاشتراك و تهيئة الأدوات المربوطة بذلك</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85334_1280447820"/>
      <w:bookmarkStart w:id="323" w:name="_Toc116"/>
      <w:bookmarkEnd w:id="322"/>
      <w:r>
        <w:rPr>
          <w:rtl w:val="true"/>
        </w:rPr>
        <w:t>الجهة العاشرة</w:t>
      </w:r>
      <w:r>
        <w:rPr>
          <w:rtl w:val="true"/>
        </w:rPr>
        <w:t xml:space="preserve">: </w:t>
      </w:r>
      <w:r>
        <w:rPr>
          <w:rtl w:val="true"/>
        </w:rPr>
        <w:t>يجب على الحكومة أن تقابل مع البر نامج المضرّة</w:t>
      </w:r>
      <w:bookmarkEnd w:id="323"/>
    </w:p>
    <w:p>
      <w:pPr>
        <w:pStyle w:val="BookText"/>
        <w:rPr/>
      </w:pPr>
      <w:r>
        <w:rPr>
          <w:rFonts w:ascii="Amiri" w:hAnsi="Amiri" w:eastAsia="Amiri" w:cs="Amiri"/>
          <w:color w:val="111111"/>
          <w:sz w:val="28"/>
          <w:sz w:val="28"/>
          <w:szCs w:val="28"/>
          <w:rtl w:val="true"/>
          <w:lang w:bidi="ar-SA"/>
        </w:rPr>
        <w:t>إنّ على الحكومة أن تقابل مع البرنامج المضرّة التي تنشر بالأدوات الحديثة من ناحية الدول الاستكباريّة بقدر الاستطاعة، و يجب عليها أن ينهى الناس عن الإقبال إليها و ترغّب أهل الفنّ و الصناعة نحو الممانعة عن نشر البرنامج المضرّة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85336_1280447820"/>
      <w:bookmarkStart w:id="325" w:name="_Toc117"/>
      <w:bookmarkEnd w:id="324"/>
      <w:r>
        <w:rPr>
          <w:rtl w:val="true"/>
        </w:rPr>
        <w:t>الجهة الحادية عشر</w:t>
      </w:r>
      <w:r>
        <w:rPr>
          <w:rtl w:val="true"/>
        </w:rPr>
        <w:t xml:space="preserve">: </w:t>
      </w:r>
      <w:r>
        <w:rPr>
          <w:rtl w:val="true"/>
        </w:rPr>
        <w:t>طرح الافكار المضرّة في مجالس العام او في الراديو و التلفزيون</w:t>
      </w:r>
      <w:r>
        <w:rPr>
          <w:rtl w:val="true"/>
        </w:rPr>
        <w:t xml:space="preserve">... </w:t>
      </w:r>
      <w:r>
        <w:rPr>
          <w:rtl w:val="true"/>
        </w:rPr>
        <w:t>غير جائز</w:t>
      </w:r>
      <w:bookmarkEnd w:id="325"/>
    </w:p>
    <w:p>
      <w:pPr>
        <w:pStyle w:val="BookText"/>
        <w:rPr/>
      </w:pPr>
      <w:r>
        <w:rPr>
          <w:rFonts w:ascii="Amiri" w:hAnsi="Amiri" w:eastAsia="Amiri" w:cs="Amiri"/>
          <w:color w:val="111111"/>
          <w:sz w:val="28"/>
          <w:sz w:val="28"/>
          <w:szCs w:val="28"/>
          <w:rtl w:val="true"/>
          <w:lang w:bidi="ar-SA"/>
        </w:rPr>
        <w:t>إنّ الترخيص لطرح الأفكار المضرّة في مجالس العامّ أو في الراديو و التلفزيون أو في الجرائد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المجلس مجلس الخواصّ فلامانع منه، كما أنّه يجوز ذلك في الراديو أو التلفزيون و نحوهما مع حضور من يتمكّن من الإيراد و النقض</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مقتضى الحرّيّة هو ترخيص كلّ فرد لإظهار أفكاره و على العلماء أن يجيبوا عن ذلك، سخيفة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صيانة الاجتماع عن الضلال من أهمّ‌ </w:t>
      </w:r>
      <w:bookmarkStart w:id="326" w:name="pg16065_152916"/>
    </w:p>
    <w:p>
      <w:pPr>
        <w:pStyle w:val="BookText"/>
        <w:rPr/>
      </w:pPr>
      <w:bookmarkEnd w:id="326"/>
      <w:r>
        <w:rPr>
          <w:rFonts w:ascii="Amiri" w:hAnsi="Amiri" w:eastAsia="Amiri" w:cs="Amiri"/>
          <w:color w:val="111111"/>
          <w:sz w:val="28"/>
          <w:sz w:val="28"/>
          <w:szCs w:val="28"/>
          <w:rtl w:val="true"/>
          <w:lang w:bidi="ar-SA"/>
        </w:rPr>
        <w:t>الواجبات، و من المعلوم أنّ ترخيص المضلّين في إضلالهم مع عدم إمكان مقابلتهم في سطح وسيع يخلّ بصيانة الإجتماع الإسلامي</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85338_1280447820"/>
      <w:bookmarkStart w:id="328" w:name="_Toc118"/>
      <w:bookmarkEnd w:id="327"/>
      <w:r>
        <w:rPr>
          <w:rtl w:val="true"/>
        </w:rPr>
        <w:t>الجهة الثانية عشر</w:t>
      </w:r>
      <w:r>
        <w:rPr>
          <w:rtl w:val="true"/>
        </w:rPr>
        <w:t xml:space="preserve">: </w:t>
      </w:r>
      <w:r>
        <w:rPr>
          <w:rtl w:val="true"/>
        </w:rPr>
        <w:t>في تبدل عنوان الضلال</w:t>
      </w:r>
      <w:bookmarkEnd w:id="328"/>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أعني حرمة الحفظ في الكتب الضالّة أو ما يضلّ دائر مدار ترتّب المفسدة، فلو صار ما يضلّ غير ما يضلّ بحيث لايترتّب عليها المفسدة كما إذا جيء بكتب لاشتغال الناس بها و تبعيدهم عن الرجوع إلى أهل البيت عليهم السلام ثمّ يغيّر بمرور الزمان و صار تلك الكتب من مقدّمات تبيين مكتب أهل البيت عليهم السلام، ارتفع حرمة حفظها، كما أنّه لو صارت بعض الكتب مضلّة بعد ما لم يكن كذلك صار حفظها محرّماً بعد ما كان جايزاً، فالعبرة يترتّب المفسدة و الإضلال</w:t>
      </w:r>
      <w:r>
        <w:rPr>
          <w:rFonts w:eastAsia="Amiri" w:cs="Amiri" w:ascii="Amiri" w:hAnsi="Amiri"/>
          <w:color w:val="111111"/>
          <w:sz w:val="28"/>
          <w:szCs w:val="28"/>
          <w:rtl w:val="true"/>
          <w:lang w:bidi="ar-SA"/>
        </w:rPr>
        <w:t xml:space="preserve">. </w:t>
      </w:r>
      <w:bookmarkStart w:id="329" w:name="pg16065_152917"/>
    </w:p>
    <w:p>
      <w:pPr>
        <w:pStyle w:val="Heading2"/>
        <w:numPr>
          <w:ilvl w:val="1"/>
          <w:numId w:val="1"/>
        </w:numPr>
        <w:rPr/>
      </w:pPr>
      <w:bookmarkStart w:id="330" w:name="__RefHeading___Toc285340_1280447820"/>
      <w:bookmarkStart w:id="331" w:name="_Toc119"/>
      <w:bookmarkEnd w:id="329"/>
      <w:bookmarkEnd w:id="330"/>
      <w:r>
        <w:rPr>
          <w:rtl w:val="true"/>
        </w:rPr>
        <w:t>المسألة الثامنة عشر حق التأليف</w:t>
      </w:r>
      <w:bookmarkEnd w:id="331"/>
    </w:p>
    <w:p>
      <w:pPr>
        <w:pStyle w:val="Heading3"/>
        <w:numPr>
          <w:ilvl w:val="2"/>
          <w:numId w:val="1"/>
        </w:numPr>
        <w:rPr/>
      </w:pPr>
      <w:bookmarkStart w:id="332" w:name="__RefHeading___Toc285342_1280447820"/>
      <w:bookmarkStart w:id="333" w:name="_Toc120"/>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و لايخفى عليك أنّ البحث في ذلك يقع في مقامات</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85344_1280447820"/>
      <w:bookmarkStart w:id="335" w:name="_Toc121"/>
      <w:bookmarkEnd w:id="334"/>
      <w:r>
        <w:rPr>
          <w:rtl w:val="true"/>
        </w:rPr>
        <w:t>المقام الأوّل</w:t>
      </w:r>
      <w:r>
        <w:rPr>
          <w:rtl w:val="true"/>
        </w:rPr>
        <w:t xml:space="preserve">: </w:t>
      </w:r>
      <w:r>
        <w:rPr>
          <w:rtl w:val="true"/>
        </w:rPr>
        <w:t>ان العمل العلمى و الابتكار الفكرى</w:t>
      </w:r>
      <w:r>
        <w:rPr>
          <w:rtl w:val="true"/>
        </w:rPr>
        <w:t xml:space="preserve">... </w:t>
      </w:r>
      <w:r>
        <w:rPr>
          <w:rtl w:val="true"/>
        </w:rPr>
        <w:t>ملك العامل</w:t>
      </w:r>
      <w:bookmarkEnd w:id="335"/>
    </w:p>
    <w:p>
      <w:pPr>
        <w:pStyle w:val="BookText"/>
        <w:rPr/>
      </w:pPr>
      <w:r>
        <w:rPr>
          <w:rFonts w:ascii="Amiri" w:hAnsi="Amiri" w:eastAsia="Amiri" w:cs="Amiri"/>
          <w:color w:val="111111"/>
          <w:sz w:val="28"/>
          <w:sz w:val="28"/>
          <w:szCs w:val="28"/>
          <w:rtl w:val="true"/>
          <w:lang w:bidi="ar-SA"/>
        </w:rPr>
        <w:t>إنّ العمل العلمي والابتكار الفكري أو الأدبي أو الاختراعي أثر وملك العامل والمبتكر والأديب والمؤلف والمخترع ونحوهم، ولذلك كان إسناده إلى غير من صدر ذلك عنه ظلم، كما إنّ ادّعاء ذلك من الغير لنفسه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لايجوز لصاحب هذه الأعمال أن ينسبها إلى غيره، لأنّه كذب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والإجازات المعمولة بين أصحاب الكتب والرواة تصلح للشهادة على كون العمل العلمي ممّا يختصّ بالعامل وإلاّ فلاوجه لتلك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يشهد لذلك قبل الإجازات سوق العكاظ الذي يقوم عند هلال ذي القعدة وتستمرّ عشرين يوماً وقيل شهراً يجتمع فيها قبائل العرب فيتناشدون ويتفاخرون ويتبايعون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هذه الاُمور لاتصحّ بدون اختصاص الآثار بعاملها وهذا واضح إلى حدّ سُمّي منتحل عمل الآخرين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البيوع الشايعة لقد سمّى العلماء منتحل أعمال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أو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336" w:name="pg16065_152918"/>
    </w:p>
    <w:p>
      <w:pPr>
        <w:pStyle w:val="BookText"/>
        <w:rPr/>
      </w:pPr>
      <w:bookmarkEnd w:id="336"/>
      <w:r>
        <w:rPr>
          <w:rFonts w:ascii="Amiri" w:hAnsi="Amiri" w:eastAsia="Amiri" w:cs="Amiri"/>
          <w:color w:val="111111"/>
          <w:sz w:val="28"/>
          <w:sz w:val="28"/>
          <w:szCs w:val="28"/>
          <w:rtl w:val="true"/>
          <w:lang w:bidi="ar-SA"/>
        </w:rPr>
        <w:t>الأدبية أو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سارقاً، فهتكوا ستره وفضحوا جريمته والّفوا في شأنه الكتب التي تكشف سوء فعلته، وقد مرّ معنا أنّ السيوطي ادّعى أمام القاضي الشيخ زكريا الأنصاري على القسطلاني سرقة بعض أعماله العلميّة و انتحالها و أبرز الأدّلة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و ان كان يجري بالارتكاز من العهود السابقة إلاّ أنّه لم يكن قانوناً إلاّ في القرون المتأخّرة بالنسبة إلى بعض 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85346_1280447820"/>
      <w:bookmarkStart w:id="338" w:name="_Toc122"/>
      <w:bookmarkEnd w:id="337"/>
      <w:r>
        <w:rPr>
          <w:rtl w:val="true"/>
        </w:rPr>
        <w:t>المقام الثاني</w:t>
      </w:r>
      <w:r>
        <w:rPr>
          <w:rtl w:val="true"/>
        </w:rPr>
        <w:t xml:space="preserve">: </w:t>
      </w:r>
      <w:r>
        <w:rPr>
          <w:rtl w:val="true"/>
        </w:rPr>
        <w:t>هذه الانتاجات بعد وضوح كونها ملكاً لصاحبها</w:t>
      </w:r>
      <w:r>
        <w:rPr>
          <w:rtl w:val="true"/>
        </w:rPr>
        <w:t xml:space="preserve">... </w:t>
      </w:r>
      <w:r>
        <w:rPr>
          <w:rtl w:val="true"/>
        </w:rPr>
        <w:t>يقع السؤال عن ماليتها</w:t>
      </w:r>
      <w:bookmarkEnd w:id="338"/>
    </w:p>
    <w:p>
      <w:pPr>
        <w:pStyle w:val="BookText"/>
        <w:rPr/>
      </w:pPr>
      <w:r>
        <w:rPr>
          <w:rFonts w:ascii="Amiri" w:hAnsi="Amiri" w:eastAsia="Amiri" w:cs="Amiri"/>
          <w:color w:val="111111"/>
          <w:sz w:val="28"/>
          <w:sz w:val="28"/>
          <w:szCs w:val="28"/>
          <w:rtl w:val="true"/>
          <w:lang w:bidi="ar-SA"/>
        </w:rPr>
        <w:t xml:space="preserve">في أنّ هذه الإنتاجات بعد وضوح كونها ملكاً لصاحبها و مضافة إليه يقع السؤال عن ماليّتها و الجواب عن ذلك ظاهر و هو أنّ الملكية و إن لاتستلزم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كانت الإنتاجات وافرة إلى حدّ لايوجب رغبة الناس نحو بذل مال بإزائها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كثيراً ما تكون مستلزمة للماليّة لعدم الوفور أوّلاً، و لامتياز بعضها بالنسبة إلى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المبادلات و المعاملات التي كانت تقع في سوق العكاظ تدلّ على ذلك،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الشايعة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في ذلك كما في البيوع الشايعة إنّ في عام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الميلادي صدر في بريطانيا قانون حقّ النسخ الذي يمنح المؤلّف وحده الحقّ في طباعة أعماله ثمّ صدر في الدانمارك قانون مماثل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و في العقد الأخير من القرن نفسه أصدرت أمريكا و فرنسا قانوناً مماثلاً ثمّ اتّجهت الجهود لتنظيم الحماية الدولية هما الصناعية و الأدبية فتمّ توقيع اتفاق بهذا الشأن بين بريطانيا و فرنسا و البرتغال في عام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ثمّ ظهرت اتفاقية باريس في </w:t>
      </w:r>
      <w:r>
        <w:rPr>
          <w:rFonts w:eastAsia="Amiri" w:cs="Amiri" w:ascii="Amiri" w:hAnsi="Amiri"/>
          <w:color w:val="111111"/>
          <w:sz w:val="28"/>
          <w:szCs w:val="28"/>
          <w:lang w:bidi="ar-SA"/>
        </w:rPr>
        <w:t>1883/3/20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نظمت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الحماية الدولية للملكية الأدبية في </w:t>
      </w:r>
      <w:r>
        <w:rPr>
          <w:rFonts w:eastAsia="Amiri" w:cs="Amiri" w:ascii="Amiri" w:hAnsi="Amiri"/>
          <w:color w:val="111111"/>
          <w:sz w:val="28"/>
          <w:szCs w:val="28"/>
          <w:lang w:bidi="ar-SA"/>
        </w:rPr>
        <w:t>1886/9/9</w:t>
      </w:r>
      <w:r>
        <w:rPr>
          <w:rFonts w:ascii="Amiri" w:hAnsi="Amiri" w:eastAsia="Amiri" w:cs="Amiri"/>
          <w:color w:val="111111"/>
          <w:sz w:val="28"/>
          <w:sz w:val="28"/>
          <w:szCs w:val="28"/>
          <w:rtl w:val="true"/>
          <w:lang w:bidi="ar-SA"/>
        </w:rPr>
        <w:t xml:space="preserve">، و في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منظمة اليونسكو الاتفاقية العالمية لحقوق المؤلف إلى أن تمّ إنشاء المنظمة العالمية للملكية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البيوع الشايعة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توفيق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يشهد لذلك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ما أخذتم عليه أجراً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الاُجرة لاتعطي إلاّ لمّا له الماليّة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شهادة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ببعض بتعليم القرآن كما تلي، روى الكليني بسند 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زوجنيها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فأعادت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فلم يقم أحد غير الرجل ثمّ أعادت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 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اللازم في المهور أن تكون من الأموال كما لعلّه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الحكم بالرجوع إلى نصف اُجرة المثل في تعليم السورة عند الطلاق قبل الدخول كما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على سورة من كتاب الله ثمّ طلّقها قبل أن يدخل بها فبما يرجع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ما تعلّم به مثل تلك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شيوع أخذ الاُجرة بإزاء تعليم الأحاديث و الأدبيّات و غيرهما من العلوم، إذ الاُجرة لاتكون إلاّ في قبال التعليم و لاتعطى الاُجرة في قبال شيء إلاّ إذا كان له المالية فاتّضح ممّا ذكرناه إنّ أعمال الآخرين من العلميّة و الأدبية و الفنيّة تكون ملكاً لأربابها و مالاً مرغوباً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الطب، باب الشرط في الرقية بقطيع من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39" w:name="pg16065_152920"/>
    </w:p>
    <w:p>
      <w:pPr>
        <w:pStyle w:val="Heading3"/>
        <w:numPr>
          <w:ilvl w:val="2"/>
          <w:numId w:val="1"/>
        </w:numPr>
        <w:rPr/>
      </w:pPr>
      <w:bookmarkStart w:id="340" w:name="__RefHeading___Toc285348_1280447820"/>
      <w:bookmarkStart w:id="341" w:name="_Toc123"/>
      <w:bookmarkEnd w:id="339"/>
      <w:bookmarkEnd w:id="340"/>
      <w:r>
        <w:rPr>
          <w:rtl w:val="true"/>
        </w:rPr>
        <w:t>المقام الثالث</w:t>
      </w:r>
      <w:r>
        <w:rPr>
          <w:rtl w:val="true"/>
        </w:rPr>
        <w:t xml:space="preserve">: </w:t>
      </w:r>
      <w:r>
        <w:rPr>
          <w:rtl w:val="true"/>
        </w:rPr>
        <w:t>انّ التوليد الفكرى</w:t>
      </w:r>
      <w:r>
        <w:rPr>
          <w:rtl w:val="true"/>
        </w:rPr>
        <w:t xml:space="preserve">... </w:t>
      </w:r>
      <w:r>
        <w:rPr>
          <w:rtl w:val="true"/>
        </w:rPr>
        <w:t>عمل للنفس و الروح</w:t>
      </w:r>
      <w:bookmarkEnd w:id="341"/>
    </w:p>
    <w:p>
      <w:pPr>
        <w:pStyle w:val="BookText"/>
        <w:rPr/>
      </w:pPr>
      <w:r>
        <w:rPr>
          <w:rFonts w:ascii="Amiri" w:hAnsi="Amiri" w:eastAsia="Amiri" w:cs="Amiri"/>
          <w:color w:val="111111"/>
          <w:sz w:val="28"/>
          <w:sz w:val="28"/>
          <w:szCs w:val="28"/>
          <w:rtl w:val="true"/>
          <w:lang w:bidi="ar-SA"/>
        </w:rPr>
        <w:t>إنّ التوليد الفكري أو الأدبي أو الفنّي عمل للنفس و الروح و هو كعمل الجوارح في الملكيّة و الماليّة و جواز أخذ الاُجرة عليه، و عليه فيترتّب عليه أحكام الإجارة فإذا استأجر أحد شخصاً لذلك في مدّة معينة بمبلغ معيّن وجب على الشخص الأجير العمل المذكور، كما وجب على المستأجر أداء المبلغ المزبور، و لاحقّ للأجير عدى ماتوافق عليه مع المستأجر من الاُجرة عملاً بمقتضى الإجارة كعمل الجوارح من دون فرق و تفاوت</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85350_1280447820"/>
      <w:bookmarkStart w:id="343" w:name="_Toc124"/>
      <w:bookmarkEnd w:id="342"/>
      <w:r>
        <w:rPr>
          <w:rtl w:val="true"/>
        </w:rPr>
        <w:t>المقام الرابع</w:t>
      </w:r>
      <w:r>
        <w:rPr>
          <w:rtl w:val="true"/>
        </w:rPr>
        <w:t xml:space="preserve">: </w:t>
      </w:r>
      <w:r>
        <w:rPr>
          <w:rtl w:val="true"/>
        </w:rPr>
        <w:t>انّ المولّد للفكر و الادب</w:t>
      </w:r>
      <w:r>
        <w:rPr>
          <w:rtl w:val="true"/>
        </w:rPr>
        <w:t xml:space="preserve">... </w:t>
      </w:r>
      <w:r>
        <w:rPr>
          <w:rtl w:val="true"/>
        </w:rPr>
        <w:t>كان مالكا لما يحتويه</w:t>
      </w:r>
      <w:bookmarkEnd w:id="343"/>
    </w:p>
    <w:p>
      <w:pPr>
        <w:pStyle w:val="BookText"/>
        <w:rPr/>
      </w:pPr>
      <w:r>
        <w:rPr>
          <w:rFonts w:ascii="Amiri" w:hAnsi="Amiri" w:eastAsia="Amiri" w:cs="Amiri"/>
          <w:color w:val="111111"/>
          <w:sz w:val="28"/>
          <w:sz w:val="28"/>
          <w:szCs w:val="28"/>
          <w:rtl w:val="true"/>
          <w:lang w:bidi="ar-SA"/>
        </w:rPr>
        <w:t>إنّ المولّد للفكر و الأدب و الفنّ لو لم يأخذ في مقابل عمله الأدبي و الفكري شيئاً أودع حصيلة عمله في كتاب و نحوه من مسجّلات كان الكتاب و نحوه ملكاً و مالاً له، و لايجوز لأحد أن يتصرّف فيه و لو بالاستنساخ إلاّ بإذنه، و جاز له بيع نسخته بشرط استنساخ مقدار معيّن منه دون الزائد عنه، و جاز أيضاً إجارته لاستنساخ مقدار معيّن منه، فلايجوز للمشتري أو المستأجر الناشر استنساخ الزائد عن المقدار المشروط أو المأذون، قضاء للشرط المذكور في ضمن البيع أو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تعدّي عن ذلك عصى و أثم و هكذا لو شرط صاحب النسخة على الناشر أن يشترط على المشتري منه أن لايستنسخ منه لايجوز للمشتري عن الناشر الاستنساخ أو التعدّي عن المقدار المشروط أو المأذون عند اشتراط الناشر عليه ذلك</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تعدّى المشتري عن الناشر عن المقدار المشروط عصى و أثم ولو لم يشترط الناشر مع المشتري منه ذلك الشرط عصى الناشر، لوجوب اشتراط الشرط المذكور عليه في العقد الأوّل، و مع عدم اشتراط ذلك مع المشتري منه جاز له تكثير ذلك، لعدم اشتراط ذلك معه في عقد من العقود، إذ المفروض إنّ شرط المولّد مع </w:t>
      </w:r>
    </w:p>
    <w:p>
      <w:pPr>
        <w:pStyle w:val="BookText"/>
        <w:rPr/>
      </w:pPr>
      <w:r>
        <w:rPr>
          <w:rFonts w:ascii="Amiri" w:hAnsi="Amiri" w:eastAsia="Amiri" w:cs="Amiri"/>
          <w:color w:val="111111"/>
          <w:sz w:val="28"/>
          <w:sz w:val="28"/>
          <w:szCs w:val="28"/>
          <w:rtl w:val="true"/>
          <w:lang w:bidi="ar-SA"/>
        </w:rPr>
        <w:t>الناشر لاالمشترى من الناشر، و عليه فيجوز للمشتري عن الناشر ذلك لأنّه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ذلك الاشتراط في الناشر أيضاً بأنّ نفوذ ذلك الشرط مع الناشر ينافي سلطة المالك على ملكه، فإنّه إذا باعه صار الناشر مالكاً و المالك له السلطة على ملكه فاشتراط عدم التكثير ينافي سلطنة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السلطة على الملك ليست من اللوازم غير المفارقة، لانفكاكها عن الملكيّة في موارد كالحجر أو النذر على ترك التصرّف فيه كالبيع، و من المعلوم أنّ الشرط كالنذر سبب من الأسباب الموجبة للانفكاك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بعض النصوص الدالّ على صحّة شرط عدم بيع الجارية وهبتها، كصحيحة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الشرط في الإماء لاتباع و لاتورث و لاتوهب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فإنّها تورث و كلّ شرط خالف كتاب الله فهو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إنّ الغرض النوعيّ المعاملي من التمليك و التملّك هو تحصيل وجوه التصرّفات فشرط عدم التكثير ينافي الغرض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إنّ شرط عدم تصرّف خاصّ من أنحاء التصرّفات لايكون منافياً، و إنّما المنافي هو شرط عدم مطلق التصرّف، و بعبارة اُخرى الشرط ينافي إطلاق التصرّف لانفس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الشرط المذكور من ناحية أنّه شرط الفعل و هو أنّه و إن كان واجباً و لايجوز خلافه و مع التخلّف يوجب خيار الفسخ ولكنّه لايوجب حقّاً ماليّاً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يشترط في متن البيع أو الإجارة بنحو شرط النتيجة أن يكون له حقّ الطبع بحسب ما هو المتعارف، من دون تفاوت بين التكثير من نسخة المؤلّف أو من نسخة نفسه، فلايجوز له حينئذ التعدّي عن المأذون، ولو تعدّى عنه وجب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4" w:name="pg16065_152922"/>
    </w:p>
    <w:p>
      <w:pPr>
        <w:pStyle w:val="BookText"/>
        <w:rPr/>
      </w:pPr>
      <w:bookmarkEnd w:id="344"/>
      <w:r>
        <w:rPr>
          <w:rFonts w:ascii="Amiri" w:hAnsi="Amiri" w:eastAsia="Amiri" w:cs="Amiri"/>
          <w:color w:val="111111"/>
          <w:sz w:val="28"/>
          <w:sz w:val="28"/>
          <w:szCs w:val="28"/>
          <w:rtl w:val="true"/>
          <w:lang w:bidi="ar-SA"/>
        </w:rPr>
        <w:t>أداء حقّ المؤلّف بحسب ما يقتضيه المتعارف، ولكن هذا مختصّ بالناشر الذي شرط المؤلّف معه و أمّا المشتري من الناشر فلاشرط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جاز له التكثير ولم يجب عليه أداء شيء، و الاشتراط مع الناشر أجنبيّ عن المشتري من الناشر إلاّ إذا اشترط الناشر عليه أن يكون للمؤلّف حقّ الطبع بحسب المتعارف بالنحو الذي شرط معه، فوجب حينئذ على المشتري عن الناشر أيضاً مراعاة هذا الشرط، ولو تخلّف وجب عليه أداء حقّ المؤلّف بحسب ما هو المتعارف، فشرط النتيجة يوجب الحقّ المالي للمؤلّف في مورد تحقّق شرط النتيجة فقط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المتعارف هو ما يعرفه العرف بحسب الزمان و المقدار و مع معلوميّة ذلك فلاكلام و إلاّ فاللازم هو تعيين ذلك في متن العقد، و بالجملة فمع اشتراط ذلك بنحو شرط النتيجة يشتغل ذمّة المشروط عليه بذلك سواء كان هو الناشر أو المشتري عنه و يجب عليه أداء هذا الحقّ إلى مؤلّفه أو ورّاثه، و أما مع عدم تحقّق شرط النتيجة و لاشرط الفعل فلامنع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إنّ التمليك له اسباب خاصّة و لايحصل بمثل الشرط، لأنّا نقول إنّ ذلك ممنوع جدّاً، لأنّ التمليك يحصل بكلّ سبب من الأسباب ولو كان هو الشرط في ضمن المعاملة و لايقاس بمثل النكاح أو البيع أو الطلاق و غير ذلك ممّا له أسباب خاصّة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85352_1280447820"/>
      <w:bookmarkStart w:id="346" w:name="_Toc125"/>
      <w:bookmarkEnd w:id="345"/>
      <w:r>
        <w:rPr>
          <w:rtl w:val="true"/>
        </w:rPr>
        <w:t>المقام الخامس</w:t>
      </w:r>
      <w:r>
        <w:rPr>
          <w:rtl w:val="true"/>
        </w:rPr>
        <w:t xml:space="preserve">: </w:t>
      </w:r>
      <w:r>
        <w:rPr>
          <w:rtl w:val="true"/>
        </w:rPr>
        <w:t>اذا لم يشترط المؤلف شيئاً فهل له حق التأليف‌؟</w:t>
      </w:r>
      <w:bookmarkEnd w:id="346"/>
    </w:p>
    <w:p>
      <w:pPr>
        <w:pStyle w:val="BookText"/>
        <w:rPr/>
      </w:pPr>
      <w:r>
        <w:rPr>
          <w:rFonts w:ascii="Amiri" w:hAnsi="Amiri" w:eastAsia="Amiri" w:cs="Amiri"/>
          <w:color w:val="111111"/>
          <w:sz w:val="28"/>
          <w:sz w:val="28"/>
          <w:szCs w:val="28"/>
          <w:rtl w:val="true"/>
          <w:lang w:bidi="ar-SA"/>
        </w:rPr>
        <w:t>إنّه إذا لم يشترط المؤلّف شيئاً فهل له حقّ التأليف أو ليس له‌؟ اختلفت الآراء فيه و قد ذكروا هنا توجيهات مختلفة حول كيفية ثبوت حقّ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كتاب البيوع الشائعة من أنّ الكتاب في الحقيقة يتكون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الهيكل الماديّ المتمثّل بالورق و الحبر و الجلد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العلميّة التي اجتهد المؤلّف في جمعها و تحصيلها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مشتري الكتاب يملك رقبة هذا الكتاب أي الهيكل المادّي له و يستحقّ أن ينتفع بما تضمّنه من فوائد علميّة ولكنّه لايملك هذه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قائلاً يقول إنّ الكتاب يرتفع ثمنه بما يتضمّنه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القيمة ليست لمجرّد الورق و الحبر و يعني بالتالي أنّ ثمن الكتاب يتضمّن قيمة المادّة العلميّة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الكتاب يرتفع ثمنه بما يتضمّنه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يرتفع ثمن البيت لموقعه و ما يحيط به، و إذا كان لصاحب البيت أن يرفع ثمنه لموقعه و ما يحيط به فإنّ لصاحب الكتاب أن يرفع ثمنه بطريق أولى، لأنّ صاحب الكتاب يملك المنفعة التي يتضمّنها الكتاب بينما قد لايملك صاحب البيت تلك المزايا التي ارتقت بسببها قيمة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لايلزم من ذلك إنّه باعه تلك المادّة العلميّة كما لايلزم من ارتفاع قيمة البيت إنّه باعه مايحيط به من 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ثمّة 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رقبة الشيء من كتاب أو بيت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منفعة هذا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الاُمور الثلاثة قد تكون مجتمعة كمن يسكن بيتاً يملكه، و قد يملك المرء رقبة الشيء دون منفعته وذلك كالوارث بيتاً أوصى مورّثه بمنفعته دون رقبته فإنّ الوارث هنا يملك الرقبة دون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يملك المرء منفعة الشيء دون رقبته كالمستأجر مدّة استيجاره و المنفعة هنا شيء اعتباريّ معياره الزمن كلمّا مرّ وقت مضىّ جزء منه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للمرء حقّ الانتفاع بالشيء مع أنّه لايملك الرقبة و لاالمنفعة كالضيف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يدلّ على أنّه ليس ثمّة تلازم بين حقّ الانتفاع و ملك المنفعة كما أنّه ليس ثمّة تلازم بين ملك المنفعة و 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المثال الذي بين أيدينا يملك مشتري الكتاب رقبة الكتاب و لايملك منفعته المتمثّلة بالمادّة العلميّة الموجودة فيه لكنّه استحقّ الانتفاع بهذه المادّة العلميّة عند ما أتاح له المؤلّف ذلك بشرائه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لماذا لم يكن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الأدبية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قيمة مادّيّة في العصور السالفة و لاسيّما عند العلماء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 على 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إعطاء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العلميّة أو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ماديّة كان له وجود في العصور السالفة تجلي في الجوائز التي كان ولاة الأمر يكرمون بها المؤلفين، و في الرواتب المقرّرة للمدرسين و المعلّمين و المربّين، و قد نصّ الفقهاء على جواز أخذ معلّم القرآن الأجر على ذلك مقدّراً بالمدّة أو بالمقدار الذي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يكن ثمّة حقّ نشر و طبع لأنّه لم يكن ثمّة نشر و لاطبع بالمفهوم السائد اليوم، كان ثمّة نسخ للكتاب ينفق فيه الناسخ جهداً مضينا و مشقّة كبيرة لاتدع مجالاً لاستثمار الكتاب كما هو متاح للمطابع اليوم و كان الناسخ يستثمر قدرته على النسخ و ليس القيمة العلميّة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المؤلّف في الزمن الماضي يمنع النسّاخ من نسخ كتابه و لم يكن يطلب منهم مكافاة على السماح بنسخه، لأنّهم في الحقيقة لايستثمرون عمله العلمي و إنّما يريدون أن ينالوا أجر جهدهم في نسخه ولكنّه كان يمنعهم من احتكار استنساخ كتابه، أمّا اليوم فإنّ في وسع المطابع أن تقذف في ساعات آلاف النسخ من الكتاب القيّم الذي بذل مؤلّفه فيه الجهد و الوقت و المال حتّى جمع مادّته العلميّة و صاغها و أفرغها في هذا السفر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المادّة العلميّة حقّ لمؤلّفها، لايجوز لأحد أن ينتحلها لنفسه، و كذلك </w:t>
      </w:r>
    </w:p>
    <w:p>
      <w:pPr>
        <w:pStyle w:val="BookText"/>
        <w:rPr/>
      </w:pPr>
      <w:r>
        <w:rPr>
          <w:rFonts w:ascii="Amiri" w:hAnsi="Amiri" w:eastAsia="Amiri" w:cs="Amiri"/>
          <w:color w:val="111111"/>
          <w:sz w:val="28"/>
          <w:sz w:val="28"/>
          <w:szCs w:val="28"/>
          <w:rtl w:val="true"/>
          <w:lang w:bidi="ar-SA"/>
        </w:rPr>
        <w:t>لايجوز أن يستثمرها غيره، و إنّ الناس عندما يقبلون على شراء هذا الكتاب إنّما يقبلون على شرائه للمادّة العلميّة التي فيه و ليس لمجرّد الورق و الحبر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فإنّ هذه المادّة العلميّة حقّ لمؤلّفها يحرم شرعاً أن يدّعيها أحد لنفسه، و هي حقّ لمؤلّفها يملك أن يبيح للآخرين بتداولها و نشرها كما أنّ لمؤلّفها الحقّ في أن يستثمرها لنفسه و أن يمنع الآخرين من استثمارها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صحّ أنّ الانتاج العلمي أو الإبداع الفنّي أو الابتكار الصناعي هو المنفعة التي أودعت في وعاء يحتويها و يظهرها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الشريط المسموع أو المرئي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رقائق الحاسوب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أنّ هذه المنفعة ملك لصاحبها الذي انتجها، و أنّ صاحبها عندما باع الكتاب أو اللوحة أو الشريط أو نحوه الذي يحتوي تلك المنفعة إنّما باع الوعاء و أتاح للمشتري الانتفاع بتلك المنفعة التي تظهر من خلال الكتاب و نحوه و لم يبع تلك المنفعة المتمثّلة بالمادّة العلميّة أو الإبداع الفنّي و نحوه و أنّ المشتري يملك رقبة هذا الكتاب المتمثّلة بالورق و الحبر و الجلد و يتمتع بحقّ الانتفاع بما فيه من الفوائد العلميّة ولكنّه لايملك تلك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يمكن أن أضرب مثلاً للتصرف أراها صحيحة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يبيح المؤلّف و نحوه هذا الإنتاج، فيسمح لمن شاء أن ينتفع بقراءته أو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يشترط شروطاً تنسجم مع سلامة المضمون العلمي و صيانته، و عندئذ فإنّ شروطه تؤخذ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حقّ نشر هذا المؤلّف لإحدى دور النشر مثلاً بقيمة معيّنة متّفق عليها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هذا الحقّ منفعة فإنّ بيعها على التأبيد يقتضي أن تكون تبعاً لرقبة تحتوي هذه المنفعة، و لذلك فإنّه يمكن إجراء هذا العقد على مخطوط مثلاً وضعه المؤلّف، أو على نسخة أعدّها على النحو الذي يراه ملائماً، فيبيح عندئذ هذه </w:t>
      </w:r>
    </w:p>
    <w:p>
      <w:pPr>
        <w:pStyle w:val="BookText"/>
        <w:rPr/>
      </w:pPr>
      <w:r>
        <w:rPr>
          <w:rFonts w:ascii="Amiri" w:hAnsi="Amiri" w:eastAsia="Amiri" w:cs="Amiri"/>
          <w:color w:val="111111"/>
          <w:sz w:val="28"/>
          <w:sz w:val="28"/>
          <w:szCs w:val="28"/>
          <w:rtl w:val="true"/>
          <w:lang w:bidi="ar-SA"/>
        </w:rPr>
        <w:t>النسخة مع ما تضمّنته من منفعة بحيث يملك هذا الناشر هذا المؤلّف رقبةً ومنفعةً و يحقّ له بذلك أن يستثمر هذه المنفعة لنفسه بالطبع و النشر و التوزيع و لايملك المؤلّف حقّ التصرّف بالمنفعة المادية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من حقّ الناشر أن يتصرّف بالمضمون العلمي بأي شكل من أشكال التصرّف التي يمكن أن تغيّر من صيغته، و لا أن ينتحلّه و لا أن ينسبه إلى غير مؤلّفه، بل يجب أن ينسبه إلى مؤلّفه كما هو مقتضى الأمانة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 المؤلّف ناشراً لطبع هذا الكتاب و توزيعه مقابل أن تكون للناشر اُجرة مقدّرة بنسبة محدّدة من قيمة الكتاب الموضّحة في العقد من كامل النسخ المطبوعة و المحدّدة عددها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 هنا غير مجهول ما دام عدد نسخ الكتاب معروفاً و قيمة النسخة معروفة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هنا أنّ ثمن الورق و تكاليف الطبع و التجليد هنا على المؤلّف، كما يلاحظ إمكان أن يستأجر المؤلّف ناشراً لتوزيع الكتاب في منطقة محدّدة أو مطلقاً مع حفظ حقّ الناشر بعدم طبع الكتاب من ناشر آخر في المنطقة المعينة إذا حدّدت، أو مطلقاً إذا تمّ الاتفاق على ذلك، مادامت نسخ الكتاب متوفّرة لم تنفد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المؤلّف الناشر هذا الكتاب لمدّة 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يبيعه منفعة الكتاب مدّة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بقيمة معيّنة و هو مايمكن أن يوضح بمايلي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يشتري الناشر حقّ نشر هذا الكتاب لمدّة محدّدة بحيث ينقطع حقّ المؤلّف بالتصرّف بحقّه في هذا الكتاب هذه المدّة، كمن آجر داراً مدّة سنة مثلاً، فهو قد باع بذلك منفعة هذه الدار لمدّة سنة ثمّ يعود البيت رقبةً ومنفعةً إلى صاحبه و كذلك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الشايعة تأليف محمد توفيق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بأنّ ما ذكر لتوجيه حقّ التأليف في صورة عدم اشتراط المؤلّف شيئاً لنفسه محلّ منع و نظر، أوّلاً بالنقض بجميع الأشياء التي تضمّنت مادة علميّة أو فنّيّة أو أدبيّة فإنّها منتقلة بجميع خصوصيّاتها إلى من اشتراها و لم يقل أحد بانتقال الأعيان دون الموادّ العلميّة أو الفنيّة أو الأدبيّة و لذا لايحتاج من اشتراها إلى تجديد قرار في المواد مع بايعها كما لايخفى، و ثانياً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الخطوط الحاكية عن المادّة العلميّة أو الفنيّة أو الأدبيّة تصير بالطبع أو الكتابة من أوصاف الكتاب و هي تابعة للعين في الملكية و توجب ازدياد منفعتها فيعقبها ازدياد قيمتها، و يجوز لمالك العين أن ينتفع بها من دون توقيتها بمدّة، فمن ملك عيناً ملك وصفها و منفعتها أيضاً و لامعنى بعد شراء العين من المالك لبقاء الوصف أو المنفعة على ملكية المالك، نعم لو نقل المالك منفعة العين بالإجارة إلى الغير قبل البيع فلاينتقل المنفعة في مدّة الإجارة إلى المشتري فإذا انقضت المدّة صارت المنفعة تبعاً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فدعوى الانفكاك في الملكيّة بين المادّة العلميّة الموجودة في الكتاب و بين العين لاوجه له، بل يخالفه جواز الانتفاع من المادّة العلميّة الموجودة فيها، من دون حاجة إلى تجديد الاستيذان أو تجديد القرار مع مالك المواد، مع أنّه لو لم يكن المادّة العلميّة ملكاً للمشتري لزم الاستيذان أو تجديد القرار في الانتفاع و هو كما ترى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منشأ الخلط هو اشتراك عنوان الملكية بين التكوينية و الاعتبارية، فإنّها كما تطلق على الملكيّة التكوينيّة تطلق على الملكية الاعتبارية أيضاً، فيتوهّم اختصاص الملكية الاعتبارية بالمؤلّف من جهة اختصاص الملكيّة التكوينيّة به مع أنّه لاملازمة بينهما فالمادّة العلميّة التي صارت و صفاً للعين هي ملك اعتباريّ لمالك العين بتبع ملكية العين في عين كونها ملكاً تكوينيّاً للمؤلّف خاصّة، فإنّ الملك بمعنى الأثر مخصوص به و لامنافاة بينهما لجواز اجتماعهما في الشيء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يمكن أن يكون المادّة العلميّة الموجودة في الكتاب ملكاً اعتباريّاً لصاحب العين و هو المشتري في عين كونه أثراً تكوينيّاً للمؤلّف، و يترتّب على كلّ واحد منهما حكمه،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قوله من أنّ مشتري الكتاب يملك رقبة هذا الكتاب أي الهيكل المادّي له و يستحقّ أن ينتفع بما تضمنه من فوائد علميّة ولكنّه لايملك هذه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ملكية العين تستبع ملكيّة الأوصاف و الخطوط الموجودة في الكتاب الحاكية عن الموادّ العلميّة، فهي ملك مالك العين، و مع مالكيّته لها لامجال لدعوى استحقاق الانتفاع من دون تملّك للفوائد العلميّة، اللّهمّ إلاّ أن يكون المقصود أنّ ما استفاده منها لايكون أثراً لمالك العين بل هو أثر لمؤلّفه، إذ الملك بمعنى الأثر مختصّ بالمؤلّف ولكنّه لايساعد كلامه و لايجدى في إثبات اختصاص الملكيّة الاعتباريّة به،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التفكيك بين رقبة الشيء من كتاب أو بيت و نحوهما و بين منفعتهما لايحصل من دون سبب، لما عرفت من أنّ مقتضى القاعدة هي تبعيّة المنفعة للعين في الملكيّة ما دام لم يتعلّق عقد بالمنفعة قبل انتقال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فمشترى الكتاب يملك رقبة الكتاب و منفعته المتمثّلة بالمادّة العلميّة الموجودة فيه لعدم التفكيك بينهما بحسب القاعدة ما دام لم يتعلّق عقد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بيع الكتاب متعلّقاً بالهيكل المادّي فقط و جاز للمشتري الانتفاع بتلك المنفعة التي تظهر من خلال الكتاب و نحوه بإباحة البايع لزم أن لايجوز للمشتري أن ينتفع بتلك المنفعة التي تظهر من خلال الكتاب مع عدم إدامة الإباحة المذكورة، و هو كماترى</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لاوجه لمنع التبعيّة للعين بالنسبة إلى الخطوط الحاكية عن الموادّ العلميّة و كون الموادّ العلميّة أثراً للمؤلّف لايمنع عن انتقال الخطوط الحاكية إلى </w:t>
      </w:r>
    </w:p>
    <w:p>
      <w:pPr>
        <w:pStyle w:val="BookText"/>
        <w:rPr/>
      </w:pPr>
      <w:r>
        <w:rPr>
          <w:rFonts w:ascii="Amiri" w:hAnsi="Amiri" w:eastAsia="Amiri" w:cs="Amiri"/>
          <w:color w:val="111111"/>
          <w:sz w:val="28"/>
          <w:sz w:val="28"/>
          <w:szCs w:val="28"/>
          <w:rtl w:val="true"/>
          <w:lang w:bidi="ar-SA"/>
        </w:rPr>
        <w:t>المشتري، نعم يمكن أن يكون ذلك أي كون المواد العلميّة أثراً للمؤلّف موجباً لاعتبار عرف العقلاء حقّاً للمؤلّف في بعض الاحيان كما ادّعاه بعض في الأزمنة المتأخّرة، و لاينافي اعتبار الحقّ للمؤلّف مع انتقال الخطوط الحاكية إلى المشتري فيملك المشتري العين و المنفعة، ولكن لايجوز له التكثير لو اعتبر عرف العقلاء ذلك حقّاً للمؤلّف، و سيأتي تقريب اعتبار العرف و التحقيق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اعتبار العرف حقّاً للمؤلّف فلايكون له شيء بعد بيع نسخته أو إجارتها حتّى يمنع المشتري عن التكثير، بل يجوز للمشتري بعد البيع التكثير أيّاً ما شاء و هكذا يجوز للمستأجر ذلك في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أنّ مع عدم اشتراط شيء في العقد للمؤلّف لاموجب للاستحقاق المؤلّف شيئاً فلايكون للمؤلّف شيء بعنوان الحقّ حتّى يبيعه أو يستأجره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الغمض عن الإشكالات الاُخرى الواردة على هذا التوجيه،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في كتاب حقوق مؤلّفان من أنّ الفكر العلمي أو الأدبي أثر المؤلّف و الأديب و هذا الاثر كالفاكهة المجتنية من الشجرة في أنّ له وجوداً مستقّلاً، و يوضع بعد انفصاله عن فكر المؤلّف و نحوه في ظروف كالكتاب كما أنّ الفواكه توضع في ظروف تختصّ بها، فمشتري النسخة من المؤلّف و هو الناشر يملك المنفعة الموجودة في هذه النسخة و هي المادّة الموجودة فيه، لاأصل المنفعة ولو في غير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مشتري الفواكه يملك بالإشتراء الفواكه الموجودة في ظروف تختصّ بها التي تنقل إليه لاغيرها من الفواكه التي لاتكون في الظروف المنتقلة إليه، وهكذا الأمر في المشتري من الناشر فإنّه لايملك إلاّ المنفعة الموجودة في الكتب المنتقلة إليه لاأصل المنفعة ولو كانت في غيرها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فإذا توافق الناشر مع المؤلّف في طبع عدد خاصّ من النسخة الأصليّة صار </w:t>
      </w:r>
    </w:p>
    <w:p>
      <w:pPr>
        <w:pStyle w:val="BookText"/>
        <w:rPr/>
      </w:pPr>
      <w:r>
        <w:rPr>
          <w:rFonts w:ascii="Amiri" w:hAnsi="Amiri" w:eastAsia="Amiri" w:cs="Amiri"/>
          <w:color w:val="111111"/>
          <w:sz w:val="28"/>
          <w:sz w:val="28"/>
          <w:szCs w:val="28"/>
          <w:rtl w:val="true"/>
          <w:lang w:bidi="ar-SA"/>
        </w:rPr>
        <w:t>مالكاً للمنفعة الموجودة في هذا العدد الخاصّ و لايجوز له أن يطبع أزيد منه، لأنّه تجاوز و غصب، إذ المنافع الموجودة في العدد الزائد لايملكها بسبب من الأسباب، كما أنّ من اشترى من صاحب الأشجار مقداراً معيّناً من الفواكه الموجودة في ظروفها المختصّة بها لايجوز له أن يأخذ الفواكه زائدةً عليها لأنّه غصب و لاسبب لانتقالها إليه و المعاملة عليها 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أنّ مجرد تشبيه التوليد الفكري بإنتاج الفواكه و تنظير الكتب و المسجلاّت بالظروف الحاوية للفواكه لايجدي شيئاً، لأنّه قياس و لانقول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مافي نفس التشبيه المذكور لأنّ الفواكه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اشتراها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متماثلة لما اشتراها لاعينها، و المنفعة التي أراد تكثيرها عين المنفعة الموجودة و ليست غيرها، فالتصوير عن الكتاب تصوير لعين الكتاب و عليه و ليس إنتاجاً فكريّاً مستقلاً آخر، و عليه فكما أنّ التصوير عن نفس الفواكه المشتراة أو ايجاد مماثلها بقدرة الله تعالى لامانع منه فكذلك في الكتاب لامانع من تصويره أو ايجاد 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منع استقلال وجود المنفعة المذكورة لأنّ الخطوط المطبوعة في الكتاب عين الكتاب و ليس لها وجود مستقلّ حتّى يمكن تشبيهها بالفواكه الموضوعة في ظروفها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الخطوط المذكورة كالنقوش في الفرش فكما أنّ النقوش بالنسج صارت عين الفرش فكذلك الخطوط المذكورة بالطبع صارت عين الكتاب فلاوجه لتشبيه الخطوط الحاكية عن الفكر العلميّ بالفواكه الموضوعة في ظروفها المختصّ بها، و ليس هذا التشبيه إلاّ قياس ناقص، و لايترتّب عليه حكم القياس حتّى عند من يقول به فضلاً عمّن لايقول به،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ربمّا يستدلّ لثبوت حقوق المؤلّفين ونحوهم من أصحاب الأدب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مؤلّفان، ترجمه افتخار زاده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الفكر بالعرف، بدعوى أنّه المرجع في ثبوت الحقّ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 العرف السابق و إن ثبت بالنسبة إلى ماليّة الآثار الفكريّة و الأدبية و جواز المعاملة عليها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وقوع المعاملة عليها في سوق العكاظ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اعطاء الجوائز و الرواتب من السلاطين للمؤلّفين ولكن لم يثبت عرف في العهد السابق على استحقاق المؤلّفين شيئاً بعد بيعهم نسختهم من دون شرط شيء في متن العقد، بل يشهد له تصريح جماعة بإنكاره في الزمن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العرف فيه أمراً ثابتاً لما أختلفوا في ذلك ولما انكروا هذا مضافاً إلى اعتراف جماعة اُخرى بكون أمثال هذه الحقوق من الاُمور المستحدثة و عليه فاللازم هو البحث عن وجود العرف المقارن و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إنّ الارتكاز العقلائي الحديث على بعض الاختصاصات المعنوية كحقّ التأليف و النشر على حدّ الاختصاصات المادّية الساذجة المتمثلة في الحيازة مثلاً، و لافرق بين هذه السيرة المستحدثة و السيرة القديمة في كونهما بالارتكاز، و لاوجه لحرص الفقهاء في الاستدلال بالسيرة القديمة دون السيرة العقلائيّة المستحدثة مع أنّ وضع العقلاء في تقدّم ون ضج و تزايد خبرائهم الفكريّة و الاجتماعيّة و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كما أفاد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إنّما يصح فيما إذا كان الاستدلال بالسيرة العقلائية بما هي سيرة العقلائية و متابعة لهم لابما هي كاشفة عن موقف الشارع، و قد عرفت إنّ الذي يفيد في مجال استنباط الحكم الشرعي هو الثاني لاالأوّل، و هو موقوف على معاصرة السيرة زماناً لعصر الشارع</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إنّ الشارع قد أمضى السيرة المعاصرة لابوصفها الشخصي بل بوصفها النوعيّ العقلائي، بمعنى أنّه يفهم من عدم تصدّي الشارع لبيان أحكام و تأسيس تشريعات في أبواب متعدّدة من الحياة ممّا للعقلاء شأن فيه أنّه قد تركها إليهم و حوّل على ارتكازاتهم، فيكون هذا إمضاءاً إجماليّاً لما ينعقد عليه بنائهم إلاّ </w:t>
      </w:r>
    </w:p>
    <w:p>
      <w:pPr>
        <w:pStyle w:val="BookText"/>
        <w:rPr/>
      </w:pPr>
      <w:r>
        <w:rPr>
          <w:rFonts w:ascii="Amiri" w:hAnsi="Amiri" w:eastAsia="Amiri" w:cs="Amiri"/>
          <w:color w:val="111111"/>
          <w:sz w:val="28"/>
          <w:sz w:val="28"/>
          <w:szCs w:val="28"/>
          <w:rtl w:val="true"/>
          <w:lang w:bidi="ar-SA"/>
        </w:rPr>
        <w:t>ما ثبت جزئيّاً عدم متابعة الشارع لهم فيه وردعهم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كما أفاد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سكوت الشارع عن اعصار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التشريعات في ساير الموارد التي يراد التحويل فيها على السيرة العقلائيّة، بل قد بيّنت أحكامها أيضاً أو ورد ما يحتمل صدوره عن الشارع في مقام بيانها ولو بنحو العموم أو الإطلاق أو القاعدة الكليّة و عدم كثرة ذلك لعلّه ناتج عن عدم كثرة الاستثناءات لتلك القواعد العامّة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يقال من عدم كفاية مجرّد الإطلاق للردع عن سيرة مرتكزة إنّما يصحّ في سيرة معاشة حيّة لاما سوف يحدث بعد عصر التشريع مع عدم ابتلاء المكلّفين بها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سكوت الشارع إنّما يدلّ على إمضاء السيرة بنحو القضيّة الخارجيّة و ليس فيه تقرير لأكثر من ذلك، فلايمكن استكشاف إمضاء عامّ منه لمطلق السيرة العقلائيّة بنحو القضيّة الحقيقيّة إذ ليس الاستدلال في المقام بكلام و دلالة لفظيّة ليكون ظاهراً في القضيّة الحقيقيّة و إنّما بسكوت و تقرير و هو لايقتضي أكثر من إمضاء القضيّة الخارجيّة،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 كما أشار إليه في الجملة بعض الأعلام إنّ الشارع حيث تصدّى لبيان الشريعة الخالدة و تصحيح البناءات العقلائيّة إلى يوم القيامة فاللازم عليه هو الردع عن البناءات مطلقاً سواء كانت معاصرة أو المستحدثة ولو بمثل عموم أو إطلاق، و حينئذ بعد تحقّق السيرة المستحدثة لزم أن يتفحّص عن الردع عنها فإن ثبت الردع العامّ أو الخاص فالسيرة المستحدثة مردوعة، كالسيرة الحدثيّة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الأحكام العصريّة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بعض أنواع الفحشاء و المنكرات كاختلاط الرجال و النساء بنحو غير مشروع و إلاّ فيمكن استكشاف امضائه بالنسبة اليها بسكوته و عدم ردعه 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تأمّل لعدم دليل على ذلك بعد أنّ حكمة الباري تعالى تقتضي أن يكون الإمام ظاهراً بين الناس و هادياً لهم في الاُمور ولكن امتنعوا عن امتثال الإمام و حفظه حتّى غاب الإمام، و عليه فمع الغيبة المستندة إلى الناس دعوى أنّ الشارع في صدد تصحيح البناءات المستحدثة محتاجة إلى 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ذلك فهو فيما إذا لم يقم على خلافها السيرة السابقة و أمضاها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يكون كذلك فإنّ الفنون كالخطوط و التصويرات و نحوهما كانت في عهد قديم موجودة ولم ير لهم العرف حقّاً بالنسبة اليها ولم يكن بناء عليه، و الشارع المقدّس أمضى ذلك و عليه فحدوث الحقّ لهم في زماننا هذا لايكفي مع الردع عن ذلك في العهد القديم بنحو مذكور، فالمسألة محلّ تأمّل و إشكال هذا بالنسبة إلى تبادل العرف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يقال إنّ تبادل البناءات معتبر في ناحية الموضوعات لاالأحكام و عليه فلايضرّ التبادل بصحّة الأخذ بأحكامها، مثلاً إنّ نفقة الزوجة واجبة على زوجها و هي تختلف باختلاف الأزمنة و الأمكنة و الأشخاص، و اللازم هو ملاحظة العرف عند العمل بها، و لاوجه للقول بأنّ المتّبع هو المقدار الذي كان ينفق في العهد القديم كما لايخفى، و عليه فيمكن إنّ يقال ان مع فرض اعتبار حقّ التأليف للمؤلّف في الأعصار المتأخّرة اندرج ذلك تحت أموال الناس و حقوقهم و معه يترتّب عليه أحكام المال فلايكون أكل المال بإزائه أكلاً بالباطل بل عدم إعطاء حقّهم يوجب أن يكون تصرّفاً في أموال الناس بالباطل و يكون منهيّاً عنه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المعاملة معهم حينئذ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التمسّك بقوله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إعطاء حقوق المؤلّفين إليهم لأنّها من الأشياء المضافة إليهم عند العرف لو ثبت ذلك في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حينئذ يكون بالأدلة اللفظية في ناحية الأحكام، لابالعرف و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القضيّة في أمثال هذه الأدلّة قضيّة حقيقيّة و التمسك بها بهذه الملاحظة، و العرف مؤثّر في ناحية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موضوع المعاملات هو الأموال، و النجاسات حيث كانت في السابق بلافائدة لم تعد عند العرف في ذلك الزمان أموالاً و لذا لم يصحّ معاملتها ولكن بعد مرور الزمان و حدوث الفائدة بالنسبة إلى بعضها مثل الدم كما في زماننا هذا، يعدّ عند العرف من الأموال فيصحّ المعاملة فيها، لو لم نقل بقيام الإجماع على عدم الصحّة ولو مع عدّ كونها أموالاً، و عليه فالعرف مرجع لتشخيص الموضوع و هو المال لاالحكم، لأنّ الحكم يستفاد من الأدلّة الشرعيّة، و لايحتاج تشخيص العرف بالنسبة إلى الموضوعات إلى إمضاء الشارع لأنّ القضايا المحكومة بالأحكام في الشرع مأخوذة بنحو القضايا الحقيقيّة بمعنى أنّ كلّ موضوع يوجد في الخارج و يكون مالاً يصحّ بيعه أو غيره من المعاملات و يجب الوفاء بالعقد عليه، و هكذا لم يكن التأليف و نحوه في السابق موجباً لاعتبار الحقّ للمؤلّف و نحوه ولكن اعتبروا بعد مرور القرون للمؤلّف الذي هو مولّد لتأليفه حقّ التكثير لو بعد معاملة النسخة الأصلية و السبب فيه هو كونه مولّداً لذلك فكما أنّ الحيازة توجب حقّاً لمن حاز فكذلك توليد كتاب، و نحوه يوجب حقّاً في عهدنا للمولّد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بالجملة ففي المقام أمكن أن يقال بعد فرض ثبوت حقّ التأليف في عهدنا هذا و كونه أمراً موجوداً و مضافاً إلى أصحاب التأليف و النشر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حقوق المؤلّفين ونحوهم من الأشياء المضافة إليهم و التعدّي إليه ظلم و يشمله أدلّة النهي عن الظلم و حقّ التأليف مال و المعاملة عليه يعمّها عمومات نفوذ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إليه يؤوّل ما أفاده بعض المراجع الدينيّة في جواب السؤال عن حقّ التأليف حيث قال إنّ حقّ التأليف حقّ عقلائي يعرفه العقلاء و يكون التجاوز بالنسبة إليه ظلماً و ممنوعاً و عليه فنشر آثار المؤلّفين و الشعراء من دون استجازة عنهم غير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هذه النكتة و هي أنّه لايزال يؤخذ المصاديق من العرف و الأحكام من الشرع و لامانع مع مرور الزمان و مضيّه يتجدّد حقوق عقلائية فيشملها الأحكام الكليّة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فرض ثبوت حقّ التأليف عند العرف لايبعد لزوم مراعاة حقوق المؤلّفين و الناشرين ولو لم يشترطوا ذلك أو لم يكن ذلك مبنيّاً عليه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ثبوت حكمهم بذلك إذ مجرّد وضع المقرّرات و القوانين من ناحية الحكومة لايوجب حكم العرف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كثيراً ما يكون المعاملات مبنيّة عليها فتجب مراعاتها من هذا الباب كما إذا توافق المؤلّف مع غيره بشرط كون حقّ التكثير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 إشكال و هو أنّ المقام لايقاس بمورد صدق المال على الدم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استفتاءات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جناب آقاى مكارم شيرازى مد ظله العالى</w:t>
      </w:r>
      <w:r>
        <w:rPr>
          <w:rFonts w:eastAsia="Amiri" w:cs="Amiri" w:ascii="Amiri" w:hAnsi="Amiri"/>
          <w:color w:val="111111"/>
          <w:sz w:val="28"/>
          <w:szCs w:val="28"/>
          <w:rtl w:val="true"/>
          <w:lang w:bidi="ar-SA"/>
        </w:rPr>
        <w:t xml:space="preserve">. </w:t>
      </w:r>
      <w:bookmarkStart w:id="347" w:name="pg16065_152936"/>
    </w:p>
    <w:p>
      <w:pPr>
        <w:pStyle w:val="BookText"/>
        <w:rPr/>
      </w:pPr>
      <w:bookmarkEnd w:id="347"/>
      <w:r>
        <w:rPr>
          <w:rFonts w:ascii="Amiri" w:hAnsi="Amiri" w:eastAsia="Amiri" w:cs="Amiri"/>
          <w:color w:val="111111"/>
          <w:sz w:val="28"/>
          <w:sz w:val="28"/>
          <w:szCs w:val="28"/>
          <w:rtl w:val="true"/>
          <w:lang w:bidi="ar-SA"/>
        </w:rPr>
        <w:t>وجود الفائدة له، فإنّ صدق المال ليس من باب بناء العرف و حكمهم بل من باب تشخيص صدق مصداق من مصاديق المال بنظر العرف و لاكلام في حجّيتّه هذا، بخلاف المقام فإنّ صدق الحقّ بالنسبة إلى تأليف و نحوه لايكون إلاّ ببناء العرف و حكمهم، لامن باب تشخيص صدق مصداق من مصاديق الحقّ و عليه لاحجّيّة له بعد كونه مستحدثاً، اللّهمّ إلاّ أن يكون صدق الحقّ من باب تشخيص مصداق من المصاديق، باعتبار أنّ من أوجد شيئاً كان ذلك له بجميع فوائده، و التكثير في سابق الزمان لايعدّ فائدة للتأليف حتّى يختص بالمؤلّف لصعوبته و عدم وفوره و عدم كونه موجباً للاستغلال بخلاف زماننا هذا فإنّ التكثير يعدّ من فوائد التأليف و موجباً للاستغلال فيختصّ بالمؤلّف و يكون من حقوقه فيمكن له أن يبقى المؤلّف هذه الفائدة لنفسه، كما يمكن له أن ينقلها إلى الغير، وكيف كان فالأحوط عند عدم ذكر الشرط أو عدم كون المعاملة مبنيّة عليه هو التصالح بين المؤلّفين و الناشرين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بيع النسخة الأصليّة من دون شرط إسقاط حقّ التكثير و نحوه ممّا له بسبب تأليف الكتاب ونحوه، و أما إذا كان بيعها مع اشتراط إسقاط حقّه فلاكلام في عدم استحقاق المؤلّف ونحوه شيئاً بعد ذلك الشرط، فلاتغفل</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85354_1280447820"/>
      <w:bookmarkStart w:id="349" w:name="_Toc126"/>
      <w:bookmarkEnd w:id="348"/>
      <w:r>
        <w:rPr>
          <w:rtl w:val="true"/>
        </w:rPr>
        <w:t>تنبيهات</w:t>
      </w:r>
      <w:r>
        <w:rPr>
          <w:rtl w:val="true"/>
        </w:rPr>
        <w:t>:</w:t>
      </w:r>
      <w:bookmarkEnd w:id="349"/>
    </w:p>
    <w:p>
      <w:pPr>
        <w:pStyle w:val="Heading4"/>
        <w:numPr>
          <w:ilvl w:val="3"/>
          <w:numId w:val="1"/>
        </w:numPr>
        <w:rPr/>
      </w:pPr>
      <w:bookmarkStart w:id="350" w:name="__RefHeading___Toc285356_1280447820"/>
      <w:bookmarkStart w:id="351" w:name="_Toc127"/>
      <w:bookmarkEnd w:id="350"/>
      <w:r>
        <w:rPr>
          <w:rtl w:val="true"/>
        </w:rPr>
        <w:t>التنبيه الأوّل</w:t>
      </w:r>
      <w:r>
        <w:rPr>
          <w:rtl w:val="true"/>
        </w:rPr>
        <w:t xml:space="preserve">: </w:t>
      </w:r>
      <w:r>
        <w:rPr>
          <w:rtl w:val="true"/>
        </w:rPr>
        <w:t>يجوز للمؤلف أن يتنازل عن حقه فى قبال عوض او بدونه</w:t>
      </w:r>
      <w:bookmarkEnd w:id="35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يجوز للمؤلّف أن يتنازل عن حقّه بناء على ثبوت الحقّ له في قبال عوض ماليّ أو بدونه لشخص أو جهة من الجهات، فإذا تنازل عن حقّه بالنسبة إلى طبع كتاب خاصّ انتقل هذا الحقّ إلى الشخص المذكور الذي يكون طرفاً لتنازله و يترتّب عليه مايترتّب على الحقّ قبل انتقاله، فلايجوز حينئذ لأحد حتّى المؤلّف أن يطبع الكتاب المذكور من دون توافق مع من انتقل الحقّ إليه قضاء لانتقال الحقّ‌ </w:t>
      </w:r>
    </w:p>
    <w:p>
      <w:pPr>
        <w:pStyle w:val="BookText"/>
        <w:rPr/>
      </w:pPr>
      <w:r>
        <w:rPr>
          <w:rFonts w:ascii="Amiri" w:hAnsi="Amiri" w:eastAsia="Amiri" w:cs="Amiri"/>
          <w:color w:val="111111"/>
          <w:sz w:val="28"/>
          <w:sz w:val="28"/>
          <w:szCs w:val="28"/>
          <w:rtl w:val="true"/>
          <w:lang w:bidi="ar-SA"/>
        </w:rPr>
        <w:t>المالي إليه، ففي هذه الصورة يحلّ المتنازل له محلّ المؤلّف في جميع حقوقه الماليّة التي تنازل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بالنسبة إلى الحقّ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 المعنوي و الأدبي من كونه أثراً و فعلاً للمؤلّف فلايكون قابلاً للانتقال إلى الغير لأنّه حقّ تكوينيّ‌، و الواقع التكويني لاينقلب عمّا هو عليه،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حقوق المؤلّف بين النظرية و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إنّ هذا التنازل لايلزم المؤلّف بالتخلّي عن الحقوق الأدبيّة أو المعنوية و بخاصّة حقّ احترام المصنّف و حقّ الاُبوّة أي نسبة المصنّف إلى مؤلِّفه و تبقى هذه الحقوق يتمتّع بها المؤلّف ولو أنّه تنازل عن الحقوق الماليّة للغير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لافرق فيما ذكرنا بين أن يكون الكتاب باسم حقيقيّ للمؤلّف أو باسم مستعار لعدم دخالة الاسم في الحقّ المالي أو المعنوي بل المؤثّر هو المسمّى و هو المؤلّف المولّد ثمّ إنّ نسبة تأليف الغير إلى نفسه كذب و خيانة و لعل يشمله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بذلك مع توافق المؤلّف لو كان له داع عقلائي مشروع في ذلك و لافرق فيه أن يكون توافق المؤلّف بعوض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التنازل يحصل بلفظ أو فعل أو بمعاوضة و غيرها كالهبة و نحوها و لادخالة للكتابة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في كتاب حماية حقوق المؤلّف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التنازل عن الحقّ المالي للمؤلّف أن يكون مكتوباً و الكتابة هنا عنصر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تركي صقر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تركي صقر،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انعقاد التصرّف لامجرّد وسيلة للإثبات و ذلك ما لم يكن التصرّف هبة مباشرة فيجب أن يكون بورقة رسميّة لإحكام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الكتابة أو الورقة الرسمية وسيلة للإثبات لاعنصر في انعقاد التصرّف اللّهمّ إلاّ أن يقال إنّ المقصود من الكتابة أو الورقة هو ما يقع إنشاء المعاملة بها بنحو المعاطاة فتكون حينئذ عنصراً لانعقاد التصرّف بها، ولكن لايذهب عليك أنّ المعاملة لاتنحصر وقوعها بالكتابة أو الورقة الرسميّة و لعل ذلك من ناحية قرار الحكومة بأن يكون تعهّدها بإجراء القانون فيما إذا كان التنازل مكتوباً فلو لم يكتب لم يتعهّد الحكومة بشيء في هذه الصورة و إن تحقّق التنازل بحسب الواقع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تنازل المؤلّف عن حقّه المعيّن لايستبع تنازله عن حقّ آخر لعدم الملازمة بينهما، فإذا تنازل عن حقّ الطبع لايستلزم ذلك تنازله عن حقّ الترجمة و غيره، و الوجه فيه واضح لأنّ بعد قيام الدليل على أنّ للمؤلّف حقوقاً متعددة فرفع اليد عنها محتاج إلى الدليل فإذا اختصّ الدليل ببعضها فلاوجه لرفع اليد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التأليفات الموجودة، فإن نقل حقّه بالنسبة إليها للغير فلامانع منه و أمّا نقل الحقّ قبل التأليف فلاأثر له و إن عيّن المصنّف المستقبل بذكر الأوصاف، لأنّ الحقّ متفرّع على وجود الكتاب و المفروض هو عدم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صحّة ذلك، لجواز التعامل في الأشياء المستقبليّة إلاّ أنّه يجب أن يكون المصنَّف معيّناً تعييناً نافياً للجهالة و إلاّ كان التصرّف باطلاً لعدم تعيّنه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المعاملة في الأشياء المستقبليّة إن كانت بمثل النسية أو السلف فالمتعلّق هو الكلّي في الذمّة و هو أمر موجود و لايقاس به حقّ التأليف، لأنّه يتكوّن بعد وجود خارجيّ للتأليف و يتفرّع عليه، فلاحقّ قبل التأليف فنقله للغير قبل وجوده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352" w:name="pg16065_152939"/>
    </w:p>
    <w:p>
      <w:pPr>
        <w:pStyle w:val="BookText"/>
        <w:rPr/>
      </w:pPr>
      <w:bookmarkEnd w:id="352"/>
      <w:r>
        <w:rPr>
          <w:rFonts w:ascii="Amiri" w:hAnsi="Amiri" w:eastAsia="Amiri" w:cs="Amiri"/>
          <w:color w:val="111111"/>
          <w:sz w:val="28"/>
          <w:sz w:val="28"/>
          <w:szCs w:val="28"/>
          <w:rtl w:val="true"/>
          <w:lang w:bidi="ar-SA"/>
        </w:rPr>
        <w:t>لاأثر له، فإنّه نقل ما لاوجود له اللّهمّ إلاّ أن يكون المقصود هو النقل بعد فرض الثبوت بنحو القضيّة التعليقية و التقديرية فإنّه لامانع منه في حدّ نفسه لولاالإجماع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فالنقل لو كان بمثل البيع في الفرض المذكور لايصحّ لقيام الإجماع على بطلان البيع التعليقي و التقديري كما قرّر في محلّه، هذا بخلاف ما إذا كان ذلك بمثل المصالحة، فلاإشكال فيه لو كان المعاملة المذكورة متعارفة، فتدبّر جيّداً</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85358_1280447820"/>
      <w:bookmarkStart w:id="354" w:name="_Toc128"/>
      <w:bookmarkEnd w:id="353"/>
      <w:r>
        <w:rPr>
          <w:rtl w:val="true"/>
        </w:rPr>
        <w:t>التنبيه الثاني</w:t>
      </w:r>
      <w:r>
        <w:rPr>
          <w:rtl w:val="true"/>
        </w:rPr>
        <w:t xml:space="preserve">: </w:t>
      </w:r>
      <w:r>
        <w:rPr>
          <w:rtl w:val="true"/>
        </w:rPr>
        <w:t>فى عقد النشر</w:t>
      </w:r>
      <w:bookmarkEnd w:id="354"/>
    </w:p>
    <w:p>
      <w:pPr>
        <w:pStyle w:val="BookText"/>
        <w:rPr/>
      </w:pPr>
      <w:r>
        <w:rPr>
          <w:rFonts w:ascii="Amiri" w:hAnsi="Amiri" w:eastAsia="Amiri" w:cs="Amiri"/>
          <w:color w:val="111111"/>
          <w:sz w:val="28"/>
          <w:sz w:val="28"/>
          <w:szCs w:val="28"/>
          <w:rtl w:val="true"/>
          <w:lang w:bidi="ar-SA"/>
        </w:rPr>
        <w:t>في عقد النشر و هو أن يعقد المؤلّف مع الناشر لنشر مصنّفه أو مصنّفاته مع التعيين لدفعة أو دفعات معيّنة بقرار معلوم، ففي هذه الصورة لاينتقل إلى الناشر الحقّ المالي للمؤلّف و لايحلّ الناشر محلّ المؤلّف في حقوقه و إنّما يكون الناشر ملتزماً بنشر الكتاب طبقاً لشروط عقد النشر و للمدّة المحدّدة في هذا العقد أو للطبعة أو الطبعات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أخلّ الناشر بالتزامه أو لم يقم بإعادة الطبع للمصنّف في مدّة مقبولة بعد نفاد الطبعة السابقة فللمؤلّف استعادة حقه في استغلال الكتاب بالفسخ للتخلّف عن الشروط فينشره المؤلّف بنفسه أو عن طريق ناشر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يخلل الناشر بالتزامه و قام بإعادة الطبع للمصنّف في المدّة المقبولة فلايجوز للمؤلّف فسخ و لاالقرار في تلك المدّة مع ناشر آخر قضاء للعقد الذي كان بينه و بين الناشر</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85360_1280447820"/>
      <w:bookmarkStart w:id="356" w:name="_Toc129"/>
      <w:bookmarkEnd w:id="355"/>
      <w:r>
        <w:rPr>
          <w:rtl w:val="true"/>
        </w:rPr>
        <w:t>التنبيه الثالث</w:t>
      </w:r>
      <w:r>
        <w:rPr>
          <w:rtl w:val="true"/>
        </w:rPr>
        <w:t xml:space="preserve">: </w:t>
      </w:r>
      <w:r>
        <w:rPr>
          <w:rtl w:val="true"/>
        </w:rPr>
        <w:t>لاخلاف بين من أثبت الحق للمؤلف في ثبوت ذلك الحق في زمان حياته الاّ انهم اختلفوا في مدة استمراره بعد الفوت</w:t>
      </w:r>
      <w:bookmarkEnd w:id="356"/>
    </w:p>
    <w:p>
      <w:pPr>
        <w:pStyle w:val="BookText"/>
        <w:rPr/>
      </w:pPr>
      <w:r>
        <w:rPr>
          <w:rFonts w:ascii="Amiri" w:hAnsi="Amiri" w:eastAsia="Amiri" w:cs="Amiri"/>
          <w:color w:val="111111"/>
          <w:sz w:val="28"/>
          <w:sz w:val="28"/>
          <w:szCs w:val="28"/>
          <w:rtl w:val="true"/>
          <w:lang w:bidi="ar-SA"/>
        </w:rPr>
        <w:t>إنّه لاخلاف بين من أثبت الحقّ للمؤلّف في ثبوت ذلك الحقّ طول حياة المؤلّف إلاّ أنّهم اختلفوا في مدّة استمراره بعد وفاة المؤلّف للورثة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حماية حقوق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الجدل الذي استمرّ طويلاً و أخذ </w:t>
      </w:r>
    </w:p>
    <w:p>
      <w:pPr>
        <w:pStyle w:val="BookText"/>
        <w:rPr/>
      </w:pPr>
      <w:r>
        <w:rPr>
          <w:rFonts w:ascii="Amiri" w:hAnsi="Amiri" w:eastAsia="Amiri" w:cs="Amiri"/>
          <w:color w:val="111111"/>
          <w:sz w:val="28"/>
          <w:sz w:val="28"/>
          <w:szCs w:val="28"/>
          <w:rtl w:val="true"/>
          <w:lang w:bidi="ar-SA"/>
        </w:rPr>
        <w:t>مناحي كثيرة بين الفقهاء و المشرّعين هو مدّة الحماية بعد وفاة المؤلّف و حقّ الورثة و امتداداته بعد وفاة المؤلّف، فهل هذا الحقّ موقّت أو محدّد بمدة قصيرة أو ممتدّة أكثر من اللازم، و لماذا لايتمتع المجتمع أيضاً الذي نشأ منه المؤلّف و استمدّ منه المؤلّف أفكاره و عطاءه الفكري بهذه المصنّفات، أي لماذا لايسقط حقّ المؤلّف المالي في المال أو الملك العام و يصبح من حقّ العامّة أن يعيدوا نشر المصنف دون مقابل و لمصلحة الجمهور و الناس و تقدّم المجتمع‌؟</w:t>
      </w:r>
    </w:p>
    <w:p>
      <w:pPr>
        <w:pStyle w:val="BookText"/>
        <w:rPr/>
      </w:pPr>
      <w:r>
        <w:rPr>
          <w:rFonts w:ascii="Amiri" w:hAnsi="Amiri" w:eastAsia="Amiri" w:cs="Amiri"/>
          <w:color w:val="111111"/>
          <w:sz w:val="28"/>
          <w:sz w:val="28"/>
          <w:szCs w:val="28"/>
          <w:rtl w:val="true"/>
          <w:lang w:bidi="ar-SA"/>
        </w:rPr>
        <w:t xml:space="preserve">إذن، كما قلنا إنّ الخلاف كان على مدّة حماية الحقّ المالي للمؤلّف بعد الوفاة و هذه المسألة مرّت بمراحل عديدة في فرنسا فبحسب 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مدّة الحماية خمس سنوات، و على أساس 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عشر سنوات، ثمّ اصبحت مدّة حماية الحقّ المالي للمؤلّف عشرين سنة جعلها المشرّع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و أخيراً استقرّ على جعل هذه المدّة 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بقانون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البحث المذكور له مجال لو قلنا بأنّ ثبوت الحقّ للمؤلّفين من باب حكم العرف بثبوت الحقّ و بنائهم عليه، لامن باب تشخيص العرف وجود مصداق من مصاديق الحقّ‌، فإنّ في الأوّل على تقدير حجيّته يصحّ تحديده بزمان خاصّ‌، لأنّ الأمر بيدهم بخلاف الثاني فإنّ مع ترتّب الفائدة على التكثير في الأزمنة المتأخّرة كان التكثير حقّاً من حقوق المؤلّف فما دام هذه الفائدة موجودة كان الحقّ ثابتاً كما عرفت في صدق المال على الدم، فإنّ مثل الدم لم يكن في العهد السابق مالاً لعدم ترتّب فائدة عليه ثمّ صار ذا فائدة و مع صيرورته كذلك يصدق عليه المال عرفاً و يكون مصداقاً من مصاديق المال، و لامجال لتحديد ذلك بالسنوات بل هو كذلك ما دام كان له الفائدة في الواقع، و عليه فيمكن في المقام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357" w:name="pg16065_152941"/>
    </w:p>
    <w:p>
      <w:pPr>
        <w:pStyle w:val="BookText"/>
        <w:rPr/>
      </w:pPr>
      <w:bookmarkEnd w:id="357"/>
      <w:r>
        <w:rPr>
          <w:rFonts w:ascii="Amiri" w:hAnsi="Amiri" w:eastAsia="Amiri" w:cs="Amiri"/>
          <w:color w:val="111111"/>
          <w:sz w:val="28"/>
          <w:sz w:val="28"/>
          <w:szCs w:val="28"/>
          <w:rtl w:val="true"/>
          <w:lang w:bidi="ar-SA"/>
        </w:rPr>
        <w:t>يقال بدوام الحقّ بعد موت المؤلّف للورثة مادام كان للتكثير فائدة و العرف ليس بموجد الحقّ بل هو كاشف عن الحقّ‌، فلاوجه للتحديد بناء على ثبوت الحقّ لافي زمان المؤلّف و لابعده، فلاتغفل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هذه الفائدة مترتّبة على التكثير في بعض البلاد دون الاُخرى اختص صدق الحقّ بالبعض المذكور و لادليل على صدق الحقّ في بلاد أخرى التي لم يترتّب فائدة على التكثير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قلنا بأنّ ثبوت الحقّ من باب حكم العرف بثبوت الحقّ وبنائهم عليه اختصّ ذلك بالبلد الذي يحكم العرف بذلك فيه فلاوجه للتعدّي منه إلى سائر البلدان لو لم يوافقوا على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مدّة اعتبار الحقّ بناء على أنّ ثبوت الحقّ من باب حكم العرف و بنائهم يؤخذ بالقدر المتيقّن و يرجع فيما زاد إلى الأصل، و لامجال للاستصحاب في البناءات مع فرض كونهم شاكّين، كما لامجال له في الأحكام العقلية لأنّ نفس الشكّ فيها يكفي في الحكم بالعدم إذ لو كان بناء أو حكم عقليّ لمّا شكوا فيه، هذا بخلاف ما إذا قلنا بأنّ العرف مرجع في تشخيص الموضوع فإنّه بعد وجود الموضوع يمكن استصحابه لو شكّ في بقاء الموضوع، كما لايخفى</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85362_1280447820"/>
      <w:bookmarkStart w:id="359" w:name="_Toc130"/>
      <w:bookmarkEnd w:id="358"/>
      <w:r>
        <w:rPr>
          <w:rtl w:val="true"/>
        </w:rPr>
        <w:t>التنبيه الرابع</w:t>
      </w:r>
      <w:r>
        <w:rPr>
          <w:rtl w:val="true"/>
        </w:rPr>
        <w:t xml:space="preserve">: </w:t>
      </w:r>
      <w:r>
        <w:rPr>
          <w:rtl w:val="true"/>
        </w:rPr>
        <w:t>مجرّد تملّك النسخة الأصلية لايستتبع نقل حق المؤلف الى المتملّك</w:t>
      </w:r>
      <w:bookmarkEnd w:id="359"/>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مجرّد تملّك النسخة الأصليّة لايستتبع نقل حقّ المؤلّف إلى المتملّك بناء على ثبوت حقّ التأليف بالعرف بالتقريب الماضي و إن لم يشترط ذلك في عقد من العقود، بل يجب على المتملّك تمكين المؤلّف من استنساخها ما لم يقع قرار بين المتملّك و المؤلّف على انتقال حقّ المؤلّف إلى المتملّك رأساً، إذ لايكون مجرّد نقل النسخة الأصلية قرينة على انتقال حقّ المؤلافّ لمشتري، ولو أرادا ذلك لزم عليهما التصريح به في متن العقد و مع عدم إحراز ذلك لايجوز للمشتري أن يمنع المؤلّف عن استيفاء حقّه</w:t>
      </w:r>
      <w:r>
        <w:rPr>
          <w:rFonts w:eastAsia="Amiri" w:cs="Amiri" w:ascii="Amiri" w:hAnsi="Amiri"/>
          <w:color w:val="111111"/>
          <w:sz w:val="28"/>
          <w:szCs w:val="28"/>
          <w:rtl w:val="true"/>
          <w:lang w:bidi="ar-SA"/>
        </w:rPr>
        <w:t xml:space="preserve">. </w:t>
      </w:r>
      <w:bookmarkStart w:id="360" w:name="pg16065_152942"/>
    </w:p>
    <w:p>
      <w:pPr>
        <w:pStyle w:val="BookText"/>
        <w:rPr/>
      </w:pPr>
      <w:bookmarkEnd w:id="360"/>
      <w:r>
        <w:rPr>
          <w:rFonts w:ascii="Amiri" w:hAnsi="Amiri" w:eastAsia="Amiri" w:cs="Amiri"/>
          <w:color w:val="111111"/>
          <w:sz w:val="28"/>
          <w:sz w:val="28"/>
          <w:szCs w:val="28"/>
          <w:rtl w:val="true"/>
          <w:lang w:bidi="ar-SA"/>
        </w:rPr>
        <w:t>نعم لو ثبت حقّ التأليف من ناحية الاشتراط فمع عدم الاشتراط لايثبت حقّ للمؤلّف و جاز للمتملّك للنسخة التصرّف فيها كيف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يظهر ما في كتاب حماية حقوق المؤلّف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على أيّة حال مشكلان إمّا أن يتّفق مع مؤلّف مالك النسخة الأصليّة على تمكينه من نسخ هذه النسخة أو نقلها بمقابل أو غير مقابل أو يتّفق مالك النسخة الأصليّة مع المؤلّف على ان ينقل إليه حقوقه ففي الصورة الاولى يستطيع ان ينسخ النسخة الاصلية أو ينقلها و أن يباشر حقّه في استغلاله المالي لمصنَّفه، و في الصورة الثانية يستطيع مالك النسخة الأصليّة و قد انتقلت إليه حقوق المؤلّف أن يباشر هذه الحقوق، أمّا إذا لم يتّفق المؤلّف مع مالك النسخة الأصليّة على تمكينه من نسخها و لم ينفق مالك النسخة الأصليّة على أن ينقل إليه حقوقه ولم يكن هناك سبيل آخر للمؤلّف للحصول على نسخة اُخرى من مصنفه فإنّ النسخة الأصليّة تبقى منفصلة عن حقوق المؤلّف و لايستطيع المؤلّف و لامالك النسخة الأصليّة مباشرة هذه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حقّ التأليف إن ثبت بالعرف بالتقريب الماضي ولو لم يشترط شيء عند الانتقال جاز تصرّف المؤلّف في الاستنساخ و نحوه و لزم على المتملّك التمكين لذلك و لايجوز للمتملّك أن يتصرف في حقوق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ثبت حقّ التأليف من ناحية الاشتراط فمع عدم الاشتراط لايجوز للمؤلف أن يتصرف في النسخة الأصليّة بعد بيعها و يجوز للمتملّك أن يتصرّف فيها كيف مايشاء، فلاتغفل</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85364_1280447820"/>
      <w:bookmarkStart w:id="362" w:name="_Toc131"/>
      <w:bookmarkEnd w:id="361"/>
      <w:r>
        <w:rPr>
          <w:rtl w:val="true"/>
        </w:rPr>
        <w:t>التنبيه الخامس</w:t>
      </w:r>
      <w:r>
        <w:rPr>
          <w:rtl w:val="true"/>
        </w:rPr>
        <w:t xml:space="preserve">: </w:t>
      </w:r>
      <w:r>
        <w:rPr>
          <w:rtl w:val="true"/>
        </w:rPr>
        <w:t>حق المؤلف بعد ثبوته يكون حقاً مالياً</w:t>
      </w:r>
      <w:bookmarkEnd w:id="362"/>
    </w:p>
    <w:p>
      <w:pPr>
        <w:pStyle w:val="BookText"/>
        <w:rPr/>
      </w:pPr>
      <w:r>
        <w:rPr>
          <w:rFonts w:ascii="Amiri" w:hAnsi="Amiri" w:eastAsia="Amiri" w:cs="Amiri"/>
          <w:color w:val="111111"/>
          <w:sz w:val="28"/>
          <w:sz w:val="28"/>
          <w:szCs w:val="28"/>
          <w:rtl w:val="true"/>
          <w:lang w:bidi="ar-SA"/>
        </w:rPr>
        <w:t>إنّ حقّ المؤلّف بعد ثبوته يكون حقّاً ماليّاً و من جملة تركة الميّت ويرثه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363" w:name="pg16065_152943"/>
    </w:p>
    <w:p>
      <w:pPr>
        <w:pStyle w:val="BookText"/>
        <w:rPr/>
      </w:pPr>
      <w:bookmarkEnd w:id="363"/>
      <w:r>
        <w:rPr>
          <w:rFonts w:ascii="Amiri" w:hAnsi="Amiri" w:eastAsia="Amiri" w:cs="Amiri"/>
          <w:color w:val="111111"/>
          <w:sz w:val="28"/>
          <w:sz w:val="28"/>
          <w:szCs w:val="28"/>
          <w:rtl w:val="true"/>
          <w:lang w:bidi="ar-SA"/>
        </w:rPr>
        <w:t>ورّاث المؤلّف و لافرق في ذلك بين أن يكون حقه مفروزاً أو حقّاً مشتركاً، فإذا تعيّن سهم المؤلّف يرثه ورّاثه و إذا اشترك في تأليف مصنَّف أكثر من مؤلّف واندمج عملهم في وحدة بحيث لايمكن الفصل بين نصيب كلّ واحد منهم فإن اتفقوا على تقسيم الحصص المختلفة فهو و الاّ فقد يقال يكون حقّ المستحقّين على الشيوع و تكون حصتّة كلّ منهم متساوية مع حصّة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و نظر لأنّ مع عدم التوافق يستحقّ كلّ واحد بمقدار تأثير عمله في تكوين التأليف، فإنّ أمكن تعيين ذلك بالتقويم و إلاّ فيحكم بالتصالح بينهم إن كانوا أحياء و إلاّ فبين ورثة بعض و بقيّة الأفراد إن مات بعضهم أو بين الورّاث إن مات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تمييز و فصل بين نصيب كلّ مؤلّف من المساهمين في المصنَّف المشترك و إلاّ فمع تعين و تميز ذلك كما إذا اشتركوا في تأليف كتاب بحيث يقوم كلّ واحد منهم بتأليف فصل خاصّ منه ففي هذه الصورة يتعيّن نصيب كلّ مؤلّف بتعيين فصله الذي ألّفه و لااشتراك،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المصنفات الجماعيّة كما إذا ساعد أشخاص متعدّدة للّذي له الفكرة و هو يوجّه الجميع نحو الفكرة المطلوبة لاتكون محكومة بأحكام المصنَّفات المشتركة، بل صاحب الفكرة هو المؤلّف و حقّ التأليف مختصّ به والبقيّة لهم اُجرة عملهم بالتوافق الذي بينهم و بين صاحب الفكرة، فيرث حقّ صاحب الفكرة خصوص ورّاثه، كما لايخفى</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85366_1280447820"/>
      <w:bookmarkStart w:id="365" w:name="_Toc132"/>
      <w:bookmarkEnd w:id="364"/>
      <w:r>
        <w:rPr>
          <w:rtl w:val="true"/>
        </w:rPr>
        <w:t>التنبيه السادس</w:t>
      </w:r>
      <w:r>
        <w:rPr>
          <w:rtl w:val="true"/>
        </w:rPr>
        <w:t xml:space="preserve">: </w:t>
      </w:r>
      <w:r>
        <w:rPr>
          <w:rtl w:val="true"/>
        </w:rPr>
        <w:t>حق المؤلف و نحوه مركب من حق مالى و معنوى</w:t>
      </w:r>
      <w:bookmarkEnd w:id="365"/>
    </w:p>
    <w:p>
      <w:pPr>
        <w:pStyle w:val="BookText"/>
        <w:rPr/>
      </w:pPr>
      <w:r>
        <w:rPr>
          <w:rFonts w:ascii="Amiri" w:hAnsi="Amiri" w:eastAsia="Amiri" w:cs="Amiri"/>
          <w:color w:val="111111"/>
          <w:sz w:val="28"/>
          <w:sz w:val="28"/>
          <w:szCs w:val="28"/>
          <w:rtl w:val="true"/>
          <w:lang w:bidi="ar-SA"/>
        </w:rPr>
        <w:t>إنّ حقّ المؤلّف و نحوه مركّب من حقّ ماليّ و معنوي، و لذلك قد يعبّر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366" w:name="pg16065_152944"/>
    </w:p>
    <w:p>
      <w:pPr>
        <w:pStyle w:val="BookText"/>
        <w:rPr/>
      </w:pPr>
      <w:bookmarkEnd w:id="366"/>
      <w:r>
        <w:rPr>
          <w:rFonts w:ascii="Amiri" w:hAnsi="Amiri" w:eastAsia="Amiri" w:cs="Amiri"/>
          <w:color w:val="111111"/>
          <w:sz w:val="28"/>
          <w:sz w:val="28"/>
          <w:szCs w:val="28"/>
          <w:rtl w:val="true"/>
          <w:lang w:bidi="ar-SA"/>
        </w:rPr>
        <w:t>حقّ المؤلّف بحقّ مزدوج لأنّه من جانب حقّ مالي للمؤلّف و من جانب آخر حقّ معنويّ أو أدبي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الحقّ المالي واضح و المراد من الثاني هو أن لايجوز للغير نسبته إلى نفسه أو الإضافة فيه أو الحذف منه و غير ذلك من التغييرات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 المالي يجب مراعاته و التخلّف عنه موجب للضمان بناء على ثبوت الحقّ المالي للمؤلّفين كما مرّ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مراعاة الحقّ المعنوي فهي أيضاً من الواجبات لأنّ التخلّف عنها خيانة بالنسبة إلى المؤلّفين و إنقاص لشخصيتهم و موجب لإيذائهم أحياناً،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الكتاب من الكتب الضالّة فهو مسلوب الحقّ و الماليّة فيجوز تغييره، بل يجب المنع عن نشره و إمحائه إلاّ إذا كان مورداً لحاجة المحقّقين للردّ عليه، فيجوز إبقاء نسخ منها لذلك، و إذا كان مثل المسجّلات و نحوها من المضلاّت فاللازم هو الاقتصار على الإمحاء و لايجوز كسر نفس المسجّلات و نحوها، كمالايخفى</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85368_1280447820"/>
      <w:bookmarkStart w:id="368" w:name="_Toc133"/>
      <w:bookmarkEnd w:id="367"/>
      <w:r>
        <w:rPr>
          <w:rtl w:val="true"/>
        </w:rPr>
        <w:t>التنبيه السابع</w:t>
      </w:r>
      <w:r>
        <w:rPr>
          <w:rtl w:val="true"/>
        </w:rPr>
        <w:t xml:space="preserve">: </w:t>
      </w:r>
      <w:r>
        <w:rPr>
          <w:rtl w:val="true"/>
        </w:rPr>
        <w:t>في حكم ما اذا وضع الورثة اسم مؤلف اخر بجوار اسم مورثهم</w:t>
      </w:r>
      <w:bookmarkEnd w:id="368"/>
    </w:p>
    <w:p>
      <w:pPr>
        <w:pStyle w:val="BookText"/>
        <w:rPr/>
      </w:pPr>
      <w:r>
        <w:rPr>
          <w:rFonts w:ascii="Amiri" w:hAnsi="Amiri" w:eastAsia="Amiri" w:cs="Amiri"/>
          <w:color w:val="111111"/>
          <w:sz w:val="28"/>
          <w:sz w:val="28"/>
          <w:szCs w:val="28"/>
          <w:rtl w:val="true"/>
          <w:lang w:bidi="ar-SA"/>
        </w:rPr>
        <w:t xml:space="preserve">إنّه ربّما يقال إنّ الورثة بعد فوت المؤلّف لو وضعوا اسم مؤلّف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على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اسم مورّثهم على المصنَّف فالحقّ المالي يبقى في هذه الحالة طوال حياة هذا المؤلّف و لمدّة خمسين عاماً بعد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إذ لاحقّ لمؤلّف آخر بالنسبة إلى هذا التأليف و مجرّد وضع اسمه على مصنّف آخر لايوجب شيئاً، فالحقّ يكون لخصوص مؤلّف هذا التأليف على التفصيل الذي عرفت، فإذا لم يكن له حقّ لمؤلّفه فوضع اسم مؤلّف آخر بالنحو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369" w:name="pg16065_152945"/>
    </w:p>
    <w:p>
      <w:pPr>
        <w:pStyle w:val="BookText"/>
        <w:rPr/>
      </w:pPr>
      <w:bookmarkEnd w:id="369"/>
      <w:r>
        <w:rPr>
          <w:rFonts w:ascii="Amiri" w:hAnsi="Amiri" w:eastAsia="Amiri" w:cs="Amiri"/>
          <w:color w:val="111111"/>
          <w:sz w:val="28"/>
          <w:sz w:val="28"/>
          <w:szCs w:val="28"/>
          <w:rtl w:val="true"/>
          <w:lang w:bidi="ar-SA"/>
        </w:rPr>
        <w:t>المذكور من الحيل الباطلة غير المشروعة، و ما أخذ بسبب ذلك يكون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عدم ثبوت حقّ التأليف لمؤلّفه بالاشتراط أو غيره، و إلاّ فمع ثبوت حقّ التأليف لمؤلّفه و عدم إمكان استيفائه إلاّ من طريق انضمام اسم مؤلّف آخر بالنحو المذكور فلايكون ذلك من الحيل الباطلة من هذه الحيثية، نعم لو كان ذلك موجباً للغرور أو الإغراء بالجهل لما كان جايزاً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أخذ وجه لوضع اسمه في جوار اسم المؤلّف إذا لم يكن من الحيل الباطلة و لايلزم منه إغراء أو غرور، كما يجوز ذلك في مثل إعطاء الأسناد العلميّة أو التجارية أو نحوهما للغير في مقابل أخذ شيء، كلّ ذلك فيما إذا لم يترتّب عليه محذور من المحذورات ولم يشترط في الأسناد المذكورة الاستفادة المباشريّة ولم يمنع عند الحكومة الصالحة، فلاتغفل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85370_1280447820"/>
      <w:bookmarkStart w:id="371" w:name="_Toc134"/>
      <w:bookmarkEnd w:id="370"/>
      <w:r>
        <w:rPr>
          <w:rtl w:val="true"/>
        </w:rPr>
        <w:t>التنبيه الثامن</w:t>
      </w:r>
      <w:r>
        <w:rPr>
          <w:rtl w:val="true"/>
        </w:rPr>
        <w:t xml:space="preserve">: </w:t>
      </w:r>
      <w:r>
        <w:rPr>
          <w:rtl w:val="true"/>
        </w:rPr>
        <w:t>لو شرط المؤلف و نحوه في ضمن معاملة نسخة تأليفه مع الناشر ان يكون له كذا و كذا</w:t>
      </w:r>
      <w:bookmarkEnd w:id="371"/>
    </w:p>
    <w:p>
      <w:pPr>
        <w:pStyle w:val="BookText"/>
        <w:rPr/>
      </w:pPr>
      <w:r>
        <w:rPr>
          <w:rFonts w:ascii="Amiri" w:hAnsi="Amiri" w:eastAsia="Amiri" w:cs="Amiri"/>
          <w:color w:val="111111"/>
          <w:sz w:val="28"/>
          <w:sz w:val="28"/>
          <w:szCs w:val="28"/>
          <w:rtl w:val="true"/>
          <w:lang w:bidi="ar-SA"/>
        </w:rPr>
        <w:t>إنّه لو شرط المؤلّف و نحوه في ضمن معاملة نسخة تأليفه مع الناشر أن يكون له عشرة نسخة مثلاً من كلّ مأة نسخة تطبع كان له ذلك ويصير شريكاً بنحو الكلّي في المعيّن مع الناشر عند طبع كلّ مأة نسخة كما توافقا عليه بنحو الشرط النتيجة، ولو شرط أن يعطيه الناشر المقدار المذكور من كلّ مأة نسخة بنحو شرط الفعل وجب على الناشر أن يعطيه ذلك المقدار ولكن لم يصر بذلك شريكاً مع الناشر، و هذا واضح عند اشتراط المؤلّف مع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يشترط المؤلّف شيئاً في عقد من العقود فإن لم يثبت له حقّ التأليف عند عدم الاشتراط فإذا أقدم الناشر على طبعه لم يكن للمؤلّف شيء لأنّ المفروض إنّه لم يشترط شيئاً لنفسه و لم يثبت له شيء عند العرف بناء على عدم ثبوت شيء له، فلاموجب لدعوى الشركة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الشركة في هذا الفرض، بدليل أنّ التأليف أوجب تحقّق إضافة ماليّة </w:t>
      </w:r>
      <w:bookmarkStart w:id="372" w:name="pg16065_152946"/>
    </w:p>
    <w:p>
      <w:pPr>
        <w:pStyle w:val="BookText"/>
        <w:rPr/>
      </w:pPr>
      <w:bookmarkEnd w:id="372"/>
      <w:r>
        <w:rPr>
          <w:rFonts w:ascii="Amiri" w:hAnsi="Amiri" w:eastAsia="Amiri" w:cs="Amiri"/>
          <w:color w:val="111111"/>
          <w:sz w:val="28"/>
          <w:sz w:val="28"/>
          <w:szCs w:val="28"/>
          <w:rtl w:val="true"/>
          <w:lang w:bidi="ar-SA"/>
        </w:rPr>
        <w:t xml:space="preserve">قائمة بما ألّف، فإنّ التأليف يكون نتيجة أعماله و تفكّره فهو يكون مملوكاً له و تحت سلطنته فله منع الغير من التصرّف فيه بالطبع و النشر، لأنّ الناس مسلّطون على أموالهم عرفاً و شرعاً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الملكيّة بالنسبة إلى نتيجة عمله و إن كانت أمراً ثابتاً و لاإشكال فيه ولكن بعد المعاملة عليه بالبيع أو المصالحة من دون اشتراط حقّ التأليف لنفسه و عدم حكم العرف بكونه مستحقّاً لحقّ التأليف لاموجب للشركة في عين مال الناشر، نعم إن ثبت له حقّ التأليف بالعرف فغاية الأمر أنّ ملكيّة المؤلّف بالنسبة إلى نتيجة عمله تقتضي حقّاً له عند العرف و أين هو من الشركة، فإنّ الحقّ أمر وراء عين مال الناشر،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تخلّف الناشر عن أداء حقّ المؤلّف ضمنه فيما إذا ثبت له حقّ التأليف، بخلاف من اشترى من الناشر المذكور نسخاً من الكتاب فإنّه لاضمان له بالنسبة الى حقّ التأليف، إلاّ إذا كان حقّ التأليف مشروطاً بنحو شرط النتيجة و عليه فالمؤلّف شريك في النسخ لو كان بنحو الإشاعة بخلاف ما إذا اشترط بنحو الكلّيّ في المعيّن فإنّ بيع النسخ و اشترائها لايوجب الضمان، إلاّ إذا كان النسخ الباقية بقدر حقّ المؤلّف فلايجوز معاملتها بدون رضاية المؤلّف</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85372_1280447820"/>
      <w:bookmarkStart w:id="374" w:name="_Toc135"/>
      <w:bookmarkEnd w:id="373"/>
      <w:r>
        <w:rPr>
          <w:rtl w:val="true"/>
        </w:rPr>
        <w:t>التنبيه التاسع</w:t>
      </w:r>
      <w:r>
        <w:rPr>
          <w:rtl w:val="true"/>
        </w:rPr>
        <w:t xml:space="preserve">: </w:t>
      </w:r>
      <w:r>
        <w:rPr>
          <w:rtl w:val="true"/>
        </w:rPr>
        <w:t>اذا اختلف العرف بحسب اختلاف الأمكنة</w:t>
      </w:r>
      <w:bookmarkEnd w:id="374"/>
    </w:p>
    <w:p>
      <w:pPr>
        <w:pStyle w:val="BookText"/>
        <w:rPr/>
      </w:pPr>
      <w:r>
        <w:rPr>
          <w:rFonts w:ascii="Amiri" w:hAnsi="Amiri" w:eastAsia="Amiri" w:cs="Amiri"/>
          <w:color w:val="111111"/>
          <w:sz w:val="28"/>
          <w:sz w:val="28"/>
          <w:szCs w:val="28"/>
          <w:rtl w:val="true"/>
          <w:lang w:bidi="ar-SA"/>
        </w:rPr>
        <w:t>انّه إذا اختلف العرف بحسب اختلاف الأمكنة ففي كلّ مكان يعتبر عرف هذا المكان، فإذا كان حقّ التأليف ثابتاً عند بلد يترتّب عليه أحكامه في هذا البلد بخلاف سائر البلاد التي لم يكن الحقّ المذكور ثابتاً عندهم، كما إنّ ماليّة الأشياء كذلك ففي كلّ بلد يكون شيء كالدم مالاً يترتّب عليه أحكام المالية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375" w:name="pg16065_152947"/>
    </w:p>
    <w:p>
      <w:pPr>
        <w:pStyle w:val="BookText"/>
        <w:rPr/>
      </w:pPr>
      <w:bookmarkEnd w:id="375"/>
      <w:r>
        <w:rPr>
          <w:rFonts w:ascii="Amiri" w:hAnsi="Amiri" w:eastAsia="Amiri" w:cs="Amiri"/>
          <w:color w:val="111111"/>
          <w:sz w:val="28"/>
          <w:sz w:val="28"/>
          <w:szCs w:val="28"/>
          <w:rtl w:val="true"/>
          <w:lang w:bidi="ar-SA"/>
        </w:rPr>
        <w:t>نعم اللازم في كون حقّ أو مال عرفياً هو بناء نوع أفراد ذلك البلد عليه بحيث يكون ارتكازياً لهم و لايكفي فيه بناء بعض الأفراد عليه،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اختلاف العرف بحسب الأزمنة ففي كلّ زمان يعتبر عرف هذا الزمان، فإذا رأى العرف للتكثير و الاستنساخ فائدة صار ذلك حقّاً ماليّاً للمؤلّف و يشمله الأدلة الدالّة على لزوم مراعاة حقوق الآخرين، كما لايخفى</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285374_1280447820"/>
      <w:bookmarkStart w:id="377" w:name="_Toc136"/>
      <w:bookmarkEnd w:id="376"/>
      <w:r>
        <w:rPr>
          <w:rtl w:val="true"/>
        </w:rPr>
        <w:t>التنبيه العاشر</w:t>
      </w:r>
      <w:r>
        <w:rPr>
          <w:rtl w:val="true"/>
        </w:rPr>
        <w:t xml:space="preserve">: </w:t>
      </w:r>
      <w:r>
        <w:rPr>
          <w:rtl w:val="true"/>
        </w:rPr>
        <w:t>كلّما نقول بالنسبة الى الكتب من جهة اختصاص حق تكثيرها يجرى في غيرها من الافلام و نحوها</w:t>
      </w:r>
      <w:bookmarkEnd w:id="377"/>
    </w:p>
    <w:p>
      <w:pPr>
        <w:pStyle w:val="BookText"/>
        <w:rPr/>
      </w:pPr>
      <w:r>
        <w:rPr>
          <w:rFonts w:ascii="Amiri" w:hAnsi="Amiri" w:eastAsia="Amiri" w:cs="Amiri"/>
          <w:color w:val="111111"/>
          <w:sz w:val="28"/>
          <w:sz w:val="28"/>
          <w:szCs w:val="28"/>
          <w:rtl w:val="true"/>
          <w:lang w:bidi="ar-SA"/>
        </w:rPr>
        <w:t>إنّ كلّما نقول بالنسبة إلى الكتب من جهة اختصاص حقّ تكثيرها أو ترجمتها بالمؤلّف أو المترجم يجري حرفاً بحرف في أمثالها من رقائق الكومبيوتر و اللوحة و الأفلام و نحوها لتعلق حقّ مولّديها بها، و ما ذكرناه في حقّ التأليف يكون من باب المثال و عليه فيجري في غير الكتب أيضاً، فمن يستأجر فيلماً لعرضه على الجمهور قد انتقل إليه حقّ الاداء العلني في المدّة المعيّنة أو في المكان المتّفق عليه و بمقابل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له التعدّي عن ذلك، كما لايجوز لمولّده منعه عن ذلك في المدّة المعيّنة بعد لزوم المعاملة لو لم يكن له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أثر يعتبر فيه لمؤثّره حقّ بالنسبة إلى نشره أو تكثيره أو ترجمته أو إرائته لايجوز ذلك فيه إلاّ مع التوافق مع مؤثّره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من ذلك حكم التقليد و التكثير بالنسبة إلى الأجناس المخترعة المصنوعة فإنّ التكثير أو التقليد في مثلها مع كونه ذا فائدة من حقوق المخترع فلايجوز ذلك من دون تحصيل رضاية المخترع و المبتكر لأنّه تجاوز بالنسبة إلى حقّهما عرفاً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ذلك إذا كان المصنوع اللاحقّ مغايراً مع السابق و إن كان شبيهاً به في بعض الجهات، كما إنّ تأليف كتاب لاحق يشبه للكتاب سابق لامانع منه و يجوز نشره لأنّ ذلك لايكون تجاوزاً بالنسبة إلى حقّ من سبق إلى تأليف أو صناعة و نحوها</w:t>
      </w:r>
      <w:r>
        <w:rPr>
          <w:rFonts w:eastAsia="Amiri" w:cs="Amiri" w:ascii="Amiri" w:hAnsi="Amiri"/>
          <w:color w:val="111111"/>
          <w:sz w:val="28"/>
          <w:szCs w:val="28"/>
          <w:rtl w:val="true"/>
          <w:lang w:bidi="ar-SA"/>
        </w:rPr>
        <w:t xml:space="preserve">. </w:t>
      </w:r>
      <w:bookmarkStart w:id="378" w:name="pg16065_152948"/>
    </w:p>
    <w:p>
      <w:pPr>
        <w:pStyle w:val="BookText"/>
        <w:rPr/>
      </w:pPr>
      <w:bookmarkEnd w:id="378"/>
      <w:r>
        <w:rPr>
          <w:rFonts w:ascii="Amiri" w:hAnsi="Amiri" w:eastAsia="Amiri" w:cs="Amiri"/>
          <w:color w:val="111111"/>
          <w:sz w:val="28"/>
          <w:sz w:val="28"/>
          <w:szCs w:val="28"/>
          <w:rtl w:val="true"/>
          <w:lang w:bidi="ar-SA"/>
        </w:rPr>
        <w:t>فالملاك في جواز صنعة المشابه هو صدق المغايرة عرفاً مع الشيء الذي صنع قبلاً، و إلاّ فلايجوز التقليد و التكثير لأنّه تجاوز بالنسبة إلى حقّ مبتكره و مخترعه عدى موارد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 المخترع حربيّاً ومنها استلزام عدم التقليد و التكثير لسلطة الكفّار على المسلمين أو هدم النظام الاسلامي فإنّ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تسبيل سبيلهم و هدم النظام، و هكذا لو امتنع الكفّار من تعليم علوم الصنايع النظاميّة ونحوها جاز للمسلمين أو وجب عليهم أن يطّلعوا عليها ولو بالوسائل الخفيّة، إذا توقّف عليه حفظ النظام أو نفوس المسلمين أو المنع عن سلطة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جواز ذلك أو وجوبه لايستلزم عدم الضمان فيما إذا كانت أموالهم أو حقوقهم ذات احترام في نفسها، فتدبّر جيّداً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85376_1280447820"/>
      <w:bookmarkStart w:id="380" w:name="_Toc137"/>
      <w:bookmarkEnd w:id="379"/>
      <w:r>
        <w:rPr>
          <w:rtl w:val="true"/>
        </w:rPr>
        <w:t>التنبيه الحادي عشر</w:t>
      </w:r>
      <w:r>
        <w:rPr>
          <w:rtl w:val="true"/>
        </w:rPr>
        <w:t xml:space="preserve">: </w:t>
      </w:r>
      <w:r>
        <w:rPr>
          <w:rtl w:val="true"/>
        </w:rPr>
        <w:t>لااشكال في جواز تغيير المؤلف تأليفه</w:t>
      </w:r>
      <w:bookmarkEnd w:id="380"/>
    </w:p>
    <w:p>
      <w:pPr>
        <w:pStyle w:val="BookText"/>
        <w:rPr/>
      </w:pPr>
      <w:r>
        <w:rPr>
          <w:rFonts w:ascii="Amiri" w:hAnsi="Amiri" w:eastAsia="Amiri" w:cs="Amiri"/>
          <w:color w:val="111111"/>
          <w:sz w:val="28"/>
          <w:sz w:val="28"/>
          <w:szCs w:val="28"/>
          <w:rtl w:val="true"/>
          <w:lang w:bidi="ar-SA"/>
        </w:rPr>
        <w:t>إنّه لايذهب عليك أنّه لاإشكال ولاكلام في جواز تغيير المؤلّف تأليفه أو المنع عن طبعه لتبدّل نظره وإنّما الكلام في أنّ تضرّر الناشرين من هذه الناحية هل يمنعه عن ذلك أو هل يلزم المؤلّف بجبران الضرر لو اقدم على ذلك أم لا؟</w:t>
      </w:r>
    </w:p>
    <w:p>
      <w:pPr>
        <w:pStyle w:val="BookText"/>
        <w:rPr/>
      </w:pPr>
      <w:r>
        <w:rPr>
          <w:rFonts w:ascii="Amiri" w:hAnsi="Amiri" w:eastAsia="Amiri" w:cs="Amiri"/>
          <w:color w:val="111111"/>
          <w:sz w:val="28"/>
          <w:sz w:val="28"/>
          <w:szCs w:val="28"/>
          <w:rtl w:val="true"/>
          <w:lang w:bidi="ar-SA"/>
        </w:rPr>
        <w:t>و قد يقال بأنّه يلزم على المؤلّف إذا طرأت أسباب خطيرة أن يطلب من المحكمة الحكم بسحب مصنّفه من التداول أو بإدخال تعديلات جوهريّة عليه على الرغم من تصرّفه في حقوق الاستغلال المالي، و يلتزم المؤلّف في هذه الحالة بأن يعوّض مَن مُقدّماً ممّن آلت إليه حقوق الاستغلال المالي تعويضاً عادلاً يدفع في غضون مدّة تحدّدها المحكمة و إذا لم يحصل ذلك الإجراء يزول أي أثر للحكم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381" w:name="pg16065_152949"/>
    </w:p>
    <w:p>
      <w:pPr>
        <w:pStyle w:val="BookText"/>
        <w:rPr/>
      </w:pPr>
      <w:bookmarkEnd w:id="381"/>
      <w:r>
        <w:rPr>
          <w:rFonts w:ascii="Amiri" w:hAnsi="Amiri" w:eastAsia="Amiri" w:cs="Amiri"/>
          <w:color w:val="111111"/>
          <w:sz w:val="28"/>
          <w:sz w:val="28"/>
          <w:szCs w:val="28"/>
          <w:rtl w:val="true"/>
          <w:lang w:bidi="ar-SA"/>
        </w:rPr>
        <w:t>الذي اقتضى صدوره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يقتضي الكلام في ضمن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للمؤلّف قرار مع غيره بالنسبة إلى الضرر الحاصل من التغيير أو المنع عن الطبع الجديد ففي هذه الصورة يجوز له ذلك و لادليل على تداركه الضرر الناشي من التغيّر و التبديل إذ الضرر المذكور مقدّم عليه لشيوع ذلك من المؤلّفين فإنّهم كثيراً ما يغيّرون أو يمنعون عن النشر بجهة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يتعهّد المؤلّف مع الناشر أن لايغيّر تأليفه و لايمنع عن نشره إلى مدّة معيّنة ففي هذه الصورة يجب عليه أن يعمل بشرطه حتّى انقضت المدّة نعم يجوز له أن يكتب موارد التغيير في كتيب و ينشرها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ينتقل المؤلّف نسخته مع جميع حقوقه إلى الناشر و اشترط عليه أنّ له أن يغيّر الكتاب إذا شاء ففي هذه الصورة لايجوز للناشر أن يمنعه عن ذلك طبقاً للشرط المذكور، نعم لو نقل المؤلّف جميع حقوقه بدون اشتراط شيء لنفسه فلاحقّ للمؤلّف بالنسبة إلى التغيير و التبديل بل للناشر أن يمنعه عن ذلك، نعم ربّما يقال إنّ الممانعة عن التغيير و التبديل يوجب توقّف السير التكاملي في العلوم و هذا يتطلّب جواز ذلك للمؤلّفين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عنه بالمنع لتمكّن المؤلّف من أن يؤلّف تأليفاً جديداً أو ينشر كتيبات و يذكر فيها الأفكار الجديدة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85378_1280447820"/>
      <w:bookmarkStart w:id="383" w:name="_Toc138"/>
      <w:bookmarkEnd w:id="382"/>
      <w:r>
        <w:rPr>
          <w:rtl w:val="true"/>
        </w:rPr>
        <w:t>التنبيه الثاني عشر</w:t>
      </w:r>
      <w:r>
        <w:rPr>
          <w:rtl w:val="true"/>
        </w:rPr>
        <w:t xml:space="preserve">: </w:t>
      </w:r>
      <w:r>
        <w:rPr>
          <w:rtl w:val="true"/>
        </w:rPr>
        <w:t>قديقال انّ الالتزام بحق التأليف والترجمة و نحوهما يوجب اعطاء كثير</w:t>
      </w:r>
      <w:bookmarkEnd w:id="383"/>
    </w:p>
    <w:p>
      <w:pPr>
        <w:pStyle w:val="BookText"/>
        <w:rPr/>
      </w:pPr>
      <w:r>
        <w:rPr>
          <w:rFonts w:ascii="Amiri" w:hAnsi="Amiri" w:eastAsia="Amiri" w:cs="Amiri"/>
          <w:color w:val="111111"/>
          <w:sz w:val="28"/>
          <w:sz w:val="28"/>
          <w:szCs w:val="28"/>
          <w:rtl w:val="true"/>
          <w:lang w:bidi="ar-SA"/>
        </w:rPr>
        <w:t>إنّه قد يقال أن الالتزام بحقّ التأليف و الترجمة و نحوهما يوجب إعطاء كثير من الدلارات للبلاد الغربية حتّى يرخّص في ترجمة آثارهم و ليس لنا في مقابل كتبهم شيء يعامله حتّى يتهاتر ما أعطينا مع ما أخذناه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حقوق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لم يمكن لنا أداء حقوق تأليفاتهم و ترجمتها فالالتزام بوجوب الإعطاء ينتهي إلى إيقاف المسلمين عن الرشد العلمي و الاطلاع و الإشراف بالنسبة إلى العلوم الموجودة هو خسارة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المذكور يأتي في غير الكتب من اللوازم المصنوعة في البلاد الغربيّة أيضاً فكما إنّ الحاجة إليها توجب إعطاء ثمنها و أخذها فكذلك الحاجة توجب إعطاء ثمنها و أخذ ها بالنسبة إلى الكتب، و على فرض تسليم عدم تمكّنهم من ذلك لزم على الحكومة أن تساعدهم في ذلك بحيث لايلزم من ذلك الإيقاف و عدم الاطلاع بالنسبة إلى العلوم الحديثة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قبول حقّ التأليف و الترجمة لافرق فيه بين الكتب الموجودة في بلادنا و بين الكتب الموجودة في بلاد الكفّار، نعم لو كان الكفّار في حرب مع المسلمين جاز تكثير تأليفاتهم أو ترجمتها من دون حاجة إلى إعطاء شيء إليهم لعدم حرمة لأموالهم كنفوسهم،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لجواز التكثير أو الترجمة بالنسبة إلى الكتب الغربيّة بأنّهم سرقوا كتبنا في القرون الماضية و لها سهم وافر فيما ألّفوا وصنّفوا و ذلك يوجب جواز التكثير أو الترجمة و نحوهما من باب التقاص ففيه مالايخفى، فإنّ السارق ربّما لايكون هو المؤلّف حتّى يجوز التكثير أو ترجمة آثاره من ذلك الباب، هذا مضافاً الى أنّ حقّ التأليف و الترجمة من الحقوق المستحدثة، اللّهمّ إلاّ أن يكون النظر في المقاصة إلى سرقة أعيان الكتب السابقة،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المؤلّفين منهم في عصرنا و إن لم يكونوا هم السارقون ولكنّهم استفادوا من الكتب المسروقة من البلاد الإسلاميّة و عليه فيضمنون بالنسبة إلينا فيجوز حينئذ أخذ تأليفاتهم أو ترجمتهم من دون إعطاء حقّ التأليف مقاصةً‌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بأنّ الاستفادة من الأعيان المسروقة و إن كانت موجبة للضمان ولكنّ الضمان بالنسبة إلى مالكها و ورّاثها لابالنسبة إلينا و إن كان النظر إلى ضمانهم </w:t>
      </w:r>
      <w:bookmarkStart w:id="384" w:name="pg16065_152951"/>
    </w:p>
    <w:p>
      <w:pPr>
        <w:pStyle w:val="BookText"/>
        <w:rPr/>
      </w:pPr>
      <w:bookmarkEnd w:id="384"/>
      <w:r>
        <w:rPr>
          <w:rFonts w:ascii="Amiri" w:hAnsi="Amiri" w:eastAsia="Amiri" w:cs="Amiri"/>
          <w:color w:val="111111"/>
          <w:sz w:val="28"/>
          <w:sz w:val="28"/>
          <w:szCs w:val="28"/>
          <w:rtl w:val="true"/>
          <w:lang w:bidi="ar-SA"/>
        </w:rPr>
        <w:t>بالنسبة إلى عنوان المسلمين بدعوى أنّهم سرقوا تمدّن مجتمع المسلمين في الأزمنة السابقة ففيه أنّ الضمان لعنوان المسلمين لالآحادهم حتّى يجوز لهم تكثير آثارهم أو ترجمتهم من باب مقاصة الضمان، و المسألة محتاجة إلى تأمّل زائد</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85380_1280447820"/>
      <w:bookmarkStart w:id="386" w:name="_Toc139"/>
      <w:bookmarkEnd w:id="385"/>
      <w:r>
        <w:rPr>
          <w:rtl w:val="true"/>
        </w:rPr>
        <w:t>التنبيه الثالث عشر</w:t>
      </w:r>
      <w:r>
        <w:rPr>
          <w:rtl w:val="true"/>
        </w:rPr>
        <w:t xml:space="preserve">: </w:t>
      </w:r>
      <w:r>
        <w:rPr>
          <w:rtl w:val="true"/>
        </w:rPr>
        <w:t>لو كان تأليف كتاب و نحوه في زمان لايعتبر فيه حق التأليف ولكن بقى الى زمان الاعتبار</w:t>
      </w:r>
      <w:bookmarkEnd w:id="38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لو كان تأليف كتاب و نحوه في زمان لايعتبر فيه حقّ التأليف ولكن بقي الكتاب إلى زمان يعتبر فيه حقّ التأليف فهل العبرة بزمان التأليف حتّى لايستحقّ المؤلّف شيئاً بالنسبة إليه أو العبرة بزمان الاعتبار؟ و الظاهر هو الثاني لأنّ الكتاب مستند إلى المؤلّف و اعتبر العرف في الزمان الثاني له حقّ التكثير و إن ألّفه في زمان لم يعتبر ذلك حقّاً له و عليه فإن كان المؤلّف في زمان الاعتبار حيّاً استوفى حقّه و إن كان ميّتاً فهو من التركة ويرثه وارثه، فتدبّر جيّداً</w:t>
      </w:r>
      <w:r>
        <w:rPr>
          <w:rFonts w:eastAsia="Amiri" w:cs="Amiri" w:ascii="Amiri" w:hAnsi="Amiri"/>
          <w:color w:val="111111"/>
          <w:sz w:val="28"/>
          <w:szCs w:val="28"/>
          <w:rtl w:val="true"/>
          <w:lang w:bidi="ar-SA"/>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6065_152953"/>
      <w:bookmarkStart w:id="388" w:name="pg16065_152953"/>
      <w:bookmarkEnd w:id="388"/>
    </w:p>
    <w:p>
      <w:pPr>
        <w:pStyle w:val="Heading2"/>
        <w:numPr>
          <w:ilvl w:val="1"/>
          <w:numId w:val="1"/>
        </w:numPr>
        <w:rPr/>
      </w:pPr>
      <w:bookmarkStart w:id="389" w:name="pg16065_152953"/>
      <w:bookmarkStart w:id="390" w:name="__RefHeading___Toc285382_1280447820"/>
      <w:bookmarkStart w:id="391" w:name="_Toc140"/>
      <w:bookmarkEnd w:id="389"/>
      <w:bookmarkEnd w:id="390"/>
      <w:r>
        <w:rPr>
          <w:rtl w:val="true"/>
        </w:rPr>
        <w:t>المسألة التاسعة عشر حقّ السرقفليّة أو بدل الخُلُو</w:t>
      </w:r>
      <w:bookmarkEnd w:id="391"/>
    </w:p>
    <w:p>
      <w:pPr>
        <w:pStyle w:val="Heading3"/>
        <w:numPr>
          <w:ilvl w:val="2"/>
          <w:numId w:val="1"/>
        </w:numPr>
        <w:rPr/>
      </w:pPr>
      <w:bookmarkStart w:id="392" w:name="__RefHeading___Toc285384_1280447820"/>
      <w:bookmarkStart w:id="393" w:name="_Toc14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يسمّى في مصر ببدل الخلو و في المغرب ببدل الجلسة أو المفتاح و في الإيران ببدل السرقفلي و في غير تلك البلاد بعناوين اُخر كالفراغ أو الإفراغ، و كيف كان يمكن تعريفه باختصار بأنّه هو ما يأخذه المستأجر و لو بعد انقضاء مدّة الإجارة في قبال تخليته محلّ الإجارة و تنازله عنه أو انتقال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بدل العرق بالنسبة إلى الزرّاع الذين استاجروا الأراضي للزراعة حيث أنّهم لايخرجون عنها إلاّ بأخذ شيء يسمّونه بدل العرق الذي يسمّى في اللغة الفارسيّة به حقّ الريشة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اعتقد العرف في زماننا هذا إنّ ذلك من الحقوق الماليّة فاللازم حينئذ هو بيان الوجوه المذكورة لتبيّن كيفيّة كونه من الحقوق</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85386_1280447820"/>
      <w:bookmarkStart w:id="395" w:name="_Toc142"/>
      <w:bookmarkEnd w:id="394"/>
      <w:r>
        <w:rPr>
          <w:rtl w:val="true"/>
        </w:rPr>
        <w:t>تصويرات فقهية لكونه من الحقوق</w:t>
      </w:r>
      <w:bookmarkEnd w:id="395"/>
    </w:p>
    <w:p>
      <w:pPr>
        <w:pStyle w:val="Heading4"/>
        <w:numPr>
          <w:ilvl w:val="3"/>
          <w:numId w:val="1"/>
        </w:numPr>
        <w:rPr/>
      </w:pPr>
      <w:bookmarkStart w:id="396" w:name="__RefHeading___Toc285388_1280447820"/>
      <w:bookmarkStart w:id="397" w:name="_Toc143"/>
      <w:bookmarkEnd w:id="396"/>
      <w:r>
        <w:rPr>
          <w:rtl w:val="true"/>
        </w:rPr>
        <w:t>اشارة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يقال في بيان حقيقة ذلك إنّه هو حقّ الإيجار و المراد به هو اعتبار المالك عند العقد سلطة للمستأجر في ايجار المحل لنفسه أو لغيره، و هذا الحقّ له اعتبار ماليّ عند العقلاء و قائم بالعين و يقابل بالعوض</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بأنّ إطلاق الحقّ عليه ليس حقيقة شرعيّة له إذ مضافاً إلى عدم الدليل عليه أنّ الحقّ يستعمل كثيراً في الأخبار و كلمات علمائنا الأبرار في الحكم </w:t>
      </w:r>
    </w:p>
    <w:p>
      <w:pPr>
        <w:pStyle w:val="BookText"/>
        <w:rPr/>
      </w:pPr>
      <w:r>
        <w:rPr>
          <w:rFonts w:ascii="Amiri" w:hAnsi="Amiri" w:eastAsia="Amiri" w:cs="Amiri"/>
          <w:color w:val="111111"/>
          <w:sz w:val="28"/>
          <w:sz w:val="28"/>
          <w:szCs w:val="28"/>
          <w:rtl w:val="true"/>
          <w:lang w:bidi="ar-SA"/>
        </w:rPr>
        <w:t>و عليه فتشخيص كون مورد خاصّ من قبيل الحكم أو الحقّ يتوقّف على ملاحظة الخصوصيّات و القرائن و لايستفاد ذلك من مجرّد إطلاق الحقّ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الإيجار لايطلق إلاّ إذا اعتبر السلطة للمستأجر في إيجار المحلّ لنفسه أو لغيره، و هذا الاعتبار ليس بإباحة الإيجار أو الإذن أو الوكالة له في ذلك، بل هو حقّ ينشعب من شؤون المالكيّة و سلطنته على العين، إذ هو كما يملك تمليك الشيء للغير فكذلك يملك اعطاء بعض سلطنته عليه للغير، كتمليك منفعة المحلّ أو حقّ الاستطراق أو حقّ الشرب أو غير ذلك لأنّ كلّ ذلك من مراتب المالكيّة و السلطنة، و العرف يحكم بتحقّق الحقّ حقيقة فيما إذا اُعطي المالك سلطنة الإيجار للمستأجر و مع حكم العرف بذلك لاوجه للتشكيك في ثبوته، و لاينافيه استعمال الحقّ في بعض الموارد في الحكم لأنّه إطلاق مجازيّ و مسامحي و الشاهد على ثبوت الحق إنّ ذلك لو كان حكماً و ترخيصاً لجاز للمالك ان يقدّم بنفسه للإيجار كما جاز له ذلك بعد الإباحة أو الإذن و الوكالة، مع أنّ المعلوم خلافه، و هذا يكفي شاهداً على كون هذا حقّاً من الحقوق و ليس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بأنّا لو سلّمنا أنّه حق من الحقوق فالحقّ له أقسام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مالايقبل المعاوضة أي لايقبل النقل و الإسقاط كحقّ الحضانة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مايقبل الإسقاط و لايقبل النقل كحقّ الشفعة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مايقبل النقل و الانتقال و الإسقاط كحقّ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عدم صحّة جعل العوض في مقابل الأوّل و أمّا البقيّة فيصحّ جعل العوض فيها، غاية الأمر فيما لايقبل الانتقال يصحّ جعله في مقابل الإسقاط ولكن أخذ المال بإزاء إعطاء المالك حق الايجار للمستأجر لايصح، إذ لايظهر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كونه من الحقوق القابلة للانتقال و بناء العرف عليه في هذا الزمان لايجدي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للإشكال المذكور بعد تسليم كونه حقّاً، لأنّ العرف و العقلاء يعتبرون الماليّة لذلك الحق و هو يكفي لقابلية النقل و الانتقال لشمول عمومات أدلّة نفوذ المعاملات، لأنّها من القضايا الحقيقيّة و مقتضاها أنّ كلّما و جد و كان مالا عند العرف و العقلاء صحّ معاملته و عدم إجداء البناءات الجديدة مخصوص بالبناءات العرفيّة في الأحكام دون الموضوعات و لذا حكم جماعة من الأصحاب بصحّة بيع الدم بعد حكم العرف بكونه من الأموال في زماننا هذا،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بحوث فقهيّة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كان فإنّه لايتعدّى أن يكون شرطاً من الشروط و للمستأجر قابليّة إسقاطه بأن لايستأجر المحل في السنة الثانية، أمّا نقله إلى الغير كحقّ من الحقوق سواء كان مجاناً أو بعوض من صلح و نحوه فهذا ممّا لادليل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 المستأجر القديم اشترط بنحو الشرط الصريح على المالك بأنّ له الحق في تجديد عقد الايجار معه عند حلول الموعد و انتهاء مدّة الايجار فإنّ هذا الشرط يلزم على المالك إجابته في هذه الجهة، أمّا أنّ المستأجر يتنازل عن المحل إلى غيره بأن يأخذ في قبال تنازله مبلغاً من المال فهذا ممّا لم يكن مستفاداً من ذلك الشرط الصريح فكيف به لو كان ضمنيّاً،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ثبوت الحقّ بالشرط المذكور و حيث كان مالاً عند العرف و العقلاء يشمله عمومات أدلّة المعاملات الدالّة على النقل و الانتقال، و دعوى أنّ البناءات المستحدثة لاتجدي مندفعة بأنّ ذلك في البناءات المستحدثة في ناحية الأحكام و أمّا الموضوعات فالبناء الجديد فيه يكفي لإثبات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موضوع المعاملات هو المال و حيث إنّ الدم في السابق لافائدة فيه لم يكن مالاً و لذا لايجوز بيعه و أمّا في زماننا هذا اعتبره العقلاء مالاً لترتّب الفوائد عليه و مع هذا الحكم يشمله أدلّة المعاملات و مقتضى شمولها هو النقل و الانتقال،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تصوّر حقّ الإيجار يمكن تحقّقه بالجعل ابتداء للمستأجر بإزاء أخذ شيء كما يمكن اشتراطه في ضمن عقد الإجارة في مقابل شيء أو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يوجّه ذلك بأنّه هو حقّ البقاء و حقّ السكنى، و ليس المراد به هو إباحة السكنى و إذن المالك له في هذا التصرّف، فإنّه يرجع إلى العارية و للمالك أن يرجع في إذنه و المفروض في السرقفلي هو عدم إمكان رجوع المالك عن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لايكون ذلك عن ملك لهذه المنفعة، فإنّها إجارة و يبقى إلى أن انقضت مدّة الإجارة و بعد الانقضاء يجوز الرجوع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من حقّ السكنى كما أفاد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محض متعلّق بالسكنى و هو قابل للجعل الابتدائي في عقد مستقلّ كما في باب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أحكامه، فيجوز له السكونة فيه لاعلى نحو يكون مالكاً للمنفعة و لذا لايسوغ له نقلها إلى الغير بإجارة و نحوهما، و لاتنقل إلى ورثته بعد موته لو كان الحقّ له خاصّة أو لعنوان عام كالطلبة، و لاعلى نحو يتمكّن المالك من الرجوع لفرض لزوم العقد كما في الوقف</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يمكن جعله و اشتراطه بشرط صريح أو ضمنيّ إرتكازي في ضمن عقد من العقود، كما لو باع داره واشترط على المشتري أن تكون له السكنى في هذا الدار شهراً إمّا بعوض أو مجاناً، لابأن يبيعها مسلوبة المنفعة في هذه المدّة بل قد باعها بتمام منافعها، و لذا لايجوز له إجارتها خلال الشهر لعدم كون المنفعة ملكاً له بل للمشتري إلاّ أنّه يجعل لنفسه حقّ السكنى و لاريب في نفوذ هذا الشرط عملاً بإطلاق دليله فليس للمالك منعه عن السكنى و لاالإيجار في هذه المدّة من شخص </w:t>
      </w:r>
    </w:p>
    <w:p>
      <w:pPr>
        <w:pStyle w:val="BookText"/>
        <w:rPr/>
      </w:pPr>
      <w:r>
        <w:rPr>
          <w:rFonts w:ascii="Amiri" w:hAnsi="Amiri" w:eastAsia="Amiri" w:cs="Amiri"/>
          <w:color w:val="111111"/>
          <w:sz w:val="28"/>
          <w:sz w:val="28"/>
          <w:szCs w:val="28"/>
          <w:rtl w:val="true"/>
          <w:lang w:bidi="ar-SA"/>
        </w:rPr>
        <w:t>آخر و ربّما يشترط هذا الحق في ضمن عقد الإيجار فيستأجر الدكّان مثلاً و يجعل لنفسه حقّ السكنى، و هذا يكون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الشرط هو سكنى نفسه فقط، فمتى رفع اليد يرتفع الحقّ‌، و للمالك إيجاره عندئذ من شخص آخر إذ مورد الحقّ إنّما هو سكنى نفسه مباشرة و قد سقط و من ثمّ لم يكن له نقله لغيره و لااسترجاع المال الذي دفعه للمالك بإزائه إمّا على سبيل الزيادة على الأجرة أو الزيادة في الأجرة، فإنّه قد ذهب من كيسه و لاعودة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الشرط أوسع من ذلك فيجعل الحقّ لنفسه و لمن يجعل له هذا الحق و ينقله إليه بلاواسطة أو بوساطة أو وسائط، فيكون مورد الحقّ أعمّ من المباشرة و هذا يتصوّر بل يقع كثيراً في الخارج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يحتاج المالك إلى مال كثير كخمسة آلاف دينار مثلاً لعمارة دار أو بناية دكّان أو فتح محلّ و نحو ذلك ليؤجرها بعدئذ بقيمة لايقدّم عليها أحد قبل التعمير، فيدفع له المستأجر ذلك المال بإزاء أن يكون له حقّ السكنى بالمعنى الجامع، أي بنحو قابل للنقل بالاُجرة التي إتفقا عليها فعلاً مشروطاً بأن لايزيد عليها في السنين الآتية و إن ترقّت القيمة السوقيّة أضعاف ما هي عليه الآن، كما هو كذلك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فللمستأجر بعد ذلك حقّ السكنى لامجّاناً بل باُجرة معيّنة لاتزيد أبداً، قد حصل على هذا الحقّ بإزاء المبلغ الذي دفعه أوّلاً، المعبّر عنه بالسرقفليّة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كساير الحقوق له ماليّة عقلائيّة و قابل للنقل إلى الغير ببيع أو إرث ونحوهما بمقتضى الاتفاقيّة إلى أن قال</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أخرى يشترط على المالك حقّ السكنى كي يستقرّ و لاينتقل من محلّه إلى آخر ولكن كلّ سنة بقيمتهما الفعليّة و لايلزم حينئذ دفع شيء إليه مسبقاً، فلو وافق المالك على هذا الشرط و رضى بالحق لم يكن له بعدئذ إخراجه و لازيادة الاُجرة زيادة فاحشة أضعاف الاُجرة السوقيّة، لكونه بمثابة منعه عن حقّ السكنى </w:t>
      </w:r>
    </w:p>
    <w:p>
      <w:pPr>
        <w:pStyle w:val="BookText"/>
        <w:rPr/>
      </w:pPr>
      <w:r>
        <w:rPr>
          <w:rFonts w:ascii="Amiri" w:hAnsi="Amiri" w:eastAsia="Amiri" w:cs="Amiri"/>
          <w:color w:val="111111"/>
          <w:sz w:val="28"/>
          <w:sz w:val="28"/>
          <w:szCs w:val="28"/>
          <w:rtl w:val="true"/>
          <w:lang w:bidi="ar-SA"/>
        </w:rPr>
        <w:t>المفروض ثبوته له، وإنّما له الزيادة بالمقدار المتعارف حسب القيمة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الحقّ إذا كان ثابتاً له بالمعنى الجامع الأعم تمّ من المباشرة كما هو المفروض، ساغ له نقله إلى الغير و أخذ السرقفليّة منه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إمكان الصورة الثالثة و هي أن يأخذ مبلغاً في مقابل حقّ السكنى مع إجارة المحل في كلّ سنة بقيمتها الفعليّة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يقال إنّ بدل الخلو هي قيمة مدّة باقية من منفعة العقار المستأجر التي تمّ التعاقد عليها ببيع حقّه في سكنى العقار لتلك المدّة لمستأجر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لمالك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البيوع الشايعة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بصحّة هذا التصرّف قرار مجلس المجمع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البند الثالث و الرابع بشرط أن يكون ذلك أثناء مدّة الإجارة على أنّ ذلك له ضوابط عند 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يكون وجه انتفاع المستأجر الجديد متكافئاً مع وجه إنتفاع القديم و هناك من الفقهاء من منعه، فقد نصّ في الفتاوى الهنديّة على منعه عند الحنفية و القول بمنعه مروي عن الإمام أحمد و روى عنه الجواز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لايخفى، فإنّ ذلك لايوجب حقّاً بعد انقضاء مدّة الإجارة بل ينتفى الحقّ المذكور بانتفاء الإجارة، بل هو في الحقيقة إجارة مشروطة بشروطها و ليس شيئاً آخر، فلاتغفل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يوجّه ذلك بأنّ بدل الخلو هو ما يطالب به المستأجر مالك العقار مقابل إخلائه للعقار بعد انتهاء مدّة الإيجار التي تمّ التعاقد عليها في الأصل، أو هو ما يأخذه المستأجر القديم من مستأجر جديد مقابل إخلائه العقار له مع أنّ عقد الإيجار بين المستأجر القديم و المالك قد استوفيت مدّته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كتاب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الشايعة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398" w:name="pg16065_152959"/>
    </w:p>
    <w:p>
      <w:pPr>
        <w:pStyle w:val="BookText"/>
        <w:rPr/>
      </w:pPr>
      <w:bookmarkEnd w:id="398"/>
      <w:r>
        <w:rPr>
          <w:rFonts w:ascii="Amiri" w:hAnsi="Amiri" w:eastAsia="Amiri" w:cs="Amiri"/>
          <w:color w:val="111111"/>
          <w:sz w:val="28"/>
          <w:sz w:val="28"/>
          <w:szCs w:val="28"/>
          <w:rtl w:val="true"/>
          <w:lang w:bidi="ar-SA"/>
        </w:rPr>
        <w:t>نصّ في البيوع الشايعة أنّه ليس لبدل الخلو وجه أبداً في هذه الصورة لأنّ المستأجر قد إستوفى حقّه من العقار المستأجر و مايبيعه لايملكه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المحكيّ عن سيّدنا الإمام المجاهد أنّ العقلاء يعتبرون عند تجافي المالك عن استيفاء ما له حق الاستيفاء من مورد الإجارة و تفويضه للمستأجر مالية قائمة بالعين المستأجرة، نظير ما ذكروه في إرث الزوجة من قيمة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لانفسها و سيأتي تفصيل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عرفت الوجوه المذكور لتصوّر حقيقة بدل الخلو حان الوقت لملاحظة مقام الإثبات و صوره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85390_1280447820"/>
      <w:bookmarkStart w:id="400" w:name="_Toc144"/>
      <w:bookmarkEnd w:id="399"/>
      <w:r>
        <w:rPr>
          <w:rtl w:val="true"/>
        </w:rPr>
        <w:t>الصورة الاُولى</w:t>
      </w:r>
      <w:r>
        <w:rPr>
          <w:rtl w:val="true"/>
        </w:rPr>
        <w:t xml:space="preserve">: </w:t>
      </w:r>
      <w:r>
        <w:rPr>
          <w:rtl w:val="true"/>
        </w:rPr>
        <w:t>من السرقفليه هى ان يستأجر شخص عيناً من الموجر من دون اشتراط ان لايكون له حق إخراجه</w:t>
      </w:r>
      <w:bookmarkEnd w:id="400"/>
    </w:p>
    <w:p>
      <w:pPr>
        <w:pStyle w:val="BookText"/>
        <w:rPr/>
      </w:pPr>
      <w:r>
        <w:rPr>
          <w:rFonts w:ascii="Amiri" w:hAnsi="Amiri" w:eastAsia="Amiri" w:cs="Amiri"/>
          <w:color w:val="111111"/>
          <w:sz w:val="28"/>
          <w:sz w:val="28"/>
          <w:szCs w:val="28"/>
          <w:rtl w:val="true"/>
          <w:lang w:bidi="ar-SA"/>
        </w:rPr>
        <w:t>من السرقفلية هي أن يستأجر شخص عيناً من الموجر من دون اشتراط أن لايكون له حقّ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استيجار تلك العين لايوجب حدوث حقّ للمستأجر فيها بحيث لايكون للموجر إخراجه بعد تمام الإجارة، فإذا تمّت مدّة الإجارة يجب على المستأجر إخلاء المحلّ و تسليمه إلى صاحبه، و لايجوز له أخذ شيء بعنوان السرقفلية إذ لاحق له، فالمأخوذ لامقابل له و يكون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بقائه في المحل و تجارته فيه مع وجاهته و قدرته في التجارة يوجب ازدياد رغبة النفوس بالنسبة إلى المحلّ المذكور فالمحلّ بسبب ذلك يصير مرغوباً و للمستأجر دخل في هذه المرغوبيّة و هذه المدخليّة توجب حقّاً له على المحلّ المذكور، فكيف لايجوز له أخذ شيء بعنوان السرقفلي في مقابل الوصف الذي عرض على المحل بواسطته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الشايعة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 بأنّ هذه الزيادة حصلت في المحلّ قهراً و الزيادة القهريّة لاتوجب الحقّ‌، و للمستأجر حق استيفاء المنفعة و قد استوفاها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ازدياد قيمة المواد كالقطن باستيجار شخص لنسجها مربوط بصاحب المواد و لاسهم للأجير فيه و إنّما له الاُجرة فقط فكذلك في المقام يكون زيادة المرغوبيّة للمالك لاللمستأجر فيما إذا لم يشترط في العقد شيء من ذلك للأجير،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يشهد له سيرة العقلاء في الأزمنة السابقة على عدم استحقاق المستأجر شيئاً من زيادة المرغوبيّة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محلّ يكسب زيادة المرغوبيّة بالاشتغال التجاري فيه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ما ذكرناه أنّه لو آجر المستأجر محلّ كسبه بعد تمام مدّة الإجارة كانت الإجارة باطلة ولو أخذ شيئاً بعنوان مال الإجارة كان حراماً و إن تلف المأخوذ أو أتلفه كان ضامناً للدافع، كما أنّه ليس للدافع أن يأخذ المحل ولو سكن فيه من دون إذن مالكه كان ضامناً لمالكه و عليه اُجرة مثله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المستأجر الأول شيئاً بعنوان السرقفلي كان حراماً لعدم كونه مالكاً له، و لو تلف المأخوذ أو أتلفه كان ضامناً لدافعه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لم يشترط حقّ الإيجار أو حقّ السكنى للمستأجر و لم يكن بناء عليه كما هو مفروض المسألة، و الضابط كما أفاد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أخذ السرقفليّة و عدمه هو أنّه في كلّ مورد كان للموجر حقّ الزيادة في بدل الإيجار أو تخلية المحلّ بعد انتهاء مدّة الإيجار و لم يكن للمستأجر الامتناع عن دفع الزيادة أو التخلية لم يجز أخذها، و التصرّف في المحلّ بدون رضا مالكه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المالك طالباً لإيجاره إيّاه بحيث لو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استدعى تجديد الإجارة يقدّمه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طرق لحليّة ما يأخذه المستأجر القديم من المستأجر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 المستأجر الجديد المبلغ و يشترط عليه أن لايزاحمه في استيجاره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ملبغاً بعوض عدم المزاحمة، فيكون من قبيل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على الجعالة بأن يدفع المستأجر الجديد مبلغاً إلى المستأجر القديم على أن لايزاحمه، بناء على أنّه يكفي في الجعالة أن لايعمل شيئاً إذا كان عدم العمل أمراً له مالية عند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كلام متين ولكن لزم أن يعلم أنّ مجرّد كونه طالباً لإيجاره لايوجب حقّاً للمستأجر القديم حتّى يجوز انتقاله إلى المستأجر الجديد بإزاء ما يدفعه إليه، بل غايته أنّ ذلك يوجب إباحة السكنى له و لابأس حينئذ بأخذ شيء في قبال عدم إقدامه على الإجارة و إن لم يكن له حقّ في ذلك، و حينئذ يكون حكم سكونته فيه كحكم السكونة في المشتركات من المدارس و المساجد و نحوهما، فكما يجوز بذل شيء فيها في قبال رفع اليد عن السكونة فيها فكذلك في المقام يجوز بذل شيء في قبال رفع اليد عن السكونة و تجديد الإجارة و لعلّ ذلك مشمول لصحيحة محمّد بن مسلم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يرشو الرجل الرشوة على أن يتحوّل من منزله فيسكنه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أخذه المستأجر القديم يكون حلالاً له ولكن ذلك لايوجب استحقاق المستأجر الجديد لحقّ السرقفلي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مايكتسب به،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01" w:name="pg16065_152962"/>
    </w:p>
    <w:p>
      <w:pPr>
        <w:pStyle w:val="Heading4"/>
        <w:numPr>
          <w:ilvl w:val="3"/>
          <w:numId w:val="1"/>
        </w:numPr>
        <w:rPr/>
      </w:pPr>
      <w:bookmarkStart w:id="402" w:name="__RefHeading___Toc285392_1280447820"/>
      <w:bookmarkStart w:id="403" w:name="_Toc145"/>
      <w:bookmarkEnd w:id="401"/>
      <w:bookmarkEnd w:id="402"/>
      <w:r>
        <w:rPr>
          <w:rtl w:val="true"/>
        </w:rPr>
        <w:t>الصورة الثانية</w:t>
      </w:r>
      <w:r>
        <w:rPr>
          <w:rtl w:val="true"/>
        </w:rPr>
        <w:t xml:space="preserve">: </w:t>
      </w:r>
      <w:r>
        <w:rPr>
          <w:rtl w:val="true"/>
        </w:rPr>
        <w:t>أن يستأجر المحلات التى توجر بلا سرقفلية ولكن اشترط</w:t>
      </w:r>
      <w:bookmarkEnd w:id="403"/>
    </w:p>
    <w:p>
      <w:pPr>
        <w:pStyle w:val="BookText"/>
        <w:rPr/>
      </w:pPr>
      <w:r>
        <w:rPr>
          <w:rFonts w:ascii="Amiri" w:hAnsi="Amiri" w:eastAsia="Amiri" w:cs="Amiri"/>
          <w:color w:val="111111"/>
          <w:sz w:val="28"/>
          <w:sz w:val="28"/>
          <w:szCs w:val="28"/>
          <w:rtl w:val="true"/>
          <w:lang w:bidi="ar-SA"/>
        </w:rPr>
        <w:t>أن يستأجر المحلاّت التي توجر بلا سرقفليّة ولكن اشترط في عقد الإجارة على المالك أن يكون لشخص المستأجر حقّ السكنى في المحلّ بتجديد عقد الاجارة مع توافق جديد و لايكون له حقّ إيجار المحلّ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لايجوز للمستأجر أن يوجر المحلّ من دون إذن مالكه و لكن يجوز له أخذ شيء في إزاء تنازله عن حقّه من البقاء في المحلّ و تخليته فقط، ولكنّه ليس بعنوان السرقفلي أيضاً لأنّ حقّه ليس قابلاً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حقّ السكنى بشخص المستأجر القديم فلايجوز نقله إلى غيره، و متى رفع اليد عنه زال حقّه و للمالك إيجاره من شخص آخر، إذ مورد الحقّ إنّما هو سكنى نفسه مباشرة و قد سقط برفع اليد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أيضاً استرجاع المال الذي دفعه للمالك إمّا على سبيل الزيادة على الاُجرة أو الزيادة في الاُجرة فإنّه قد ذهب من كيسه و لاعودة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يأخذ شيئاً بإزاء رفع اليد و إسقاط الحقّ بإفراغ المحلّ و اخلائه كي يتمكّن المستأجر الجديد من مراجعة المالك و الاستيجار منه إمّا مع حقّ السرقفليّة أو بدونها، و هذا شيء آخر غير السرقفليّة،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 يجوز للمالك أن يشتري حقه المختصّ حتّى يصير المحلّ خالياً عنه و يتمكّن من إجارته للغير، و حينئذ يجوز للمستأجر أن لايرضى بالمعاملة إلاّ باسترجاع المال الذي دفعه للمالك</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85394_1280447820"/>
      <w:bookmarkStart w:id="405" w:name="_Toc146"/>
      <w:bookmarkEnd w:id="404"/>
      <w:r>
        <w:rPr>
          <w:rtl w:val="true"/>
        </w:rPr>
        <w:t>الصورة الثالثة</w:t>
      </w:r>
      <w:r>
        <w:rPr>
          <w:rtl w:val="true"/>
        </w:rPr>
        <w:t xml:space="preserve">: </w:t>
      </w:r>
      <w:r>
        <w:rPr>
          <w:rtl w:val="true"/>
        </w:rPr>
        <w:t>ان يستأجر شخص محلاً للتجارة و اشترط في العقد ان يكون له حق البقاء</w:t>
      </w:r>
      <w:bookmarkEnd w:id="405"/>
    </w:p>
    <w:p>
      <w:pPr>
        <w:pStyle w:val="BookText"/>
        <w:rPr/>
      </w:pPr>
      <w:r>
        <w:rPr>
          <w:rFonts w:ascii="Amiri" w:hAnsi="Amiri" w:eastAsia="Amiri" w:cs="Amiri"/>
          <w:color w:val="111111"/>
          <w:sz w:val="28"/>
          <w:sz w:val="28"/>
          <w:szCs w:val="28"/>
          <w:rtl w:val="true"/>
          <w:lang w:bidi="ar-SA"/>
        </w:rPr>
        <w:t>هي أن يستأجر شخص محلاًّ للتجارة و اشترط في العقد أن يكون له حقّ‌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كتاب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البقاء و السكونة و لمن يتنازل له مع توافق جديد مع المالك في الإجارة، و حينئذ يكون مقتضى اشتراط حقّ البقاء في المحلّ مع التوافق الجديد مع المالك في الاجارة الجديدة هو جواز المعاملة على هذا الحقّ كسائر الحقوق، و معه فإذا اتّفق أنّ شخصاً دفع مبلغاً للمستأجر في مقابل هذا الحقّ صار قائماً مقام المستأجر الأوّل في استحقاقه للبقاء في المحلّ مع لزوم التوافق مع مالك المحلّ في الاجارة الجديدة، و عليه فالحقّ ينتقل من المستأجر إلى الثاني و منه إلى الثالث و منه إلى الرابع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الاشتراط المذكور اشتراط إباحة السكونة في المحلّ لااشتراط حقّ السكونة حتّى يمكن نقله بالمعاملة إلى آخر مندفعة بأنّ الكلام مفروض فيما إذا كان الشرط هو حقّ السكنى و البقاء في المحلّ لاالإباحة و لامانع من جعل حقّ البقاء للمستأجر الأوّل بحيث يجوز له نقل هذا الحقّ إلى آخر كما مرّ تفصيله عند تصوير حقّ السرقفلي،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فالمالك بعد تخلية المستأجر الأوّل لم يكن حرّاً في إيجار المحلّ بل اللازم عليه أن يوجر المحلّ للثاني الذي أعطى شيئاً في مقابل حقّ المستأجر الأوّل بعنوان السرقفليّة، و انتقل حقّ السرقفلي إليه و عليه فيجوز للمستأجر الجديد أيضاً أخذ حقّ السرقفليّة من المالك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يدوم هذا الحقّ لكلّ من يقوم مقامه بالشرح المذكور</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فمع اشتراط حقّ البقاء و السكنى بالمعنى الجامع الأعمّ من المباشر يجوز أخذ شيء في إزاء الحقّ المذكور و مقتضاه هو انتقاله إلى الدافع و لايلزم في ذلك أن يكون الأخذ المذكور في أثناء مدّة الإجارة و لا أن يكون المأخوذ في قبال الإيجار كما يظهر من تحرير الوسيلة حيث قال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أن يأخذ أي مقدار شاء بعنوان السرقفليّة من شخص ليوجر المحلّ منه كما أنّ للمستأجر في أثناء مدّة الإجارة أن يأخذ السرقفليّة من ثالث للإيجار منه إذا </w:t>
      </w:r>
    </w:p>
    <w:p>
      <w:pPr>
        <w:pStyle w:val="BookText"/>
        <w:rPr/>
      </w:pPr>
      <w:r>
        <w:rPr>
          <w:rFonts w:ascii="Amiri" w:hAnsi="Amiri" w:eastAsia="Amiri" w:cs="Amiri"/>
          <w:color w:val="111111"/>
          <w:sz w:val="28"/>
          <w:sz w:val="28"/>
          <w:szCs w:val="28"/>
          <w:rtl w:val="true"/>
          <w:lang w:bidi="ar-SA"/>
        </w:rPr>
        <w:t>كان له حقّ الإيجار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حقّ البقاء و السكنى ممّا يصلح للمقابلة و المعاوضة بعدما عرفت من صحّة اعتباره عند العقلاء و لايلزم جعل السرقفلي في مقابل الايجار أو في مقابل التخلية و لاتقييده بكونه في أثناء مدّة الإجارة لما عرفت من تصوّر حقّ البقاء و السكنى جواز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جعل حقّ السكنى و البقاء بنحو المعاوضة أو بنحو الاشتراط في ضمن عقد الإجارة و لافرق بين أن يكون الاشتراط في إزاء أخذ شيء أو لايكون، لأنّ مقتضى 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نفوذ الشرط المذكور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أيضاً يظهر ما في منهاج الصالحين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المحلاّت التي توجر بلاسرقفليّة إلاّ أنّه يشترط في عقد الإيجار مايأتي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إجبار المستأجر على التخلية و للمستأجر حقّ البقاء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للمستأجر حقّ تجديد عقد الإجارة سنوياً بالصورة التي وقع عليها في السنة الاُولى فإذا اتّفق أنّ شخصاً دفع مبلغاً للمستأجر إزاء تنازله عن المحلّ و تخليته فقط حيث لم يكن له إلاّ حقّ البقاء مع أنّ للمالك بعد التخلية الحريّة في إيجار المحلّ و الثالث يستأجر المحلّ من المالك، فعندئذ يجوز للمستأجر أخذ المبلغ المذكور و تكون السرقفليّة لقاء التخلية فحسب لابإزاء انتقال حقّ التصرّف منه إلى 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حقّ البقاء إذا لم يكن قائماً بشخص المستأجر الأوّل قابل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لاملزم لجعل المبلغ بإزاء التخلية مع أنّ المشروط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bookmarkStart w:id="406" w:name="pg16065_152965"/>
    </w:p>
    <w:p>
      <w:pPr>
        <w:pStyle w:val="BookText"/>
        <w:rPr/>
      </w:pPr>
      <w:bookmarkEnd w:id="406"/>
      <w:r>
        <w:rPr>
          <w:rFonts w:ascii="Amiri" w:hAnsi="Amiri" w:eastAsia="Amiri" w:cs="Amiri"/>
          <w:color w:val="111111"/>
          <w:sz w:val="28"/>
          <w:sz w:val="28"/>
          <w:szCs w:val="28"/>
          <w:rtl w:val="true"/>
          <w:lang w:bidi="ar-SA"/>
        </w:rPr>
        <w:t xml:space="preserve">في العقد هو حقّ البقاء و قد مرّ تصريح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الإجارة بجواز الاشتراط أو جعل شيء في مقابل حقّ السكنى و حقّ البقاء،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الروايات الواردة في جواز اشتراء حقّ الدهاقين في الأراضي الخراجيّة، منها مصحّحة أبي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هي أرض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يبيعها الذي هي في يده قال و يصنع بخراج المسلمين ماذا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اشترى حقّه منها و يحوّل حقّ المسلمين عليه و لعلّه يكون أقوى عليها وأملى بخراجهم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هذه الرواية على أنّ حقّ من كانت أراضي الخراج بيده قابل للاشتراء إلاّ أن اللازم هو مراعاة خراج الأرض التي تكون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ضعف الرواية بأبي بُردة بن رجا مندفعة بأنّ نقل صفوان بن يحيى عنه يكفي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دلالة هذه الرواية بأنّ المراد من الحقّ هو ما له من الآثار التي أوجدها في الأرض من تعميرها بحفر الأنهار و تسويتها و نحوهما لامثل حقّ التقدّم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عنه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خصوص حقّ الأوّلوية إذ لو كان المراد هو الحقّ الحاصل بمثل حفر النهر لكان المناسب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85396_1280447820"/>
      <w:bookmarkStart w:id="408" w:name="_Toc147"/>
      <w:bookmarkEnd w:id="407"/>
      <w:r>
        <w:rPr>
          <w:rtl w:val="true"/>
        </w:rPr>
        <w:t>الصورة الرابعة</w:t>
      </w:r>
      <w:r>
        <w:rPr>
          <w:rtl w:val="true"/>
        </w:rPr>
        <w:t xml:space="preserve">: </w:t>
      </w:r>
      <w:r>
        <w:rPr>
          <w:rtl w:val="true"/>
        </w:rPr>
        <w:t>أن الاجارة لو وقعت بعد فرض صدور قانون منع المالك من اجبار المستأجر</w:t>
      </w:r>
      <w:bookmarkEnd w:id="408"/>
    </w:p>
    <w:p>
      <w:pPr>
        <w:pStyle w:val="BookText"/>
        <w:rPr/>
      </w:pPr>
      <w:r>
        <w:rPr>
          <w:rFonts w:ascii="Amiri" w:hAnsi="Amiri" w:eastAsia="Amiri" w:cs="Amiri"/>
          <w:color w:val="111111"/>
          <w:sz w:val="28"/>
          <w:sz w:val="28"/>
          <w:szCs w:val="28"/>
          <w:rtl w:val="true"/>
          <w:lang w:bidi="ar-SA"/>
        </w:rPr>
        <w:t>أنّ الإجارة لو وقعت بعد فرض صدور قانون منع المالك من إجبار المستاجر على التخلية و كون حقّ السكونة له، فهل يكون إنشاء الإجارة حينئذ مبتنياً على حقّ البقاء في المحّل أو لايكون‌؟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ربّما يقال بالأوّل و إنّ الشرط المبنيّ عليه كالشرط المذكور واجب الوفاء، ألا ترى أنّه لو باع شخص كتابه من آخر بدينار كان نقدية الثمن بإزاء المثمن شرطاً ضمنياً لجريان العرف على تسليمه نقداً فلامجال حينئذ للمشتري أن يحتسب المبلغ ديناً بذمّته و لم يسلمه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حيث جرت عادة العرف بعد صدور القانون المذكور على أنّ من كان قد استأجر محلاًّ من آخر لايخرجه المالك إلاّ برضائه و لايتخلّف المالك عن عقد الإيجار معه بعد انتهاء مدّة الايجار، مراعاة لأحقيّته في الإيجار عرفاً، كان ذلك شرطاً ضمنيّاً و يوجب حقّاً عرفيّاً صالحاً للنقل و الانتقال بصلح و نحوه، لكونه مالاً من الأموال و يجب الوفاء به كالشرط المذكور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لو شرط على المالك ذلك الحقّ في العقد كي يستقر و لاينتقل من محلّه إلى آخر و وافق المالك على هذا الشرط و رضى به لم يكن له بعدئذ إخراجه و ساغ للمستأجر نقل هذا الحقّ إلى الغير بعنوان حقّ السرقفليّة فكذلك يكون إذا بنى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بعض الأعلام بأنّ هذا المقدار من الحقّ من حقوق المستأجر بدرجة أنّ المالك يكون ملزماً بإجابته على الإجارة لو أراد ذلك بعد انتهاء المدّة أمر يتوقّف على الدليل ما دام لم يثبت عند العرف إنّ ذلك من قبيل الحقوق العائدة إلى المستأجر و لابدّ للمالك عندها من الاجابة و عدم التخلّف، و أقصى ما في البين إنّه قد جرت العادة العرفيّة على أنّ المالك لايتصدّي لإخراج مستأجره بل يدعه و طبعه مراعاة لاسبقيتّه طالما لم يخل بشروط العقد، لكن عدم تصدّيه لإخراجه لايكون موجباً لأن يكون عدم إخراجه من الشروط الضمنيّة التي يجب الوفاء بها من قبل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البعيد جدّاً أن يكون الموجر حين عقد الإيجار يقصد إنشاء هذا الحقّ للمستأجر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أنّ العرف يرى أنّ ذلك حقّ فإنّما هو من الحقوق و الأحكام </w:t>
      </w:r>
    </w:p>
    <w:p>
      <w:pPr>
        <w:pStyle w:val="BookText"/>
        <w:rPr/>
      </w:pPr>
      <w:r>
        <w:rPr>
          <w:rFonts w:ascii="Amiri" w:hAnsi="Amiri" w:eastAsia="Amiri" w:cs="Amiri"/>
          <w:color w:val="111111"/>
          <w:sz w:val="28"/>
          <w:sz w:val="28"/>
          <w:szCs w:val="28"/>
          <w:rtl w:val="true"/>
          <w:lang w:bidi="ar-SA"/>
        </w:rPr>
        <w:t>الثانويّة التابعة لحصول الإجارة، بحيث يتحقّق بعد حصولها في الخارج فتكون في مرتبة متأخّرة عن العقد و إنشائه و هذا لايتمّ للنقض الذي يرد عليه، فإنّا لو أردنا أن نأخذ مثل هذا التباني العرفي بنظر الاعتبار كشرط من الشروط الضمنية كما هو الحال في موضوع تسليم نقد البلد في المعاملة الواقعة بين الطرفين أو التسليم و التسلم فلابدّ من أن نعتبر خدمة الزوجة في بيت زوجها من جملة الشروط الضمنية للبناء العرفي على أن المرأة تخدم في بيت زوجها كربّة بيت فلايجوز حينئذ التخلّف عن ذلك و لاأخذ الأجرة عليه لو أرادت ذلك، في حين أنّ الزوجة حرّة في خدمة بيتها و الشارع المقدّس لم يوجب عليها ذلك، إنّما ذلك فضل منها في ترتيب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إنّ هذا لو كان فإنّه لايتعدّى أن يكون شرطاً من الشروط و للمستأجر قابلية إسقاطه بأن لايستأجر المحلّ منه في السنة الثانية أمّا نقله إلى الغير كحقّ من الحقوق سواء كان مجّاناً أو بعوض من صلح و نحوه فهذا ممّا لادليل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إنّ المستأجر القديم اشترط بنحو الشرط الصريح على المالك بأنّ له الحقّ في تجديد عقد الإيجار معه عند حلول الموعد فإنّ هذا الشرط يلزم على المالك اجابته من هذه الجهة، أمّا أنّ المستأجر يتنازل عن المحلّ إلى غيره بأن يأخذ في قبال تنازله مبلغاً من المال فهذا ممّا لم يكن مستفاداً من ذلك الشرط الصريح فكيف به لو كان ضمنيّاً و على فرض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مجال لتصحيح أخذ المال و إعطائه إلاّ أن ينزّل الأخذ المذكور على الهبة بنحو يشترط الواهب و الذي هو المستأجر الجديد على المستأجر القديم أن لايزاحمه في استيجار المحلّ في المستقبل، و هذا أمر سائغ لابأس فيه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أو نجعل ذلك من قبيل الهبة المعوّضة و العوض هو مجرّد عدم المزاحمة و التخلي عن الإقدام على استيجار المحلّ‌، و بهذا المضمون وردت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صحّة أخذ المال عوضاً عن انتقال الشخص </w:t>
      </w:r>
    </w:p>
    <w:p>
      <w:pPr>
        <w:pStyle w:val="BookText"/>
        <w:rPr/>
      </w:pPr>
      <w:r>
        <w:rPr>
          <w:rFonts w:ascii="Amiri" w:hAnsi="Amiri" w:eastAsia="Amiri" w:cs="Amiri"/>
          <w:color w:val="111111"/>
          <w:sz w:val="28"/>
          <w:sz w:val="28"/>
          <w:szCs w:val="28"/>
          <w:rtl w:val="true"/>
          <w:lang w:bidi="ar-SA"/>
        </w:rPr>
        <w:t xml:space="preserve">عن المنزل، فيسأله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يرشو الرجل الرشوة على ان يتحوّل من منزله فيسكنه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نزّلنا ذلك على الجعالة بناء على أن لايشترط أن يكون بإزاء الجعالة عمل من الأعمال بل يكفي نفس عدم الإقدام على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طريق ثالث لتصحيح أخذ المال و هو تخريج هذه الاتفاقيّة بين المستأجر الجديد و القديم على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لاكلام فيما إذا لم يكن بناء أو كان و لم يلتفت طرفا العقد إليه أو التفتا إليه ولكنّهما لم يلتزما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إذا عقدا مع الالتفات إلى ما عليه العرف بكلّ ما التزم به العرف من اشتراط الحقّ الذي يمكن نقله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بعد صدور القانون و التزام العرف به يكون إنشاء الإجارة مبنيّاً عليه و لاوجه لإشكالات المذكورة بحسب مقام الإثبات و إنّما هي ليست إلاّ استبعادات و لامجال لتوجيه هذا الحقّ بالعادة من دون التزام أو الأحكام الثانوية المترتبة على الإجارة من دون التزام فيها بعد كون العقد في الفرض المذكور مبنياً على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تنظير المقام بخدمة الزوجة بعد ما شاع بين الناس من أنّه لاحقّ للزوج في استخدامها في البيت كما ترى، إذ لاتكون الخدمة حينئذ ممّا بني العقد عليه، خصوصاً في زماننا هذا،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قبول إفادة الاشتراط حقّاً غير مباشري للمستأجر في البقاء و السكونة فلامجال للاشكال في جواز نقله إلى الغير مجّاناً أو بعوض، لأنّ المفروض أنّ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409" w:name="pg16065_152969"/>
    </w:p>
    <w:p>
      <w:pPr>
        <w:pStyle w:val="BookText"/>
        <w:rPr/>
      </w:pPr>
      <w:bookmarkEnd w:id="409"/>
      <w:r>
        <w:rPr>
          <w:rFonts w:ascii="Amiri" w:hAnsi="Amiri" w:eastAsia="Amiri" w:cs="Amiri"/>
          <w:color w:val="111111"/>
          <w:sz w:val="28"/>
          <w:sz w:val="28"/>
          <w:szCs w:val="28"/>
          <w:rtl w:val="true"/>
          <w:lang w:bidi="ar-SA"/>
        </w:rPr>
        <w:t>حقّ البقاء و السكونة أو حقّ الإيجار من دون قيد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يتمّ بشرط وجود هذا القانون، والتزأم طرفي العقد به وإلاّ فلاحقّ للمستأجر كما لايخفى</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85398_1280447820"/>
      <w:bookmarkStart w:id="411" w:name="_Toc148"/>
      <w:bookmarkEnd w:id="410"/>
      <w:r>
        <w:rPr>
          <w:rtl w:val="true"/>
        </w:rPr>
        <w:t>الصورة الخامسة</w:t>
      </w:r>
      <w:r>
        <w:rPr>
          <w:rtl w:val="true"/>
        </w:rPr>
        <w:t xml:space="preserve">: </w:t>
      </w:r>
      <w:r>
        <w:rPr>
          <w:rtl w:val="true"/>
        </w:rPr>
        <w:t>أن يأخذ المالك مبلغاً بعنوان القرض و اشترط فيه ان يكون للمستأجر</w:t>
      </w:r>
      <w:bookmarkEnd w:id="411"/>
    </w:p>
    <w:p>
      <w:pPr>
        <w:pStyle w:val="BookText"/>
        <w:rPr/>
      </w:pPr>
      <w:r>
        <w:rPr>
          <w:rFonts w:ascii="Amiri" w:hAnsi="Amiri" w:eastAsia="Amiri" w:cs="Amiri"/>
          <w:color w:val="111111"/>
          <w:sz w:val="28"/>
          <w:sz w:val="28"/>
          <w:szCs w:val="28"/>
          <w:rtl w:val="true"/>
          <w:lang w:bidi="ar-SA"/>
        </w:rPr>
        <w:t>أن يأخذ المالك مبلغاً بعنوان القرض و اشترط فيه أن يكون للمستأجر حقّ الإيجار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يكون الشرط باطلاً لأنّه شرط ربويّ يجرّ نفعاً في القرض و مع بطلان هذا الشرط لايكون المالك ملزماً بالإيجار الى الثالث في صورة توافق المستأجر القديم مع الثالث في الإيجار لأنّه مالك و الأمر بيده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85400_1280447820"/>
      <w:bookmarkStart w:id="413" w:name="_Toc149"/>
      <w:bookmarkEnd w:id="412"/>
      <w:r>
        <w:rPr>
          <w:rtl w:val="true"/>
        </w:rPr>
        <w:t>الصورة السادسة</w:t>
      </w:r>
      <w:r>
        <w:rPr>
          <w:rtl w:val="true"/>
        </w:rPr>
        <w:t xml:space="preserve">: </w:t>
      </w:r>
      <w:r>
        <w:rPr>
          <w:rtl w:val="true"/>
        </w:rPr>
        <w:t>ان يقول المالك للمستأجر آجرتك المحل و شرطت عليك اعطاء القرض</w:t>
      </w:r>
      <w:bookmarkEnd w:id="413"/>
    </w:p>
    <w:p>
      <w:pPr>
        <w:pStyle w:val="BookText"/>
        <w:rPr/>
      </w:pPr>
      <w:r>
        <w:rPr>
          <w:rFonts w:ascii="Amiri" w:hAnsi="Amiri" w:eastAsia="Amiri" w:cs="Amiri"/>
          <w:color w:val="111111"/>
          <w:sz w:val="28"/>
          <w:sz w:val="28"/>
          <w:szCs w:val="28"/>
          <w:rtl w:val="true"/>
          <w:lang w:bidi="ar-SA"/>
        </w:rPr>
        <w:t>أن يقول المالك للمستأجر آجرتك المحلّ بخمسين ديناراً سنويّاً و شرطت عليك أن تقرضني مأتي دينار و في الوقت نفسه فقد شرطت على نفسي بأن لاأمنعك من إيجار المحلّ لمن تشاء عند انتهاء مدّتك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في صحّة الإجارة لو كانت المدّة معلومة و لاإشكال أيضاً في صحّة الشرط لأنّه ليس في قبال القرض بل هو شرط في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الذي يعود نفعه إلى المستأجر يكون شرطاً في عقد الإجارة لافي عقد القرض، و إنّما أخذ هذا الشرط و نفس القرض شرطاً في عقد الإجارة فلامانع منه في هذه الجهة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كما عرفت مخرج على التصريح بهذا الشرط، أمّا لو لم يصرّح به و بقي الموضوع موكولاً إلى كونه من شروط التباني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لايبعد كون السرقفليّة في هذه الأيّام المخرجة على هذا القسم الثاني من هذا النوع ن الشروط حيث لم يصرّح بمنع صلاحية إيجار المحلّ للمستأجر بل يوّكل إلى التباني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bookmarkStart w:id="414" w:name="pg16065_152970"/>
    </w:p>
    <w:p>
      <w:pPr>
        <w:pStyle w:val="BookText"/>
        <w:rPr/>
      </w:pPr>
      <w:bookmarkEnd w:id="414"/>
      <w:r>
        <w:rPr>
          <w:rFonts w:ascii="Amiri" w:hAnsi="Amiri" w:eastAsia="Amiri" w:cs="Amiri"/>
          <w:color w:val="111111"/>
          <w:sz w:val="28"/>
          <w:sz w:val="28"/>
          <w:szCs w:val="28"/>
          <w:rtl w:val="true"/>
          <w:lang w:bidi="ar-SA"/>
        </w:rPr>
        <w:t>الإشكال فيه و إنّ المالك يبقى مسلّطاً على ماله و له الحقّ في فسخ الإجارة الجديدة و دفع مابذمّته إلى من أخذت منه السرقفليّة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الفرق بين الشرط الصريح و الشرط المبنيّ عليه فإن قلنا بجواز الإيجار في الفرض المذكور عند التصريح بالشرط كان الإيجار جايزاً مع الشرط المبنيّ عليه أيضاً، و لاوجه للإشكال المذكور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القول بصحّة الإيجار من المستأجر بنحو المذكور يمكن للمستأجر أن يأخذ المبلغ الذي أعطاه في إجارته للمالك من المستأجر الثاني بعنوان القرض و إحالته على المالك عند انتهاء أمد الإجارة، و يكون للمستأجر الثاني أيضاً حقّ إيجار المحلّ لمن يشاء لو شرط ذلك في عقد الإجارة مع المستأجر الأوّل و كان للمستأجر الأول حقّ ذلك</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85402_1280447820"/>
      <w:bookmarkStart w:id="416" w:name="_Toc150"/>
      <w:bookmarkEnd w:id="415"/>
      <w:r>
        <w:rPr>
          <w:rtl w:val="true"/>
        </w:rPr>
        <w:t>الصورة السابعة</w:t>
      </w:r>
      <w:r>
        <w:rPr>
          <w:rtl w:val="true"/>
        </w:rPr>
        <w:t xml:space="preserve">: </w:t>
      </w:r>
      <w:r>
        <w:rPr>
          <w:rtl w:val="true"/>
        </w:rPr>
        <w:t>لو استأجر محلاً للتجارة في مدّة طويله و اشترط ان يكون له حق الايجار</w:t>
      </w:r>
      <w:bookmarkEnd w:id="416"/>
    </w:p>
    <w:p>
      <w:pPr>
        <w:pStyle w:val="BookText"/>
        <w:rPr/>
      </w:pPr>
      <w:r>
        <w:rPr>
          <w:rFonts w:ascii="Amiri" w:hAnsi="Amiri" w:eastAsia="Amiri" w:cs="Amiri"/>
          <w:color w:val="111111"/>
          <w:sz w:val="28"/>
          <w:sz w:val="28"/>
          <w:szCs w:val="28"/>
          <w:rtl w:val="true"/>
          <w:lang w:bidi="ar-SA"/>
        </w:rPr>
        <w:t>إنّه لو استأجر محلاًّ للتجارة في مدّة طويلة كعشرين سنة مثلاً و اشترط في العقد أن يكون له في المدة المذكورة حقّ إيجاره من غيره في مقابل إعطاء شيء أو بدونه جاز له في أثناء المدّة إجارته مع أخذ مقدار بعنوان السرقفليّة في مقابل إعطاء حقّ الإيجار إليه في المدّة المذكورة ولو كان المجموع أزيد من المقدار الذي استاجره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ذلك من جهة إزدياده على مال الإجارة، حيث سيأتي عدم جواز إزدياد الإجارة من دون إحداث حدث في محلّ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إنّ إعطاء شيء في مقابل حقّ الإيجار لايوجب إدراجه في الإجارة بالزائد عن المقدار الذي دفعه بعنوان الاُجرة، لأنّ الشيء مقابل للحقّ لالتمليك المنفعة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417" w:name="pg16065_152971"/>
    </w:p>
    <w:p>
      <w:pPr>
        <w:pStyle w:val="BookText"/>
        <w:rPr/>
      </w:pPr>
      <w:bookmarkEnd w:id="417"/>
      <w:r>
        <w:rPr>
          <w:rFonts w:ascii="Amiri" w:hAnsi="Amiri" w:eastAsia="Amiri" w:cs="Amiri"/>
          <w:color w:val="111111"/>
          <w:sz w:val="28"/>
          <w:sz w:val="28"/>
          <w:szCs w:val="28"/>
          <w:rtl w:val="true"/>
          <w:lang w:bidi="ar-SA"/>
        </w:rPr>
        <w:t>الممنوع كما سيأتي هو إزدياد الاُجرة المأخوذة في مقابل تمليك المنفعة عن الاُجرة المدفوعة إلى المالك، فلاتغفل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اختصاص حقّ الإيجار بالمدّة المذكورة أن لايبقى حقّ الإيجار للمستأجر الثاني بالنسبة إلى المالك بعد إتمام مدّة الإجارة، لأنّ المفروض هو انقضاء مدّة الإجارة و مقتضى اختصاص حقّ الإيجار بالمدّة المذكورة عدم بقائه بإنقضائها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الشرط في عقد الإجارة هو حقّ الإيجار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المدّة المعيّنة المذكورة في الإجارة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للمستأجر الأوّل و لمن يتنازل معه كان الحقّ باقياً لمن كانت العين بيده سواء كان هو المستأجر الأوّل أو المستأجر الثاني كما مرّ في الأنواع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اشترط المستأجر مع المالك في عقد الإجارة أن يكون إجارة المحل بعد انقضاء المدّة بإجازته و رضايته و إجازة من يأخذ المحلّ من المستأجر الأوّل و رضايته و هكذا، و حينئذ يجوز للمستأجر الأوّل أو الثاني أو غيرهما أن يأخذ شيئاً في مقابل الرضاية و الاجازة ولو بعد انقضاء مدّة الإجارة</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85404_1280447820"/>
      <w:bookmarkStart w:id="419" w:name="_Toc151"/>
      <w:bookmarkEnd w:id="418"/>
      <w:r>
        <w:rPr>
          <w:rtl w:val="true"/>
        </w:rPr>
        <w:t>الصورة الثامنة</w:t>
      </w:r>
      <w:r>
        <w:rPr>
          <w:rtl w:val="true"/>
        </w:rPr>
        <w:t xml:space="preserve">: </w:t>
      </w:r>
      <w:r>
        <w:rPr>
          <w:rtl w:val="true"/>
        </w:rPr>
        <w:t>يجوز للمستأجر قبل أن يقضى مدة الاجارة أن يأخذ من الموجر مبلغاً</w:t>
      </w:r>
      <w:bookmarkEnd w:id="419"/>
    </w:p>
    <w:p>
      <w:pPr>
        <w:pStyle w:val="BookText"/>
        <w:rPr/>
      </w:pPr>
      <w:r>
        <w:rPr>
          <w:rFonts w:ascii="Amiri" w:hAnsi="Amiri" w:eastAsia="Amiri" w:cs="Amiri"/>
          <w:color w:val="111111"/>
          <w:sz w:val="28"/>
          <w:sz w:val="28"/>
          <w:szCs w:val="28"/>
          <w:rtl w:val="true"/>
          <w:lang w:bidi="ar-SA"/>
        </w:rPr>
        <w:t>انّه يجوز للمستأجر قبل أن يقضي مدّة الإجارة أن يأخذ من الموجر مبلغاً بعنوان السرقفليّة ليهب بقيّة المدّة و يخلّيها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 إن أوجب جواز أخذ المبلغ المذكور للمستأجر ولكن اطلاق السرقفلي عليه كماترى، لأنّه في الحقيقة رفع اليد عن ملكية المنفعة أو هبة المنفعة في بقيّة المدّة و لاارتباط له بحقّ السرقفلي، نعم لابأس بجعلها حيلة للوصول إلى مبلغ ربّما يؤخذ بعنوان السرقفلي، فتدبّر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85406_1280447820"/>
      <w:bookmarkStart w:id="421" w:name="_Toc152"/>
      <w:bookmarkEnd w:id="420"/>
      <w:r>
        <w:rPr>
          <w:rtl w:val="true"/>
        </w:rPr>
        <w:t>الصورة التاسعة</w:t>
      </w:r>
      <w:r>
        <w:rPr>
          <w:rtl w:val="true"/>
        </w:rPr>
        <w:t xml:space="preserve">: </w:t>
      </w:r>
      <w:r>
        <w:rPr>
          <w:rtl w:val="true"/>
        </w:rPr>
        <w:t>ان المستأجر للدكان أو الدار يجوز له أن يوجرهما في مدة الاجاره</w:t>
      </w:r>
      <w:bookmarkEnd w:id="421"/>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المستأجر للدكّان أو الدار يجوز له أن يوجرهما في مدّة الإجارة بالزائد </w:t>
      </w:r>
    </w:p>
    <w:p>
      <w:pPr>
        <w:pStyle w:val="BookText"/>
        <w:rPr/>
      </w:pPr>
      <w:r>
        <w:rPr>
          <w:rFonts w:ascii="Amiri" w:hAnsi="Amiri" w:eastAsia="Amiri" w:cs="Amiri"/>
          <w:color w:val="111111"/>
          <w:sz w:val="28"/>
          <w:sz w:val="28"/>
          <w:szCs w:val="28"/>
          <w:rtl w:val="true"/>
          <w:lang w:bidi="ar-SA"/>
        </w:rPr>
        <w:t>على ما استأجره إذا تغيّر المحلّ بالتعمير، كتبيّض الغرفة أو إصلاح الدرج أو توسيع المسلك و نحو ذلك ممّا يصدق معه أنّه عمل عملاً و أحدث حدثاً فيه، فحينئذ لاإشكال في جواز أخذ الزيادة المذكورة إن لم يشترط استيفاء المنفعة بالمباشرة و ذلك لاختصاص الأدلّة المانعة عن الإجارة بالزيادة بما إذا لم يحدث فيه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لايؤاجرها بأكثر ممّا استأجرها به إلاّ أن يحدث فيها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الموضوع في هذه الرواية و إن كان هو الدار ولكن لاخصوصيّة لها، و عليه فيمكن التعدّي عنها إلى الدكّان فيجوز ازدياد الاُجرة بإحداث 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موثّقة إسحاق بن عمار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كان يقول لابأس أن يستأجر الرجل الدار أو الأرض أو السفينة ثمّ يؤاجرها بأكثر ممّا استأجرها به إذا أصلح فيها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إنّ النهي في إجارة الأرض محمول على الكراهة بقرينة معتبرة أبي المغراء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يؤاجر الأرض ثمّ يؤاجرها بأكثر ممّا استأجرها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إنّ هذا ليس كالحانوت و لاالأجير إنّ فضل الحانوت و الأجير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النهي في الأرض على الكراهة لايستفاد منه الحرمة في غيرها من الدكّان و الدار لأنّا نقول حمل النهي بالنسبة إلى الأرض على الكراهة لايستلزم استعمال النهي في الكراهة، لما قرّر في محلّه من أنّ الوجوب و الحرمة و الكراهة و الاستحباب اُمور ليست داخلة في معنى الامر و النهي بل إنّما هي منتزعة عنهما عند وجود الترخيص و عدمه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فلامانع من استفادة 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22" w:name="pg16065_152973"/>
    </w:p>
    <w:p>
      <w:pPr>
        <w:pStyle w:val="BookText"/>
        <w:rPr/>
      </w:pPr>
      <w:bookmarkEnd w:id="422"/>
      <w:r>
        <w:rPr>
          <w:rFonts w:ascii="Amiri" w:hAnsi="Amiri" w:eastAsia="Amiri" w:cs="Amiri"/>
          <w:color w:val="111111"/>
          <w:sz w:val="28"/>
          <w:sz w:val="28"/>
          <w:szCs w:val="28"/>
          <w:rtl w:val="true"/>
          <w:lang w:bidi="ar-SA"/>
        </w:rPr>
        <w:t>بالنسبة إلى الأرض دون الدار و الدكّان لوجود القرينة في الأرض دون الدار و الدكّان هذا مضافاًتصريح المعتبرة بحرمة الزيادة في الحانوت و هو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لايجوز الإجارة بالأكثر من دون إحداث حدث في مثل الدكّان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من دون إحداث حدث في الأرض جمعاً بين الأخبار و أمّا حكم سائر الموارد فيطلب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لايذهب عليك أنّ جواز أخذ الزيادة عند إحداث حدث في العين المستأجرة لاارتباط له بحقّ السرقفلي فإنّه في الحقيقة إجارة نعم هو حيلة للوصول إلى مثل مبلغ ربّما يؤخذ بعنوان السرقفلي، فتدبّر</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85408_1280447820"/>
      <w:bookmarkStart w:id="424" w:name="_Toc153"/>
      <w:bookmarkEnd w:id="423"/>
      <w:r>
        <w:rPr>
          <w:rtl w:val="true"/>
        </w:rPr>
        <w:t>الصورة العاشرة</w:t>
      </w:r>
      <w:r>
        <w:rPr>
          <w:rtl w:val="true"/>
        </w:rPr>
        <w:t xml:space="preserve">: </w:t>
      </w:r>
      <w:r>
        <w:rPr>
          <w:rtl w:val="true"/>
        </w:rPr>
        <w:t xml:space="preserve">ما افادها الامام </w:t>
      </w:r>
      <w:r>
        <w:rPr>
          <w:rtl w:val="true"/>
        </w:rPr>
        <w:t>(</w:t>
      </w:r>
      <w:r>
        <w:rPr>
          <w:rtl w:val="true"/>
        </w:rPr>
        <w:t>ره</w:t>
      </w:r>
      <w:r>
        <w:rPr>
          <w:rtl w:val="true"/>
        </w:rPr>
        <w:t xml:space="preserve">) </w:t>
      </w:r>
      <w:r>
        <w:rPr>
          <w:rtl w:val="true"/>
        </w:rPr>
        <w:t>من انّ ملاّك الاماكن احتالوا الأجل</w:t>
      </w:r>
      <w:bookmarkEnd w:id="424"/>
    </w:p>
    <w:p>
      <w:pPr>
        <w:pStyle w:val="BookText"/>
        <w:rPr/>
      </w:pPr>
      <w:r>
        <w:rPr>
          <w:rFonts w:ascii="Amiri" w:hAnsi="Amiri" w:eastAsia="Amiri" w:cs="Amiri"/>
          <w:color w:val="111111"/>
          <w:sz w:val="28"/>
          <w:sz w:val="28"/>
          <w:szCs w:val="28"/>
          <w:rtl w:val="true"/>
          <w:lang w:bidi="ar-SA"/>
        </w:rPr>
        <w:t xml:space="preserve">هي ما أفادها سيدنا الامام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ملاّك الأماكن من المنازل و الفنادق و الدكّاكين و نحوها احتالوا لأجل تنمية الثروة أن يؤجروها بأنزل من ثمن إجارتها الفعلي المرغوب فيه و يعطوا للمستأجرين حقّ تفويض الأعيان لمن يشاؤون بأيّ ثمن من الأثمان و على المستأجرين في قبال هذا الترخيص و التفويض مال معيّن و ثمن معلوم من الطرفين في ظرف المعاملة على ما هو الشائع الذائع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يتكلّم فيه أنّ ما تقع عليه المعاوضة و يقابل بالمال هل هو من سنخ الحقوق عند العرف أو من سنخ الأموال‌؟</w:t>
      </w:r>
    </w:p>
    <w:p>
      <w:pPr>
        <w:pStyle w:val="BookText"/>
        <w:rPr/>
      </w:pPr>
      <w:r>
        <w:rPr>
          <w:rFonts w:ascii="Amiri" w:hAnsi="Amiri" w:eastAsia="Amiri" w:cs="Amiri"/>
          <w:color w:val="111111"/>
          <w:sz w:val="28"/>
          <w:sz w:val="28"/>
          <w:szCs w:val="28"/>
          <w:rtl w:val="true"/>
          <w:lang w:bidi="ar-SA"/>
        </w:rPr>
        <w:t>يحتمل الأوّل بتقريب أنّ ترخيص الكراء و التفويض المشار إليهما من المالك صاراً منشأً للحقّ عند العقلاء القابل للمبادلة بالمال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الثاني بتقرير أن تجافي المالك عن استيفاء ما له حقّ الاستيفاء منه في ظرف الإجارة صار منشأً لمالية اُخرى في ظرف اعتبار العقلاء قائمة بالعين المستأجرة تقابل بالعوض، كنفس العين المستأجرة من حيث منافعها و لاغرو في ذلك، كما قالوا بنظيره في ميراث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أنّها لاترث من الأعيان المسكونة </w:t>
      </w:r>
    </w:p>
    <w:p>
      <w:pPr>
        <w:pStyle w:val="BookText"/>
        <w:rPr/>
      </w:pPr>
      <w:r>
        <w:rPr>
          <w:rFonts w:ascii="Amiri" w:hAnsi="Amiri" w:eastAsia="Amiri" w:cs="Amiri"/>
          <w:color w:val="111111"/>
          <w:sz w:val="28"/>
          <w:sz w:val="28"/>
          <w:szCs w:val="28"/>
          <w:rtl w:val="true"/>
          <w:lang w:bidi="ar-SA"/>
        </w:rPr>
        <w:t>عينها بل ترث من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على خبرة من أنّ قوام القيم و منشأ انتزاعها هو المال فلو لاتعلّق حقّها بالمالية القائمة بالأعيان لمّا تصوّر لها من القيم شيئاً فكذا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الجاعل في الأوّل هو يد الصنع و التكوين و فيما نحن فيه هو اعتبار العقلاء الناشي من تجافي المالك عن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الإحتمال أقرب و عليه فتكون المعاملة من سنخ البيع و تشملها العمومات من غير قصور و ليس هنا ما يصلح للمانعيّة إلاّ تخيّل أنّه أكل للمال بالباطل، و قد عرفت بالتقريب المذكور و هنه، فالحكم بالصحّة واقع في محلّه بلاارتياب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في تصوير حقّ السرقفلي، إلاّ إنّ التقابل بين الحقوق و الأموال غير ظاهر فإنّ الحقوق المذكورة في مثل المقام من الأموال و قسم الشيء لايكون قسيماً له، و إن لم تكن من الأموال فلاتصلح لوقوع المعاملة عليها، و عليه فدعوى أقربيّة الاحتمال الثاني كماترى لأنّ المعاملة عليها يمكن أن تكون من سنخ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اختصاص البيع بالأموال دون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صدقه حقيقة في الحقوق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 نظر، لأنّ مع صدق البيع يشمله عمومات نفوذ البيع،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اللازم في البيع أن لايكون المبيع أمراً موقّتاً لأنّ‌، البيع هو تمليك الشيء مرسلاً من دون تحديد بزمان خاصّ‌، و هو لايساعد مع الموقّت ولكن لافرق في ذلك بين كون المبيع حقّاً أو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تقييد التجافي بظرف الإجارة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الثاني بتقرير أن تجافي المالك عن استيفاء ماله حقّ الاستيفاء منه في ظرف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ماذكره في صدر الكلام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يعطوا للمستاجرين حقّ تفويض الأعيان لمن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مفتاح الكرامة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آية الله المحمّدي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425" w:name="pg16065_152975"/>
    </w:p>
    <w:p>
      <w:pPr>
        <w:pStyle w:val="BookText"/>
        <w:rPr/>
      </w:pPr>
      <w:bookmarkEnd w:id="425"/>
      <w:r>
        <w:rPr>
          <w:rFonts w:ascii="Amiri" w:hAnsi="Amiri" w:eastAsia="Amiri" w:cs="Amiri"/>
          <w:color w:val="111111"/>
          <w:sz w:val="28"/>
          <w:sz w:val="28"/>
          <w:szCs w:val="28"/>
          <w:rtl w:val="true"/>
          <w:lang w:bidi="ar-SA"/>
        </w:rPr>
        <w:t>يشاؤون بأيّ ثمن من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هو أنّ التجافي للتالي من دون تحديد بمدّة خاصّة، و هو المناسب للسرقفلي،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المقام أنسب بالاحتمال الأوّل إذ المجعول للمستأجر عند إعطاء شيء بعنوان السرقفليّة هو حقّ الإيجار و تفويض أمره لاجعل المستأجر مستحقّاً في ماليّة العين المستأجرة فإنّه بعيد عن الأذهان، و لايقاس المقام بإرث الزوجة من الأعيان المسكونة لورود دليل خاصّ فيه بذلك، و لادليل في المقام على أنّ المستأجر عند تجافي المالك يكون مستحقّاً في ماليّة نفس العين كاستحقاق الزوجة بالنسبة إلى مالية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عند العقلاء لحقّ الايجار و تفويض الأعيان المستأجرة مالية، ولكنّها غير مالية نفس العين، كما لايخفى</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85410_1280447820"/>
      <w:bookmarkStart w:id="427" w:name="_Toc154"/>
      <w:bookmarkEnd w:id="426"/>
      <w:r>
        <w:rPr>
          <w:rtl w:val="true"/>
        </w:rPr>
        <w:t>الصورة الحادية عشر</w:t>
      </w:r>
      <w:r>
        <w:rPr>
          <w:rtl w:val="true"/>
        </w:rPr>
        <w:t xml:space="preserve">: </w:t>
      </w:r>
      <w:r>
        <w:rPr>
          <w:rtl w:val="true"/>
        </w:rPr>
        <w:t>في شرط توكيل الايجار</w:t>
      </w:r>
      <w:bookmarkEnd w:id="427"/>
    </w:p>
    <w:p>
      <w:pPr>
        <w:pStyle w:val="BookText"/>
        <w:rPr/>
      </w:pPr>
      <w:r>
        <w:rPr>
          <w:rFonts w:ascii="Amiri" w:hAnsi="Amiri" w:eastAsia="Amiri" w:cs="Amiri"/>
          <w:color w:val="111111"/>
          <w:sz w:val="28"/>
          <w:sz w:val="28"/>
          <w:szCs w:val="28"/>
          <w:rtl w:val="true"/>
          <w:lang w:bidi="ar-SA"/>
        </w:rPr>
        <w:t>كما قيل أن يتوافق المالك مع المستأجر بأن يؤجر المحلّ سنويّاً بمبلغ كألف تومان و يشترط في ضمن عقد الإجارة أن يكون المستأجر وكيلاً في إيجار المحلّ بعد انتهاء المدّة لنفسه أو لغيره بذلك المبلغ و وكيلاً في توكيل الثالث و إعطائه الوكالة، و يجعل بإزاء هذه الوكالة مبلغاً كخمسة آلاف تومان، فالشرط هو الوكالة بإزاء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الوكالة بما أنّها مشروطة في ضمن العقد اللازم و هي الإجارة تكون لازمة و ليس للموكّل عزل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هذه الوكالة لها مالية فتنقل إلى ورثة الوكيل بعد موته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إنّ الوكالة لاتورث كما يظهر من الأصحاب، حيث ذكروا في باب الرهن أنّه لو شرط وكالة المرتهن في بيع العين المرهونة لوفاء دينه صحّ ولو مات المرتهن لم ينتقل إلى وارثه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أوّلاً فرق بين المقام و ماذكروه بثبوت المالية للوكالة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في تلك المسألة صرّحوا بالانتقال مع الشرط، فيشترط في المقام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الاظهر عندنا عدم بطلان الوكالة بموت الموكّل سيّما في الوكالة اللازمة كما حقّقنا في محلّه فهذه الوكالة تكون باقية بعد موت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فيحلّ للمالك ما أخذه بإزاء الوكالة و المستأجر بمقتضى الوكالة مختار وله كامل الحريّة في أن يوجر الفندق بعد إنتهاء المدّة بنفسه أو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الوكالة من العقود الإذنيّة و جواز تصرّف الوكيل منوط بالإذن، و بالموت يرتفع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ارتفاع الإذن بالموت ممنوع بعد تصحيح تقرّب الميّت إلى الله تعالى بالعبادات المأتيّ بها نيابة عنه برضاه في عالم الآخرة مع أنّه لم يصدر منه عمل لابالمباشرة و لابالتسبيب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هو قيام الإجماع على بطلان الوكالة بموت الموكّل أو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 إنّ ارتفاع الإذن بالموت أمر عرفيّ و الحكم بإتيانه شرعاً مخصوص بموردها،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المال الموكّل فيه بعد الموت ينتقل إلى الوارث فهي مندفعة بأنّه لامانع في الثلث الذي يكون راجعاً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انتقال المال إلى الوارث لايمنع عن بقاء حقّ المستأجر لو كان بنحو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شرط النتيجة في الوكالة التي تحتاج إلى الإيجاب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المبيعيّة في ضمن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عن الإشكال، لأنّ سببهما خاصّ و هو العقد لاالشرط، هذا بخلاف ما إذا كان الشرط هو الإذن و المأذونيّة فإنّه يصحّ‌،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w:t>
      </w:r>
      <w:bookmarkStart w:id="428" w:name="pg16065_152977"/>
    </w:p>
    <w:p>
      <w:pPr>
        <w:pStyle w:val="BookText"/>
        <w:rPr/>
      </w:pPr>
      <w:bookmarkEnd w:id="428"/>
      <w:r>
        <w:rPr>
          <w:rFonts w:ascii="Amiri" w:hAnsi="Amiri" w:eastAsia="Amiri" w:cs="Amiri"/>
          <w:color w:val="111111"/>
          <w:sz w:val="28"/>
          <w:sz w:val="28"/>
          <w:szCs w:val="28"/>
          <w:rtl w:val="true"/>
          <w:lang w:bidi="ar-SA"/>
        </w:rPr>
        <w:t>اعتبار سبب خاصّ في الإذن، ولكن أحكام الوكالة لاتترتّب على الإذن المحقّق بنحو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فرض صحّة شرط النتيجة في الوكالة،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انعزال الوكيل بعزل الراهن، لكون الشرط في ضمن العقد اللازم من طرف الراهن، و فيه أيضاً تأمّل لإمكان أن يقال إنّ الوكالة استنابة للوكيل من طرف الموكّل بحيث يعدّ فعله فعله و مع عزل الموكّل كيف يعدّ فعله فعله و بهذا الإشكال يتأمّل في بقاء الإذن مع فرض كون الوكالة من الإيقاعات الغير المحتاجة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الإذن بنحو شرط النتيجة و إن كان موجباً لوجوب الوفاء به ولكن لو عصى ورفع إذنه فلايبقى الإذن،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لايخلو اشتراط الوكالة بل الإذن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بعض الكلمات في قيام الإجماع على بطلانها بموت الموكّل أو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الإجماع محتمل المدرك و معه لايجدي مندفعة بأنّ المتّصل من الإجماع إلى زمان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كاشف عن تقرير المعصوم لقولهم و إلاّ لزم السكوت في قبال خطأهم، و 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قلنا ببقاء الوكالة بعد الموت و عدم بطلانها به يشكل الأمر فيما إذا لم يوكّل المستأجر الوكيل شخصاً فإنّه لم يوكّل شخصاً آخر حتّى يقال إنّه مايبطل بموت المستأجر الوكيل، فتأمّل</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85412_1280447820"/>
      <w:bookmarkStart w:id="430" w:name="_Toc155"/>
      <w:bookmarkEnd w:id="429"/>
      <w:r>
        <w:rPr>
          <w:rtl w:val="true"/>
        </w:rPr>
        <w:t>المختار</w:t>
      </w:r>
      <w:bookmarkEnd w:id="430"/>
    </w:p>
    <w:p>
      <w:pPr>
        <w:pStyle w:val="BookText"/>
        <w:rPr/>
      </w:pPr>
      <w:r>
        <w:rPr>
          <w:rFonts w:ascii="Amiri" w:hAnsi="Amiri" w:eastAsia="Amiri" w:cs="Amiri"/>
          <w:color w:val="111111"/>
          <w:sz w:val="28"/>
          <w:sz w:val="28"/>
          <w:szCs w:val="28"/>
          <w:rtl w:val="true"/>
          <w:lang w:bidi="ar-SA"/>
        </w:rPr>
        <w:t>و التحقيق أنّ تصوير حقّ السرقفلي بنحو الصورة الثالثة أحسن الوجوه، و هي أن يستاجر شخص محلاًّ للتجارة و اشترط في العقد أن يكون له حقّ السكونة و البقاء بعد انقضاء مدّة الإجارة و هكذا يكون هذا الحقّ لمن يتنازل له مع التوافق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bookmarkStart w:id="431" w:name="pg16065_152978"/>
    </w:p>
    <w:p>
      <w:pPr>
        <w:pStyle w:val="BookText"/>
        <w:rPr/>
      </w:pPr>
      <w:bookmarkEnd w:id="431"/>
      <w:r>
        <w:rPr>
          <w:rFonts w:ascii="Amiri" w:hAnsi="Amiri" w:eastAsia="Amiri" w:cs="Amiri"/>
          <w:color w:val="111111"/>
          <w:sz w:val="28"/>
          <w:sz w:val="28"/>
          <w:szCs w:val="28"/>
          <w:rtl w:val="true"/>
          <w:lang w:bidi="ar-SA"/>
        </w:rPr>
        <w:t>في مقدار الإجارة من الأوّل أو فيما سيأتي، و قد يعبّر عنه بحقّ الإيجار و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الحقّ كسائر الحقوق المالية قابل للمعاوضة، و لايجوز للمالك بعد إعطاء هذا الحقّ إيجار المحلّ بدون الموافقة مع المستأجر الذي يكون ذا حقّ بالنسبة إلى السكونة و البقاء في المحلّ‌، و هذا الحقّ ينتقل من المستأجر الأوّل إلى الثاني و هكذا فيما إذا لم يكن اشتراط المباشرة في استيفاء الحقّ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بهذه الصورة ما أشرنا إليه في ذيل الصورة السابعة من اشتراط المستأجر في عقد الإجارة أن يكون إجارة المحلّ بعد انقضاء إجارته برضايته و إجازته و من يتنازل له هذا الحقّ فحينئذ يجوز للمستأجر الأوّل و من يتنازل له هذا الحقّ أن يأخذ شيئاً بعنوان السرقفليّة في قبال الرضاية و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أخذ شيء بعنوان السرقفليّة فيما إذا لم يشترط حقّ السكنى و البقاء ونحوهما بعد انتهاء مدّة الإجازة لأنّه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المالك طالباً لايجاره إيّاه بحيث لو استدعى تجديد الإجارة يقدّمه على غيره جاز له أن يأخذ شيئاً في قبال رفع اليد و التخلية، سواء كان بعنوان الهبة المعوّضة أو الصلح أو الجعالة، على إشكال في الأخير كما أشرنا إليه في ذيل الصورة الاُولى فراجع</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85414_1280447820"/>
      <w:bookmarkStart w:id="433" w:name="_Toc156"/>
      <w:bookmarkEnd w:id="432"/>
      <w:r>
        <w:rPr>
          <w:rtl w:val="true"/>
        </w:rPr>
        <w:t>تنبيهات</w:t>
      </w:r>
      <w:bookmarkEnd w:id="433"/>
    </w:p>
    <w:p>
      <w:pPr>
        <w:pStyle w:val="Heading4"/>
        <w:numPr>
          <w:ilvl w:val="3"/>
          <w:numId w:val="1"/>
        </w:numPr>
        <w:rPr/>
      </w:pPr>
      <w:bookmarkStart w:id="434" w:name="__RefHeading___Toc285416_1280447820"/>
      <w:bookmarkStart w:id="435" w:name="_Toc157"/>
      <w:bookmarkEnd w:id="434"/>
      <w:r>
        <w:rPr>
          <w:rtl w:val="true"/>
        </w:rPr>
        <w:t>التنبيه الأوّل</w:t>
      </w:r>
      <w:r>
        <w:rPr>
          <w:rtl w:val="true"/>
        </w:rPr>
        <w:t xml:space="preserve">: </w:t>
      </w:r>
      <w:r>
        <w:rPr>
          <w:rtl w:val="true"/>
        </w:rPr>
        <w:t>فى استحقاق ارتفاع قيمة السرقفلية</w:t>
      </w:r>
      <w:bookmarkEnd w:id="435"/>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إذا كان للمستأجر حقّ السرقفليّة شرعاً ثمّ مات و لم يبع الورثة السرقفليّة، فارتفعت قيمة السرقفليّة فهل يستحقّ الورثة ارتفاع قيمة السرقفليّة أو لا؟ و الجواب واضح لأنّ إرتفاع القيمة تابع لأصل السرقفليّة فمن ورّث السرقفليّة </w:t>
      </w:r>
      <w:bookmarkStart w:id="436" w:name="pg16065_152979"/>
    </w:p>
    <w:p>
      <w:pPr>
        <w:pStyle w:val="BookText"/>
        <w:rPr/>
      </w:pPr>
      <w:bookmarkEnd w:id="436"/>
      <w:r>
        <w:rPr>
          <w:rFonts w:ascii="Amiri" w:hAnsi="Amiri" w:eastAsia="Amiri" w:cs="Amiri"/>
          <w:color w:val="111111"/>
          <w:sz w:val="28"/>
          <w:sz w:val="28"/>
          <w:szCs w:val="28"/>
          <w:rtl w:val="true"/>
          <w:lang w:bidi="ar-SA"/>
        </w:rPr>
        <w:t>صارت ملكاً له و من ملكها كانت الزيادة له، كالزيادة في سائر الأموال</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85418_1280447820"/>
      <w:bookmarkStart w:id="438" w:name="_Toc158"/>
      <w:bookmarkEnd w:id="437"/>
      <w:r>
        <w:rPr>
          <w:rtl w:val="true"/>
        </w:rPr>
        <w:t>التنبيه الثاني</w:t>
      </w:r>
      <w:r>
        <w:rPr>
          <w:rtl w:val="true"/>
        </w:rPr>
        <w:t xml:space="preserve">: </w:t>
      </w:r>
      <w:r>
        <w:rPr>
          <w:rtl w:val="true"/>
        </w:rPr>
        <w:t>في عدم جواز مطالبة بعض الورثة حصة من سائر الورثة</w:t>
      </w:r>
      <w:bookmarkEnd w:id="438"/>
    </w:p>
    <w:p>
      <w:pPr>
        <w:pStyle w:val="BookText"/>
        <w:rPr/>
      </w:pPr>
      <w:r>
        <w:rPr>
          <w:rFonts w:ascii="Amiri" w:hAnsi="Amiri" w:eastAsia="Amiri" w:cs="Amiri"/>
          <w:color w:val="111111"/>
          <w:sz w:val="28"/>
          <w:sz w:val="28"/>
          <w:szCs w:val="28"/>
          <w:rtl w:val="true"/>
          <w:lang w:bidi="ar-SA"/>
        </w:rPr>
        <w:t>أنّه لايجوز لبعض الورثة مطالبة حصته من السرقفليّة من سائر الورّاث قبل بيع المحلّ أو بيع السرقفليّة، ولو كان غيره ساكناً في المحلّ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 مع الإذن، اذ لاموجب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أن يطالب غيره من الورّاث أن يبيعوها و يحصل له حصّته، كما يجوز له بيع حصّته مشاعاً قبل أن يبيعوها تماماً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285420_1280447820"/>
      <w:bookmarkStart w:id="440" w:name="_Toc159"/>
      <w:bookmarkEnd w:id="439"/>
      <w:r>
        <w:rPr>
          <w:rtl w:val="true"/>
        </w:rPr>
        <w:t>التنبيه الثاني</w:t>
      </w:r>
      <w:r>
        <w:rPr>
          <w:rtl w:val="true"/>
        </w:rPr>
        <w:t xml:space="preserve">: </w:t>
      </w:r>
      <w:r>
        <w:rPr>
          <w:rtl w:val="true"/>
        </w:rPr>
        <w:t>في عدم جواز مطالبة بعض الورثة حصة من سائر الورثة</w:t>
      </w:r>
      <w:bookmarkEnd w:id="440"/>
    </w:p>
    <w:p>
      <w:pPr>
        <w:pStyle w:val="BookText"/>
        <w:rPr/>
      </w:pPr>
      <w:r>
        <w:rPr>
          <w:rFonts w:ascii="Amiri" w:hAnsi="Amiri" w:eastAsia="Amiri" w:cs="Amiri"/>
          <w:color w:val="111111"/>
          <w:sz w:val="28"/>
          <w:sz w:val="28"/>
          <w:szCs w:val="28"/>
          <w:rtl w:val="true"/>
          <w:lang w:bidi="ar-SA"/>
        </w:rPr>
        <w:t>أنّه لايجوز اجارة حقّ السرقفليّة، لاختصاص الإجارة بالأعيان إذ هي تمليك منفعة العين أو تسليط الغير على العين لإستيفاء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فلايجوز لمن له السرقفليّة أخذ شيء بعنوان الإجارة بإزاء حقّ السرقفليّة لأنّه ليس بعين و المنافع و النمائات المتّصلة و المنفصلة سواء كانت تكوينية أو اعتبارية تابعة لملكية العين لأنّها من توابعها لاتوابع المالية، ولذا لم تشترك الزوجة في منافع الأعيان لأنّها تابعة لنفس الأعيان و ان كان لها حقّ بالنسبة إلى مالية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يأخذ مبلغاً في مقابل تخلية المحلّ لمدّة معلومة بعنوان المصالحة أو بعنوان الهبة المعوّضة فمع انقضاء المدّة كان حقه باقياً لأنّ حقّه لايختصّ بوقت محدود بل له حقّ السرقفليّة للتالي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بيعه لمدة معلومة، لأنّ الملكيّة في البيع مرسلة و تحديدها بمدّة معلومة ينافيه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لايجوز للمالك اجارة المحلّ الذي يكون حقّ السرقفليّة للغير إلاّ مع موافقته، فإن آجره كانت الإجارة فضوليّاً لتعلّق حقّ المستأجر بالمحلّ‌، فتدبّر يّداً</w:t>
      </w:r>
      <w:r>
        <w:rPr>
          <w:rFonts w:eastAsia="Amiri" w:cs="Amiri" w:ascii="Amiri" w:hAnsi="Amiri"/>
          <w:color w:val="111111"/>
          <w:sz w:val="28"/>
          <w:szCs w:val="28"/>
          <w:rtl w:val="true"/>
          <w:lang w:bidi="ar-SA"/>
        </w:rPr>
        <w:t xml:space="preserve">. </w:t>
      </w:r>
      <w:bookmarkStart w:id="441" w:name="pg16065_152980"/>
    </w:p>
    <w:p>
      <w:pPr>
        <w:pStyle w:val="Heading4"/>
        <w:numPr>
          <w:ilvl w:val="3"/>
          <w:numId w:val="1"/>
        </w:numPr>
        <w:rPr/>
      </w:pPr>
      <w:bookmarkStart w:id="442" w:name="__RefHeading___Toc285422_1280447820"/>
      <w:bookmarkStart w:id="443" w:name="_Toc160"/>
      <w:bookmarkEnd w:id="441"/>
      <w:bookmarkEnd w:id="442"/>
      <w:r>
        <w:rPr>
          <w:rtl w:val="true"/>
        </w:rPr>
        <w:t>التنبيه الرابع</w:t>
      </w:r>
      <w:r>
        <w:rPr>
          <w:rtl w:val="true"/>
        </w:rPr>
        <w:t xml:space="preserve">: </w:t>
      </w:r>
      <w:r>
        <w:rPr>
          <w:rtl w:val="true"/>
        </w:rPr>
        <w:t>في حكم من سكن في محل من دون معاملة او اذن من صاحب السرقفلية</w:t>
      </w:r>
      <w:bookmarkEnd w:id="443"/>
    </w:p>
    <w:p>
      <w:pPr>
        <w:pStyle w:val="BookText"/>
        <w:rPr/>
      </w:pPr>
      <w:r>
        <w:rPr>
          <w:rFonts w:ascii="Amiri" w:hAnsi="Amiri" w:eastAsia="Amiri" w:cs="Amiri"/>
          <w:color w:val="111111"/>
          <w:sz w:val="28"/>
          <w:sz w:val="28"/>
          <w:szCs w:val="28"/>
          <w:rtl w:val="true"/>
          <w:lang w:bidi="ar-SA"/>
        </w:rPr>
        <w:t>إنّه لو سكن أحد في محلّ من دون معاملة أو إذن من صاحب السرقفليّة فلاإشكال في حرمة ذلك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بالنسبة إلى حقّ السرقفليّة فمحلّ تأمّل و إشكال، لإمكان أن يقال إنّ الحقّ موجود و ليس بتالف حتّى يضمنه، و أيضاً الحقّ ليس عيناً حتّى يحكم بضمان اُجرة المثل للتصرف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بعد فرض اعتبار الماليّة لحقّ السرقفليّة إنّ السكونة المذكورة في المحلّ تساوي إتلاف الماليّة في تلك المدّة و مقتضاه هو الضمان لعدم اختصاص الضمان بالأعيان و المنافع بل تجري في الحقوق أيضاً و ذلك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ضمانه بالنسبة إلى العين حيث لم يعقد عليها عقد الإجارة بعد تعلّق حقّ صاحب السرقفليّة بها و الضمان بالنسبة إليها هو ضمان اُجرة المثل</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85424_1280447820"/>
      <w:bookmarkStart w:id="445" w:name="_Toc161"/>
      <w:bookmarkEnd w:id="444"/>
      <w:r>
        <w:rPr>
          <w:rtl w:val="true"/>
        </w:rPr>
        <w:t>التنبيه الخامس</w:t>
      </w:r>
      <w:r>
        <w:rPr>
          <w:rtl w:val="true"/>
        </w:rPr>
        <w:t xml:space="preserve">: </w:t>
      </w:r>
      <w:r>
        <w:rPr>
          <w:rtl w:val="true"/>
        </w:rPr>
        <w:t>اذا اشترى حق السرقفلية من ارباح سنته فهل يجب عليه الخمس أو لا؟</w:t>
      </w:r>
      <w:bookmarkEnd w:id="445"/>
    </w:p>
    <w:p>
      <w:pPr>
        <w:pStyle w:val="BookText"/>
        <w:rPr/>
      </w:pPr>
      <w:r>
        <w:rPr>
          <w:rFonts w:ascii="Amiri" w:hAnsi="Amiri" w:eastAsia="Amiri" w:cs="Amiri"/>
          <w:color w:val="111111"/>
          <w:sz w:val="28"/>
          <w:sz w:val="28"/>
          <w:szCs w:val="28"/>
          <w:rtl w:val="true"/>
          <w:lang w:bidi="ar-SA"/>
        </w:rPr>
        <w:t>إنّه إذا اشترى حقّ السرقفليّة من أرباح سنته فهل يجب عليه الخمس بالنسبة الى حقّ السرقفليّة في آخر السنة أم لا؟</w:t>
      </w:r>
    </w:p>
    <w:p>
      <w:pPr>
        <w:pStyle w:val="BookText"/>
        <w:rPr/>
      </w:pPr>
      <w:r>
        <w:rPr>
          <w:rFonts w:ascii="Amiri" w:hAnsi="Amiri" w:eastAsia="Amiri" w:cs="Amiri"/>
          <w:color w:val="111111"/>
          <w:sz w:val="28"/>
          <w:sz w:val="28"/>
          <w:szCs w:val="28"/>
          <w:rtl w:val="true"/>
          <w:lang w:bidi="ar-SA"/>
        </w:rPr>
        <w:t xml:space="preserve">ذهب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حيث قال وجب عليه خمسه في آخر السنة بقيمته الفعليّة التي ربّما تزيد على ما اشتراه به و ربّما تنقص و ربّما يتساويان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أفاد و أجاد إلاّ أنّ تعلّق الخمس بالنسبة إلى الزائد متفرّع على صدق حصول الفائدة قبل بيعه في آخر السنة، و أمّا إذا قلنا بأنّ صدق حصول الفائدة قبل البيع غير ثابت فلايجب خمسه فيما زاد على المبلغ الذي اشتراه به إلاّ بعد بيع حقّ السرقفلي و عليه فالزيادة لاخمس لها إلاّ بعد البيع، و أمّا تعلق الخمس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كتاب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bookmarkStart w:id="446" w:name="pg16065_152981"/>
    </w:p>
    <w:p>
      <w:pPr>
        <w:pStyle w:val="BookText"/>
        <w:rPr/>
      </w:pPr>
      <w:bookmarkEnd w:id="446"/>
      <w:r>
        <w:rPr>
          <w:rFonts w:ascii="Amiri" w:hAnsi="Amiri" w:eastAsia="Amiri" w:cs="Amiri"/>
          <w:color w:val="111111"/>
          <w:sz w:val="28"/>
          <w:sz w:val="28"/>
          <w:szCs w:val="28"/>
          <w:rtl w:val="true"/>
          <w:lang w:bidi="ar-SA"/>
        </w:rPr>
        <w:t>بالنسبة الى المبلغ الذي اشتراه به من أرباح المكاسب فهو واضح فيما إذا لم يكن اشتراء الحقّ المذكور من المؤونة، و إلاّ كما إذا لم يتمكّن من المعيشة إلاّ بأن يشتري حقّ السرقفليّة و يكتسب في المحلّ فلاخمس ما دام كذلك بالنسبة إلى ما اشترى به الحقّ المذكور أيضاً، كما لايخفى</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85426_1280447820"/>
      <w:bookmarkStart w:id="448" w:name="_Toc162"/>
      <w:bookmarkEnd w:id="447"/>
      <w:r>
        <w:rPr>
          <w:rtl w:val="true"/>
        </w:rPr>
        <w:t>التنبيه السادس</w:t>
      </w:r>
      <w:r>
        <w:rPr>
          <w:rtl w:val="true"/>
        </w:rPr>
        <w:t xml:space="preserve">: </w:t>
      </w:r>
      <w:r>
        <w:rPr>
          <w:rtl w:val="true"/>
        </w:rPr>
        <w:t>ان مجرد الوكالة في الابجار عن المالك لايوجب حقاً له بالنسبة الى المالك</w:t>
      </w:r>
      <w:bookmarkEnd w:id="448"/>
    </w:p>
    <w:p>
      <w:pPr>
        <w:pStyle w:val="BookText"/>
        <w:rPr/>
      </w:pPr>
      <w:r>
        <w:rPr>
          <w:rFonts w:ascii="Amiri" w:hAnsi="Amiri" w:eastAsia="Amiri" w:cs="Amiri"/>
          <w:color w:val="111111"/>
          <w:sz w:val="28"/>
          <w:sz w:val="28"/>
          <w:szCs w:val="28"/>
          <w:rtl w:val="true"/>
          <w:lang w:bidi="ar-SA"/>
        </w:rPr>
        <w:t>إنّه إذا كان المستأجر القديم وكيلاً من ناحية المالك في الإيجار لنفسه متى شاء، أو شرط له أن يؤجره المالك و لايكون وكيلاً في الإيجار للغير و لاشرط له ذلك، ففي هذه الصورة للمستأجر القديم أن يأخذ مبلغاً يساوي ما دفعه إلى المالك أو أقلّ منه أو أكثر من المالك و يرفع اليد عن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إذا كان الشرط هو مجرّد الوكالة من ناحية المالك في الإيجار لنفسه متى شاء فلايوجب ذلك حقّاً له بالنسبة إلى المالك لأنّ الوكالة في طول مالكيّة المالك و عليه فيجوز للمالك أن يوجره للغير قبل إعمال الوكيل كسائر موارد الوكالة، و لايجوز له أخذ شيء في قبال رفع اليد عن الوكالة لأنّ جعل الوكالة لايوجب حقّاً له حتّى يصحّ أخذ العوض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المعاملة عليه لغو إذ بدونها كان للمالك الإيجار للغير، لأنّ الوكيل في طول الموكّل و لايزاحمه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المستأجر القديم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الوكالة في عقد الإجارة لنفسه في إيجار المحل لنفسه متى شاء، و عليه فالوكالة حقّ له ولكنّه مبنيّ على جواز اشتراط الوكالة بنحو شرط النتيجة و قد عرفت الإشكال في ذلك، لأنّ الشرط ليس من أسبابها، و شرط التوكيل هو شرط الفعل و هو واجب بالشرط ولكنّه لايوجب حقّاً ماليّاً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449" w:name="pg16065_152982"/>
    </w:p>
    <w:p>
      <w:pPr>
        <w:pStyle w:val="BookText"/>
        <w:rPr/>
      </w:pPr>
      <w:bookmarkEnd w:id="449"/>
      <w:r>
        <w:rPr>
          <w:rFonts w:ascii="Amiri" w:hAnsi="Amiri" w:eastAsia="Amiri" w:cs="Amiri"/>
          <w:color w:val="111111"/>
          <w:sz w:val="28"/>
          <w:sz w:val="28"/>
          <w:szCs w:val="28"/>
          <w:rtl w:val="true"/>
          <w:lang w:bidi="ar-SA"/>
        </w:rPr>
        <w:t>نعم لو كان الشرط هو إعطاء حقّ الإيجار له بنحو الإنحصار بحيث لايجوز للمالك الإيجار للغير فالإيجار حقّ له، فيجوز له أخذ شيء من المستأجر الجديد في قبال رفع اليد عن حقّه بعنوان الهبة أو الجعالة، ليتحوّل عن ذلك المحلّ و لايزاحمه في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أعطى المستاجر الجديد شيئاً في قبال ذلك لم يصر ذا حقّ بالنسبة الى المحلّ‌، لإختصاص الحقّ بشخص المستأجر الأوّل و يكون للمالك كمال الحرّيّة في إيجاره إيّاه و عدمه، لأنّ المفروض أنّ الحقّ المذكور لايقبل الانتقال إلى الغير و إنّما وقع المبذول في مقابل رفع يد المستاجر الأوّل عن حقه المختصّ به، فلاتغفل</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85428_1280447820"/>
      <w:bookmarkStart w:id="451" w:name="_Toc163"/>
      <w:bookmarkEnd w:id="450"/>
      <w:r>
        <w:rPr>
          <w:rtl w:val="true"/>
        </w:rPr>
        <w:t>التنبيه السابع</w:t>
      </w:r>
      <w:r>
        <w:rPr>
          <w:rtl w:val="true"/>
        </w:rPr>
        <w:t xml:space="preserve">: </w:t>
      </w:r>
      <w:r>
        <w:rPr>
          <w:rtl w:val="true"/>
        </w:rPr>
        <w:t>في حكم ازدياد اجرة المحل من ناحية المالك الجديد</w:t>
      </w:r>
      <w:bookmarkEnd w:id="451"/>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لو طلب المالك الجديد عن المستأجر السابق بعد انقضاء مدّة الإجارة زيادة اُجرة المحلّ و كان للمستأجر السابق حقّ السرقفلي في المحلّ فإن شَرَط المستأجر مع المالك السابق في عقد الإجارة الاُولى أن لايزاد مقدار الإجارة في السنوات الآتية و انتقل الملك بهذا الشرط إلى المالك الجديد فلايجوز للمالك الجديد أن يطالب الأزيد، و يجوز للمستأجر السكونة فيه بالإجارة المعيّنة المقرّرة في عقد الإجارة قضاء للشرط، و لزم على المالك الجديد تجديد الإجارة كما يقتضيه الشرط السابق، ولو امتنع عن ذلك يجبره الحاكم عليه، و مع الامتناع يتصدّى الحاكم بنفسه لإجارة المحلّ بالذي توافقا عليه في العقد الأوّل للإجارات اللاحقة، أو بقيمته المتعارفة لو شرط في العقد الأوّل تجديد إجارة المحلّ بقيمته المتعارفة بعد انقضاء مدّة الإجارة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 بعض الأكابر أنّ اللازم هو أن يكون تصرّف المستأجر في المحلّ مع رضاية المالك الجديد ولكن له أن </w:t>
      </w:r>
      <w:bookmarkStart w:id="452" w:name="pg16065_152983"/>
    </w:p>
    <w:p>
      <w:pPr>
        <w:pStyle w:val="BookText"/>
        <w:rPr/>
      </w:pPr>
      <w:bookmarkEnd w:id="452"/>
      <w:r>
        <w:rPr>
          <w:rFonts w:ascii="Amiri" w:hAnsi="Amiri" w:eastAsia="Amiri" w:cs="Amiri"/>
          <w:color w:val="111111"/>
          <w:sz w:val="28"/>
          <w:sz w:val="28"/>
          <w:szCs w:val="28"/>
          <w:rtl w:val="true"/>
          <w:lang w:bidi="ar-SA"/>
        </w:rPr>
        <w:t>يطالب السرقفلي بقيمته الفعليّة عند التخلية و التحويل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اشتراط رضاية المالك الجديد لاوجه له بعد تعيين مقدار الاُجرة للتالي في الإجارة الاوُلى و المفروض هو انتقال الملك بهذا الشرط إلى المالك الجديد اللّهمّ إلاّ أن يكون المقصود إن رضاية المالك الجديد معتبرة ولكنّها مقيّدة بما توافق المالك الأوّل مع المستأجر في عقد الإجارة الاوُلى</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85430_1280447820"/>
      <w:bookmarkStart w:id="454" w:name="_Toc164"/>
      <w:bookmarkEnd w:id="453"/>
      <w:r>
        <w:rPr>
          <w:rtl w:val="true"/>
        </w:rPr>
        <w:t>التنبيه الثامن</w:t>
      </w:r>
      <w:r>
        <w:rPr>
          <w:rtl w:val="true"/>
        </w:rPr>
        <w:t xml:space="preserve">: </w:t>
      </w:r>
      <w:r>
        <w:rPr>
          <w:rtl w:val="true"/>
        </w:rPr>
        <w:t>في حكم اسقاط المالك حق السرقفلية</w:t>
      </w:r>
      <w:bookmarkEnd w:id="454"/>
    </w:p>
    <w:p>
      <w:pPr>
        <w:pStyle w:val="BookText"/>
        <w:rPr/>
      </w:pPr>
      <w:r>
        <w:rPr>
          <w:rFonts w:ascii="Amiri" w:hAnsi="Amiri" w:eastAsia="Amiri" w:cs="Amiri"/>
          <w:color w:val="111111"/>
          <w:sz w:val="28"/>
          <w:sz w:val="28"/>
          <w:szCs w:val="28"/>
          <w:rtl w:val="true"/>
          <w:lang w:bidi="ar-SA"/>
        </w:rPr>
        <w:t>في أنّه قيل إنّ للمالك أن لايأخذ حقّ السرقفليّة من المستأجر و يسقطه، و حينئذ فلو آجر ملكه للغير مع إسقاط حقّ السرقفليّة لم يتمكّن بعد ذلك من أن يأخذ من المستأجر شيئاً بعنوان حقّ السرقفليّة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بعد ما عرفت من إمكان القول بوجود حقّ السرقفليّة و اعتباره في بعض الأمكنة المعدّة للتجارة أمكن مراعاته حال الإجارة و أخذ مبلغ بإزائه و عدمها بأن لايأخذ شيئاً في مقابله و يسقطه و مع الإسقاط لايتمكن الموجر من مطالبة شيء بعنوان السرقفليّة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إنّ عدم رعاية حقّ السرقفليّة</w:t>
      </w:r>
    </w:p>
    <w:p>
      <w:pPr>
        <w:pStyle w:val="BookText"/>
        <w:rPr/>
      </w:pPr>
      <w:r>
        <w:rPr>
          <w:rFonts w:ascii="Amiri" w:hAnsi="Amiri" w:eastAsia="Amiri" w:cs="Amiri"/>
          <w:color w:val="111111"/>
          <w:sz w:val="28"/>
          <w:sz w:val="28"/>
          <w:szCs w:val="28"/>
          <w:rtl w:val="true"/>
          <w:lang w:bidi="ar-SA"/>
        </w:rPr>
        <w:t>إمّا بنحو يملّكه للمستأجر بلاعوض، أو يعرض عنه ويحيّزه المستأجر بحيازة المحلّ‌، فلاكلام في أنّه ينتقل إلى المستأجر و يملّكه هو ومع تملّك المستأجر لامجال لمطالبة حقّ السرقفليّة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بنحو يرفق به مع المستأجر لابمعنى تمليكه إيّاه و لابمعنى إعراضه عنه بحيث يتملّكه المستأجر بالحيازة، بل حقّ السرقفليّة باق على ملكيّة الموجر و إنّما هو لم يطالب من المستأجر شيئاً بإزائه ما دام العين في إجارته، و من المعلوم أنّ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استفتاءات سيدنا الامام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455" w:name="pg16065_152984"/>
    </w:p>
    <w:p>
      <w:pPr>
        <w:pStyle w:val="BookText"/>
        <w:rPr/>
      </w:pPr>
      <w:bookmarkEnd w:id="455"/>
      <w:r>
        <w:rPr>
          <w:rFonts w:ascii="Amiri" w:hAnsi="Amiri" w:eastAsia="Amiri" w:cs="Amiri"/>
          <w:color w:val="111111"/>
          <w:sz w:val="28"/>
          <w:sz w:val="28"/>
          <w:szCs w:val="28"/>
          <w:rtl w:val="true"/>
          <w:lang w:bidi="ar-SA"/>
        </w:rPr>
        <w:t>الإرفاق المذكور يتمكّن الموجر من مطالبة شيء بعنوان السرقفليّة بعد الإجارة لأنّ حقّ السرقفليّة باق على ملكه و لاموجب لانتقاله إلى المستأجر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بإسقاط حقّ السرقفليّة كالتعبير باسقاط حقّ الخيار شايع بالنسبة إلى الحقوق المعتبرة القابلة للاسقاط و من المعلوم إنّ السرقفليّة من جملتها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85432_1280447820"/>
      <w:bookmarkStart w:id="457" w:name="_Toc165"/>
      <w:bookmarkEnd w:id="456"/>
      <w:r>
        <w:rPr>
          <w:rtl w:val="true"/>
        </w:rPr>
        <w:t>التنبيه التاسع</w:t>
      </w:r>
      <w:r>
        <w:rPr>
          <w:rtl w:val="true"/>
        </w:rPr>
        <w:t xml:space="preserve">: </w:t>
      </w:r>
      <w:r>
        <w:rPr>
          <w:rtl w:val="true"/>
        </w:rPr>
        <w:t>في حكم ما اذا كان حق السرقفلى لشخص و الملك لآخر</w:t>
      </w:r>
      <w:bookmarkEnd w:id="457"/>
    </w:p>
    <w:p>
      <w:pPr>
        <w:pStyle w:val="BookText"/>
        <w:rPr/>
      </w:pPr>
      <w:r>
        <w:rPr>
          <w:rFonts w:ascii="Amiri" w:hAnsi="Amiri" w:eastAsia="Amiri" w:cs="Amiri"/>
          <w:color w:val="111111"/>
          <w:sz w:val="28"/>
          <w:sz w:val="28"/>
          <w:szCs w:val="28"/>
          <w:rtl w:val="true"/>
          <w:lang w:bidi="ar-SA"/>
        </w:rPr>
        <w:t>إنّه لو كان حقّ السرقفلي لشخص و الملك لآخر فصالح صاحب حقّ السرقفلي غيره في حقّ السرقفلي مع جعل الخيار له و آجره المالك أيضاً عين المحلّ مع جعل الخيار له كان للغير المذكور حينئذ حقّ الفسخ بالنسبة إلى كليهما أي المصالحة و الإجارة، فإذا فسخهما يقع الكلام في أنّه هل يبقى لصاحب حقّ السرقفلي أن يسكن المحلّ كالأوّل من دون حاجة إلى إجازة أو إذن أو تملّك عين، أو لا؟ ربّما يقال في الفرض المذكور إنّ التصرّف في الملك المذكور حرام من دون إجازة و رضاية المالك بل يحتاج إلى كسب الإجازة و الرضاية الجديدة، فمع الفسخ لايبقى لصاحب حقّ السرقفلي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التفصيل بين ما إذا كان المراد من حقّ السرقفلي هو مجرّد إباحة السكونة له فيه، فإذا رفع اليد عن المحلّ مع العوض فلايبقى له حقّ بالنسبة إلى المحلّ‌، و السكونة الجديدة في المحلّ تحتاج إلى إباحة جديدة، فمع فسخ المصالحة لايبقى شيء لمن أبيح له السكونة في المحلّ‌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ما إذا كان المراد من حقّ السرقفلي هو جعل حقّ من حقّ السكنى و البقاء في المحلّ أو اشتراط دخالة رضايته و اجازته في إيجار المحلّ‌، كما هو المختار في حقّ السرقفلي، فالمصالحة المذكورة توجب انتقال هذا الحقّ إلى الغير و مقتضى الفسخ هو عودته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صار الحقّ منقّلاً إليه بعد الفسخ كالأوّل، فيعود له الحقّ المذكور و يجوز له التصرّف في المحلّ مع التوافق مع مالكه </w:t>
      </w:r>
      <w:bookmarkStart w:id="458" w:name="pg16065_152985"/>
    </w:p>
    <w:p>
      <w:pPr>
        <w:pStyle w:val="BookText"/>
        <w:rPr/>
      </w:pPr>
      <w:bookmarkEnd w:id="458"/>
      <w:r>
        <w:rPr>
          <w:rFonts w:ascii="Amiri" w:hAnsi="Amiri" w:eastAsia="Amiri" w:cs="Amiri"/>
          <w:color w:val="111111"/>
          <w:sz w:val="28"/>
          <w:sz w:val="28"/>
          <w:szCs w:val="28"/>
          <w:rtl w:val="true"/>
          <w:lang w:bidi="ar-SA"/>
        </w:rPr>
        <w:t>في الإجارة على ما توافقا عليه في الأوّل كما يجب على المالك أيضاً أن يوافق مع صاحب الحقّ في إجارة المحلّ‌، طبقاً لما عقدا عليه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يلحقّ به الإباحة أيضاً إذا كانت إباحة معوّضة، فإذا صالحها من أبيح له ثمّ حصل الفسخ عادت كالأوّل طبقاً على ما توافقا عليه، فتدبّر جيّداً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85434_1280447820"/>
      <w:bookmarkStart w:id="460" w:name="_Toc166"/>
      <w:bookmarkEnd w:id="459"/>
      <w:r>
        <w:rPr>
          <w:rtl w:val="true"/>
        </w:rPr>
        <w:t>التنبيه العاشر</w:t>
      </w:r>
      <w:r>
        <w:rPr>
          <w:rtl w:val="true"/>
        </w:rPr>
        <w:t xml:space="preserve">: </w:t>
      </w:r>
      <w:r>
        <w:rPr>
          <w:rtl w:val="true"/>
        </w:rPr>
        <w:t>في الفرق بين حق السرقفلية و حق الكسب و الاشتغال بالتجارة</w:t>
      </w:r>
      <w:bookmarkEnd w:id="460"/>
    </w:p>
    <w:p>
      <w:pPr>
        <w:pStyle w:val="BookText"/>
        <w:rPr/>
      </w:pPr>
      <w:r>
        <w:rPr>
          <w:rFonts w:ascii="Amiri" w:hAnsi="Amiri" w:eastAsia="Amiri" w:cs="Amiri"/>
          <w:color w:val="111111"/>
          <w:sz w:val="28"/>
          <w:sz w:val="28"/>
          <w:szCs w:val="28"/>
          <w:rtl w:val="true"/>
          <w:lang w:bidi="ar-SA"/>
        </w:rPr>
        <w:t>إنّ حقّ السرقفلي كما عرفت إنّه حقّ التقدّم في إجارة الأماكن التجاريّة بعد انقضاء مدّة الإجارة أو حقّ السكنى في تلك الأماكن للاستيجار بعقد جديد أو حقّ الإيجار بمعنى اشتراط رضاية المستأجر و إجازته في الإجارة للغير، و كيف كان يتحقّق هذا الحقّ بالمعاني المذكورة مع دفع مبلغ من المستأجر للمالك في ابتداء عقد الإجارة، أو مع اشتراط الحقّ المذكور معه في متن العقد ولو لم يدفع مبلغاً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الحقّ لايتوقّف على شروع الكسب فضلاً عن إدامته بل يتحقّق بمجرّد المعاوضة و الاشتراط المذكور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لايصح تفسير هذا الحقّ بحقّ الكسب و الاشتغال بالتجارة، لما عرفت من عدم توقّفه على شروع الكسب فضلاً عن إدامته، فلو استأجر شخص مكاناً للتجارة مع اشتراط حقّ السرقفلي أو المعاوضة عليه ثمّ لم يكسب في المحلّ أصلاً ثبت له حقّ السرقفلي مع أنّه لايصدق الكسب و الاشتغال في المحلّ‌، وهذا شاهد واضح على عدم اتّحادهما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أيضاً أنّه لو لم يعامل المستأجر مع المالك بالنسبة إلى حقّ السرقفلي ولم يشترط عليه ذلك و إنّما اتّخذ المحلّ للكسب لم يكن له حقّ السرقفلي مع أنّ له حقّ الكسب و الاشتغال عند 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فالنسبة بين حقّ السرقفلي و حقّ الكسب بناء على القول به هي العموم من وجه لجواز افتراقهما و اجتماعهما كما إذا استأجر محلاًّ للكسب و اشترط عليه حقّ السرقفلي ثمّ شرع </w:t>
      </w:r>
    </w:p>
    <w:p>
      <w:pPr>
        <w:pStyle w:val="BookText"/>
        <w:rPr/>
      </w:pPr>
      <w:r>
        <w:rPr>
          <w:rFonts w:ascii="Amiri" w:hAnsi="Amiri" w:eastAsia="Amiri" w:cs="Amiri"/>
          <w:color w:val="111111"/>
          <w:sz w:val="28"/>
          <w:sz w:val="28"/>
          <w:szCs w:val="28"/>
          <w:rtl w:val="true"/>
          <w:lang w:bidi="ar-SA"/>
        </w:rPr>
        <w:t>للتجارة و مضى مدّة في ذلك، فإنّ حقّ السرقفلي و حقّ الكسب بناء على اعتباره يجتمعان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عرفت إمكان تصوير حقّ السرقفلي، و أمّا حقّ الكسب فقد مرّ وجه المنع فيه، لأنّه نفع عائد إلى المحلّ قهراً بسبب اشتغال المستأجر في المحلّ و هو لايوجب حقّاً للمستأجر بالنسبة إلى المحلّ و إن صار المحلّ مرغوباً بالاشتغال و الكسب، و الحكم بمشروعيّته كما عن مجمع تشخيص المصلحة، لو كان من ناحية حقّ السرقفلي ففيه أنّهما ليسا بواحد و إن كان من ناحية نفس الاشتغال و الكسب فقد عرفت أنّه نفع عائد إلى المحلّ قهراً و يملكه الموجر لاالمستأجر، كارتفاع قيمة المواد بعمل الأجير فيها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مدير مجلس صيانة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الكسب و التجارة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مادّة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روابط موجر و 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عنوان شرعيّ‌، و إن كان المقصود منه هو حقّ السرقفلي فليعمل على طبق تحرير الوسيلة، و أيضاً لزم رعاية هذا النظر في ساير الموادّ المربوطة بحقّ الكسب و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فالمعاملات الواقعة على حقّ الكسب و التجارة محرّمة و لاأثر لها من حيث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اّنّ المصرّح في ما أفاده مدير مجلس صيانة الدستور هو أن حقّ الكسب و الاشتغال و التجارة لايكون له عنوان شرعيّ و لاملازمة بين نفي عنوان شرعيّ و إثبات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إنّ الحكم بنفي عنوان شرعي يؤوّل إلى عدم وجود أسباب شرعيّة لحقّ الكسب و التجارة و مع عدم وجود أسباب الانتقال لايجوز التصرّف لأحد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سرقفلي و حقّ كسب و پيشه و تجارت تأليف بهمن كشاورز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سرقفلي و حقّ كسب و پيشه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61" w:name="pg16065_152987"/>
    </w:p>
    <w:p>
      <w:pPr>
        <w:pStyle w:val="BookText"/>
        <w:rPr/>
      </w:pPr>
      <w:bookmarkEnd w:id="461"/>
      <w:r>
        <w:rPr>
          <w:rFonts w:ascii="Amiri" w:hAnsi="Amiri" w:eastAsia="Amiri" w:cs="Amiri"/>
          <w:color w:val="111111"/>
          <w:sz w:val="28"/>
          <w:sz w:val="28"/>
          <w:szCs w:val="28"/>
          <w:rtl w:val="true"/>
          <w:lang w:bidi="ar-SA"/>
        </w:rPr>
        <w:t>الطرفين و لامعنى للحرمة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في عقد الإجارة أنّ مقداراً معيناً ممّا يعرض المحلّ من المرغوبية للتجارة للمستأجر فلاإشكال حينئذ في صحّة ذلك و انتقال هذا الحقّ إلى الوارث و جواز المعاملة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كان العقد منصرفاً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يشترط في العقد ولم ينصرف العقد إليه فلاشرعيّة لحقّ الكسب و التجارة، و لادخالة للعرف إلاّ إذا كان متعارفاً بحيث أفاد الاشتراط، كما إذا توافق الموجر و المستأجر بما صار متعارفاً أو أفاد الانصراف، و أمّا إذا لم يتوافقا في ذلك و لم يقصدا المتعارف فلاملزم على المالك الموجر أن يعطيه حقّ الكسب 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العرف في أمثال المقام مع عدم قصد المتعاقدين لاأثر له، إذ العرف بما هو العرف لاحجيّة له إلاّ في تشخيص المفاهيم أو تطبيق المعاني على المصاديق، و دعوى أنّ العرف منبع آخر وراء الأدلّة الأربعة للفقه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لما عرفت من أنّ العرف بما هو العرف لاحجيّة له إلاّ في تشخيص المفاهيم و تطبيقها على المصاديق، و أمّا حكم العرف بالنسبة إلى الأحكام فإن كان في عصر الأئمّة عليهم السلام فيحتاج إلى إمضائهم أو تقريرهم حتّى يكون حجّة و إن لم يكن في عصرهم فلاحجيّة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فلايكون حكم العرف في نفسه منبعاً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بقيّة الكلام في مسألة حقوق المؤلفين و نحوهم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85436_1280447820"/>
      <w:bookmarkStart w:id="463" w:name="_Toc167"/>
      <w:bookmarkEnd w:id="462"/>
      <w:r>
        <w:rPr>
          <w:rtl w:val="true"/>
        </w:rPr>
        <w:t>التنبيه الحادي عشر</w:t>
      </w:r>
      <w:r>
        <w:rPr>
          <w:rtl w:val="true"/>
        </w:rPr>
        <w:t xml:space="preserve">: </w:t>
      </w:r>
      <w:r>
        <w:rPr>
          <w:rtl w:val="true"/>
        </w:rPr>
        <w:t>في ان معاملة المستاجر مع المالك في حق السرقفلية لازمة</w:t>
      </w:r>
      <w:bookmarkEnd w:id="463"/>
    </w:p>
    <w:p>
      <w:pPr>
        <w:pStyle w:val="BookText"/>
        <w:rPr/>
      </w:pPr>
      <w:r>
        <w:rPr>
          <w:rFonts w:ascii="Amiri" w:hAnsi="Amiri" w:eastAsia="Amiri" w:cs="Amiri"/>
          <w:color w:val="111111"/>
          <w:sz w:val="28"/>
          <w:sz w:val="28"/>
          <w:szCs w:val="28"/>
          <w:rtl w:val="true"/>
          <w:lang w:bidi="ar-SA"/>
        </w:rPr>
        <w:t>إنّ ما يبذله المستأجر للموجر بعنوان أن يكون له حقّ السرقفلي في المحلّ بناء على ما مرّ من تصوّره بنحو من الأنحاء المشروعة يكون ملكاً للموجر قضاءاً للمعاملة التي تدلّ على نفوذها عمومات التجارة، و عليه فلايجوز للمستأجر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سرقفلي و حقّ كسب و پيشه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يطالب من الموجر ردّ ما أعطاه في مقابل حقّ السرقفلي سواء إنقضت مدّة الإجارة أو لم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الموجر عند الإجارة مبلغاً بعنوان القرض بحيث يكون الاُجرة مركّبة من مبلغ بعنوان اُجرة و مبلغ آخر بعنوان قرض وجب عليه ردّ ما أخذه بعنوان القرض بعد انقضاء مدّة الإجارة، إذ القرض ليس تمليكاً مجّانيّاً بل هو تمليك بإزاء ضمان المثل، و عليه فيجب على الموجر عند انقضاء مدّة الإجارة ردّ مثل ما اقترضه إلى المستأجر ولكنّه أجنبيّ عن حقّ السرقفلي، كما لايخفى</w:t>
      </w:r>
      <w:r>
        <w:rPr>
          <w:rFonts w:eastAsia="Amiri" w:cs="Amiri" w:ascii="Amiri" w:hAnsi="Amiri"/>
          <w:color w:val="111111"/>
          <w:sz w:val="28"/>
          <w:szCs w:val="28"/>
          <w:rtl w:val="true"/>
          <w:lang w:bidi="ar-SA"/>
        </w:rPr>
        <w:t xml:space="preserve">. </w:t>
      </w:r>
      <w:bookmarkStart w:id="464" w:name="pg16065_152989"/>
    </w:p>
    <w:p>
      <w:pPr>
        <w:pStyle w:val="Heading2"/>
        <w:numPr>
          <w:ilvl w:val="1"/>
          <w:numId w:val="1"/>
        </w:numPr>
        <w:rPr/>
      </w:pPr>
      <w:bookmarkStart w:id="465" w:name="__RefHeading___Toc285438_1280447820"/>
      <w:bookmarkStart w:id="466" w:name="_Toc168"/>
      <w:bookmarkEnd w:id="464"/>
      <w:bookmarkEnd w:id="465"/>
      <w:r>
        <w:rPr>
          <w:rtl w:val="true"/>
        </w:rPr>
        <w:t>المسألة العشرون في الحلق</w:t>
      </w:r>
      <w:bookmarkEnd w:id="466"/>
    </w:p>
    <w:p>
      <w:pPr>
        <w:pStyle w:val="Heading3"/>
        <w:numPr>
          <w:ilvl w:val="2"/>
          <w:numId w:val="1"/>
        </w:numPr>
        <w:rPr/>
      </w:pPr>
      <w:bookmarkStart w:id="467" w:name="__RefHeading___Toc285440_1280447820"/>
      <w:bookmarkStart w:id="468" w:name="_Toc169"/>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ويقع الكلام في جهات</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85442_1280447820"/>
      <w:bookmarkStart w:id="470" w:name="_Toc170"/>
      <w:bookmarkEnd w:id="469"/>
      <w:r>
        <w:rPr>
          <w:rtl w:val="true"/>
        </w:rPr>
        <w:t>الجهة الاوُلى</w:t>
      </w:r>
      <w:r>
        <w:rPr>
          <w:rtl w:val="true"/>
        </w:rPr>
        <w:t xml:space="preserve">: </w:t>
      </w:r>
      <w:r>
        <w:rPr>
          <w:rtl w:val="true"/>
        </w:rPr>
        <w:t>في حرمة حلق اللحية</w:t>
      </w:r>
      <w:bookmarkEnd w:id="470"/>
    </w:p>
    <w:p>
      <w:pPr>
        <w:pStyle w:val="BookText"/>
        <w:rPr/>
      </w:pPr>
      <w:r>
        <w:rPr>
          <w:rFonts w:ascii="Amiri" w:hAnsi="Amiri" w:eastAsia="Amiri" w:cs="Amiri"/>
          <w:color w:val="111111"/>
          <w:sz w:val="28"/>
          <w:sz w:val="28"/>
          <w:szCs w:val="28"/>
          <w:rtl w:val="true"/>
          <w:lang w:bidi="ar-SA"/>
        </w:rPr>
        <w:t>في حرمة حلق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أنّه ذهب أكثر العامّة كالحنفيّة و المالكيّة و الحنابلة إلى حرمة حلق اللحية و خالفهم الشافعيّة حيث ذهبوا إلى كراهة حلق اللحية و المبالغة في قصّها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التاج حلق اللحية مكروه عند الجمهور و حرام عند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 ما لايجوز فيه الخلاف بين المسلمين حلق اللحية حرام عند الجمهور مكروه عند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الخاصّة فقد نسب المجلسي الأوّل حرمة حلق اللحية إلى ظاهر أكثر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يحيى بن سعيد في الجامع للشرائع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الشهيد الأوّل في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للخنثى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الفقه على المذاهب الأربعة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لايجوز فيه الخلاف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ط 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الفقيه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حلق لحيته لجواز رجوليّته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المحكي عن فخر المحقّقين و الشيخ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المتأخّرين و متأخّريهم كالميرداماد في شارع النجاة و كاشف الغطاء و صاحب الجواهر و الشيخ الأعظم الأنصاري و الشيخ جعفر الشوشتري و الميرزا الشيرازي و غيرهم من الأكابر، بل لعلّ المستفاد من قول صاحب الجواهر هو أنّ الأصحاب عملوا بماروي في حلق اللحية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النساء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يجزيهن التقصير بل يحرم عليهنّ ذلك بلاخلاف أجده فيه أيضاً بل عن المختلف الإجماع عليه و هو الحجّة بعد المرتضوي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الإحلال لامطلقا، فإنّ الظاهر عدم حرمته عليها في غير المصاب المقتضى للجزع، للأصل السالم عن معارضة دليل معتبر، اللّهمّ إلاّ أن يكون هناك شهرة بين الأصحاب تصلح جابراً لنحو المرسل المزبور بناءً على إرادة الإطلاق، فيكون كحلق اللحية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كحلق اللحية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مع قيام الشهرة على المرسلة يصير حلق المرأة رأسها كحلق الرجل لحيته في كونه حراماً مشهوراً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يحتمل أن يكون التشبيه في أصل الحرمة لافي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المسألة لم تكن مذكورة في الكتب الفقهيّة المربوطة بما قبل القرن السابع، على ما ادّعاه شيخنا الصديق الاُستاذى مدّظلّه في رسالته التحقيق في حلق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صرّح آية الله 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جماعة من العلماء أرسلوا الفتوى بالتحريم إرسال المسلّمات و لم يشيروا إلى خلاف أو شبهة خلاف، كما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رسالته الاعتقادية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تحلق المرأة راسها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236/19</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التحقيق حول حلق اللحية،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471" w:name="pg16065_152991"/>
    </w:p>
    <w:p>
      <w:pPr>
        <w:pStyle w:val="BookText"/>
        <w:rPr/>
      </w:pPr>
      <w:bookmarkEnd w:id="471"/>
      <w:r>
        <w:rPr>
          <w:rFonts w:ascii="Amiri" w:hAnsi="Amiri" w:eastAsia="Amiri" w:cs="Amiri"/>
          <w:color w:val="111111"/>
          <w:sz w:val="28"/>
          <w:sz w:val="28"/>
          <w:szCs w:val="28"/>
          <w:rtl w:val="true"/>
          <w:lang w:bidi="ar-SA"/>
        </w:rPr>
        <w:t>دأبهم في المسائل التي فيها خلاف، إلى أن قال بل صرّح بعضهم بأنّ التحريم متسالم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85444_1280447820"/>
      <w:bookmarkStart w:id="473" w:name="_Toc171"/>
      <w:bookmarkEnd w:id="472"/>
      <w:r>
        <w:rPr>
          <w:rtl w:val="true"/>
        </w:rPr>
        <w:t>الجهة الثانيه</w:t>
      </w:r>
      <w:r>
        <w:rPr>
          <w:rtl w:val="true"/>
        </w:rPr>
        <w:t xml:space="preserve">: </w:t>
      </w:r>
      <w:r>
        <w:rPr>
          <w:rtl w:val="true"/>
        </w:rPr>
        <w:t>استدل لحرمة حلق اللحية بامور</w:t>
      </w:r>
      <w:bookmarkEnd w:id="473"/>
    </w:p>
    <w:p>
      <w:pPr>
        <w:pStyle w:val="Heading4"/>
        <w:numPr>
          <w:ilvl w:val="3"/>
          <w:numId w:val="1"/>
        </w:numPr>
        <w:rPr/>
      </w:pPr>
      <w:bookmarkStart w:id="474" w:name="__RefHeading___Toc285446_1280447820"/>
      <w:bookmarkStart w:id="475" w:name="_Toc17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إنّه استدل لحرمة حلق اللحية بأمور</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85448_1280447820"/>
      <w:bookmarkStart w:id="477" w:name="_Toc173"/>
      <w:bookmarkEnd w:id="476"/>
      <w:r>
        <w:rPr>
          <w:rtl w:val="true"/>
        </w:rPr>
        <w:t>الأوّل</w:t>
      </w:r>
      <w:r>
        <w:rPr>
          <w:rtl w:val="true"/>
        </w:rPr>
        <w:t xml:space="preserve">: </w:t>
      </w:r>
      <w:r>
        <w:rPr>
          <w:rtl w:val="true"/>
        </w:rPr>
        <w:t>الآيات</w:t>
      </w:r>
      <w:bookmarkEnd w:id="4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فَقَدْ ضَلَّ ضَلاٰلاً بَعِيداً إِنْ يَدْعُونَ مِنْ دُونِهِ إِلاّٰ إِنٰاثاً وَ إِنْ يَدْعُونَ إِلاّٰ شَيْطٰاناً مَرِيداً لَعَنَهُ اَللّٰهُ وَ قٰالَ لَأَتَّخِذَنَّ مِنْ عِبٰادِكَ نَصِيباً مَفْرُوضاً وَ لَأُضِلَّنَّهُمْ وَ لَأُمَنِّيَنَّهُمْ وَ لَآمُرَنَّهُمْ فَلَيُبَتِّكُنَّ آذٰانَ اَلْأَنْعٰامِ وَ لَآمُرَنَّهُمْ فَلَيُغَيِّرُنَّ خَلْقَ اَللّٰهِ وَ مَنْ يَتَّخِذِ اَلشَّيْطٰانَ وَلِيًّا مِنْ دُونِ اَللّٰهِ فَقَدْ خَسِرَ خُسْرٰاناً مُبِيناً يَعِدُهُمْ وَ يُمَنِّيهِمْ وَ مٰا يَعِدُهُمُ اَلشَّيْطٰانُ إِلاّٰ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حلق اللحية من مصاديق تغيير الخلقة، فيندرج في الكبرى المستفادة من الآية الكريمة، كما حكي الاستدلال بها عن السيّد ميرداماد في شارع النجاة و الفيض في الوافى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حسن الصدر في رسالته ذكرى ذوى النهى في حرمة حلق اللحىَ‌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جعفر آل بحر العلوم في رسالته تحفة للطالب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مصباح الفقاهة بأنّه إن كان المراد بالتغيير في الآية المباركة تغييراً خاصّا فلاشبهة في حرمته على إجماله ولكن لادليل على كون المراد به ما يعمّ حلق اللحية، و إن كان المراد به مطلق التغيير فالكبرى ممنوعة، ضرورة عدم الدليل على حرمة تغيير الخلقة على وجه الإطلاق و إلاّ لزم القول بحرمة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التحقيق حول حلق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ذوى النهى في حرمة حلق اللحى،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دريك مساله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 تراشى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مصنوعاته تعالى حتّى بمثل جري الأنهار و غرس الأشجار و حفر الآبار و قطع الأخشاب و قلم الأظفار و غيرها من التغييرات في مخلوقاته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به تغيير دين الله الذي فطر الناس عليها وفاقاً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أعني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 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الشيخ في تفسير الآية أقوالاً شتّى و ليس منها مايعمّ حلق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الاستدلال بعدم وجود المقتضي أولى من الاستدلال بوجود المانع، فالأولى هو المنع عن الإطلاق من جهة أنّ الآية بقرينة سابقها و لاحقها تكون في مقام مذمّة مايدعوه المشركون من دون الله تعالى من الإناث و الشيطان المريد و بيان عداوة الشيطان و طغيانه و الإشارة إلى مقالاته الناشئة عن الطغيان و الأهواء الصادرة عن الفطرة التوحيديّة و المؤدّية إلى الشرك و التشريعات المحرّمة، فالآية ليست في مقام الإطلاق من ناحية ما أمره الشيطان بتغييره، بل الآية كما يشهد صدرها و ذيلها راجعة إلى حرمة التغييرات الناشئة عن إغواء الشيطان التي تؤدي إلى خلاف الفطرة التوحيديّة من الشرك و التشريعات المحرّمة فلاإطلاق لعدم إحراز كونه في مقام البيان، و هذا أولى من أن يقال إنّ الاطلاق يستلزم التخصيص الأكثر لما عرفت من أنّ الاستدلال بعدم وجود المقتضي مقدّم على الاستدلال بوجود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امكان دعوى الانصراف عن بعض الأمثلة المذكورة أو دعوى أنّ الخروج عنوانيّ لاأفراديّ فلايلزم التخصيص الأكثر كما أنّ ماذكرناه في وجه عدم الإطلاق أولى ممّا حكي عن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القصوى من أنّ الإنصاف هو عدم دلالة الآية لإمكان أن يكون المراد هو تغيير دين الله و المخالفة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أوامره و نواهيه كما رواه في مجمع البيان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الآية ليست في مقام بيان حكم التغيير و أنّه حلال أو حرام حتّى يمكن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التحقيق حول حلق اللحية لأخي الصديق الاُستاذى حفظه الله تعالى و وفّقه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تغيير خلق الله الذي يكون من أعمال الشيطان و آماله واضحة و لامجال للتشكيك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تأييد الاستدلال بالآية لحرمة حلق اللحية بما ورد عن العامّة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الواشرات و المتنمّصات و المستوشمات المغيرات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لظهورها في أنّ تحديد المرأة أسنانها و ترقيقها او أخذ شعر الجبين بخيط لنتفه أو غرز اليد بالأبرة ثم ذرّ النوؤر عليها من مصاديق تغيير خلق الله، و بما ورد عن العامّة أيضاً في مرئة خدشت وجهها و خرق جلدها مالها لعنها الله غيّرت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روى عن بن عباس و عكرمة من أنّ إخصاء الحيوان هو المراد من تغيير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روي عن ابن مسعود من أنّ المراد من تغيير خلق الله هو الوشم،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حكاه في رسالة التحقيق حول حلق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ضعاف لايمكن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الإطلاق كما عرفت لاينافي التصريح في بعض الموارد بأنّه من مصاديق تغيير خلق الله و عليه فيقتصر فيه على المقدار المتيقن، اللّهمّ إلاّ أن يستظهر من الموارد المذكورة عدم الخصوصية، فيتعدّي عن مواردها،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هذا المضمون الآيات المتعدّدة و مفادها هو وجوب الاتباع عن طريقة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الطريقة على ماورد في بعض الأخبار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عشرة أشياء خمسة منها في الرأس و خمسة منها في البدن، فأما التى في الرأس فأخذ الشارب و إعفاء اللحى و طمّ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السواك و الخلال، و أمّا التى في البدن فحلق الشعر من البدن و الختان و تقليم الاظفار و الغسل من الجنابة و الطهور بالماء، فهذه الحنفيّة الظاهرة التى جاء بها إبراهيم فلم تنسخ و لاتنسخ إلى يوم القيامة و هو قوله و اتّبع ملّة إبراهيم 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فمفاد الآية وجوب الاتباع عن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أخذ الشارب و إعفاء اللحى بحكم بعض الأخبار من طريقته فيجب إعفاء اللحى و أخذ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بأنّ أكثر الاُمور المذكورة من المستحبّات فمن الممكن أن يكون إعفاء اللحى منها كما أنّ أخذ الشارب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السيد اليزدى بأنّ اشتمال بعض الأخبار على بعض المستحبات و ذكر إعفاء اللحى في عدادها لايكون دليلاً على استحباب الإعفاء، لكون بعض آخر كغسل الجنابة و الختنة من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فلاوجه لرفع اليد عن ظهور الأمر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اليد عن ظهور الامر في الوجوب في بعض متعلّقه لقرينة لايوجب رفع اليد عنه في غير مورد القرينة كما في قوله اغتسل للجمعة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جزّه و قطعه أو عقصه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الحمّام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القصوى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bookmarkStart w:id="478" w:name="pg16065_152995"/>
    </w:p>
    <w:p>
      <w:pPr>
        <w:pStyle w:val="BookText"/>
        <w:rPr/>
      </w:pPr>
      <w:bookmarkEnd w:id="478"/>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أنّ الخبر المذكور الدال على أنّ من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إعفاء اللحى ضعيف لإرساله فلااعتبار له في تعيين الملة و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الإعفاء هو توفير الشعر و تكثيره و من المعلوم أنّه ليس بواجب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الآيات</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85450_1280447820"/>
      <w:bookmarkStart w:id="480" w:name="_Toc174"/>
      <w:bookmarkEnd w:id="479"/>
      <w:r>
        <w:rPr>
          <w:rtl w:val="true"/>
        </w:rPr>
        <w:t>الثاني</w:t>
      </w:r>
      <w:r>
        <w:rPr>
          <w:rtl w:val="true"/>
        </w:rPr>
        <w:t xml:space="preserve">: </w:t>
      </w:r>
      <w:r>
        <w:rPr>
          <w:rtl w:val="true"/>
        </w:rPr>
        <w:t>الروايات</w:t>
      </w:r>
      <w:r>
        <w:rPr>
          <w:rtl w:val="true"/>
        </w:rPr>
        <w:t>:</w:t>
      </w:r>
      <w:bookmarkEnd w:id="480"/>
    </w:p>
    <w:p>
      <w:pPr>
        <w:pStyle w:val="Heading5"/>
        <w:numPr>
          <w:ilvl w:val="4"/>
          <w:numId w:val="1"/>
        </w:numPr>
        <w:rPr/>
      </w:pPr>
      <w:bookmarkStart w:id="481" w:name="__RefHeading___Toc285452_1280447820"/>
      <w:bookmarkStart w:id="482" w:name="_Toc17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85454_1280447820"/>
      <w:bookmarkStart w:id="484" w:name="_Toc176"/>
      <w:bookmarkEnd w:id="483"/>
      <w:r>
        <w:rPr>
          <w:rtl w:val="true"/>
        </w:rPr>
        <w:t>منها</w:t>
      </w:r>
      <w:r>
        <w:rPr>
          <w:rtl w:val="true"/>
        </w:rPr>
        <w:t xml:space="preserve">: </w:t>
      </w:r>
      <w:r>
        <w:rPr>
          <w:rtl w:val="true"/>
        </w:rPr>
        <w:t>ما دلّ على اعفاء اللحى و حفّ الشوارب</w:t>
      </w:r>
      <w:bookmarkEnd w:id="484"/>
    </w:p>
    <w:p>
      <w:pPr>
        <w:pStyle w:val="BookText"/>
        <w:rPr/>
      </w:pPr>
      <w:r>
        <w:rPr>
          <w:rFonts w:ascii="Amiri" w:hAnsi="Amiri" w:eastAsia="Amiri" w:cs="Amiri"/>
          <w:color w:val="111111"/>
          <w:sz w:val="28"/>
          <w:sz w:val="28"/>
          <w:szCs w:val="28"/>
          <w:rtl w:val="true"/>
          <w:lang w:bidi="ar-SA"/>
        </w:rPr>
        <w:t>منها ما في جملة من الروايات من الأمر بإعفاء اللحى و حفّ الشوارب و النهي عن التشبّه بالمجوس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أرسله الصدوق جازماً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حفّوا الشوارب و اعفوا اللحى و لاتشبّهوا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طويل اللحية فقال ما كان على هذا لو هيّأ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لحيته فبلغ الرجل ذلك فهيّأ من لحيته بين اللحيتين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 هكذا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جزّوا لحاهم و وفّروا شواربهم و إنّا نحن نجزّ الشوارب و نعفي اللحاء و هى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ما رواه في معاني الأخبار حدّثنا الحسين بن إبراهيم بن أحمد بن هشام المكتب رضي الله عنه، قال حدّثنا محمّد بن جعفر الأسدي قال حدّثنا موسى بن عمران النخعي، عن عمّه الحسين بن يزيد، قال حدثني علي بن غراب، قال حدثني خير الجعافر جعفر بن محمّد عن أبيه عن جدّه عن أبيه عليهم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 أي أصلحه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لحيته معتدلة بين القصيرة و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رأسه و شاربه و اللحية أخذ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اللحى و لاتتشبّهوا بالمجوس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المضمون مرويّ عن طرق العامّة أيضاً كما روى البلاغي عن المسلم و الترمذي و النسائي في جوامعهم من الصحاح الستّة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احفوا الشوارب و اعفوا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البخاري عن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الشوارب و اعفوا اللحى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حنبل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اعفوا اللحى و جزّوا الشوارب و غيّروا شيبكم و لاتشبّهوا باليهود و 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مسلم 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جزّوا الشوارب و ارخوا اللحى و خالفوا 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البخارى و مسلم عن 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المشركين و وفّروا اللحى و احفوا الشوارب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مسند أحمد عن أبي هريرة قصّوا الشوارب و اعفوا اللحى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الكثيرة التى تكون بهذا المضمون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بهذه الروايات أنّ ظاهر الامر هو الوجوب و تركه و هو الضدّ العام محرّم و حيث إنّ الحلق من مصاديق الضدّ العام فهو محرّم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النهي عن التشبّه بالمجوس في حلق اللحية و مقتضى النهي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مصباح الفقاهة أوّلاً بأنّها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أنّها لاتدلّ على الوجوب لأنّ المامور به حينئذ هو الإعفاء و إبقاء اللحية بما لايزيد على القبضة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أخذ الشوارب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خذوا مكان جزّوا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229/2</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رسالة البلاغي في حرمة حلق اللحية، المطبوعة في رسالة التحقيق حول حلق اللحية لصديقنا الاُستاذي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ليس بواجب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بأنّ النهي عن التشبّه بالمجوس عقيب الإعفاء والإحفاء ظاهر في النهي عن مجموع الأمرين أي الحلق وترك الشوارب كما يصنعون، وأمّا فعل كلّ واحد منفرداً فليس بمحرّم إذ يحصل نفي التشبيه بفعل أي منهما، فيجوز أن يحلق الشارب و اللحية كما يجوز ان يعفى الشارب و اللحى فالمحرّم هو حلق اللحية و ترك الشوارب للتشبيه بالمجوس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أمّا عن الأوّل فبما أفاده الفاضل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 أن لاينبغي الترديد في صدور ماروي في ذلك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الإسناد، لاتّفاق الرواة من العامّة والخاصّة على نقله و شهرته بينهم و قيام القرائن عليه وليس مثل هذه الواقعة مّما يخفى على الناس أو يحتمل أوهام الرواة له، إذ لم يختلف أهل السيرة و المورّخون في أنّ جماعة من مجوس العجم جاوؤا رسلاً من جانب أمير اليمن لتبليغ رسالة سلطان العجم فقال لهم ما هذا الزيّ والهيئة، حلقتم اللحى وفتلتم الشوارب، فقالوا أمرنا ربّنا بذلك،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ربّي أمرني بالعكس، بإعفاء اللحى و إحفاء الشوارب، وبالجملة فصدوره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لاينبغي الشكّ فى إسناده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فالرواية مقطوعة الصدور في الجملة ولعلّه لذلك أسندها الصدوق رحمه الله تعالى إلى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الثاني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لاتتشبّهوا بالمجوس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واعفوا اللحى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و خالفوا المجوس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جزّوا الشوارب وارخوا اللحى في صحيح مسلم،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المشركين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وفّروا اللحى واحفوا الشوارب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المقصود هو النهي عن الحلق والأمر بالإعفاء من جهة كونه مقابلاً للحلق، فالتشبّه بالمجوس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بأدنى تغيير وتفاوت</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الكافي للمازندراني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الحلق محرّم، فمنع عنه باختيار مقابله و هو الإعفاء، و لايضرّ كون الإعفاء مستحبّاً بعد كونه مأموراً به للفرار من المحرّم وهو التشبّه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إليه يؤوّل مافي الوافي حيث قال ذكر الإعفاء عقيب الإحفاء ثمّ النهي عن التشبّه دليل على أنّ المراد بالإعفاء أن لايستأصل ويؤخذ منها من دون استقصاء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تأمّل في استفادة الحرمة من النهي عن التشبه بالمجوس فيما إذا يكن الداعي هو الدخول في زيّ المجوس و الخروج عن زىّ المسلمين أو التبعيّة عن المجوس والتقليد عنهم في الاُمور، لذكر نظير هذا التعليل غالباً في المكروهات، كقوله عليه السلام اكنسوا أفنيتكم ولاتشبّهوا باليهود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الشيب و لاتشبّهوا باليهود والنصارى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اعفوا اللحى و لاتشبّهوا باليهود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ازدياد اللحية على 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الثالث فبأنّ النهي هو مطلق التشبيه و هو بإطلاقه يشمل ما إذا حلق اللحية و لم يوفّر الشارب فإنّه يصدق عليه أنّه تشبه بالمجوس في حلق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المخالفة معهم تصدق بإعفاء اللحى ولو لم يوفّر الشارب، هذا مضافاً إلى ما في رسالة التحقيق حول حلق اللحية من أنّه لو كان المجموع محرّمة كفى أن يقال اعفوا اللحى والشوارب أو احفوا الشوارب و اللحى أو اعفوا الشوارب و احفوا اللحى إذ يرتفع المجموع بأحد هذه الصور، و يؤيّد ذلك ورود الأمر لكلّ واحد منفصلاً عن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لنا إشكال و هو أنّ موضوع الحرمة على تقدير التسليم هو التشبّه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401/1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423/1</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التحقيق حول حلق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بالمجوس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شيوع حلق اللحية في الجوامع الإسلاميّة لايبقى موضوع للتشبّه كما في ألبستهم فإنّ جملة منها كانت في الأزمنة المتقدمة مختصّة بالكفار و لذا اجتنب عنها المتّقون و الصالحون ولكن في زماننا هذا لااختصاص لها بهم فلاحزازة في لبسها اللّهمّ إلاّ أن يقال إنّ التشبه ليس علّة حتّى يكون الحكم دائراً مدار وجوده بل لعلّه هو الحكمة بمعنى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الحلق بحكمة عدم تشبّه المسلمين بالمجوس في صدر الإسلام فلاوجه لرفع اليد عن الحكم المذكور عند نفي التشبّه،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مطلقات اُخرى تدلّ على حرمة الحلق فلاوجه لرفع اليد عن إطلاقها مع انفصالها عن الأخبار الدالة على النهي عن التشبّه إذ إجمال أخبار التشبه لايسري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أنّ الحلق من أفعال أقوام مسخوا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مارواه في الكافي عن علي بن محمّد عن أبي على محمّد بن إسماعيل بن موسى بن جعفر، عن أحمد بن القاسم العجلي، عن أحمد بن يحيى المعروف بكرد،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خداهي عن عبد الله بن أيّوب، عن عبد الله بن هاشم، 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سبابتان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الشعبة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بها بيّاعي الجرّيّ و المارَ ماهي و الزمّار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لهم يا بيّاعي مسوخ بني اسرائيل و جند بني مروان فقام إليه فرات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الشرطة أوّل طائفة من الجيش تشهد الوقعة و الخميس الجيش سمّي به لأنّ الجيش مقسوم بخمسة أقسام المقدمة و الساقة و الميمنة و الميسرة و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بكسر الدال و تشديد الراء السوط و السبابة رأس السوط</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بكسر الجيم و تشديد الراء و الياء، نوع من السمك الذى لافلوس له و هكذا المار ماهي بفتح الراء و الزمّار بكسرالزاء و تشديد الميم و حكى عن إكمال الدين الزيار الزمير و الطافي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أحنف فقال يا أمير المؤمنين و ما جند بني مروان قال فقال له أقوام حلقوا اللحى و فتلوا الشوارب فمسخوا،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المسخ عذاب لايستحقّه إلاّ من ارتكب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في مصباح الفقاهة بأنّ الرواية و إن كانت ظاهرة في الحرمة إلاّ أنّها ضعيفة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الضعف هو مجهوليّة جمع من رواتها، ولكن قال العلامة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هذه الرواية في إكمال الدين و هي معتبرة من حيث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إنّي لم أجد الرواية المشتملة على قوله أقوام حلقوا اللحى و فتلوا الشوارب فمسخوا بسند آخر فيها اللّهمّ إلاّ أن يكون مقصوده هو الرواية غير المشتملة فإنّها قسمة منها فيحدس أنّهم روُوا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في دلالتها بأنّ ظاهرها عدم جواز حلق اللحية مع تفتيل الشوارب لامطلقاً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اشتراط المعيّة و المجموع يحتاج إلى مو نة زائدة و مقتضى الإطلاق عدمه، و عليه فظاهرها هو أنّ الأمرين مبغوضان فرفع اليد عن أحدهما بقرينة لايوجب رفع اليد عن حرمة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يؤوّل ماحكي عن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كون الحرمة بمجموع الحلق و الفتل معاً كاحتمال اختصاص الحكم ببني اسرائيل من الواهيات التي لايحتملها أهل العلم و من رزقه الله لحن الخطابات و مساق المحاورات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استبعده في المواهب حيث قال و يمكن المناقشة بأنّه لعلّه لارتكاب كلا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التحقيق لصديقنا آية الله الاُستاذي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إرشاد الطالب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ذكرى ذوى النهى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85" w:name="pg16065_153001"/>
    </w:p>
    <w:p>
      <w:pPr>
        <w:pStyle w:val="BookText"/>
        <w:rPr/>
      </w:pPr>
      <w:bookmarkEnd w:id="485"/>
      <w:r>
        <w:rPr>
          <w:rFonts w:ascii="Amiri" w:hAnsi="Amiri" w:eastAsia="Amiri" w:cs="Amiri"/>
          <w:color w:val="111111"/>
          <w:sz w:val="28"/>
          <w:sz w:val="28"/>
          <w:szCs w:val="28"/>
          <w:rtl w:val="true"/>
          <w:lang w:bidi="ar-SA"/>
        </w:rPr>
        <w:t>الأمرين إذ لعلّ المحرّم هو المجموع من حيث المجموع و فيه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يشكل على هذا الحديث بأنّه إنّما يدلّ على حرمة حلق اللحية بل تطويل الشارب أو أحدهما في شرع من قبلنا لا في شرعنا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عنه بأن ذكره عليه السلام ذلك في مقام الذمّ يدلّ على حرمتهما في هذه الشريعة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 بأنّه عليه السلام ليس في مقام ذمّ هذين الفعلين بل في مقام ذمّ المسوخ بهذا السبب كما أنّ مسوخ بني إسرائيل مسخوا لصيد السبت و ذكرهم هنا لايدلّ على تحريمه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يستفاد منه هو حرمته في الشرع السابق و لاإحراز بالنسبة إلى بقائها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العلامة البلاغي بأنّ مع احتمال نسخ الحرمة يمكن استصحاب الحرمة لوفرض قصور ما مضى و ما يأتي من الأحاديث عن إثبات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85456_1280447820"/>
      <w:bookmarkStart w:id="487" w:name="_Toc177"/>
      <w:bookmarkEnd w:id="486"/>
      <w:r>
        <w:rPr>
          <w:rtl w:val="true"/>
        </w:rPr>
        <w:t>منها</w:t>
      </w:r>
      <w:r>
        <w:rPr>
          <w:rtl w:val="true"/>
        </w:rPr>
        <w:t xml:space="preserve">: </w:t>
      </w:r>
      <w:r>
        <w:rPr>
          <w:rtl w:val="true"/>
        </w:rPr>
        <w:t>ما دلّ على أنّ حلق الحية يكون من المثلة</w:t>
      </w:r>
      <w:bookmarkEnd w:id="487"/>
    </w:p>
    <w:p>
      <w:pPr>
        <w:pStyle w:val="BookText"/>
        <w:rPr/>
      </w:pPr>
      <w:r>
        <w:rPr>
          <w:rFonts w:ascii="Amiri" w:hAnsi="Amiri" w:eastAsia="Amiri" w:cs="Amiri"/>
          <w:color w:val="111111"/>
          <w:sz w:val="28"/>
          <w:sz w:val="28"/>
          <w:szCs w:val="28"/>
          <w:rtl w:val="true"/>
          <w:lang w:bidi="ar-SA"/>
        </w:rPr>
        <w:t>ومنها مادلّ على أنّ حلق اللحية يكون من المثلة</w:t>
      </w:r>
    </w:p>
    <w:p>
      <w:pPr>
        <w:pStyle w:val="BookText"/>
        <w:rPr/>
      </w:pPr>
      <w:r>
        <w:rPr>
          <w:rFonts w:ascii="Amiri" w:hAnsi="Amiri" w:eastAsia="Amiri" w:cs="Amiri"/>
          <w:color w:val="111111"/>
          <w:sz w:val="28"/>
          <w:sz w:val="28"/>
          <w:szCs w:val="28"/>
          <w:rtl w:val="true"/>
          <w:lang w:bidi="ar-SA"/>
        </w:rPr>
        <w:t xml:space="preserve">و هو مارواه في المستدرك عن الجعفريّات، أخبرنا عبد الله، أخبرنا محمّد، حدثني موسى، حدّثنا أبي عن أبيه عن جدّه جعفر بن محمّد عن أبيه عن جدّه عليّ بن الحسين عن أبيه عن علي بن أبي طالب عليه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من المثلة و من مثّل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أوّلاً بضعف موسى بن اسماعيل بن موسى بن جعفر عليهما السلام اللّهمّ إلاّ أن يقول إنّه من مشايخ محمّد بن محمّد الأشعث الذى وثّقه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آداب 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التحقيق في حلق اللحية لصديقنا آية الله الاُستاذي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 بأنّ الأشعثيّات المعبّر عنها بالجعفريات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مباني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محمّد بن محمّد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وثّقه النجاشي و قال له كتاب الحج، ذكر فيه ما روته العامّة عن جعفر بن محمّد عليهما السلام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معتبراً إلاّ أنّه لم يصل إلينا و لم يذكره الشيخ في الفهرست و هو لاينطبق على ما هو موجود عندنا جزماً فأنّ الكتاب الموجود بأيدينا مشتمل على أكثر أبواب الفقه و ذلك الكتاب في الحج خاصّة و في خصوص ما روته العامّة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النجاشى و الشيخ في ترجمة اسماعيل بن موسى بن جعفر عليهم السلام من أنّ له كتباً يرويها عن أبيه عن آبائه منها كتاب الطهارة إلى آخر ما ذكراه فهو و إن كان معتبراً أيضاً فإنّ طريقهما إلى تلك الكتب هو الحسين بن عبيدالله عن سهل بن أحمد بن سهل عن محمّد بن محمّد الاشعث عن موسى بن إسماعيل بن موسى بن جعفر عن أبيه إسماعيل عن أبيه عن آبائهم عليهم السلام و الطريق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ذكراه لاينطبق على ما هو موجود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 بأيدينا مشتمل على كتاب الجهاد و كتاب التفسير و كتاب النفقات و كتاب الطبّ و المأكول و كتاب غير مترجم و هذه الكتب غير موجودة فيما ذكره النجاشي و الشيخ و كتاب الطلاق موجود فيما ذكراه و غير موجود فيما هو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المطمأنّ به إنّهما متغايران و لاأقلّ من أنّه لم يثبت الاتّحاد حيث إنّه لاطريق لنا إلى إثبات ذلك و أنّ الشيخ المجلسي و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يرويا عن ذلك الكتاب شيئاً و لم يصل الكتاب إليهما جزماً بل الشيخ الطوسي نفسه لم يصل إليه الكتاب و لذلك لم يرو عنه في كتابيه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إنّ الكتاب الموجود بأيدينا لايمكن الاعتماد عليه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أجاب عنه في جامع المدارك بأنّ عدم انطباق ماذكر اعتباره في كلام النجاشي و الشيخ على ما بأيدينا لايوجب عدم اعتبار ما بأيدينا بعد اشتهار انتساب ما بأيدينا إلى من وثّقه الشيخ و النجاشي و إلاّ لزم فتح باب الخدشة في الكتب المنسوبة إلى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اشتهار انتساب ما بأيدينا إلى من وثّقه النجاشي غير واضح هذا بخلاف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أفاده المحقق آية الله العظمى السيد موسى الزنجاني مدّ ظلّه أنّ الجعفريات و إن استند إليها بعض القدماء كصاحب الدعائم في كتابه الإيضاح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لااعتبار لها لموافقة رواياتها مع روايات العامّة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أنّ المثلة هو التنكيل بالغير بقصد هتكه و اهانته بحيث تظهر آثار فعل الفاعل لمنكّل به، و عليه فتكون الرواية دالّة على حرمة هتك الغير بإزالة لحيته لكون ذلك مثلة و المثلة محرّمة، فلاترتبط بحلق اللحية بالاختيار سواء كان ذلك بمباشرة نفسه أم بمباشرة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المثلة لاتكون قرينة على أنّ المراد من الحلق حلق لحية الغير، بل حلق اللحية مطلق يشمل حلق لحية نفسه و غيره و تنزيله بالمثله لايوجب أن يكون بيقصد التنكيل أو الإهانة، كما أنّ تنزيل شرب الخمر بعبادة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مقدّمة كتاب الجعفريات</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الإقبال أنّ هذا الكتاب كان عند ابن طاووس و إنّه كان مسمّى بالجعفريات عندهم و حكي عن بن شهر آشوب في المعالم أنّ إسماعيل بن موسى بن جعفر الصادق عليهما السلام سكن مصر و ولده بها كتبه الطهارة الصلاة الزكاة الصوم الحج الجنايز النكاح الطلاق الحدود الديات الدعاء السنن و الاداب الرؤيا، و قال العلامة في إجازته الكبيرة لبني زهرة المعروفة بين العلماء إلى يومنا هذا في مقام ذكر المصنفات و طريقه إليها و من ذلك كتاب الجعفريات و هي ألف حديث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الفحص عن اشتهاره و أما الموافقة للعامة فلايضرّ</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488" w:name="pg16065_153004"/>
    </w:p>
    <w:p>
      <w:pPr>
        <w:pStyle w:val="BookText"/>
        <w:rPr/>
      </w:pPr>
      <w:bookmarkEnd w:id="488"/>
      <w:r>
        <w:rPr>
          <w:rFonts w:ascii="Amiri" w:hAnsi="Amiri" w:eastAsia="Amiri" w:cs="Amiri"/>
          <w:color w:val="111111"/>
          <w:sz w:val="28"/>
          <w:sz w:val="28"/>
          <w:szCs w:val="28"/>
          <w:rtl w:val="true"/>
          <w:lang w:bidi="ar-SA"/>
        </w:rPr>
        <w:t>الصنم لايوجب أن يكون الشرب بقصد العبادة، و انطبقت المثلة في بعض الأخبار على حلق رأس نفسه كما في صحيحة البزنطي عن أبي الحسن عليه السلام قال قلت له إنّ أصحابنا يروُون أن حلق الرأس في غير حج و لاعمرة مثلة فقال كان أبوالحسن عليه السلام إذا قضى نسكه عدل إلى قرية يقال لها ساية فحلق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علي بن محمّد رفعه قال قلت لأبي عبد الله عليه السلام إنّ الناس يقولون حلق الراس مثلة فقال عليه السلام عمرة لنا و مثلة لأعدائنا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المثلة لاتشهد على أنّ المراد هو حلق لحية الغير و لاشاهد آخر على ذلك الحمل بل مقتضى الاطلاق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 أن اللعن كما يجتمع مع الحرمة فكذلك يجتمع مع الكراهة أيضاً فترجيح أحدهما على الآخر يحتاج إلى القرينة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هذا ورود اللعن على فعل المكروه في موارد عديدة و من تلك الموارد مافي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لعن الله ثلاثة آكل زاده وحده و راكب الفلاة وحده و النائم فى بيت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ضعف الرواية المذكورة أنّ الاستعمال مع العناية في غير المحرّم لاينافي ظهوره في المحرّم قال في إرشاد الطالب أنّ اللعن ليس هو البعد مطلقاً بل البعد الناشي عن الطرد و الغضب و هذا لايكون إلاّ مع حرمة الفعل و لايفرق في ذلك بين الإنشاء و الإخبار بكون الفاعل لكذا ملعوناً و مطروداً، حيث إنّه لو لم يكن فعله محرّماً فلاموجب لطرده و لعنه، و اللعن في مثل قوله ملعون من أخّر الصلاة محمول على مثل ما إذا كان التأخير للاستخفاف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285458_1280447820"/>
      <w:bookmarkStart w:id="490" w:name="_Toc178"/>
      <w:bookmarkEnd w:id="489"/>
      <w:r>
        <w:rPr>
          <w:rtl w:val="true"/>
        </w:rPr>
        <w:t>منها</w:t>
      </w:r>
      <w:r>
        <w:rPr>
          <w:rtl w:val="true"/>
        </w:rPr>
        <w:t xml:space="preserve">: </w:t>
      </w:r>
      <w:r>
        <w:rPr>
          <w:rtl w:val="true"/>
        </w:rPr>
        <w:t>ما دلّ على عدم جواز السلوك مسلك اعداء الدين</w:t>
      </w:r>
      <w:bookmarkEnd w:id="490"/>
    </w:p>
    <w:p>
      <w:pPr>
        <w:pStyle w:val="BookText"/>
        <w:rPr/>
      </w:pPr>
      <w:r>
        <w:rPr>
          <w:rFonts w:ascii="Amiri" w:hAnsi="Amiri" w:eastAsia="Amiri" w:cs="Amiri"/>
          <w:color w:val="111111"/>
          <w:sz w:val="28"/>
          <w:sz w:val="28"/>
          <w:szCs w:val="28"/>
          <w:rtl w:val="true"/>
          <w:lang w:bidi="ar-SA"/>
        </w:rPr>
        <w:t>ومنها مادلّ على عدم جواز السلوك مسلك أعداء الدين</w:t>
      </w:r>
    </w:p>
    <w:p>
      <w:pPr>
        <w:pStyle w:val="BookText"/>
        <w:rPr/>
      </w:pPr>
      <w:r>
        <w:rPr>
          <w:rFonts w:ascii="Amiri" w:hAnsi="Amiri" w:eastAsia="Amiri" w:cs="Amiri"/>
          <w:color w:val="111111"/>
          <w:sz w:val="28"/>
          <w:sz w:val="28"/>
          <w:szCs w:val="28"/>
          <w:rtl w:val="true"/>
          <w:lang w:bidi="ar-SA"/>
        </w:rPr>
        <w:t>مثل مارواه في التهذيب عن محمّد بن الحسن الصفار، عن إبراهيم بن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النوفلي عن السكوني عن جعفر عن أبيه عن آبائه عليهم السلام قال أوحى الله إلى نبي من الأنبياء أن قل لقومك لايلبسوا لباس أعدائي و لايطعموا طعام أعدائي و لايشاكلوا بمشاكل أعدائى فيكونوا أعدائي كماهم اعدائي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مارواه في المستدرك عن الراوندي في لب اللباب أوحى الله إلى نبيّ أن قل لقومك لاتطعموا مطاعم أعدائي و لاتشربوا مشارب أعدائي و لاتركبوا مراكب أعدائي و لاتلبسوا ملابس أعدائي و لاتسكنوا مساكن أعدائي فتكونوا أعدائي كما كان اولئك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رواه في المحاسن عن أبيه، عن عبد الله بن المغيرة و محمّد بن سنان، عن طلحة بن زيد، عن أبي عبد الله عن آبائه عليهم السلام أنّ علياً عليه السلام كان لاينخل له الدقيق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يقول لاتزال هذه الأمّة بخير ما لم يلبسوا لباس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يطعموا أطعمة العجم فإذا فعلوا ذلك ضربهم الله بالذلّ‌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طلحة بن زيد كتابه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أنّ المستفاد منها هو ممنوعيّة الاتصاف بأوصاف الأعداء و حيث إنّ من أوصافهم هو حلق اللحية فالحلق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على الأخبار المذكورة أوّلاً بضعفها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رواية طلحة بن زيد معتبرة، و لعلّ مقصود من رمي بالضعف هو رواية السكوني، و النوفلي ولكن السكوني موثق و النوفلي و إن لم يوثق ولكنه وقع في طرق كثيرة من الأخبار المروية في الكتب المعتبرة و هو كاف في و ثاقته و إلاّ لم ينقل عنه الأصحاب بهذه الكثرة، هذا مضافاً إلى أن ناشر رواياته هو ابراهيم بن هاشم و هو من القميين الذين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النوادر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الملابس في غير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الدقيق أي غربله و أخرج منه النخالة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هو غيرالعرب</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المآكل 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491" w:name="pg16065_153006"/>
    </w:p>
    <w:p>
      <w:pPr>
        <w:pStyle w:val="BookText"/>
        <w:rPr/>
      </w:pPr>
      <w:bookmarkEnd w:id="491"/>
      <w:r>
        <w:rPr>
          <w:rFonts w:ascii="Amiri" w:hAnsi="Amiri" w:eastAsia="Amiri" w:cs="Amiri"/>
          <w:color w:val="111111"/>
          <w:sz w:val="28"/>
          <w:sz w:val="28"/>
          <w:szCs w:val="28"/>
          <w:rtl w:val="true"/>
          <w:lang w:bidi="ar-SA"/>
        </w:rPr>
        <w:t>لم يتحمّلوا ضعاف الأخبار و لذا طعنوا على أحمد بن محمّد بن خالد البرقي بأنّه يروي عن الضعفاء و أخرجه أحمد بن محمّد بن عيسى عن قم ثم أعاده و 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السلوك مسلك أعداء الدين عبارة عن اتخاذ سيرتهم شعاراً و زيّاً و هذا لايتحقق بمجرّد الاتصاف بوصف من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أنّ لسان هذه الروايات هو الإرشاد إلى الواقعيات لأنّ التشبه بهم و لو من دون قصد اتّخاذ سيرتهم شعاراً و زيّاً يوجب كونهم معرضاً للتأثّر من أفكار الاعداء و مقاصدهم بحيث يساقون من حيث لايشعر إلى ما عليه الأعداء،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فيكونوا أعدائي كماهم أعدائي كقولنا لاتعاشر مع أهل الدنيا فتكون من أهل الدنيا كما هم أهل الدنيا، و من المعلوم أنّ الحكم الارشادي تابع لما يرشد إليه فالاتّصاف بماهو ليس بمحرم، ألا ترى أنّ مثل غربال الدقيق ليس بمحرّم و لذا لم أر أحدا يفتي بحرمة الغربال، نعم يختلف حكم ما يرشد اليه باختلاف الموارد شدّة و ضعفاً و ربّما يكون محرّماً</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85460_1280447820"/>
      <w:bookmarkStart w:id="493" w:name="_Toc179"/>
      <w:bookmarkEnd w:id="492"/>
      <w:r>
        <w:rPr>
          <w:rtl w:val="true"/>
        </w:rPr>
        <w:t>منها</w:t>
      </w:r>
      <w:r>
        <w:rPr>
          <w:rtl w:val="true"/>
        </w:rPr>
        <w:t xml:space="preserve">: </w:t>
      </w:r>
      <w:r>
        <w:rPr>
          <w:rtl w:val="true"/>
        </w:rPr>
        <w:t>ما اُمر فيه بترك الحلق</w:t>
      </w:r>
      <w:bookmarkEnd w:id="493"/>
    </w:p>
    <w:p>
      <w:pPr>
        <w:pStyle w:val="BookText"/>
        <w:rPr/>
      </w:pPr>
      <w:r>
        <w:rPr>
          <w:rFonts w:ascii="Amiri" w:hAnsi="Amiri" w:eastAsia="Amiri" w:cs="Amiri"/>
          <w:color w:val="111111"/>
          <w:sz w:val="28"/>
          <w:sz w:val="28"/>
          <w:szCs w:val="28"/>
          <w:rtl w:val="true"/>
          <w:lang w:bidi="ar-SA"/>
        </w:rPr>
        <w:t>ومنها ما اُمر فيه بترك الحلق</w:t>
      </w:r>
    </w:p>
    <w:p>
      <w:pPr>
        <w:pStyle w:val="BookText"/>
        <w:rPr/>
      </w:pPr>
      <w:r>
        <w:rPr>
          <w:rFonts w:ascii="Amiri" w:hAnsi="Amiri" w:eastAsia="Amiri" w:cs="Amiri"/>
          <w:color w:val="111111"/>
          <w:sz w:val="28"/>
          <w:sz w:val="28"/>
          <w:szCs w:val="28"/>
          <w:rtl w:val="true"/>
          <w:lang w:bidi="ar-SA"/>
        </w:rPr>
        <w:t xml:space="preserve">مثل مارواه في المستدرك عن الكازروني في المنتقى في حوادث السنة السادسة بعد أن ذكر كتابة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الملوك و أنّه كتب كسرى إلى عامل اليمن بازان أن يبعثه إليه و إنّه بعث كاتبه بانويه و رجل آخر يقال له خرخسك اليه قال و كانا قد 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حلقا لحاهما و اعفيا شواربهما فكره النظر اليهما و قال و يلكما من أمركما بهذا قالا أمرنا بهذا ربنا، يعنيان كسرى،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ربّي أمرني بإعفاء لحيتي وقصّ شاربي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ظاهر المقابلة هو الأمر بضدّ الحلق و الأمر ظاهر في الوجوب، هذا مضافاً إلى المذمّة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 xml:space="preserve">. </w:t>
      </w:r>
      <w:bookmarkStart w:id="494" w:name="pg16065_153007"/>
    </w:p>
    <w:p>
      <w:pPr>
        <w:pStyle w:val="BookText"/>
        <w:rPr/>
      </w:pPr>
      <w:bookmarkEnd w:id="494"/>
      <w:r>
        <w:rPr>
          <w:rFonts w:ascii="Amiri" w:hAnsi="Amiri" w:eastAsia="Amiri" w:cs="Amiri"/>
          <w:color w:val="111111"/>
          <w:sz w:val="28"/>
          <w:sz w:val="28"/>
          <w:szCs w:val="28"/>
          <w:rtl w:val="true"/>
          <w:lang w:bidi="ar-SA"/>
        </w:rPr>
        <w:t>الحلق و التوبيخ عليه بقوله و يلكما من أمر كما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الرواية ضعيفة اللّهمّ إلاّ أن يكتفى بما أفاده المحقق الشعراني من أنّ القصة مورد وفاق أهل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المأمور به إنّما هو الإعفاء و هو ليس بواجب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 ظاهر المقابلة هو الأمر بترك الحلق و اختيار الاعفاء من باب أفضل مصاديق ترك الحلق، هذا مضافاً إلى إمكان أن يراد من الاعفاء أوّل مراتب الوفورو التكثير الذي يكون موجباً لصدق اللحية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285462_1280447820"/>
      <w:bookmarkStart w:id="496" w:name="_Toc180"/>
      <w:bookmarkEnd w:id="495"/>
      <w:r>
        <w:rPr>
          <w:rtl w:val="true"/>
        </w:rPr>
        <w:t>و منها</w:t>
      </w:r>
      <w:r>
        <w:rPr>
          <w:rtl w:val="true"/>
        </w:rPr>
        <w:t xml:space="preserve">: </w:t>
      </w:r>
      <w:r>
        <w:rPr>
          <w:rtl w:val="true"/>
        </w:rPr>
        <w:t>مادلّ على أنّ الحلق من أعمال قوم لوط</w:t>
      </w:r>
      <w:bookmarkEnd w:id="496"/>
    </w:p>
    <w:p>
      <w:pPr>
        <w:pStyle w:val="BookText"/>
        <w:rPr/>
      </w:pPr>
      <w:r>
        <w:rPr>
          <w:rFonts w:ascii="IRNazanin" w:hAnsi="IRNazanin" w:eastAsia="IRNazanin"/>
          <w:color w:val="111111"/>
          <w:sz w:val="28"/>
          <w:sz w:val="28"/>
          <w:szCs w:val="28"/>
          <w:rtl w:val="true"/>
          <w:lang w:bidi="fa-IR"/>
        </w:rPr>
        <w:t>ومنها مادلّ على أنّ الحلق من أعمال قوم لوط</w:t>
      </w:r>
    </w:p>
    <w:p>
      <w:pPr>
        <w:pStyle w:val="BookText"/>
        <w:rPr/>
      </w:pPr>
      <w:r>
        <w:rPr>
          <w:rFonts w:ascii="Amiri" w:hAnsi="Amiri" w:eastAsia="Amiri" w:cs="Amiri"/>
          <w:color w:val="111111"/>
          <w:sz w:val="28"/>
          <w:sz w:val="28"/>
          <w:szCs w:val="28"/>
          <w:rtl w:val="true"/>
          <w:lang w:bidi="ar-SA"/>
        </w:rPr>
        <w:t xml:space="preserve">روى السيوطى في جامعة عن ابن عساكر مرسلاً عن الحسن المجتبى عليه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عمل بها قوم لوط فاُهلكوا و عدّ منها 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 و طول الشارب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سوق الكلام إنّ كل واحد من المذكورات منكر محرّم له أثر في استحقاق الهلاكة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الرواية ضعيفة و إن تصلح للتأييد لما 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ابن إدريس في آخر السرائر نقلاً عن كتاب البزنطي صاحب الرضا عليه آلاف التحيّة و الثناء قال و سألته عن الرجل هل يصلح له أن يأخذ من لحيته قال أمّا من عارضيه فلابأس و أمّا من مقدّمها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الحميري في قرب الاسناد عن عبد الله بن الحسن عن علي بن جعفر عن أخيه مثله، و رواه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اُصول الكافي للمازندراني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الشعر والصوف والظفر وغيرها أي قطع منها بالمقض أي المقراض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420/1</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جعفر في كتابه إلاّ أنّه قال في آخره فلايأخذ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العارض صفحة الخدّ، جانب الوجه امرأة نقية العارض أي نقية عرض الفم كقوله أتذكر يوم تصقل عارضيها، قال أبو نصر يعنى به الأسنان ما بعد الثنايا و الثنايا ليست من العارض، و قول الناس فلان خفيف العارضين فيه حذف، و الأصل فلان خفيف شعر العارضين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فالرواية تدلّ على منع الأخذ من مقدّم اللحية و هو بإطلاقه يشمل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أوّلاً بأنّ إسناد ابن ادريس إلى جامع البزنطي غير معروف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الكتاب معروف في عصره و لاحاجة إلى معروفيّة إسناده إليه مع أنّ بن إدريس ممّن لم يعمل بخبر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نقله في كتاب علي بن جعفر و سند الشيخ إلى الكتاب المزبور صحيح فلااشكال في اعتبار الرواية، قال آية الله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عالية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ظاهرالرواية حرمة الأخذ من مقدّم اللحية ولو لم يصدق عليه الحلق و هذا لايمكن الالتزام به و حمله على جواز حلق العارضين دون مقدّم اللحية بلاقرينة غير 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اطلاق جواز الأخذ في العارضين يقتضى جواز الأخذ ولو بنحو الحلق كما أنّ إطلاق عدم جواز الأخذ في مقدم اللحية يقتضي عدم جواز الأخذ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ينصرف عن الزائد عن القبضة بقي الباقي و هو إمّا الحلق و إما ما يشبه الحلق و أمّا الأقلّ من القبضة و يرفع اليد عن هذا الإطلاق بما ثبت بالضرورة من عدم حرمة الأقل من القبضة فبقي الباقي على 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عدم جواز الأخذ من اللحية في جانب مقدّم اللحية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للفيّومي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رسالة التحقيق لصديقي آية الله الاُستاذي مدّ ظلّه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 فيتقيّد بالنصوص و الضرورة و لاإشكال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لقائل أن يقول ظاهر السئوال في الرواية هو السئوال عن إصلاح اللحية لأنّ الأخذ من اللحية، غير أخذ اللحية، 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التبعيض فالجواب ظاهر في جواز إصلاح العارضين دون مقدّم اللحية و عليه فلايدلّ على عدم جواز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لايمكن الحكم بعدم جواز إصلاح مقدّم اللحية فليحمل على النهي التنزيهي عن إصلاح المقدّم و إطلاقه يتقيّد بما زاد على القبضة فأخذ اللحية من المقدّم مكروه مالم يبلغ 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إليه يؤول ما أفادة آية الله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دلالتها متوقّفة على كون الأخذ الذي رخّص فيه في العارضين هو الحلق و نحوه في موضع التحسين الذي هو فوق اللحية من العارضين لكي يبقي البأس في الأخذ من مقدّمها و النهي عنه سالماً عمّا يصرفه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الأخذ بمعنى الإصلاح بالمقراض من نفس اللحية فهو إن جاز في العارضين جاز في مقدّم اللحية، فيحمل البأس و النهي على الكراهة نظرا إلى أن توفير اللحية في طولها أهمّ منه في عرضها و لايصح أن يجعل الأخذ المرخّص به في العارضين هو إصلاح اللحية بالمقراض و الذي فيه البأس و التحريم هو الحلق و شبهه و ذلك لأنّ الأخذ المسئول عنه و وقع الجواب عنه هو واحد بمراد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بماورد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عون عن أبي نجران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لايكلّمهم الله يوم القيامة و لاينظر اليهم و لايزكّيهم و لهم عذاب أليم الناتف شيبه و الناكح نفسه و المنكوح في دبره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 إنّ نتف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التحقيق حول حلق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97" w:name="pg16065_153010"/>
    </w:p>
    <w:p>
      <w:pPr>
        <w:pStyle w:val="BookText"/>
        <w:rPr/>
      </w:pPr>
      <w:bookmarkEnd w:id="497"/>
      <w:r>
        <w:rPr>
          <w:rFonts w:ascii="Amiri" w:hAnsi="Amiri" w:eastAsia="Amiri" w:cs="Amiri"/>
          <w:color w:val="111111"/>
          <w:sz w:val="28"/>
          <w:sz w:val="28"/>
          <w:szCs w:val="28"/>
          <w:rtl w:val="true"/>
          <w:lang w:bidi="ar-SA"/>
        </w:rPr>
        <w:t>الشيب غير حلق اللحية، وثانياً إنّ الخبر ضعيف لجهالة عبدالرحمن بن عون، أو عوف و احتمال زيادة عون أو عوف و كون الراوي هو عبدالرحمن بن أبي نجران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دعوى عدم وجود عبدالرحمن بن عوف مندفعة بوجوده في جامع الرواة، وثالثاً إنّه محمول على الكراهة جمعاً بينه و بين موثقة ابن سنان لابأس بجزّ الشمط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نتفه و جزّه أحبّ اليّ من نتفه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ابن فضّال لابأس بجزّ الشمط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نتفه من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السكوني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لايرى بجزّ الشيب بأساً و يكره نتفه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في الاستدلال بحديث الأربعمأة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لاينتف الشيب فإنّه نور للمسلم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التعليل يساعد الحكم التنزيهي لاالتحريمي</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85464_1280447820"/>
      <w:bookmarkStart w:id="499" w:name="_Toc181"/>
      <w:bookmarkEnd w:id="498"/>
      <w:r>
        <w:rPr>
          <w:rtl w:val="true"/>
        </w:rPr>
        <w:t>الثالث</w:t>
      </w:r>
      <w:r>
        <w:rPr>
          <w:rtl w:val="true"/>
        </w:rPr>
        <w:t xml:space="preserve">: </w:t>
      </w:r>
      <w:r>
        <w:rPr>
          <w:rtl w:val="true"/>
        </w:rPr>
        <w:t>السيرة القطعية من المتشرّعة</w:t>
      </w:r>
      <w:bookmarkEnd w:id="499"/>
    </w:p>
    <w:p>
      <w:pPr>
        <w:pStyle w:val="BookText"/>
        <w:rPr/>
      </w:pPr>
      <w:r>
        <w:rPr>
          <w:rFonts w:ascii="Amiri" w:hAnsi="Amiri" w:eastAsia="Amiri" w:cs="Amiri"/>
          <w:color w:val="111111"/>
          <w:sz w:val="28"/>
          <w:sz w:val="28"/>
          <w:szCs w:val="28"/>
          <w:rtl w:val="true"/>
          <w:lang w:bidi="ar-SA"/>
        </w:rPr>
        <w:t>الثالث السيرة القطعية من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مصباح الفقاهة تدلّ على ذلك أيضاً السيرة القطعية بين المتديّنين المتصلة إلى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ملتزمون بحفظ اللحية و يذمّون حالقها بل يعاملونه معاملة الفسّاق في الاُمور التى تعتبر فيها العدالة و يؤيّد ما ذكرناه دعوى الإجماع عليه كما في كلمات جملة من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آية الله البلاغي أيضاً لاينبغي الريب في أنّ المتشرعين من أوّل الإسلام إلى هذا الزمان يعرف من أمرهم أنّ حلق اللحية عندهم من المنكرات في دين الاسلام لايرتكبه إلاّ متّبع الهوى و الشهوات و من لايقف عند حدود الشريعة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الشبيب 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 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لايبالي بنكير أهل الدين مضافاً إلى أنّه لم يعرف قول عالم يعتدّ به بجواز حلق اللحية و نحوه و كفى بذلك دليلاً ينادي بتسالم المسلمين في أجيالهم على الحرمة و أخذهم لها بالتسليم يداً عن يد إلى مصدر الشريعة المطهّرة هذا، مضافاً إلى استفادة نقل الإجماع من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عقائد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الأوّل و يؤيّده أنّه لم ينقل تجويزه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عليهم السلام ولو كان جائزاً لفعلوه مرّة لبيان الجواز كما في كثير من المكروهات أو وقع منهم الرخصة لأحد، مع أنّه معلوم منهم متواتراً بل من أصحابهم المداومة على جزّ الشارب و إعفاء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صاحب المواهب حيث قال ربما بلغ من الاستهجان مبلغاً يتّبعه التقبيح و التشنيع و العار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هبة الدين الشهرستاني حيث قال و تشهد أيضاً بالتحريم السيرة المستمرة من علمائنا الأعلام إلى زمان ائمّتنا الكرام و هذا تسمّى إجماعا عملياً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احتمال حدوث ارتكاز المتشرعة أخيراً بسبب الرجوع إلى جماعة أفتوا بحرمته فلايحرز إنتهاء هذا الارتكاز إلى عصر الشارع ساقط جدّا، مع معلومية السيرة جميع العصور، و يؤيّده عدم وجود الفتوى قبل القرن السابع في أيدي المتشرعة و مع ذلك يجتنبون عن الحلق و من حلق بالارتكاز و من المعلوم أنّ الارتكاز ينافي التقليد،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انّ جمعاً من المسلمين في كلّ عصر حلقوا لحاهم فكيف تدعى سيرة المسلمين على ذلك لأنّا نقول موضوع السيرة هم المتشرّعة فالذين كانوا لايبالون خارجون عن الموضوع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 إنّ السيرة لاتدلّ على الحرمة لأنّا نقول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حلق اللحية للأستاذى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حلق اللحية للاستاذى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حول حلق اللحية للاستاذى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500" w:name="pg16065_153012"/>
    </w:p>
    <w:p>
      <w:pPr>
        <w:pStyle w:val="BookText"/>
        <w:rPr/>
      </w:pPr>
      <w:bookmarkEnd w:id="500"/>
      <w:r>
        <w:rPr>
          <w:rFonts w:ascii="Amiri" w:hAnsi="Amiri" w:eastAsia="Amiri" w:cs="Amiri"/>
          <w:color w:val="111111"/>
          <w:sz w:val="28"/>
          <w:sz w:val="28"/>
          <w:szCs w:val="28"/>
          <w:rtl w:val="true"/>
          <w:lang w:bidi="ar-SA"/>
        </w:rPr>
        <w:t>الالتزام بعدم الحلق و مذمّة مَن حلق و المعاملة معه معاملة الفساق يشهد على أنّ المتشرعة تركوا الحلق من باب أنّه من المحرّمات و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أنّ القول بالحرمة لولم يكن أقوى يكون موافقاً للاحتياط</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85466_1280447820"/>
      <w:bookmarkStart w:id="502" w:name="_Toc182"/>
      <w:bookmarkEnd w:id="501"/>
      <w:r>
        <w:rPr>
          <w:rtl w:val="true"/>
        </w:rPr>
        <w:t>الجهة الثالثة</w:t>
      </w:r>
      <w:r>
        <w:rPr>
          <w:rtl w:val="true"/>
        </w:rPr>
        <w:t xml:space="preserve">: </w:t>
      </w:r>
      <w:r>
        <w:rPr>
          <w:rtl w:val="true"/>
        </w:rPr>
        <w:t>في موضوع الحرمة</w:t>
      </w:r>
      <w:bookmarkEnd w:id="502"/>
    </w:p>
    <w:p>
      <w:pPr>
        <w:pStyle w:val="BookText"/>
        <w:rPr/>
      </w:pPr>
      <w:r>
        <w:rPr>
          <w:rFonts w:ascii="Amiri" w:hAnsi="Amiri" w:eastAsia="Amiri" w:cs="Amiri"/>
          <w:color w:val="111111"/>
          <w:sz w:val="28"/>
          <w:sz w:val="28"/>
          <w:szCs w:val="28"/>
          <w:rtl w:val="true"/>
          <w:lang w:bidi="ar-SA"/>
        </w:rPr>
        <w:t>في موضوع الحرمة و قد عرفت أنّ الأخبار تدلّ في الجملة على أنّ المحرّم هو الحلق، و من المعلوم أنّ المقصود من الحلق هو إعدام اللحية و عليه فلاتختصّ الحرمة بالحلق بالموسى، بل يشمل الإزالة و نتفها بأيّ آلة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لاحرمة لأكل شيء من أول البلوغ ليمنع عن ظهور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حلق و عصى فهل يجوز له بعد الحلق المنع عن ظهور اللحية بإمرار موسى كلّ يوم قبل أن يصدق اللحية أو لايجوز؟ يمكن أن يقال إنّ إمرار الموسى قبل صدق اللحية، لايكون حلق فلايشمله الأدلة الدالة على حرمة الحلق بمعناه المصدري اللّهمّ إلاّ أن يقال إنّ المستفاد من الأدلة هو أنّ الواجب وجود اللحية ممّن له شأنية اللحية كما يشهد له السيرة على مذمّة مَن حلق بنحو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يجوز حلق بعض اللحية أو لايجوز؟ يمكن أن يقال إنّ اللحية من شعرالخدّين و الذقن و مقتضى النهي عن حلقها هو حرمة إزالة شعر الخدّين و الذقن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الزجر عن طبيعة حلق اللحية يقتضي الاجتناب عن جميع ما يصدق عليه اللحية بنحو الاستغراق، و احتمال كون اللحية اسم لمجموع ما نبت على الخدّين و الذقن، فالمحرّم هو حلق المجموع لاحلق كلّ جزء، مندفع بصدق اللحية على كل جزء جزء من دون عناية و لايختصّ صدقه بوجود المجموع، و عليه فالنهي يفيد الاستغراق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مورد أنّه من اللحية أم لاجاز حلقه لإصالة البرائة بعد كون الشكّ في حدود المفهوم و الشبهة مفهوميّة</w:t>
      </w:r>
      <w:r>
        <w:rPr>
          <w:rFonts w:eastAsia="Amiri" w:cs="Amiri" w:ascii="Amiri" w:hAnsi="Amiri"/>
          <w:color w:val="111111"/>
          <w:sz w:val="28"/>
          <w:szCs w:val="28"/>
          <w:rtl w:val="true"/>
          <w:lang w:bidi="ar-SA"/>
        </w:rPr>
        <w:t xml:space="preserve">. </w:t>
      </w:r>
      <w:bookmarkStart w:id="503" w:name="pg16065_153013"/>
    </w:p>
    <w:p>
      <w:pPr>
        <w:pStyle w:val="Heading3"/>
        <w:numPr>
          <w:ilvl w:val="2"/>
          <w:numId w:val="1"/>
        </w:numPr>
        <w:rPr/>
      </w:pPr>
      <w:bookmarkStart w:id="504" w:name="__RefHeading___Toc285468_1280447820"/>
      <w:bookmarkStart w:id="505" w:name="_Toc183"/>
      <w:bookmarkEnd w:id="503"/>
      <w:bookmarkEnd w:id="504"/>
      <w:r>
        <w:rPr>
          <w:rtl w:val="true"/>
        </w:rPr>
        <w:t>الجهة الرابعة</w:t>
      </w:r>
      <w:r>
        <w:rPr>
          <w:rtl w:val="true"/>
        </w:rPr>
        <w:t xml:space="preserve">: </w:t>
      </w:r>
      <w:r>
        <w:rPr>
          <w:rtl w:val="true"/>
        </w:rPr>
        <w:t>في مقدار اللحية</w:t>
      </w:r>
      <w:bookmarkEnd w:id="505"/>
    </w:p>
    <w:p>
      <w:pPr>
        <w:pStyle w:val="BookText"/>
        <w:rPr/>
      </w:pPr>
      <w:r>
        <w:rPr>
          <w:rFonts w:ascii="Amiri" w:hAnsi="Amiri" w:eastAsia="Amiri" w:cs="Amiri"/>
          <w:color w:val="111111"/>
          <w:sz w:val="28"/>
          <w:sz w:val="28"/>
          <w:szCs w:val="28"/>
          <w:rtl w:val="true"/>
          <w:lang w:bidi="ar-SA"/>
        </w:rPr>
        <w:t>في مقدار اللحية قال في مصباح الفقاهة أمّا مقدار اللحية في جانب القلّة فلم يرد في تحديده نصّ خاصّ‌، فالمدار في ذلك هو الصدق العرفي بوجود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أوّل مراتب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مقدار المتوسّط أو القبضة و يدلّ عليه 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اعفوا اللحى و لاتشبّهوا باليهود، بناء على أنّ وجه المنع عن التشبه هو طول لحية اليهود، فالمطلوب هو عدم الطول و مرسلة يونس عن بعض أصحابه عن أبي عبد الله عليه السلام في قدر اللحية قال تقبض بيدك على اللحية و تجزّ بأفضل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هشام بن المثنّى عن سدير الصيرفي قال رأيت أبا جعفر عليه السلام يأخذ عارضيه و يبطن لحيته،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الفقيه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رجل طويل اللحية فقال ما كان على هذا لو هيّأ من لحيته فبلغ الرجل ذلك فهيّأ من لحيته بين اللحيتين ثمّ دخل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 هكذا فافعلوا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لم يعلم حدّ المتوسط، اللّهمّ إلاّ أن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فهيّأ من لحيته بين اللحيتين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المتوسط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الزائد على القبضة فهو مكروه و يدلّ عليه أخبار منها مرسلة محمّد بن أبي حمزة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مازاد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ففي النار يعني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خبر معلى بن خنيس عن أبي عبد الله عليه السلام قال مازاد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607/16</w:t>
      </w:r>
      <w:r>
        <w:rPr>
          <w:rFonts w:eastAsia="Amiri" w:cs="Amiri" w:ascii="Amiri" w:hAnsi="Amiri"/>
          <w:color w:val="111111"/>
          <w:sz w:val="28"/>
          <w:szCs w:val="28"/>
          <w:rtl w:val="true"/>
          <w:lang w:bidi="ar-SA"/>
        </w:rPr>
        <w:t xml:space="preserve">. </w:t>
      </w:r>
      <w:bookmarkStart w:id="506" w:name="pg16065_153014"/>
    </w:p>
    <w:p>
      <w:pPr>
        <w:pStyle w:val="BookText"/>
        <w:rPr/>
      </w:pPr>
      <w:bookmarkEnd w:id="506"/>
      <w:r>
        <w:rPr>
          <w:rFonts w:ascii="Amiri" w:hAnsi="Amiri" w:eastAsia="Amiri" w:cs="Amiri"/>
          <w:color w:val="111111"/>
          <w:sz w:val="28"/>
          <w:sz w:val="28"/>
          <w:szCs w:val="28"/>
          <w:rtl w:val="true"/>
          <w:lang w:bidi="ar-SA"/>
        </w:rPr>
        <w:t>من اللحية عن القبضة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لايخفى أنّ ظاهر الرواية أنّ مازاد من اللحية في النار لاصاحب مازاد و هو قرينة الكراهة، ومنها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جاوز القبضة من مقدّم اللحية فجزّوه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مرسلة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على اللحية و تجزّ مافضل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285470_1280447820"/>
      <w:bookmarkStart w:id="508" w:name="_Toc184"/>
      <w:bookmarkEnd w:id="507"/>
      <w:r>
        <w:rPr>
          <w:rtl w:val="true"/>
        </w:rPr>
        <w:t>الجهة الخامسة</w:t>
      </w:r>
      <w:r>
        <w:rPr>
          <w:rtl w:val="true"/>
        </w:rPr>
        <w:t xml:space="preserve">: </w:t>
      </w:r>
      <w:r>
        <w:rPr>
          <w:rtl w:val="true"/>
        </w:rPr>
        <w:t>في حكم أخذ الشوارب</w:t>
      </w:r>
      <w:bookmarkEnd w:id="508"/>
    </w:p>
    <w:p>
      <w:pPr>
        <w:pStyle w:val="BookText"/>
        <w:rPr/>
      </w:pPr>
      <w:r>
        <w:rPr>
          <w:rFonts w:ascii="Amiri" w:hAnsi="Amiri" w:eastAsia="Amiri" w:cs="Amiri"/>
          <w:color w:val="111111"/>
          <w:sz w:val="28"/>
          <w:sz w:val="28"/>
          <w:szCs w:val="28"/>
          <w:rtl w:val="true"/>
          <w:lang w:bidi="ar-SA"/>
        </w:rPr>
        <w:t>في حكم أخذ الشوارب، هنا أخبار منها مرسلة الصدوق عن الصادق عليه السلام قصّها إذا طالت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خبر علي بن غراب عن جعفر بن محمّد عن آبائه عليهم السلام عن رسول الله صلّى الله عليه و آله وسلّم حُفُّوا الشوارب و اعفُوا اللحى و لاتشبّهوا باليهود، ومنها خبر حبابة الوالبية أقوام حلقوا اللحى و فتلوا الشوارب فمسخوا،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مارواه السيوطي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عمل بها قوم لوط فاهلكوا وعدّ منها قصّ اللحية و طول الشارب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مارواه في المستدرك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ربّي أمرني بإعفاء لحيتي وقصّ شاربي،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رواه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أنهكوا الشوارب و اعفوا اللحى،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مارواه أحمد بن حنبل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اعفوا اللحى و جزّوا الشوارب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606/16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607/16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 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608/16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البخارى </w:t>
      </w:r>
      <w:r>
        <w:rPr>
          <w:rFonts w:eastAsia="IRNazanin" w:cs="IRNazanin"/>
          <w:color w:val="111111"/>
          <w:sz w:val="28"/>
          <w:szCs w:val="28"/>
          <w:lang w:bidi="fa-IR"/>
        </w:rPr>
        <w:t>206/7</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المراد من الحف و القصّ و الجزّ هو الأخذ من الشوارب كما إنّ المراد من الانهاك هو المبالغة في الأخذ من الشوارب و الشارب على ما في أقرب الموارد هو ماينبت من الشعر على الشفة العليا من الانسان و ما سال على الفم من الشعر من يمين السَبَلة أي الدائرة وسط الشفة العليا و شمالها كل من الطرفين شارب و ثنّاهما الكلابيون فقالوا شاربان، وما طال من ناحية السبلة و السبلة كلّها شارب و لايثنّى بهذا الإعتبار ولكن يجمع باعتبار أطرافه و أجزائه ج شوارب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و الشارب على ما في فقه اللغة للثعالبي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مصباح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يسيل على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شاربا الرجل ناحيتا سبلته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الشاربان ماطال من ناحيتي السبلة و منه سمّى شارب السيف و بعض يسمّي السبلة كلّها شارباً واحداً و ليس بصواب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تهذيب اللغة و عن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الشاربان ماطال من ناحيتى 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أن كفى العرف موؤنة ذلك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تاج العروس و الشوارب ماسال على الفم من الشعر إلى أن قال و الشاربان على ما في التهذيب و غيره ما طال من ناحية السبلة أو السبلة كلّها شارب واحد قاله بعضهم وليس بصواب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لفظ الشوارب يطلق على ماسال على الفم من الشعر و على ماطال من الطرفين بل يطلق على ماينبت من الشعر على الشفة من دون طول أو سيلان على ماعرفت من تصريح الثعالبي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الأخبار وجوب القطع و الجزّ لظهور الامر في الوجوب، مضافاً إلى النهي عن الإطالة و التفتيل، ولكن يرفع اليد عنه بمثل موثقة علي بن جعفر عن أخيه أبي الحسن عليه السلام قال سألته عن قصّ الشارب أمن السنّة قال نعم و رواه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328/11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جعفر في كتابه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السنّة هي الاحكام الاستحبابية و التنزيهية، و بمثل معتبرة السكوني عن أبي عبد الله عليه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تأخذ من الشارب حتّى يبلغ الإطار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الإطار حرف الشفة الأعلى الذي يحول بين منابت الشعر و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التعليل في معتبرة السكوني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لايطوّلنّ أحدكم شاربه فإنّ الشيطان يتّخذه مخبئاً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إسماعيل بن مسلم عن جعفر بن محمّد عن آبائه عليهم السلام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لايطوّلنّ أحدكم شاربه و لاشعر إبطيه و لاعانته فإنّ الشيطان يتّخذها مخبئاً يستتر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يناسب كراهة الإطالة لاعدم جوازها، كما يؤيده عدم حرمة إطالة شعر الإبط و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الأخبار الدالّة على ترتّب الامان من الجذام و زيادة الرزق على أخذ الشارب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على عدم اللزوم، فإنّ لسان مثل هذه الأحاديث هو لسان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خبر الكناني قال سالت أبا عبد الله عليه السلام عن الرجل يريد الحجّ أيأخذ شعره في أشهر الحج فقال لاو لا من لحيته لكن يأخذ من شاربه و من أظفاره و ليطل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قوله، و ليطل إن شاء إلى فعل الأخذ، لاإلى خصوص الأضفار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ذهب المشهور إلى كراهة الإطالة و استحباب الأخذ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الجمعة و آدابها</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الشارب،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أخذ الشارب من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المجلسي إنّ أخذ الشارب، يعني أخذ شعر الشفة العليا من أصله سنّة مؤكّدة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فاحتمال الحرمة و مراعاة الاحتياط كما في روضة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الأخبار الدالة على النهي عن الإطالة هو كراهة الإطالة و إنّها لاترفع إلاّ بأن يؤخذ الشارب إلى أن يصل إلى الإطار، كما يشهد له معتبرة السكوني،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تأخذ من الشارب حتّى يبلغ الإطار،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الإطار حرف الشفة الأعلى، الذي يحول بين منابت الشعر و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عبدالله بن عثمان أنّه رأى أبا عبد الله عليه السلام، أنّه أحفى شاربه حتّى ألصقه بالعسيب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العسيب منبت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الأخبار الدالّة على الأمر بأخذ الشارب و المبالغة فيه هو استحباب أخذ مانبت على الشفة العليا، و لو لم يسل على الفم، و لم يطل من نواحي السبلة، لصدق الشارب على شعر الشفة العليا،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ترك مانبت على الشفة العليا ولم يأخذه لم يفعل مكروهاً، ما لم يسل و لم يطل، بل هو ترك أمراً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أنّ الإطالة تصدق عليها عند كثرتها و لولم يسل على الفم و لم يطل من النواحي، فيشملها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لايطوّلنّ أحدكم شاربه، و مقتضاه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لوكان بمقدار لايصدق عليه الإطالة فهو غير مكروه و إن استحبّ أخذه و المبالغة فيه،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ط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المتقين آداب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bookmarkStart w:id="509" w:name="pg16065_153018"/>
    </w:p>
    <w:p>
      <w:pPr>
        <w:pStyle w:val="Heading3"/>
        <w:numPr>
          <w:ilvl w:val="2"/>
          <w:numId w:val="1"/>
        </w:numPr>
        <w:rPr/>
      </w:pPr>
      <w:bookmarkStart w:id="510" w:name="__RefHeading___Toc285472_1280447820"/>
      <w:bookmarkStart w:id="511" w:name="_Toc185"/>
      <w:bookmarkEnd w:id="509"/>
      <w:bookmarkEnd w:id="510"/>
      <w:r>
        <w:rPr>
          <w:rtl w:val="true"/>
        </w:rPr>
        <w:t>الجهة السادسة</w:t>
      </w:r>
      <w:r>
        <w:rPr>
          <w:rtl w:val="true"/>
        </w:rPr>
        <w:t xml:space="preserve">: </w:t>
      </w:r>
      <w:r>
        <w:rPr>
          <w:rtl w:val="true"/>
        </w:rPr>
        <w:t>في حلق الرأس، يدل على استحبابه روايات يستثنى من استحباب حلق الرأس موارد</w:t>
      </w:r>
      <w:bookmarkEnd w:id="511"/>
    </w:p>
    <w:p>
      <w:pPr>
        <w:pStyle w:val="BookText"/>
        <w:rPr/>
      </w:pPr>
      <w:r>
        <w:rPr>
          <w:rFonts w:ascii="Amiri" w:hAnsi="Amiri" w:eastAsia="Amiri" w:cs="Amiri"/>
          <w:color w:val="111111"/>
          <w:sz w:val="28"/>
          <w:sz w:val="28"/>
          <w:szCs w:val="28"/>
          <w:rtl w:val="true"/>
          <w:lang w:bidi="ar-SA"/>
        </w:rPr>
        <w:t>في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استحبابه روايات، منها، موثّقة ابراهيم بن عبد الحميد، قال سمعت أبا الحسن عليه السلام، يقول ألقوا عنكم الشعر، فإنّه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عن محمّد بن علي بن محبوب عن يعقوب بن يزيد، عن الحَجّال، عن أبان،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و ذكر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إسحاق بن عمار، عن أبي عبد الله عليه السلام، قال قال لي استأصل شعرك يَقِلّ درنه و دوابّه و وسخه، و تغلظ رقبتك، ويجلو بصرك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سهل بن زياد عن أحمد بن محمّد بن أبي نصر قال قلت لأبى الحسن عليه السلام إنّ أصحابنا يروُون أنّ حلق الرأس في غير حج و لاعمرة مُثْلَةٌ‌، فقال كان ابوالحسن عليه السلام إذا قضى مناسكه، عدل إلى قرية يقال لها ساية فحلق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أرسله الصدوق عليه الرحمة إلى الإمام الصادق عليه السلام، حلق الرأس في غير حجّ و عمرة مثلة لأعدائكم و جمال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المراد من الجمال هو الجمال المعنوي الذى لايراه إلاّ ذو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أبي بصير عن أبي عبد الله عليه السلام قال إنّي لأحلق كلّ جمعة فيما بين الطلية إلى الطلية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موثّقه معمّر بن خلاّد قال 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 العطر، و إحفاء الشعر، و كثرة الطروقة،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الإحفاء هو المبالغة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599/16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600/16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601/16</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598/16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أخذ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معمّر بن خلاّد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عرفهنّ لم يدعهنّ جزّ الشعر، و تشمير الثياب، و نكاح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جزّ الشعر و تقليم الأظافير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ذلك إلاّ 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الفقيه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 التنظيف بالموسى، و حلق الجسد بالنورة، و كثرة الطروقة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موثّقه البزنطي عن علي 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 الرأس إذاطال ضعف البصر و ذهب بضوئه و نوره، و طمّ الشعر يجلي البصر و يزيد في ضوء نوره، و شعر الجسد إذا طال قطع ماء الصلب و أرخى المفاصل و ورث الضعف و السلّ‌، و أنّ النورة تزيد في ماء الصلب، و تقوي البدن، و تزيد في شحم الكليتين و تسمن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ابن سنان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إطالة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مشعرين، يعنى الطمّ‌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 الحلق، و القص، و النسج، ولو اُريد الأوّل استعمل قوله مشعرين من باب التضادّ فيمن أخذ شعره فتأمّل 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دلالة تلك الأخبار على استحباب الحلق، بل يمكن أن يقال إنّ الجزّ و القطع و الإلقاء و لولم يصدق عليها الحلق أيضاً مستحب، إذ لادليل على تقييد الإلقاء و الاستئصال و الجزّ و القطع بالحلق بعد تعدّد المطلوب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الحلق أرجح للفوائد المترتّبة عليه و لإلتزام الانبياء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599/16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601/16</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كما ورد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مافرّق و لاكانت الأنبياء تمسك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ورد في خبر أحمد بن أبي نصر عن علي بن أبي حمزه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صدّ عن البيت و قد كان ساق الهدى و أحرم أراه الله الرؤيا التى أخبره الله بها في كتابه إذ يقول لقد صدق الله رسوله الرؤيا بالحقّ لتدخلنّ المسجد الحرام إن شاء الله آمنين محلقين رؤوسكم و مقصّرين لاتخافون،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سيفيء له بما أراه، فمن ثمّ وفّر ذلك الشعر الذى كان على رأسه حين أحرم انتظاراً لحلقه في الحرم، حيث وعده الله عزّوجلّ‌، فلمّا حلقه لم يعد في توفير الشعر، و لاكان ذلك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لايذهب عليك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السنّة في الرجال أحد الأمرين الحلق أو اتخاذ الشعر على الرأس مع تربيته بالغسل و التمشّط و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له بمعتبرة السكونى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الظاهر من هذا الخبر هو الاستحباب التخييري بين حلق الراس و إطالته بشرط حسن تربيته بالتمشط و الإدهان و التطيّب و الفرق و غيره، و إن كان ظاهر الأخبار كون 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لايستفاد من هذا الخبركون المستحب أحد الأمرين إذ لم يقل اتّخذوا الشعر بخلاف أخبار الحلق، فإنّها وردت بلفظ الأمر بل في فرض اتّخاذ الشعر أمر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فمن اتّخذ الشعر يستحب له أن يحسّن ولايته، و إلاّ فليجزّه، كما دلّ عليه الخبر المذكور، و ما رواه في الجعفريّات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حلية المتقين آداب شعر الرأس</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625/16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له شعر فليحسّن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يقال مقتضى الجمع بين مرسلة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كسوة الله عزّوجلّ فأكرموه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الشعر الحسن من كسوة الله تعالى و مقتضاه هو مطلوبية حفظه و تربيته، و بين أخبار الحلق هو التخيير لرفع اليد عن ظهور كلّ واحد منهما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ماوردفى أوصاف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رَجْل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انفرقت عقيصته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 إلاّ فلايجاوز شعره شحمة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اُذنيه إذا هو وفّرة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أنّه و فّر الشعر حتّى يحتاج إلى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يعارضه خبر عمرو بن ثابت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لاكانت الأنبياء تمسك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أيّوب بن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طال شعره كان إلى شحمة اُذنه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هذه الأخبار و إن كانت متعارضة بالنسبة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ذافرق و عدمه، ولكنّها متّفقة على أنّه طال شعره حتّى بلغ شحمة اُذنه، و هو كاف للاستدلال على استحباب اتّخاذ الشعر و يؤيّده ما أرسله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625/16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و المروية فى الجعفريات و المستدرك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بفتح الراء و سكون الجيم أي كان شعره بين السبوطة و الجعودة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العقيصة خصلة تأخذها المرأة من شعرها فتلويها ثمّ تعقدها حتّى يبقى فيها التواء ثمّ ترسلها، العقيقة شعر كلّ مولود من الناس والبهائم يولد و هو عليه وصوف الجذع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الاُذن ما من أسفلها و هو معلّق القرط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و 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فّرة لم يبلغ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اللتيا و التى لايخلوا الاستدلال المذكور عن كلام، من جهة أنّ رفع اليد عن الأخبار الكثيرة الدالّة على استحباب خصوص الحلق بمثل المرسلة المذكوره و المروية في الجعفريات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الاستدلال بما حكي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المدعى و أيضاً يحتمل أن يكون ذلك منه كما في روضة المتّقين من جهة أنّ العرب لايحلقونه، و كانوا يعيرون من حلقه،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يداوم الحلق، لئلاّ يتنفّر منه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ارتفع قبحه بالتدريج، كان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يداومون على الحلق و يأمرون به كما يظهر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هو استحباب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ماذهب اليه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من أفضليّة اتّخاذ الشعر من إزالته،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أضعف من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له بمعتبرة السكوني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بما عرفت من أنّها لاتدل على استحباب اتّخاذ الشعر، فضلاً عن أفضليّته لأنّ الاتّخاذ ليس بمأمور به، كما أنّ الاستدلال بالمرسلة المذكورة في الفقيه، و المروية في الجعفريات بناء على دلالتها على مطلوبية حفظ الشعر و تربيته كما ترى، لضعف السند و عدم مقاومته في مقابل الأخبار الكثيرة الدالة على استحباب الحلق، هذا مضافاً إلى أنّ غايته هو الاستحباب، لاالأفضليّته من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لايختص أخبار استحباب الحلق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أحلق فإنّه يزيد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625/16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يحمل على أنّ المراد هاهنا مادلّ عليه اللفظ صريحاً و هو التخصيص لمعرفته بحال المأمور من زيادة جماله بحلق شعره، كما حمله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مافي التوجيه المذكور، فإنّ إضافة الجمال إلى الخطاب لايوجب أن تكون القضية قضية شخصيّة كما في سائر الموارد فتحصّل أنّ استحباب الحلق هو الواضح من الأخبار، و يشهد له تداوم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الحلق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استحباب حلق الرأس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المتمتّع و المعتمر، فإنّه يستحبّ لهما توفير شعرهما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فالمتمتّع يستحبّ له التوفير من أوّل ذي القعدة، و المعتمر يسحتبّ له التوفير شهراً،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الحج وفّر شعره إذا نظر إلى هلال ذي القعدة و من أراد العمرة وفّر شعره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الأمر على الاستحباب جمعاً بينها و بين 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 حلق القفا في أشهر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على بن جعفر عن أخيه عليه السلام سألته عن الرجل، إذا همّ بالحج يأخذ من شعر رأسه ولحيته و شاربه مالم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لااستحباب لتوفير الشارب لمن يريد الحجّ كما يدلّ عليه خبر أبي الصباح الكنانيّ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الحجّ أيأخذ شعره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الاحرام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لامن لحيته، لكن يأخذ من شاربه و من أظفاره وليطل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الشابّ‌ روى في السرائر من كتاب أنس العالم للصفواني إنّه قال، و روي أنّ حلق الرأس مثلة بالشباب، و وقار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جمع الشابّ اسم فاعل من شبّ الغلام شباباً، أي صار فتياً، و يقال للغلام شابّ من حدّ البلوغ إلى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مرسلة، و لاتنهض في مقابل الأخبار المطلقة الكثيرة الدالّة على استحباب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المحرم، فإنّ إزالة المحرم الشعر، قليله و كثيره، حتّى الشعرة و نصفها عن الرأس أو اللحية أو الإبط أو غيرها بالحلق أو القصّ أو النتف أو النورة، أو غيرها في حال الإحرام محرّمة بلاخلاف، بل الإجماع بقسميه عليه،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ولاتحلقوا رؤوسكم حتّى يبلغ الهدي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المتمتّع في عمرة التمتّع لايجوز له التقصير بالحلق، يدلّ عليه موثّقة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و ليس في المتعة إلاّ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المتمتّع أن يطوف بالكعبة، و يسعى بين الصفا و المروة، و يقصّر عن شعره، فإذا فعل ذلك فقد أحلّ‌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وجوب الحلق على الصرورة في الحج، و يدلّ عليه مارواه الكافي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600/16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التقصير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التقصير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الصرورة أن يحلق رأسه و لايقصّر، إنّما التقصير لمن قد حجّ حجّة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يقيّد 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يلبّده تخيّر إن شاء قصّر و إن شاء حلق و الحلق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ذهب إلى رفع اليد عن ظهور لزوم الحلق على الصرورة، بقرينة إطلاق الخبر، فإنّ التقييد أولى من ارتكاب خلاف الظاهر، 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المرئة المحرمة، فإنّه يجب عليها التقصير و لايجوز لها الحلق، و يدلّ عليه خبر الأعرج في حديث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فقال إن لم يكن عليهنّ ذبح فليأخذن من شعورهنّ و يقصّرن من أظفارهن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حلق و يجزيهنّ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ذهب بعض الى حرمة الحلق عليهنّ في غير حال الاحرام مستدلاً بالمرسلة الناهية عن الحلق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تحلق المرأة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حملها، في الجواهر على حال الإحرام و قال إنّ الظاهر عدم حرمته عليها في غير المصاب المقتضي للجزع، للأصل السالم عن معارضة 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هناك شهرة بين الأصحاب تصلح جابراً لنحو المرسل المزبور، بناءً على إرادة الإطلاق، فيكون كحلق اللحية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لذلك ذهب العلامة المجلسي إلى حرمة الحلق على النساء مالم تكن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اللازم هو إحراز استناد المشهور إلى المرسلة، و هو غيرثابت و عليه فلادليل على الحرمة في غير المصيبة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الحلق والتقصير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الحلق والتقصير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الحلق و التقصير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236/19</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المتقين في آداب شعر الراس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المحرمة و إن كان الأحوط هو ترك الحلق مطلقا، و لعلّ عليه السيرة المتشرّعة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جزّ الشعر من جهة المصيبة فإنّه يحرم على الأحوط و يدلّ عليه مارواه فى التهذيب عن أحمد بن محمّد بن داود القميّ في نوادره، عن محمّد بن عيسى عن أخيه جعفر بن عيسى، عن خالد بن سدير أخي حنّان بن سدير،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ثوبه على أبيه أو على أمّه أو على أخيه أو على قريب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بشقّ الجيوب إلى أن قال عليه السلام فإذا خدشت المرأة وجهها أو جزّت شعرها أو نتفته ففى جزّ الشعر عتق رقبة أو صيام شهرين متتابعين أو إطعام ستّين مسكيناً، و في الخدش إذا دميت و في النتف كفّارة حنث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الذكرى يحرم اللطم و الخدش و جزّ الشعر إجماعاً قاله في المبسوط، و لما فيه من السخط لقضاء الله، و لرواية خالد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لاشيء في لطم الخدود سوى الاستغفار و التوبة، و روى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صحاحهم أنا بريء ممّن حلق و صلق أي حلق الشعر و رفع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الخوئي قدّس سرّه بأنّ خالداً ضعيف لعدم توثيقه، إلى أن قال و معه لايمكن الحكم بحرمة الجزّ فضلاً عن إثبات الكفّارة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ضعف الخبر منجبر بالعمل و الإجماع، إلاّ أن الرواية لاتدلّ إلاّ على وجوب الكفّارة بناءً على استظهار الوجوب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تفيد السببيّة و الغمض عمّا أورد عليه فى جامع المدارك، من أنّ السببيّة متحقّقه مع عدم الوجوب، كما في الزكاة المستحبّة مع حصول سببها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الملازمة بين وجوب الكفّارة و الحرمة غير ثابتة، ألا ترى أنّ التظليل للمحرم ولو كان للضرورة موجب للكفّارة مع أنّه لاحرمة، و بقيّة الكلام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تستظهر الملازمة من فخامة الكفّارة،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583/15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512" w:name="pg16065_153027"/>
    </w:p>
    <w:p>
      <w:pPr>
        <w:pStyle w:val="Heading2"/>
        <w:numPr>
          <w:ilvl w:val="1"/>
          <w:numId w:val="1"/>
        </w:numPr>
        <w:rPr/>
      </w:pPr>
      <w:bookmarkStart w:id="513" w:name="__RefHeading___Toc285474_1280447820"/>
      <w:bookmarkStart w:id="514" w:name="_Toc186"/>
      <w:bookmarkEnd w:id="512"/>
      <w:bookmarkEnd w:id="513"/>
      <w:r>
        <w:rPr>
          <w:rtl w:val="true"/>
        </w:rPr>
        <w:t>المسألة الاحدى و العشرين في خلق المشابه أو الاستنساخ</w:t>
      </w:r>
      <w:bookmarkEnd w:id="514"/>
    </w:p>
    <w:p>
      <w:pPr>
        <w:pStyle w:val="Heading3"/>
        <w:numPr>
          <w:ilvl w:val="2"/>
          <w:numId w:val="1"/>
        </w:numPr>
        <w:rPr/>
      </w:pPr>
      <w:bookmarkStart w:id="515" w:name="__RefHeading___Toc285476_1280447820"/>
      <w:bookmarkStart w:id="516" w:name="_Toc187"/>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المشابه أو الاستنساخ و هو من الأمور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أمور</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85478_1280447820"/>
      <w:bookmarkStart w:id="518" w:name="_Toc188"/>
      <w:bookmarkEnd w:id="517"/>
      <w:r>
        <w:rPr>
          <w:rtl w:val="true"/>
        </w:rPr>
        <w:t>الأمر الأوّل</w:t>
      </w:r>
      <w:r>
        <w:rPr>
          <w:rtl w:val="true"/>
        </w:rPr>
        <w:t xml:space="preserve">: </w:t>
      </w:r>
      <w:r>
        <w:rPr>
          <w:rtl w:val="true"/>
        </w:rPr>
        <w:t>أنّ خلق المشابه و التكاثر على انواع</w:t>
      </w:r>
      <w:bookmarkEnd w:id="518"/>
    </w:p>
    <w:p>
      <w:pPr>
        <w:pStyle w:val="BookText"/>
        <w:rPr/>
      </w:pPr>
      <w:r>
        <w:rPr>
          <w:rFonts w:ascii="Amiri" w:hAnsi="Amiri" w:eastAsia="Amiri" w:cs="Amiri"/>
          <w:color w:val="111111"/>
          <w:sz w:val="28"/>
          <w:sz w:val="28"/>
          <w:szCs w:val="28"/>
          <w:rtl w:val="true"/>
          <w:lang w:bidi="ar-SA"/>
        </w:rPr>
        <w:t>في أنّ خلق المشابه و التكاثر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مشابه العضو و التّكاثر العضوي و ذلك يحصل بتكثير خلايا بعض الأعضاء كالجلد و العظم و الكبد و القلب و غير ذلك و هذا القسم من التّكاثر ينتفع به في علاج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المشابه و التكاثر الإستتئامي و هو أنّ الخلية الموجودة في البييضة بعد اللّقاح و وقوعها في الرحم تبدأ بالتّكاثر من الواحد إلى اثنين و منهما إلى أربعة و منهما إلى ثمانية و هكذا إلى اثنين و ثلاثين و حينئذ يصير كلّ خلية من الخلايا موظّفاً بأعمال خاصّة كإيجاد الأعضاء بحسب ماقدره الله تعالى</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فهذه الخلايا داخلة في غطاء واحد و في زماننا هذا أمكن بعد الثّورة العلميّة أن يخرق ذلك الغطاء و يفرق الخلايا المتكثّرة و يجعل كلّ واحدة من اثنين و ثلاثين تحت غشاء مخصوص صناعي مأخوذ من بعض أجزاء البحر ثمّ يوضع كلّ واحد منها بالتّدريج في الرّحم ليصير جنيناً كاملاً و نتيجة ذلك هو تكثير </w:t>
      </w:r>
    </w:p>
    <w:p>
      <w:pPr>
        <w:pStyle w:val="BookText"/>
        <w:rPr/>
      </w:pPr>
      <w:r>
        <w:rPr>
          <w:rFonts w:ascii="Amiri" w:hAnsi="Amiri" w:eastAsia="Amiri" w:cs="Amiri"/>
          <w:color w:val="111111"/>
          <w:sz w:val="28"/>
          <w:sz w:val="28"/>
          <w:szCs w:val="28"/>
          <w:rtl w:val="true"/>
          <w:lang w:bidi="ar-SA"/>
        </w:rPr>
        <w:t>الجنين بصورة واحدة بحيث يشبه كلّ واحد بالآخر فجميع هذه الخلايا تكون توأمات و متماثلات في غالب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أمكن أن يكون وضع الخلايا في الرّحم بالتّدريج كانت الخلية التي تقدّم وضعها فيها أكبر سنّاً من الخلية التي توضع فيها بعدها بسنة أو سنوات عند حفظها في محال الانجماد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المشابه والتّكاثر البشري أو الحيواني و هو يحصل بتخلية البييضة عن نواتها و جعل نواة خلية الجلد أو نفس خلية الجلد و نحوه من سائر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الأخصاء في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نواة البييضة فالخلية المتحصلة من نواة خلية الجلد و نحوه و من البييضة التي هي المادة السائلة و الغلاف اللتين كانتا للبييضة داخل الرّحم تشرع في التكاثر إلى أن تبلغ اثنين و ثلاثين خلية ثمّ تسير مراحل الجنين حتّى يصير طفلاً شبيهاً لصاحب الجلد الذي أخذ منه نواة خلية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أنّ العبارات مختلفة بالنسبة إلى اعتبار اللقاح في البييضة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الدكتور لي سيلفر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عنه في كتاب الاستنساخ بين العلم و الفقه تأليف الدكتور داود سليمان السعدي المطبوع بلبنان في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بعدم اعتبار كونها ملقحة حيث قال لوازم العمل نسيج بشري خلايا بشرية نقية لينسج واحد تؤخذ من الشخص المراد استنساخه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 بويضات بشرية غير ملقحة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أيضاً الدكتور أحمد رجائي الجندي حيث قال الاستنساخ التقليدي عبارة عن نقل نواة خلية 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 موسوما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نواة بييضة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Lee siver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جامعه برنستون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المحكي خبير بارز في الاستنساخ</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آية الله مؤمن القمي غير مطبوعة</w:t>
      </w:r>
      <w:r>
        <w:rPr>
          <w:rFonts w:eastAsia="Amiri" w:cs="Amiri" w:ascii="Amiri" w:hAnsi="Amiri"/>
          <w:color w:val="111111"/>
          <w:sz w:val="28"/>
          <w:szCs w:val="28"/>
          <w:rtl w:val="true"/>
          <w:lang w:bidi="ar-SA"/>
        </w:rPr>
        <w:t xml:space="preserve">. </w:t>
      </w:r>
      <w:bookmarkStart w:id="519" w:name="pg16065_153029"/>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كروموسوما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يتولى السيتوبلازم المحيط بالنواة الجديدة في البييضة حثّ النواة المزروعة و تثبيتها على الانقسام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ظاهر اختصاص نواة البييضة بما يحتوي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كروموسوما أنّ البييضة المذكورة غير ملقحة و إلاّ لكان محتواها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كروموسوما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صرّح به الدكتور مسعود هوشمند الذي هو من أعضاء الجمعية العلميّة لمركز تحقيقات مهندسية الجينيّة من اعتبار اللقاح في البييضته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به أيضاً المؤتمر الطّبيّة في بلدة مشهد المقدّسة في بعض الكتيبات المنتشرة منه في حوالي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85480_1280447820"/>
      <w:bookmarkStart w:id="521" w:name="_Toc189"/>
      <w:bookmarkEnd w:id="520"/>
      <w:r>
        <w:rPr>
          <w:rtl w:val="true"/>
        </w:rPr>
        <w:t>الأمر الثاني</w:t>
      </w:r>
      <w:r>
        <w:rPr>
          <w:rtl w:val="true"/>
        </w:rPr>
        <w:t xml:space="preserve">: </w:t>
      </w:r>
      <w:r>
        <w:rPr>
          <w:rtl w:val="true"/>
        </w:rPr>
        <w:t>جواز خلق المشابه و الاستنساخ في نفسه بانواعه المذكورة و عدم جوازه</w:t>
      </w:r>
      <w:bookmarkEnd w:id="521"/>
    </w:p>
    <w:p>
      <w:pPr>
        <w:pStyle w:val="BookText"/>
        <w:rPr/>
      </w:pPr>
      <w:r>
        <w:rPr>
          <w:rFonts w:ascii="Amiri" w:hAnsi="Amiri" w:eastAsia="Amiri" w:cs="Amiri"/>
          <w:color w:val="111111"/>
          <w:sz w:val="28"/>
          <w:sz w:val="28"/>
          <w:szCs w:val="28"/>
          <w:rtl w:val="true"/>
          <w:lang w:bidi="ar-SA"/>
        </w:rPr>
        <w:t>في جواز خلق المشابه و الاستنساخ في نفسه بأنواعه المذكورة و عدم جوازه ذهب جماعة إلى الثاني و استدلّوا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دخالة فيما أمره بيد الله تعالى من الخلقة و هو ينافي اختصاص الخلقة بنفسه عزّوجلّ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 وَ هُوَ عَلىٰ كُلِّ شَيْ‌ءٍ 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الايات الكثيرة الدالّة على اختصاص الخالق و الربّ و المدبّر بالله تعالى و عليه فلايجوز الاستنساخ لأنّه تدخّل في الخلقة مع أنّها مختصّة بالله سبحانه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الفقهية الطبية التاسعة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المجلات المنتشرة للنسوان باللغة الفارسية الرقم السادس و التسعين المطبوعة في شهر بهمن من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الآيات المذكورة لاتنافي صدور الخلقة من غيره تعالى بنحو الطوليّة لأنّ الخلقة مطلقاً منتهية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تنافي الآيات المذكورة مع الخلقة العرضية ولكن لامجال لها بعد اختصاص وجوب الوجود بالله تعالى و عليه فلايصدر شيء في العالم إلاّ أنّه ينتهي إلى الله تعالى فكلّ مايفعله الإنسان من التصرّفات فهو مخلوق لله تعالى و لاعرضية له حتّى تنافي اختصاص الخلقه به تعالى و لامزاحمة لما يكون وجوده و بقائه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لما ذكرناه من عدم المنافاة مع الخلقة الطوليّة هو إسناد الخلقة إلى عيسى بن مريم في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 بِإِذْنِي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صدور الخلقة من غيره مطلقاً منافياً مع اختصاص الخلقة به تعالى فلامجال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بينهما بأن يقال إنّ الخلقة المستقلّة مختصّة به تعالى لعدم إمكان أن تقع الخلقة من غيره تعالى إلاّ بإذنه الخاصّ أو العام و هي الخلقة الطوليّة و الخلقة من عيسى بن مريم وقعت بإذنه الخاصّ و كلّ مايقع من الابتكارات و الاختراعات فهو واقع بإذنه العام في النظام العلّي و المعلولي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الاستنساخ لو كان حراماً لكونه تدخّلاً في الخلقة لكان كلّ تركيب صناعي أو شيميائي يوجب إيجاد شيء آخر ممنوعاً لكونه تدخّلاً في الخلقة و هو كما ترى ضرورة جوازها عند جميع الأقوام و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الاستنساخ المذكور ليس بخلقة بل هو فعل مايوجب الشباهة و أمّا الخلقة فهي جارية على مجاريها الطبيعيّة الّتي جعلها الله تعالى كما أنّ التصرّف في بعض النباتات كالمركّبات ليس بخلقة بل هو إعمال أمر طبقاً للمجاري الطبيعيّة و بعبارة اُخرى الخلقة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الخلقة العادية وثانيهما غير العادية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مكتومة و كشف المكتوم ليس هو خلقة بل هو كشف جديد عن الخلقة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الاستنساخ تغيير لخلق الله و هو ممّا وعد إبليس لعنه الله أن يأمر به بني آدم في قوله المحكي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تغيير الخلقة ممّا يأمر به إبليس و يكون مبغوضاً لله تعالى و 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ليس مطلق التغيير و إلاّ لَزِمَ حرمة جميع الصنائع و التوليدات لأنّها متقوّمة بالتغيير مع أنّها جائزة بالضرورة و كان عليها بناء العقلاء و سيرة المتشرّعة و القول بالإطلاق و خروج هذه الموارد بالسيرة و نحوها غير سديد لأنّه يوجب التخصيص أو تقييد الأكثر و 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البعيد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التغيير في الآية الكريمة هو ترك العمل بالدين الحنيف و الخروج عن حكم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مارواه العياشي عن جابر عن 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أنّ التغيير ليس هو تغيير الفطرة و الدين فالمراد منه بمناسبة الحكم و الموضوع و سياق الآية هو تغيير خاصّ و هو مطالبة الشيطان من الناس أن يغيّروا طبيعة الرجل أو المرأة عمّا خلقا له كجعل الرجل نفسه مكان المرأة و بالعكس في الأمور الجنسية كاللواط و المساحقة و نحوهما من العمليات الشيطانيّة المضلّة لامطلق التغيير كالاستنساخ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إذا لم يكن المراد من التغيير مطلق التغيير فلابدّ من حمله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بعض الوجوه و عليه فلاتدلّ الآية الكريمة على حرمة الاستنساخ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مشيّة الله تعالى تعلّقت بأن يكون الإنسان من الطريق العادي شعوباً و قبائل متفاوتة فالمسير إلى غير الطرق العادية خروج عن مشيّة الله في خلقه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كلّما وقع في الخارج لايخرج عن مشيّته تعالى في خلقه و عادية الطريق و عدمها لادخل لهما في الدخول في المشيّة و الخروج عنها لأنّ كلّ واحد منهما مخلوق له تعالى و الملاك في الدخول في المشيّة هو إمكان الموجودات و تقيّدها بوجوده سبحانه و تعالى و هو متحقّق على كلا التقديرين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تعلق المشيّة بخصوص الطريق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حكمته لاتتوقّف على الطريق العادي لحصول التعارف بغير الطريق العادي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الاستنساخ ربما يوجب المرض أو الموت في الأطفال التي توجد من هذا الطريق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لو سلّم ذلك فلادليل على حرمة ذلك لأنّ الإضرار ليس بصادق إذ لاوجود لهم حتّى يكون الضرر صادقاً باعتبار إيجاد النقص فيهم أترى حرمة الاستيلاد للوالدين الذين يوجب استيلادهما انتقال المرض عنهما إلى أولادهما فتامّل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الاستنساخ ينافي أصل التنوّع و الاختلاف في الأشكال و الخصوصيات الذي كان عالم الخلقة متقوّماً به و الإخلال به يؤدّي إلى مفاسد كثيرة في الحياة الاجتماعية إذ كثيراً مايشتبه المجرم بغيره و بالعكس أو الدائن بالمدين و بالعكس أو الزوج بغيره و بالعكس أو الأولاد بغيرهم أو بعضهم ببعض و هذا مناف للحكمة و لذا جعل الله سبحانه و تعالى في كتابه الاختلاف في الألسن و الألوان و </w:t>
      </w:r>
    </w:p>
    <w:p>
      <w:pPr>
        <w:pStyle w:val="BookText"/>
        <w:rPr/>
      </w:pPr>
      <w:r>
        <w:rPr>
          <w:rFonts w:ascii="Amiri" w:hAnsi="Amiri" w:eastAsia="Amiri" w:cs="Amiri"/>
          <w:color w:val="111111"/>
          <w:sz w:val="28"/>
          <w:sz w:val="28"/>
          <w:szCs w:val="28"/>
          <w:rtl w:val="true"/>
          <w:lang w:bidi="ar-SA"/>
        </w:rPr>
        <w:t>الثمرات و النفوس من الآيات الدالة على حكمة صنعه تعالى و إليك بعض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ذَرَأَ لَكُمْ فِي اَلْأَرْضِ مُخْتَلِفاً أَلْوٰانُهُ إِنَّ فِي ذٰلِكَ لَآيَةً لِقَوْمٍ يَذَّكَّرُونَ‌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مِنَ اَلسَّمٰاءِ مٰاءً فَأَخْرَجْنٰا بِهِ ثَمَرٰاتٍ مُخْتَلِفاً أَلْوٰانُهٰا وَ مِنَ اَلْجِبٰالِ جُدَدٌ بِيضٌ وَ حُمْرٌ مُخْتَلِفٌ أَلْوٰانُهٰا وَ غَرٰابِيبُ سُودٌ وَ مِنَ اَلنّٰاسِ وَ اَلدَّوَابِّ وَ اَلْأَنْعٰامِ مُخْتَلِفٌ أَلْوٰانُهُ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فَسَلَكَهُ يَنٰابِيعَ فِي اَلْأَرْضِ ثُمَّ يُخْرِجُ بِهِ زَرْعاً مُخْتَلِفاً أَلْوٰانُهُ‌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أن يكون خلق المشابه منافياً لأصل التنوّع و الاختلاف لأنّ المشابهة لاتنافي التنوّع و الاختلاف بل هما باقيان بحالهما و إنّما خلق المشابه يوجب أن يكون كلّ نوع يوجد طبقاً لأعلى أفراده في الخصوصيات و الصفات و من المعلوم أنّ المشابهة المذكورة لاتنافي التنوع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منه الخلية ليس فرداً واحداً حتّى يلزم منه الشباهة الكلّيّة المستلزمة للاشتباهات المذكورة بل أفراد مختلفة من جهات مختلفة فيبقى الاختلافات بحالها هذا مضافاً إلى أنّ الاختلاف في الألسن ناش من الاختلاف في التعليمات لامن اختلاف الطبيعة و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معرفة الأفراد المأخوذة من خلية واحدة ولكن يمكن حلّ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المشكلة فيهم بما يرفع المشكلة في التوأمات الطبيعة من وضع علائم في بدنهم أو لباسهم أو غير ذلك من المميّزات هذا مضافاً إلى أنّ الشباهة فيهم أيضاً ليست من جميع الجهات بل الاختلاف في زمان الحمل و الأغذية و الحوادث الطارئة يؤثّر في حدوث بعض الخصوصيّات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المحذور المذكور على فرض التسليم لايترتّب على جميع أنواع خلق المشابه إذ الشباهة الكلّيّة في خلق المشابه في الأعضاء أو النباتات أو الحيوانات لايوجب محذوراً فلامجال للمنع من 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الاستنساخ البشري يغاير إرادة الله تعالى في خلقة الزوجين كما نصّ عليه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خَلَقْنٰاكُمْ أَزْوٰاجاً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انسلاخ الفعل عن الزمان إذ خلق المشابه يؤدّي إلى الاكتفاء في التوالد و التناسل بالنساء بأن يؤخذ خليه من جلودهنّ أو غيرها من أعضائهن و يجعل خليتها أو نواتها مكان نواة بييضتهنّ غير الملقحة فلاحاجة حينئذ في التوالد و التناسل إلى الرجال و هو أمر يغاير إرادة الله تعالى في خلقة الإنسان زوجين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إنّ المغايرة المذكورة لازمة لو كان خلق المشابه منحصراً في أخذ الخلية من النساء أو من البييضة غير الملقحة و اكتفى في التوالد و التناسل بهما و أمّا إذا لم يكن كذلك لافي أخذ الخلية لإمكان أخذها من الرجال أيضاً و لا في البييضة المذكورة لإمكان كونها ملقحة فلايلزم ذلك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الاستنساخ بمعنى تولّد طفل من ناحية أخذ خلية أو نواتها من عضو أحد وجعلها مكان نواة خلية بييضة امرأة غير الملقحة بعد إخراج نواتها ينجرّ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يكون الطفل بلا أب و لاأمّ فيصير منزوياً و لايتمكّن من أن يبلغ المدارج العالية الإنسانيّة و هو 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نمنع ذلك لإمكان القول بأنّ صاحب الخلية أو نواتها أب له و المرأة ذات البييضة أمٌ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لامجال لدعوى عدم التمكن من أن يبلغ المدارج العالية الإنسانية إذ ذلك تابع للمحيط الذي تولّد فيه من هذا الطريق فإن كان محيطاً سالماً ذا ثقافة تمكّن الطفل المذكور من ذلك بقدر استعداده و إلاّ فهو و غيره ممّن تولّد بالطريق الطبيعي سيّان في عدم الوصول إلى المدارج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الإقدام على عمل مذكور يكون نتيجته هو أن لايكون لطفل أب و لاأم و هو ممنوع غير سديد لعدم دليل على حرمة ذلك و الذي يمكن القول بحرمته كما أفاد بعض الأعاظم هو الإقدام على عمل يوجب عدم معرفة أبي أحد أو اُمّه مثلاً و هو المعبرّ عنه أحياناً باختلاط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ليس كذلك إذ لااختلاط فيه من جهة المياه و الأنساب بل الطفل على تقدير تسليم ماذكر لايكون له أب و لاأمّ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الآيات الآمرة بحفظ الفرج في الرجال و النساء كقوله تعالى في الرجال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يَحْفَظْنَ فُرُوجَهُنَّ‌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كلّ من الذكر و الاُنثى حفظ الفرج عن غير الزوج و الزوجة و من بحكمهما و لادليل على اختصاص المراد من الحفظ بخصوص حفظه عن الجماع بل يقتضى إطلاقه وجوب حفظه عن كلّ انتفاع و لو كان هو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فجعل نواة خلية جلد أحد مثلاً مكان نواة خلية بييضته غير ملقحة بالمني أو الملقحة بعد تفريغها عن نواتها أو جعل بعض الخلايا منفصلاً عن البقية ثمّ وضعه في رحم امرأة اُخرى أجنبية حتّى يسير في سبيل الرشد استفادة أجنبيّ من فرج أجنبيّة و ممنوع لعموم الآيات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 بعض الأعاظم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المناقشة ليست إيراداً على جواز أصل الاستنساخ الاستتآمي بل على وضع الأجنة الحاصلة بعد التكاثر في رحم غير الزوجة فإن جعلت هذه الأجنة في رحم نفس الزوجة صاحبة البييضة أو في رحم زوجته الاُخرى أو مملوكته مثلاً لما كان للمناقشة مجال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الأمر إذا جعلت الأجنة في مصانع جديدة تنمو و تصير أولاداً كاملين و مثله الكلام على إيراد النقاش في الاستنساخ التقليدي كما هو واضح و بالجملة فالمناقشة على التعميم على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حفظ الفرج على غير الزوجة منصرف إلى حفظه عن الاستمتاع من غيرها و هكذا الأمر في المرأة و لايذهب ذهن أحد إلى أمر غيره فلاتدلّ الآيات على وجوب الحفظ عن غير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لإرادة هذا المعنى ماجاء في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أبي بصير المروية في تفسير علي بن إبراهيم ذيل آيات سورة النور عن أبي عبدالله عليه السلام قال كلّ آية في القرآن في ذكر الفروج فهي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الزنا إلاّ هذه الآية فإنّها من النظر فلايحلّ للرجل المؤمن أن ينظر إلى فرج أخيه و لايحلّ للمرأة أن تنظر إلى فرج اُختها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فالصحيحة واضحة الدلالة على عدم إرادة حفظ الفرج عن الاستيلاد في شيء من موارد بل إنّما اُريد الحفظ عن الزنا في آيات المؤمنون و المعارج و عن نظر الأجنبي إليه في آيات سورة النور فهي دليل معتبر على أن لم يرد الحفظ عن الاستيلاد في شيء من الموارد انتهى 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 إنّ مفاد الصحيحة ليس أنّ آيات الفروج غير آية النور لاتدلّ إلاّ على وجوب حفظ الفرج من الزنا و إلاّ لزم منه جواز عدم الحفظ بالنسبة إلى الاستمتاعات مع أنّ المعلوم خلافه فآيات الفروج غير آية النور تدلّ على وجوب الحفظ عن الزنا و غيره من الاستمتاعات بخلاف آية النور فإنّ حفظ الفرج عن الزنا ليس منظوراً فيها بل المنظور فيها هو حفظ الفرج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هذه الصحيحة في مقام حصر مفاد آية النور في النظر لافي مقام حصر مفاد آيات الفروج غير آية النور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مفاد آيات غير سورة النور بقرينة هذه الرواية هو الحصر في وجوب الحفظ عن الزنا و وجوب حفظ الفرج عن الاستمتاعات مستفاد من الروايات الأخرى لامن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هذا رفع اليد عن عموم آيات الفروج غير آية سورة النور بلا وجه لما عرفت من أنّ مفاد الصحيحة هو أنّ آيات الفروج غير آية النور متعرّضة للزنا بخلاف آية سورة النور فإنّها لاتتعرّض إلاّ النظر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فآيات الفروج تشمل بإطلاقها الاستمتاعات و الاستيلاد نعم 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آية الله المؤمن غير المطبوعة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دعوى الانصراف عن مثل الاستيلاد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الخلية الحاصلة من التقاح البييضة بمنيّ الرجل في الرحم نطفة و قد وردت روايات معتبرة على حرمة إعدام النطفة بجميع مراحلها و قد صرّح في بعضها أنّ إلقائها من الرحم في حكم قتل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فالاستتئام الذي يوجب في الأغلب فقد بعض الخلايا الموجودة في النطفة و لو واحدة منها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إخلاء النواة من الخلية و وضع نواة خلية الجلد أو غيره مكانه في غير الاستتئام يرجع إلى إعدام نواة الخلية أيضاً كما لايخفى و الروايات الدالّة على حرمة إعدام النطفة يشمل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إسحاق بن عمّار قلت لأبي الحسن عليه السلام المرأة تخاف الحبل فتشرب دواء فتلقي مافي بطنها قال لافقلت إنّما هو نطفة فقال إنّ أول مايخلق 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الرواية بقوله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مايخلق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إعدام أوّل مراتب خلقة الإنسان و هو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أبي عبيدة سألت أبا جعفر عليه السلام عن امرأة شربت دواء و هي حامل و لم يعلم بذلك زوجها فألقت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له عظم و قد نبت عليه اللحم عليها ديّة تسلّمها إلى أبيه و إن كان حين طرحته علقة أو مضغة فإنّ عليها أربعين ديناراً أو 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فهي لاترث ولدها من ديته مع أبيه قال لالأنّها قتلته فلاترثه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بالقتل في مثل العلقة و المضغة مع عدم و لوج الروح فيهما يدلّ على حرمة إسقاط الجنين ولو لم يلج فيه الروح و عليه فالملاك في حرمة ذلك هو كونهما مستعدّتين للنيل إلى مراحل الإنسانيّة و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العبد أو الأمة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الارث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الاستعداد موجود في النطفة أيضاً و مقتضاه هو حرمة إعدامها بعموم التعليل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قتلته فلاترثه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ذهب بعض الأعاظم إلى حرمة إعدام النطفة و قال فإن كان اعمال افراز الخلايا في الاستتئام مستلزمة لإعدامها كان إعدامها حراماً ولكنّه عمل محرّم يقع في مقدّمة الوصول إلى الاستتئام و إلاّ فنفس الاستتئام ليس بمحرّم بمقتضى هذه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أن تكون النطفة في الرحم أو في المجاري إليه لأنّها بالالتقاح تصير مستعدّة و تشملها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قتلته فلاترثه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صحيحة رفاعة قال قلت لأبي عبدالله عليه السلام اشتري الجارية فربما أحتبس طمثها من فساد دم أو ريح في رحم فتسقى دواء لذلك فتطمث من يومها أفيجوز لي ذلك و أنا لاأدري من حبل هو أو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ذلك، فقلت له إنّه إنّما ارتفع طمثها منها شهراً ولو كان ذلك من حبل إنّما كان نطفة كنطفة الرجل الذي يعزل فقال لي أنّ النطفة إذا وقعت في الرحم تصير إلى علقة ثمّ إلى مضغة ثمّ إلى ماشاء الله و إنّ النطفة إذا وقعت في غير الرحم لم يخلق منها شيء فلاتسقها دواء إذا ارتفع طمثها شهراً و جاز و قتها الذي كانت تطمث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أنّها تدلّ على أنّ المعيار هي صلاحية النطفة لخلقة الإنسان منها و هي موجودة في التي وقعت في الرحم و المجاري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ذلك من جهة شمولها للنطفة التي تكون في المجاري قبل وصولها إلى الرحم و تعلقها به لأنّها ليست بجنين و الموضوع للحرمة و الدية هو الجنين و المجاري لايطلق عليها الرحم و لاأقلّ من الشكّ فلايشمل صحيحة رفاعة للنطفة التي تكون في المجاري قبل وصولها إلى الرحم و التعلّق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عموم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قتلته فلاترثه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لايشمل النطفة التي تكون في المجاري قبل أن تصل إلى الرحم و تشرع مراحل الإنسانيّة كما يرشد إليه عنوان القتل فإنّه مختصّ بما إذا تشرع النطفة مراحل الإنسانيّة و هي حال الشروع في تكوّن الجنين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اختصاص موضوع الحرمة بالنطفة المتعلّقة بجدار الرحم فإسقاطها بأيّ نحو كان يكون محرّماً و هو بعمومه يشمل صورة إخلاء النواة من الخلية المتعلّقة بجدار الرحم فإنّ الإخلاء في حكم قتل النواة المخرجة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تجديد السير بعد وضع نواة الجلد أو خليّته مكان نواة الخلية سير للنواة الموضوعة لاالنواة المخرجة بل هي صارت تالفة بإخراجها فلاوجه لجعل الحرام في مقدّمة الوصول إلى الاستتئام بل إخلاء النواة و وضع نواة اُخرى مكانها لاينفكّ عن إعدام النواة المخرجة و هو عين خلق المشابة في الاستنساخ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النطفة غير ملقحة لم يكن مستعدّة للسير إلى مراحل الإنسانية و بهذا الاعتبار لايشمله أدلّة حرمة إعدام النطفة لظهورها في النطف المستعدّة كما يدلّ عليه عنوان القتل و التقيّد بكونها في الرحم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الإخلاء من النطفة الملقحة محرّم اللّهمّ إلاّ أن يقال أنّ تعويض النواة لايعدّ إتلافاً للنطفة بل هو تغيير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 هذا مضافا الى و أنّ الإخلاء من النطفة غير الملقحة لاإشكال فيه بعدما عرفت من اختصاص الحرمة بالنطف المستعدّة و هكذا لاإشكال في جواز الإخلاء من النطف الملقحة قبل وصولها إلى الرحم إن أمكن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الاستتئام لاإشكال فيه فيما إذا لم يوجب إعدام بعض الخلايا المستعدة فتدبّر جيّداً</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إخراج النواة من بييضة المراة و إدخال نواة خلية جسد المرء الأجنبي مكانها يؤول إلى إلقاء الماء الأجنبي في رحم المرأة الأجنبيّة و هو منهيّ عنه بمثل موثّقة علي بن سالم عن أبي عبدالله عليه السلام قال إنّ أشدّ الناس عذاباً </w:t>
      </w:r>
    </w:p>
    <w:p>
      <w:pPr>
        <w:pStyle w:val="BookText"/>
        <w:rPr/>
      </w:pPr>
      <w:r>
        <w:rPr>
          <w:rFonts w:ascii="Amiri" w:hAnsi="Amiri" w:eastAsia="Amiri" w:cs="Amiri"/>
          <w:color w:val="111111"/>
          <w:sz w:val="28"/>
          <w:sz w:val="28"/>
          <w:szCs w:val="28"/>
          <w:rtl w:val="true"/>
          <w:lang w:bidi="ar-SA"/>
        </w:rPr>
        <w:t>يوم القيامة رجل أقرّ نطفته في رحم يحرم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إنّ سند الرواية ضعيف بسبب جهالة علي بن سالم لأنّا نقول يكفي في الوثاقة رواية ابن أبي عمير عنه لأنّه لايروي إلاّ عن الثقة كما صرّح به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لأنّ إخلاء البييضة من النواة و تبديلها بنواة خلية الجسد كخلية الجلد لايكون التقاءاً للمياه المختلفة من الزوج و الأجنبي فيما إذا كانت البييضة ملقحة فضلاً عمّا إذا كانت غير 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نواة خلية الجسد ليس بمني حتّى يلزم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الكبرى فإنّ الظاهر من إقرار النطفة في الرحم هو الزنا و شموله لمجرّد إقرار النطفة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فضلاعى اقرار خلية الجسة و ذلك للانصراف هذا مضافا الى ان مجرّد صبّ المني في الفرج المحرّم ليس أشدّ عذاباً من الزنا من دون إفراغ المني كما أنّه ليس له حدّ الزاني و لاأقلّ من الشكّ فلايشمل إقرار الزوج منيّ غيره في رحم زوجته فضلاً عن إقرار نواة خلية جسد الغير في بييضة زوجته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المجسّمات لذوات الأرواح محرّم لاستفاضة الأخبار عليه منها مرسلة ابن أبي عمير عن رجل عن أبي عبدالله عليه السلام قال من مثّل تمثالاً كلّف يوم القيامة أن ينفخ فيه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مروان عن أبي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 من صور صورة من الحيوان يعذّب حتّى ينفخ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الظاهرة في حرمة عمل المجسّمات لامطلق التصوير إذ النفخ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يدلّ على كون الصورة مجوّفة كما لايخفى فإذا كان عمل المجسّمات لذوات الأرواح محرّماً مع أنّه ليس بخلق إنسان أو حيوان فخلق المشابه في الإنسان أو الحيوان محرّم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الاستنساخ البشري أو الحيواني ليس بتجسيد و تجسيم حيوان و لابخلق و صنع، و إنّما هو إعمال عمل يوجب المشابهة في المجاري الطبيعيّة التي خلقها الله تعالى فكما أنّ التصرّف في الأشجار بأخذ جلد من شجر خاصّ و ترقيع شجر آخر به لايعدّ خلقاً و صنعاً فكذلك جعل نواة خلية الجسد مكان نواة خلية بييضة المرأة ليس بخلق و صنع و عليه فدعوى الأولويّة في الاستنساخ ممنوعة و حرمة عمل المجسّمات الذي هو من صنع الإنسان مختصّة بموردها و لايتعدّي عنها إلى غيرها و لاأولويّة مع كون عمل المجسّمات أشبه بخلق شيء من الاستنساخ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لاأقل من الشك فيجري فيه أصالة البراءة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خلق المشابه يترتّب عليه اللوازم الفاسدة التي تصلح لتحريم خلق المشابه و هي متعدّدة منها إمكان استفادة المجرمين من هذا الاُسلوب في إدامة الجنايات و التفصّى عن المؤاخذة و المجازاة بإسناد الجناية و الخيانة إلى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جعل كلّ ذي قدرة إنساناً آخر يستنسخ منه إنساناً بدلياً له بحيث كلّما أراد أخذ عضو منه لترقيع عضوه أخذه منه و جعله ناقصاً بحيث لايبقى له كرامة و استقلال</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عنه أوّلاً بمنع كونها من اللوازم و ثانياً بأنّ ملاحظة العوارض و اللوازم لاارتباط لها بملاحظة حكم أصل الاستنساخ الذي هو محلّ الكلام و ثالثاً بأنّ آثارها لاتختصّ بالآثار السلبية بل يترتّب عليه الفوائد الكثيرة و الآثار الإيجابيّة كاكتساب المعلومات الضخمة التي سيكسبها العلماء في تمايز الخلايا و معرفة جذور الأمراض و معالجتها و تشخيص موانع الحمل و رفع العقم و </w:t>
      </w:r>
      <w:bookmarkStart w:id="522" w:name="pg16065_153043"/>
    </w:p>
    <w:p>
      <w:pPr>
        <w:pStyle w:val="BookText"/>
        <w:rPr/>
      </w:pPr>
      <w:bookmarkEnd w:id="522"/>
      <w:r>
        <w:rPr>
          <w:rFonts w:ascii="Amiri" w:hAnsi="Amiri" w:eastAsia="Amiri" w:cs="Amiri"/>
          <w:color w:val="111111"/>
          <w:sz w:val="28"/>
          <w:sz w:val="28"/>
          <w:szCs w:val="28"/>
          <w:rtl w:val="true"/>
          <w:lang w:bidi="ar-SA"/>
        </w:rPr>
        <w:t>سلامة الجيل الآتي و تحسين حياته و الاستفادة من الخصائص المتفرّدة الثابتة لخاصّ من الأفراد و ترميم بعض الأعضاء المختلة بخلق المشابه و غير ذلك و حينئذ فالأولى هو ملاحظة جميع الأطراف و العوارض حتّى يظهر أنّ الراجح أيّ طرف فمع وضوح الراجح يؤخذ به و إلاّ فيحكم بالتخيير و الجواز فيما إذا لم يرجّح أحد الأطراف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أنّه لادليل على حرمة الاستنساخ في نفسه فيما إذا كانت النطفة غير الملقحة أو غير واصلة الى الرحم و إلاّ فجواز الاستنساخ البشرى محل تأمّل لكونه إتلافاً للنطفة و قد عرفت أنه ممنوع و هكذا لو لم يترتّب عليه إلاّ الفساد كما أنّه ربما يقال يحكم بحرمته من باب أنّه موجب للفساد و أمّا إذا لم يكن كذلك فلاوجه للتحريم باعتبار بعض العوارض السلبيّة مع وجود العوارض الإيجابيّة بل اللازم حينئذ هو الحكم بحلّيّة الاستنساخ في نفسه و حرمة الاستفادة المحرّمة منه كسائر الأشياء التي تصلح لاستفادة الحرام و الحلال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كانت للاستنساخ مقدّمات محرّمة لزم ترك تلك المقدّمات و الأخذ بالمقدّمات المحلّلة لو كانت فلو عصى في المقدّمات أو الاستفادات المحرّمة لم يوجب ذلك حرمة الاستنساخ في نفسه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حكم انواع الاستنساخ حان الوقت إلى ملاحظة الأحكام المترتّبة على كلّ نوع من أنواع الاستنساخ و سيجيء إن شاء الله تعالى حكم كلّ واحد في الأمور الآتية</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285482_1280447820"/>
      <w:bookmarkStart w:id="524" w:name="_Toc190"/>
      <w:bookmarkEnd w:id="523"/>
      <w:r>
        <w:rPr>
          <w:rtl w:val="true"/>
        </w:rPr>
        <w:t>الأمر الثالث</w:t>
      </w:r>
      <w:r>
        <w:rPr>
          <w:rtl w:val="true"/>
        </w:rPr>
        <w:t xml:space="preserve">: </w:t>
      </w:r>
      <w:r>
        <w:rPr>
          <w:rtl w:val="true"/>
        </w:rPr>
        <w:t>في الأحكام المترتبة على الاستنساخ العضوى</w:t>
      </w:r>
      <w:bookmarkEnd w:id="524"/>
    </w:p>
    <w:p>
      <w:pPr>
        <w:pStyle w:val="Heading4"/>
        <w:numPr>
          <w:ilvl w:val="3"/>
          <w:numId w:val="1"/>
        </w:numPr>
        <w:rPr/>
      </w:pPr>
      <w:bookmarkStart w:id="525" w:name="__RefHeading___Toc285484_1280447820"/>
      <w:bookmarkStart w:id="526" w:name="_Toc191"/>
      <w:bookmarkEnd w:id="525"/>
      <w:r>
        <w:rPr>
          <w:rtl w:val="true"/>
        </w:rPr>
        <w:t>اشارة</w:t>
      </w:r>
      <w:bookmarkEnd w:id="526"/>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الأحكام المترتبة على الاستنساخ العضوي و هو تكثير خلايا بعض الأعضاء و تنميتها و لاإشكال في جواز ذلك للانتفاع في العلاجات و لايترتّب عليه مفسدة كما لايخفى</w:t>
      </w:r>
      <w:r>
        <w:rPr>
          <w:rFonts w:eastAsia="Amiri" w:cs="Amiri" w:ascii="Amiri" w:hAnsi="Amiri"/>
          <w:color w:val="111111"/>
          <w:sz w:val="28"/>
          <w:szCs w:val="28"/>
          <w:rtl w:val="true"/>
          <w:lang w:bidi="ar-SA"/>
        </w:rPr>
        <w:t xml:space="preserve">. </w:t>
      </w:r>
      <w:bookmarkStart w:id="527" w:name="pg16065_153044"/>
    </w:p>
    <w:p>
      <w:pPr>
        <w:pStyle w:val="BookText"/>
        <w:rPr/>
      </w:pPr>
      <w:bookmarkEnd w:id="527"/>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4"/>
        <w:numPr>
          <w:ilvl w:val="3"/>
          <w:numId w:val="1"/>
        </w:numPr>
        <w:rPr/>
      </w:pPr>
      <w:bookmarkStart w:id="528" w:name="__RefHeading___Toc285486_1280447820"/>
      <w:bookmarkStart w:id="529" w:name="_Toc192"/>
      <w:bookmarkEnd w:id="528"/>
      <w:r>
        <w:rPr>
          <w:rtl w:val="true"/>
        </w:rPr>
        <w:t>المسألة الأولى</w:t>
      </w:r>
      <w:r>
        <w:rPr>
          <w:rtl w:val="true"/>
        </w:rPr>
        <w:t xml:space="preserve">: </w:t>
      </w:r>
      <w:r>
        <w:rPr>
          <w:rtl w:val="true"/>
        </w:rPr>
        <w:t>لااشكال في أنّ الأجزاء المبانة من الانسان الحىّ محكومة بحكم الحىّ‌</w:t>
      </w:r>
      <w:bookmarkEnd w:id="529"/>
    </w:p>
    <w:p>
      <w:pPr>
        <w:pStyle w:val="BookText"/>
        <w:rPr/>
      </w:pPr>
      <w:r>
        <w:rPr>
          <w:rFonts w:ascii="Amiri" w:hAnsi="Amiri" w:eastAsia="Amiri" w:cs="Amiri"/>
          <w:color w:val="111111"/>
          <w:sz w:val="28"/>
          <w:sz w:val="28"/>
          <w:szCs w:val="28"/>
          <w:rtl w:val="true"/>
          <w:lang w:bidi="ar-SA"/>
        </w:rPr>
        <w:t xml:space="preserve">أنّه لاإشكال في أنّ الأجزاء المبانة من الحيّ محكومة بحكم الحيّ في عدم جواز النظر أو اللّمس إذا كانت مأخوذة من مواضع يحرم النظر أو لمسها بالنسبة إلى الجنس المخالف فإذا كان من أخد منه الأجزاء المذكورة رجلاً لايجوز للنساء النظر إليها و لالمسها عدى المحارم و هكذا بالعكس و لاكلام في ذلك لأنّ الأجزاء المبانة من الرجل أو المرأة مع الانفصال لاتخرج عن الإضافة إليهما و عليه فيشملها أدلّة تحريمهما التي كانت موضوعها هو بدن الرجل أو المرأة و هذه الأدلة طوائف من الأخبار منها أدلّة حرمة النظر أو اللّمس لأنّهما لايتحقّقان بدون البدن و الجسد و الشعر كموثّقة علي بن عقبة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إبليس مسموم و كم من نظرة أورثت حسرة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معتبرة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إليه من جواب مسائله و حرّم النظر إلى شعور النساء المحجوبات بالأزواج و إلى غيرهّن من النساء لما فيه من تهييج الرجال و ما يدعو إليه التهييج من الفساد و الدخول فيما لايحلّ و لايجمل و كذلك ما أشبه الشعور إلاّ الّذي قال الله تعالى و القواعد من النساء اللاّتي لايرجون نكاحاً فليس عليهنّ جناح أن يضعن ثيابهنّ غير متبّرجات بزينة أي غير الجلباب فلابأس بالنظر إلى شعور مثلهن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أدلّة إستثناء الوجه و الكفّين و القدمين فإنّ المفهوم منها عدم جواز سائر البدن و الجسد كمرسلة مروك بن عبيد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الكفان و القدمان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الفضيل قال سألت أبا عبدالله عليه السلام عن الذراعين من المرأة هما من الزينة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استثناء رؤوس الأعراب و أهل السواد و المجانين كصحيحة عبّاد ابن صهيب قال سمعت أبا عبدالله عليه السلام يقول لابأس بالنظر إلى رؤوس أهل تهامة و الأعراب و أهل السواد و العلوج لأنّهم إذا نهوا لاينتهون قال و المجنونة و المغلوبة على عقلها لابأس بالنظر إلى شعرها و جسدها مالم يتعمّد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لأنّهم إذا نهوا لاينتهون إمّا عدم تأثير النهي فيهم أو عدم كونهم أهل الفهم و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روايات المصافحة كصحيحة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هل يصافح الرجل المرأة ليست بذات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من وراء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طوائف الأخبار الدالّة على حرمة النظر واللمس بالنسبة إلى البدن و الجسد و الشعر و لاكلام فيه و إنّما الكلام في شمول هذه الأخبار بالنسبة إلى الخلية و نواتها عند الأخذ فإنّ موضوع تلك الأخبار هو البدن و الجسد و الشعر و هذه العناوين لايصدق على الخلية و نواتها لعدم قابلتها للنظر و الرؤية و لالِللمس من دون فرق بين أخذها من المواضع التي لايجوز اللمس و النظر إليها حتّى بالنسبة إلى بعض المحارم و بين أخذها من غير تلك المواضع لوحدة الملاك و لاأقلّ من الشكّ في الشمول فيرجع فيه إلى الأصل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المقدمات،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المقدمات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المقدمات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30" w:name="pg16065_153046"/>
    </w:p>
    <w:p>
      <w:pPr>
        <w:pStyle w:val="Heading4"/>
        <w:numPr>
          <w:ilvl w:val="3"/>
          <w:numId w:val="1"/>
        </w:numPr>
        <w:rPr/>
      </w:pPr>
      <w:bookmarkStart w:id="531" w:name="__RefHeading___Toc285488_1280447820"/>
      <w:bookmarkStart w:id="532" w:name="_Toc193"/>
      <w:bookmarkEnd w:id="530"/>
      <w:bookmarkEnd w:id="531"/>
      <w:r>
        <w:rPr>
          <w:rtl w:val="true"/>
        </w:rPr>
        <w:t>المسألة الثانية</w:t>
      </w:r>
      <w:r>
        <w:rPr>
          <w:rtl w:val="true"/>
        </w:rPr>
        <w:t xml:space="preserve">: </w:t>
      </w:r>
      <w:r>
        <w:rPr>
          <w:rtl w:val="true"/>
        </w:rPr>
        <w:t>انّ الخلية المأخوذة من الجسد اذا نمت و كبرت هل يترتب عليها احكام اعضاء صاحبها</w:t>
      </w:r>
      <w:bookmarkEnd w:id="532"/>
    </w:p>
    <w:p>
      <w:pPr>
        <w:pStyle w:val="BookText"/>
        <w:rPr/>
      </w:pPr>
      <w:r>
        <w:rPr>
          <w:rFonts w:ascii="Amiri" w:hAnsi="Amiri" w:eastAsia="Amiri" w:cs="Amiri"/>
          <w:color w:val="111111"/>
          <w:sz w:val="28"/>
          <w:sz w:val="28"/>
          <w:szCs w:val="28"/>
          <w:rtl w:val="true"/>
          <w:lang w:bidi="ar-SA"/>
        </w:rPr>
        <w:t>أنّ الخلية المأخوذة من الجسد إذا نمت و كبرت فهل يترتّب عليها أحكام أعضاء صاحبها من حرمة النظر أو مسّها بالنسبة إلى الأجنبي و الأجنبيّة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بالأوّل بدعوى شمول أدلّة حرمة النظر أو المسّ لمثلها لأنّها قابلة للرؤية و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 بما أفاده بعض الأعاظم من أنّ أدلّة حرمة المسّ و النظر موضوعهما الأعضاء التي تكون عضواً لبدن الإنسان في الخارج كيده و بدنه و غيرهما و أمّا هذا الجسم الجديد الذي لم يكن عضواً له فلايعمّه تلك الأدلّة فإذا لم تعمّه أدلّة الحرمة و لادليل على حرمته من سائر الجهات فمن الواضح أنّ مقتضى أصالة البراءة العقليّة و النقليّة أن لابأس بالنظر إليه و لابلمسه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الموضوع لحرمة النظر أو اللمس مطلق الأعضاء بل الموضوع لها هو ما يضاف إلى الرجل أو المرأة من الأعضاء و الجوارح و المفروض أنّ الخلية المأخوذة من الجسد عند نمائها و كبرها ليست مضافة إلى الرجل أو المرأة بحيث يقال إنها من أعضائهما نعم يصدق عليها أنّ أصلها هو خلية الرجل أو المرأة و هو غير كاف في إثبات الحرمة كما لايخفى</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85490_1280447820"/>
      <w:bookmarkStart w:id="534" w:name="_Toc194"/>
      <w:bookmarkEnd w:id="533"/>
      <w:r>
        <w:rPr>
          <w:rtl w:val="true"/>
        </w:rPr>
        <w:t>المسألة الثالثة</w:t>
      </w:r>
      <w:r>
        <w:rPr>
          <w:rtl w:val="true"/>
        </w:rPr>
        <w:t xml:space="preserve">: </w:t>
      </w:r>
      <w:r>
        <w:rPr>
          <w:rtl w:val="true"/>
        </w:rPr>
        <w:t>اخراج خلية من جسد الغير لايجوز بدون اذن صاحبها</w:t>
      </w:r>
      <w:bookmarkEnd w:id="534"/>
    </w:p>
    <w:p>
      <w:pPr>
        <w:pStyle w:val="BookText"/>
        <w:rPr/>
      </w:pPr>
      <w:r>
        <w:rPr>
          <w:rFonts w:ascii="Amiri" w:hAnsi="Amiri" w:eastAsia="Amiri" w:cs="Amiri"/>
          <w:color w:val="111111"/>
          <w:sz w:val="28"/>
          <w:sz w:val="28"/>
          <w:szCs w:val="28"/>
          <w:rtl w:val="true"/>
          <w:lang w:bidi="ar-SA"/>
        </w:rPr>
        <w:t>أنّ إخراج خلية من جسد الغير لايجوز بدون إذن صاحبها و لايوجب إخراجها نفي اختصاصها بصاحبها مالم يعرض صاحبها عنها و عليه فلايجوز الانتفاع بها إلاّ بإذن صاحبها و الاختصاص باق على حاله و إن نمت بتغذية الغير كما أنّ ملكية الزرع باقية على مالكه و إن نمى في ملك الغير و تغذيته بمال الغير لايوجب اشتراك الغير فيه كما لايخفى</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أعرض صاحب الخلية عنها ملكها من أخذها كسائر الأشياء التي </w:t>
      </w:r>
      <w:bookmarkStart w:id="535" w:name="pg16065_153047"/>
    </w:p>
    <w:p>
      <w:pPr>
        <w:pStyle w:val="BookText"/>
        <w:rPr/>
      </w:pPr>
      <w:bookmarkEnd w:id="535"/>
      <w:r>
        <w:rPr>
          <w:rFonts w:ascii="IRNazanin" w:hAnsi="IRNazanin" w:eastAsia="IRNazanin"/>
          <w:color w:val="111111"/>
          <w:sz w:val="28"/>
          <w:sz w:val="28"/>
          <w:szCs w:val="28"/>
          <w:rtl w:val="true"/>
          <w:lang w:bidi="fa-IR"/>
        </w:rPr>
        <w:t>أعرض عنها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لايقال ماالفرق بين الاختصاص و بين النظر و اللمس فإن كان الموضوع في الاحكام هو عنوان البدن فلابدّ من أن يكون الاختصاص كالنظر و اللمس في عدم الترتّب على الخلية لعدم صدق البدن عليها و إن لم يكن الموضوع فيها هو عنوان البدن بل هو أعمّ منه فلامحيص عن ترتّب حرمة النظر و اللمس كالاختصاص لأنّا نقول إنّ الفرق ناش من اختلاف الموضوع لأنّ الموضوع في الاختصاص هو أصل وجود الخلية و هو معلوم و لادخالة للرؤية و اللمس فيه بخلاف الموضوع في النظر و اللمس فإنّه هو البدن فالفرق ناش عن اختلاف الموضوع</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85492_1280447820"/>
      <w:bookmarkStart w:id="537" w:name="_Toc195"/>
      <w:bookmarkEnd w:id="536"/>
      <w:r>
        <w:rPr>
          <w:rtl w:val="true"/>
        </w:rPr>
        <w:t>المسألة الرابعة</w:t>
      </w:r>
      <w:r>
        <w:rPr>
          <w:rtl w:val="true"/>
        </w:rPr>
        <w:t xml:space="preserve">: </w:t>
      </w:r>
      <w:r>
        <w:rPr>
          <w:rtl w:val="true"/>
        </w:rPr>
        <w:t>اذا قلنا بجواز النظر إلى الأعضاء المتجددّة و لمسها كان ذلك باقيا ما لم تصر اجزاء لبدن اللإنسان الاخر</w:t>
      </w:r>
      <w:bookmarkEnd w:id="537"/>
    </w:p>
    <w:p>
      <w:pPr>
        <w:pStyle w:val="BookText"/>
        <w:rPr/>
      </w:pPr>
      <w:r>
        <w:rPr>
          <w:rFonts w:ascii="Amiri" w:hAnsi="Amiri" w:eastAsia="Amiri" w:cs="Amiri"/>
          <w:color w:val="111111"/>
          <w:sz w:val="28"/>
          <w:sz w:val="28"/>
          <w:szCs w:val="28"/>
          <w:rtl w:val="true"/>
          <w:lang w:bidi="ar-SA"/>
        </w:rPr>
        <w:t>إنّه إذا قلنا بجواز النظر إلى الأعضاء المتجدّدة و لمسها بدعوى انصراف الحرمة عن مثلها لعدم إضافتها إلى الرجل أو المرأة كان هذا الجواز باقياً مالم تصر أجزاء لبدن الإنسان فإذا رقعت لبدن رجل و صارت من أجزائه فلايجوز للنساء النظر إليها و لالمسها إلاّ إذا كان الرجل من المحارم و هكذا الأمر إذا رقعت لبدن امرأة و صارت من أجزائها فلايجوز للرجال أن ينظروا إليها أو يلمسوها إلاّ إذا كانت من المحارم و إذا رقعت لبدن كافر كانت محكومة بالطهارة مالم تصر من أجزائه و إذا صارت من أجزاء و صارت محكومة بالنجاسة ثمّ إنّ الجزئية هل تصدق بمجرّد الترقيع أو يتوقّف على جريان الدم فيها و تقبّل البدن لها و الأظهر هو الثاني و إذا شكّ في صيرورتها جزءاً و عدمها أمكن التمسّك باستصحاب جواز النظر و اللمس و الطهارة و غيرها كما لايخفى</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85494_1280447820"/>
      <w:bookmarkStart w:id="539" w:name="_Toc196"/>
      <w:bookmarkEnd w:id="538"/>
      <w:r>
        <w:rPr>
          <w:rtl w:val="true"/>
        </w:rPr>
        <w:t>المسألة الخامسة</w:t>
      </w:r>
      <w:r>
        <w:rPr>
          <w:rtl w:val="true"/>
        </w:rPr>
        <w:t xml:space="preserve">: </w:t>
      </w:r>
      <w:r>
        <w:rPr>
          <w:rtl w:val="true"/>
        </w:rPr>
        <w:t>انّ الظاهر من الاخبار أنّ الأجزاء المبانة من الحي محكومة بحكم الميته</w:t>
      </w:r>
      <w:bookmarkEnd w:id="539"/>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الظاهر من الأخبار أنّ الأجزاء المبانة من الحيّ محكومة بحكم الميتة في </w:t>
      </w:r>
    </w:p>
    <w:p>
      <w:pPr>
        <w:pStyle w:val="BookText"/>
        <w:rPr/>
      </w:pPr>
      <w:r>
        <w:rPr>
          <w:rFonts w:ascii="Amiri" w:hAnsi="Amiri" w:eastAsia="Amiri" w:cs="Amiri"/>
          <w:color w:val="111111"/>
          <w:sz w:val="28"/>
          <w:sz w:val="28"/>
          <w:szCs w:val="28"/>
          <w:rtl w:val="true"/>
          <w:lang w:bidi="ar-SA"/>
        </w:rPr>
        <w:t>عدم جواز الانتفاع و النجاسة و غيرهما كقوله عليه السلام في موثّقة الكاهلي سأل رجل أبا عبدالله عليه السلام و أنا عنده عن قطع ألَيات الغنم فقال لابأس بقطعها إذا كنت تصلح بها مالك ثمّ قال إنّ في كتاب عليّ عليه السلام إنّ ماقطع منها ميّت لاينتفع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في 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ماأخذت الحبالة من صيد فقطعت منه يداً أو رجلاً فذروه فإنّه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الأخبار الدالّة على أنّ الأجزاء المبانة محكومة بحكم الميّت في حرمة الانتفاع و النجاسة و غيرهما و لذا صرّح في الجواهر بأنّه أمّا لو كانت نجاسته ذاتيّة كالألية المقطوعة من ميّت أوحيّ لم يجز نقله و لاانتقاله و لااستعماله حتّى بالاستصباح تحت السماء بلاخلاف معتدّ به أجده فيه لإطلاق مادلّ على المنع فيما لايقبل التطهير و على الميتة و خصوص مادلّ عليه في إسراج المقطوع من الحي فضلاً عن الميّت فلم يبق للمعارض و إن صحّ سنده أهليّة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الجواب عن الاستدلال بصحيحة البزنطي على جواز ذوب الأليات المبانة عن الأحياء و الأسراج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أهليّة المعارضة بعد عدم كونها معمولاً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التمسّك بتلك الأخبار لنجاسة الخلية المنفصلة من الحيّ أو حرمة الانتفاع بها لأنّ الأخبار المذكورة منصرفة عن مثل الخلية التي لاترى بالعين و لاتحسّ باللمس بل بعد نماء الخلية و صيرورتها عضواً لاتكون مشمولة للأخبار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الذبائح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الصيد و الذبائح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مايكتسب به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40" w:name="pg16065_153049"/>
    </w:p>
    <w:p>
      <w:pPr>
        <w:pStyle w:val="BookText"/>
        <w:rPr/>
      </w:pPr>
      <w:bookmarkEnd w:id="540"/>
      <w:r>
        <w:rPr>
          <w:rFonts w:ascii="Amiri" w:hAnsi="Amiri" w:eastAsia="Amiri" w:cs="Amiri"/>
          <w:color w:val="111111"/>
          <w:sz w:val="28"/>
          <w:sz w:val="28"/>
          <w:szCs w:val="28"/>
          <w:rtl w:val="true"/>
          <w:lang w:bidi="ar-SA"/>
        </w:rPr>
        <w:t>لعدم كونها عضواً مباناً من الأحياء فلايترتّب عليها مايترتّب على الأعضاء المبانة من الأحياء فموضوع الأخبار الواردة في الأجزاء المبانة هي الأجزاء العادية كاليد و الرجل و الأليات لاكلّ جزء و لذلك لايمكن القول بحرمة الانتفاع من نفس الخلية أو بنجاستها لخروجها عن موضوع تلك الأخبار و لامجال لإلغاء الخصوصيّة عن الأعضاء الكبيرة إلى الأجزاء الصغيرة أي الخلية مع أنّها لاترى و لاتحسّ باللمس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لاأقلّ من الشك فيرجع فيه إلى أصالة البراءة كما لايخفى</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85496_1280447820"/>
      <w:bookmarkStart w:id="542" w:name="_Toc197"/>
      <w:bookmarkEnd w:id="541"/>
      <w:r>
        <w:rPr>
          <w:rtl w:val="true"/>
        </w:rPr>
        <w:t>المسألة السادسة</w:t>
      </w:r>
      <w:r>
        <w:rPr>
          <w:rtl w:val="true"/>
        </w:rPr>
        <w:t xml:space="preserve">: </w:t>
      </w:r>
      <w:r>
        <w:rPr>
          <w:rtl w:val="true"/>
        </w:rPr>
        <w:t>لا مانع من أخذ العوض في مقابل رفع اليد عن الخلية</w:t>
      </w:r>
      <w:bookmarkEnd w:id="542"/>
    </w:p>
    <w:p>
      <w:pPr>
        <w:pStyle w:val="BookText"/>
        <w:rPr/>
      </w:pPr>
      <w:r>
        <w:rPr>
          <w:rFonts w:ascii="Amiri" w:hAnsi="Amiri" w:eastAsia="Amiri" w:cs="Amiri"/>
          <w:color w:val="111111"/>
          <w:sz w:val="28"/>
          <w:sz w:val="28"/>
          <w:szCs w:val="28"/>
          <w:rtl w:val="true"/>
          <w:lang w:bidi="ar-SA"/>
        </w:rPr>
        <w:t>إنّه لامانع من أخذ العوض في مقابل رفع اليد عن الخلية لاختصاصها بصاحبها فيجوز المصالحة عليه بل يجوز البيع بناء على عدم اختصاصه بمبادلة الأعيان كما هو الظاهر لعدم كونها محكومة بحكم الميتة بعدما عرفت من انصراف أدلّة حرمة الميتة و النجاسة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الإنسان لايملك أجزاء بدن نفسه حتّى يملكها بعوض، مندفعة بمنع ذلك ألاترى جواز معاملة على الشعور فإنّه دليل على المالكيّة نعم لايجوز البيع شرعاً في مثل الأجزاء المبانة لما عرفت من كونها محكومة بحكم الميتة و أمّا مثل الخلية التي لاتشملها أدلّة حرمة الأجزاء المبانة فلامانع من معاملتها إذا كانت لها الماليّة من جهة الرغبة فيها لبعض الدواعي و أمكن تحويلها من صاحبها</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يجوز المعاملة عليها و لو لم تكن مالاً عند غالب الأفراد لكفاية كونها مالاً عند المتعاملين إذا كان الداعي العقلائي موجوداً للمعاملة عليها و مع وجود الداعي العقلائي ليست المعاملة عليها سفهية و على فرض تسليم كونها سفهية في هذه الصورة فلادليل على بطلانها لاختصاص الدليل الدالّ على البطلان بمعاملة السفهاء فلايشمل المعاملة السفهية من العقلاء نعم لو لم يكن المعاملة معاملة عند العقلاء فالحكم بالصحة مشكل بناء على عدم وجود إطلاق دليل تعبّديّ على ذلك </w:t>
      </w:r>
      <w:bookmarkStart w:id="543" w:name="pg16065_153050"/>
    </w:p>
    <w:p>
      <w:pPr>
        <w:pStyle w:val="BookText"/>
        <w:rPr/>
      </w:pPr>
      <w:bookmarkEnd w:id="543"/>
      <w:r>
        <w:rPr>
          <w:rFonts w:ascii="Amiri" w:hAnsi="Amiri" w:eastAsia="Amiri" w:cs="Amiri"/>
          <w:color w:val="111111"/>
          <w:sz w:val="28"/>
          <w:sz w:val="28"/>
          <w:szCs w:val="28"/>
          <w:rtl w:val="true"/>
          <w:lang w:bidi="ar-SA"/>
        </w:rPr>
        <w:t xml:space="preserve">إذ لابناء من العقلاء حتّى يقال يكفي ذلك في الصحة مع عدم الردع عنه و لاإطلاق شرعي يمكن التمسّك به و دعوى وجود الإطلاق الشرعي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لصدق البيع على المقام فيشمله الاطلاق المذكور و لو لم يثبت بناء من العقلاء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نفي الربا القرضي لأنّه الشائع في ذلك العصر، وردع قياسهم بيع النسيئة بالربا القرضي و معه فلاإطلاق له حتّى يتمسّك به فتدبّر</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85498_1280447820"/>
      <w:bookmarkStart w:id="545" w:name="_Toc198"/>
      <w:bookmarkEnd w:id="544"/>
      <w:r>
        <w:rPr>
          <w:rtl w:val="true"/>
        </w:rPr>
        <w:t>الأمر الرابع</w:t>
      </w:r>
      <w:r>
        <w:rPr>
          <w:rtl w:val="true"/>
        </w:rPr>
        <w:t xml:space="preserve">: </w:t>
      </w:r>
      <w:r>
        <w:rPr>
          <w:rtl w:val="true"/>
        </w:rPr>
        <w:t>في احكام التكاثر الاستتئامى</w:t>
      </w:r>
      <w:bookmarkEnd w:id="545"/>
    </w:p>
    <w:p>
      <w:pPr>
        <w:pStyle w:val="Heading4"/>
        <w:numPr>
          <w:ilvl w:val="3"/>
          <w:numId w:val="1"/>
        </w:numPr>
        <w:rPr/>
      </w:pPr>
      <w:bookmarkStart w:id="546" w:name="__RefHeading___Toc285500_1280447820"/>
      <w:bookmarkStart w:id="547" w:name="_Toc199"/>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في أحكام التكاثر الاستتئامي و قد عرفت جواز ذلك لو لم يتوقّف على فعل حرام كما إذا تصدّى ذلك زوج المرأة أو الأجنبي من دون حاجة إلى الرؤية المباشريّة أو لمسها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لايلزم محذور من الاستنساخ المذكور من جهة النسب لأنّ كلّ واحدة من هذه الخلايا تكون من التوأمات و يترتّب عليه مايترتّب على التوأمات فيما إذا أخذ كلّ خليته من الخلايا المذكورة من منيّ الزوج و بييضته ملقحة من زوجته فالزوج أب لكل واحد من الخلايا و الزوجه اُمّ له و كلّ واحد من الخلايا يكون ولداً لهما و لافرق في ذلك بين أن يتغذّى كلّ خلية في رحم الزوجة أو في محلّ صناعي خارج الرحم فإذا عرفت أنّ النسبة بين الخلايا المذكورة و الزوج و الزوجة هي الأبوّة و الأمومة و البنوّة اتضح أنّ النسبة بين الخلايا هي نسبة الأخوّة أو الأخوات كما أنّ النسبة بين هذه الخلايا و بين سائر أولاد أبويها أيضاً كذلك فهم إخوة أو أخوات و هكذا نسبتهم بالإضافة إلى سائر المنسوبين تكون عين النسبة بين المتولّدين بالتوالد الطبيعي</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بذلك أنّه لايلزم اختلال النسب من جهة التكاثر الاستتئامي و هنا مسائل</w:t>
      </w:r>
      <w:r>
        <w:rPr>
          <w:rFonts w:eastAsia="Amiri" w:cs="Amiri" w:ascii="Amiri" w:hAnsi="Amiri"/>
          <w:color w:val="111111"/>
          <w:sz w:val="28"/>
          <w:szCs w:val="28"/>
          <w:rtl w:val="true"/>
          <w:lang w:bidi="ar-SA"/>
        </w:rPr>
        <w:t xml:space="preserve">: </w:t>
      </w:r>
      <w:bookmarkStart w:id="548" w:name="pg16065_153051"/>
    </w:p>
    <w:p>
      <w:pPr>
        <w:pStyle w:val="Heading4"/>
        <w:numPr>
          <w:ilvl w:val="3"/>
          <w:numId w:val="1"/>
        </w:numPr>
        <w:rPr/>
      </w:pPr>
      <w:bookmarkStart w:id="549" w:name="__RefHeading___Toc285502_1280447820"/>
      <w:bookmarkStart w:id="550" w:name="_Toc200"/>
      <w:bookmarkEnd w:id="548"/>
      <w:bookmarkEnd w:id="549"/>
      <w:r>
        <w:rPr>
          <w:rtl w:val="true"/>
        </w:rPr>
        <w:t>المسألة الأولى</w:t>
      </w:r>
      <w:r>
        <w:rPr>
          <w:rtl w:val="true"/>
        </w:rPr>
        <w:t xml:space="preserve">: </w:t>
      </w:r>
      <w:r>
        <w:rPr>
          <w:rtl w:val="true"/>
        </w:rPr>
        <w:t>الخلايا المخرجة من رحم الزوجة و اعادتها بعد موت زوجها هل تكون محكومة بحكم الحمل</w:t>
      </w:r>
      <w:bookmarkEnd w:id="550"/>
    </w:p>
    <w:p>
      <w:pPr>
        <w:pStyle w:val="BookText"/>
        <w:rPr/>
      </w:pPr>
      <w:r>
        <w:rPr>
          <w:rFonts w:ascii="Amiri" w:hAnsi="Amiri" w:eastAsia="Amiri" w:cs="Amiri"/>
          <w:color w:val="111111"/>
          <w:sz w:val="28"/>
          <w:sz w:val="28"/>
          <w:szCs w:val="28"/>
          <w:rtl w:val="true"/>
          <w:lang w:bidi="ar-SA"/>
        </w:rPr>
        <w:t>إنّه لاكلام فيما ذكر إذا كان الاستتئام المذكور في حياة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ذلك أو بعضه بعد حياة الزوج يقع الكلام في أنّ الخلايا التي تخرج من رحم الزوجة ثمّ توضع في رحمها بعد موت زوجها هل تكون محكومة بحكم الحمل في حال حياته حتّى يرث و يورث أو لاتكون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إنّ الخلايا المذكورة تخرج عن عنوان الحمل بإخراجها عن رحم الزوجة و مع خروجها عن هذا العنوان فلايشمله أدلّة إرث الحمل كصحيحة ربعي ابن عبدالله الثقة عن أبي عبدالله عليه السلام قال سمعته يقول في المنفوس إذا تحرّك ورث أنّه ربما كان 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ربعي قال سمعت أبا عبدالله عليه السلام يقول في السقط إذا سقط من بطن أُمّه فتحرّك تحرّكاً بيّنا يرث و يورث فإنّه ربما كان 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ابن سنان عن أبي عبدالله عليه السلام في المنفوس لايرث من و 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حتّى يصيح و يسمع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عمر بن يزيد عن أبي عبدالله عليه السّلام قال سألته عن رجل مات و ترك امرأته و هي حامل فوضعت بعد موته غلاماً ثمّ مات الغلام بعدما وقع إلى الأرض فشهدت المرأة التي قبلتها أنّه استهل و صاح حين وقع إلى الأرض ثمّ مات بعد ذلك قال على الإمام أن يجيز شهادتها في ربع ميراث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أخرجت الخلايا من الرحم و توضع في محال الانجماد ثمّ توضع بعد موت الأب في رحم زوجته لايترتّب عليها مايترتّب على الحمل لعدم 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الفرائض و المواريث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المنفوس المولود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الحمل عليها بعد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الخلايا المخرجة عن الرحم يصدق عليها الحمل ولو بعد إخراجها هذا مضافاً إلى أنّ مع عدم صدق الحمل عليها يمكن إلغاء الخصوصيّة بينها و بين الحمل عند العرف في ترتّب مايترتّب على الحمل و عليه فيجب من باب الاحتياط أن يوقف للخلايا نصيب الذكور كما حكى المحقّق الإيقاف في بعض الموارد عن الشيخ قدّس سرّهما حيث قال في المختصر النافع الثالثة قال الشيخ يوقف للحمل نصيب ذكرين احتياطاً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الإيقاف المذكور لاوجه له إلاّ الاحتياط و عليه فمقتضى الاحتياط في المقام هو أن يجعل لكلّ واحد من الخلايا المذكورة نصيب ذكر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في الإرث صدق الأولاد على الخلايا بعد حمل الزوجة إيّاها و وضعها ولو بعد موت الأب فيشملهم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قسّم الإرث قبل تولّد الولد المذكور لزم ردّ سهمه بعد تولّده إن كان عينه موجوداً أو مثله أو قيمته 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الملاك في الإرث هو تولّده حيّاً حال موت أبيه أمكن التعدّي عن المقام إلى ماإذا أخذت الخلية الجنسيّة الملقحة قبل ورود النطفة في رحم الزوجة لو أمكن ذلك فإنّها بعد وضعها في رحم الزوجة و تولّدها يصدق عليه الولد ولو لم يصدق عليه الحمل حين أخذها لكفاية صدق الولد عليه في ترتّب أحكامه بل ينقدح ممّا ذكرناه من أنّ الملاك هو صدق تولّده حيّاً بعد موت أبيه أو بعده أنّ الأمر يكون كذلك إذا وضعت الخلية بعد أخذها من نطفة الزوج و الزوجة في الرحم المصنوعي لصدق الولد عليه لعدم توقّف ذلك على تولّده من الرحم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51" w:name="pg16065_153053"/>
    </w:p>
    <w:p>
      <w:pPr>
        <w:pStyle w:val="BookText"/>
        <w:rPr/>
      </w:pPr>
      <w:bookmarkEnd w:id="551"/>
      <w:r>
        <w:rPr>
          <w:rFonts w:ascii="Amiri" w:hAnsi="Amiri" w:eastAsia="Amiri" w:cs="Amiri"/>
          <w:color w:val="111111"/>
          <w:sz w:val="28"/>
          <w:sz w:val="28"/>
          <w:szCs w:val="28"/>
          <w:rtl w:val="true"/>
          <w:lang w:bidi="ar-SA"/>
        </w:rPr>
        <w:t>الطبيعي و دعوى عدم الإرث للولد في أمثال ماذكر مندفعة بأنّه لاأظنّ الالتزام به من أحد و المسألة محتاجة إلى تأمّل زائد</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85504_1280447820"/>
      <w:bookmarkStart w:id="553" w:name="_Toc201"/>
      <w:bookmarkEnd w:id="552"/>
      <w:r>
        <w:rPr>
          <w:rtl w:val="true"/>
        </w:rPr>
        <w:t>المسألة الثانية</w:t>
      </w:r>
      <w:r>
        <w:rPr>
          <w:rtl w:val="true"/>
        </w:rPr>
        <w:t xml:space="preserve">: </w:t>
      </w:r>
      <w:r>
        <w:rPr>
          <w:rtl w:val="true"/>
        </w:rPr>
        <w:t>هل يجوز القاء الخلية المخرجة من رحم الزوجة في رحمها بعد موت زوجها</w:t>
      </w:r>
      <w:bookmarkEnd w:id="553"/>
    </w:p>
    <w:p>
      <w:pPr>
        <w:pStyle w:val="BookText"/>
        <w:rPr/>
      </w:pPr>
      <w:r>
        <w:rPr>
          <w:rFonts w:ascii="Amiri" w:hAnsi="Amiri" w:eastAsia="Amiri" w:cs="Amiri"/>
          <w:color w:val="111111"/>
          <w:sz w:val="28"/>
          <w:sz w:val="28"/>
          <w:szCs w:val="28"/>
          <w:rtl w:val="true"/>
          <w:lang w:bidi="ar-SA"/>
        </w:rPr>
        <w:t>انّ بناء على حرمة إلقاء الخلية في رحم الأجنبيّة يقع الكلام في أنّه هل يجوز تكليفاً إلقاء الخلية المذكورة في رحم الزوجة بعد موت زوجها أو لايجوز لصيرورتها أجنبيّة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بالأوّل بناء على استكشاف بقاء علقة الزوجية و لو تعبّداً من جهة تجويز التغسيل و النظر لكلّ زوج و زوجة بالنسبة إلى الآخر إذ مع بقاء علقة الزوجية لاتكون أجنبية حتّى يترتّب عليها أحكامها و يشهد له الأخبار الواردة في جواز النظر و تغسيل الزوجة زوجها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قال سألت أبا عبدالله عليه السلام عن الرجل أيصلح له أن ينظر إلى امراته حين تموت أو يغسلها إن لم يكن عندها من يغسلها و عن المرأة هل تنظر إلى مثل ذلك من زوجها حين يموت فقال لابأس بذلك إنّما يفعل ذلك أهل المرأة كراهية أن ينظر زوجها إلى شيء يكرهونه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الرواية تدلّ على جواز التغسيل و النظر لكليهما و كراهية أهل المرأة لذلك لايوجب حرمته بل و لاكراهته لأنّ النهي من جهة 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إطلاق امراته أو زوجها بعد الموت في 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محمّد بن مسلم قال 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الصحيحة تدلّ على جواز تغسيل الرجل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الحلبي عن أبي عبدالله عليه السلام أنّه سئل عن الرجل يموت و ليس عنده من يغسله إلاّ النساء قال تغسله امرأته أو ذو قرابته إن كان له و تصبّ النساء عليه الماء صباً و في و المرأة إذا ماتت يدخل زوجها يده تحت قميصها فيغسلها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بدخول اليد تحت القميص من جهة كراهة الأهل فلادليل على وجوب ذلك فيجوز النظر و تغسيل الميّت مجرّداً هذا مضافاً إلى أنّ دخول اليد تحت القميص لايخلو عن لمسها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داود بن سرحان عن أبي عبدالله عليه السلام في رجل يموت في السفر أو في الارض ليس معه فيها إلاّ النساء قال يدفن و لايغسل قال و في المرأة تكون مع الرجال بتلك المنزلة إلاّ أن يكون معها زوجها فإن كان معها زوجها فليغسلها من فوق الدرع و يسكب عليها الماء سكباً و لتغسله امرأته إذا مات و المرأة ليست مثل الرجل المرأة أسوء منظراً حين تموت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محمد بن مسلم قال سألت أبا جعفر عليه السلام عن امرأة توفّيت أيصلح لزوجها أن ينظر إلى وجهها و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الأخبار الدالّة على جواز النظر و الغسل لكلّ واحد من الزوجين و حمل هذه الروايات على بيان بعض أحكام الزوجيّة من دون بقاء علقة الزوجية بعيد عن مساقها لظهورها في بقاء العلقة و لاينافي ذلك تخصيص بعض أحكام الزوجية بعد الموت كتجويز الخامسة بمجرد موت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الأخبار الواردة في تعليل جواز غسل الزوجة زوجها بكونها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في عدّة إذ مع هذا التعليل تكون الأخبار صريحة في بقاء العلقة الزوجيّة بينهما و لو تعبّداً في زمان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الحلبي سئل أبو عبدالله عليه السلام عن الرجل يغسل امرأته قال نعم من و راء الثوب لاينظر إلى شعرها و لاإلى شيء منها و المرأة تغسل زوجها لأنّه إذا مات كانت في عدّة منه و إذا ماتت هي فقد انقضت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زرارة عن أبي عبدالله عليه السلام في الرجل يموت و ليس معه إلاّ النساء قال تغسله امرأته لأنه منه في عدّة و إذا ماتت لم يغسلها لأنّه ليس منها في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الأخبار صريحة في بقاء العلقة الزوجية بين الزوج و الزوجة في زمان العدّة و لذا يجوز للمرأة أن تنظر إلى زوجها و أن تغسله لبقاء تلك العلقة و مقتضى بقاء العلقة بينهما هو أن يجوز للرجل أيضاً ذلك ولكن ينافيه قوله عليه السّلام و إذا ماتت هي فقد انقضت عدّتها و لعلّه محمول على أنّه تقريب لكراهة الناس ذلك كما أشير إليها في بعض النصوص أو محمول على التقيّة لأنّ أبا حنيفة ذهب إلى عدم جواز غسل الرجل زوجته و إن خالفه جمهور العامّة و قالوا بجواز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مخالفة أبي حنيفة في عهد الإمام الصادق للحمل على التقيّة لشيوع حكمه في عهده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تدلّ على بقاء علقة الزوجية في زمان العدّة عدى ماخرج بالأدلّة الخاصّة و تخصيص بعض الأحكام بالموت لايستلزم عدم بقاء العلقة فتجويز الخامسة بمجرّد الموت الرابعة لايدلّ على عدم بقاء العلقة و هكذا تجويز التزويج مع الأخت بمجرّد موت أختها لإمكان موضوع الحرمة هو الجمع بينهما أو بينهنّ في حال الحياة لاالموت و الحياة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هنا روايات اُخرى تصلح لتأييد بقاء علقة الزوجيّة بعد موت أحد الزوجين مثل مارواه في مدينة المعاجز من أنّ امرأة من الأنصار يقال لها أمّ فروة تكلّمت مع أبي بكر بكلام غليظ في ذمّه و مدح علي عليه السلام فقال اقتلوها فقد ارتدت فقتلت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في ضيعة له فلمّا قدم و بلغه قتل أمّ فروة إلى أن قال فوقف على قبرها و مدّ يده إلى السماء و قال يامحيي النفوس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لنا أمّ فروة و اجعلها عبرة لمن عصاك فخرجت أمّ فروة إلى أن قال و ردّها أمير المؤمنين عليه السلام إلى زوجها و ولدت له غلامين و عاشت بعد علي 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الزوج مع حيلولة الموت يدلّ على بقاء العلقة بعد الموت بل ظاهرها إنّ بقاء علقة الزوجية مرتكز بين الناس بحيث لاحاجة إلى 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مارواه في المناقب عن الأصبغ بن نباتة قال مرّ مولاي أمير المؤمنين عليه السلام بمقبرة و نظر إلى القبور فقال أتحبّ أن أريك آية بإذن الله تعالى فقلت نعم يامولاي فأشار بيدة إلى قبر و قال قم ياميّت و قام شيخ و قال السلام عليك ياأمير المؤمنين و خليفة ربّ العالمين فقال عليه السلام من أنت ياشيخ فقال أنا عمرو ابن دينار الهمداني إنّي قتلت في واقعة الأنبار قتلني أصحاب معاوية مع أمير الأنبار فقال إذهب إلى أهلك و أولادك وحدّثهم بما رأيت و قل لهم إنّ علي بن أبي طالب أحياني بأمر الله تعالى وردّني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الأهل مع حيلولة الموت ممّا يؤيّد بقاء علقة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مارواه في مدينة المعاجز عن الرقّي حجَّ رجل من أصحابنا فدخل على أبي عبدالله عليه السلام فقال فداك أبي و اُمي إنّ أهلي قد توفّيت و بقيت وحيداً فقال أبو عبدالله عليه السلام أوَكنت تحبّها قال نعم جعلت فداك قال ارجع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منزلك فإنّك سترجع إلى المنزل و هي تأكل شيئاً قال فلمّا رجعت من حَجّتي و دخلت منزلي رأيتها قاعدة و هي تأكل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ظاهرها أنّ الرجوع إلى المنزل لايحتاج إلى إجراء عقد الزوجيّة لحصول المحرمية و هو حاك عن بقاء علقة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مارواه في مدينة المعاجز عن الراوندي قال أنّ عيسى بن مهران قال كان رجل من أهل خراسان و كان محبّاً لأهل البيت فجع بزوجته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منزله فوجد امراته تجود بنفسها فغمضها و سجّاها و شدّ حنكها و تقدّم في إصلاح ماتحتاج إليه من الكفن و الكافور و حفر قبرها و صار إلى أبي عبدالله عليه السلام فأخبره و سأله أن يتفضّل بالصلاة عليها فقام عليه السلام فصلّى ركعتين و دعا ثمّ قال للرجل انصرف إلى رحلك فإنّ أهلك لم تمت و ستجدها في رحلك تأمر و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المرأة تطوف بالبيت إذ رأت أبا عبدالله عليه السلام و قالت و الله هذا الرجل الذي رأيته يتشفّع إلى الله حتّى ردّ روحي في جسدي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ماروي عن الطبري عن إبراهيم بن سهل قال لقيت علي بن موسى الرضا عليهما السلام في حديث أنّه شك في إمامة الرضا عليه السلام فأخبره عليه السلام بما معه من المال و قال عليه السلام و أمّا أهلك فإنّها ماتت منذ سنة و قد أحييتها الساعة و أتركها معك سنة أخرى لتعلم أني إمام ثمّ انطلقت إلى منزلي فإذا بأهلي جالسة فقلت لها ماالذي جاء بك فقالت إنّي كنت نائمة إذ أتاني آت ضخم شديد السمرة فوصفت لي صفة الرضا فقال لي ياهذه قومي و ارجعي إلى زوجك فإنّك ترزقين بعد الموت ولداً فرزقت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مارواه في مدينة المعاجز عن دلائل الإمامة للطبري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المعلّى بن فرج قال حدّثنا معبد بن حنبل الشامي قال دخلت على علي بن موسى الرضا عليهما السّلام فقلت قد كثر الخوض فيك و في عجائبك فلو شئت أنبأتني بشيء اُحدّثه عنك فقال ماتشاء؟ فقلت تحيى أبي و اُمّي فقال انصرف إلى منزلك فقد احييتهما لك فانصرفت و الله و هما في البيت أحياءً فأقاما عندي عشرة أيّام ثمّ قبضهما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بقاء علقة الزوجية بين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ظهور بعض الآيات الكريمة على بقاء علقة الزوجية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 وَ أَزْوٰاجَهُمْ وَ مٰا كٰانُوا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الأزواج حين الخطاب للملائكة في بقاء العلقة الزوجيّة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 أُمِّهِ وَ أَبِيهِ وَ صٰاحِبَتِهِ وَ بَنِيهِ‌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إطلاق الصاحبة بعد الموت و الحشر شاهد على بقاء العلقة الزوجية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يكفي بعض ماأشرنا إليه من الأدلّة لبقاء العلقة الزوجية في زمان العدّة و مع بقائها يترتّب الأحكام عدى ماخرج و إن أبيت عن ذلك ففي الاستصحاب إشكال لاحتمال أن يكون الحياة و الممات من المقوّمات فمع صيرورة الزوجة ميتّا أو الرجل ميّتاً لاعلم ببقاء الموضوع و حينئذ فإن أمكن الاستصحاب الحكمي مثل أن يقال إنّ إلقاء هذه الخلية في رحم زوجة الرجل كان في زمان حياته جائزاً و الآن يكون كذلك فهو و إن أبيت عن جريان الاستصحاب موضوعاً و حكماً فلامانع من الأخذ بأصالة البراءة و الحكم بجواز الإلقاء المذكور و إن قلنا بحرمة ذلك في رحم الأجنبيّة لعدم ثبوت كون المرأة المذكورة أجنبيّة و مع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ذلك تكون من الشبهات الموضوعية لدليل حرمة إلقاء النطفة في رحم الأجنبية بناء على حرمته و عدم انصرافه عن مثل المقام ولكن الانصراف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مقتضى دليل وجوب حفظ الفرج عن الأجنبي و الأجنبية هو الاجتناب حتّى عن موارد الاحتمال أيضاً قضاء لمادّة الحفظ و مع وجوب ذلك لامجال لأصالة البراءة لأنّ الأصل دليل حيث لادليل و المفروض هو دلالة الدليل الاجتهادي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إنّ عموم دليل وجوب الحفظ حيث خصّص بجواز ذلك في الزوجة و ملك اليمين فالفرد المشكوك زوجيّتهما يكون من الشبهات المصداقية لأنّ العام معنون بغير الزوجة و صدقه على المشكوك زوجيّتهما غير ثابت فلايجوز التمسّك به فيه كما لايجوز التمسك بالخاصّ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نعم لو لم يكن مادّة الحفظ فإنّ مقتضى تلك المادّة و لزوم الحفظ حتّى عن المحتملات هو أن يكون الخاص هو المعلوم الزوجيّة و عليه يبقى تحت العام محتمل الأجنبيّة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الأمر هو ما عرفت من أنّ أدلّة حفظ الفرج منصرفة عن مثل المقام و مع الانصراف لايبقى إلاّ حرمة إلقاء النطفة في فرج الأجنبية و هي متفرّعة على إثبات الأجنبيّة و مع الشكّ في كونها أجنبيّة أو زوجة فلايكون مشمولاً لأدلّة حرمة إلقاء النطفة بناء على ثبوت حرمته فتحصّل أنّه لادليل على حرمة إلقاء الخلية في رحم الزوجة بعد موت زوجها في زمان العدّة لظهور بقاء علقة الزوجيّة في زمان العدّة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ثبوت بقاء علقة الزوجيّة بعد الموت ففي جريان الاستصحاب إشكال لعدم بقاء الموضوع عرفاً بعروض الموت كما أنّه لامجال للبراءة مع لزوم حفظ الفرج و لو في موارد الاحتمال بمقتضى مفهوم الحفظ</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بانصراف أدلّة وجوب حفظ الفرج عن الاستيلاد فلاتشمل المقام </w:t>
      </w:r>
      <w:bookmarkStart w:id="554" w:name="pg16065_153060"/>
    </w:p>
    <w:p>
      <w:pPr>
        <w:pStyle w:val="BookText"/>
        <w:rPr/>
      </w:pPr>
      <w:bookmarkEnd w:id="554"/>
      <w:r>
        <w:rPr>
          <w:rFonts w:ascii="Amiri" w:hAnsi="Amiri" w:eastAsia="Amiri" w:cs="Amiri"/>
          <w:color w:val="111111"/>
          <w:sz w:val="28"/>
          <w:sz w:val="28"/>
          <w:szCs w:val="28"/>
          <w:rtl w:val="true"/>
          <w:lang w:bidi="ar-SA"/>
        </w:rPr>
        <w:t>إلاّ أن يستدلّ بما دلّ على حرمة إلقاء النطفة في فرج الأجنبيّة ولكنّه فرع ثبوت موضوعه و هو كونها أجنبيّة فتدبّر جيّداً</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85506_1280447820"/>
      <w:bookmarkStart w:id="556" w:name="_Toc202"/>
      <w:bookmarkEnd w:id="555"/>
      <w:r>
        <w:rPr>
          <w:rtl w:val="true"/>
        </w:rPr>
        <w:t>المسألة الثالثة</w:t>
      </w:r>
      <w:r>
        <w:rPr>
          <w:rtl w:val="true"/>
        </w:rPr>
        <w:t xml:space="preserve">: </w:t>
      </w:r>
      <w:r>
        <w:rPr>
          <w:rtl w:val="true"/>
        </w:rPr>
        <w:t>هل يحوز وضع الجنسيّة بعد اللقاح و اخراجها من رحم الزوجة فى رحم الاجنبية</w:t>
      </w:r>
      <w:bookmarkEnd w:id="556"/>
    </w:p>
    <w:p>
      <w:pPr>
        <w:pStyle w:val="BookText"/>
        <w:rPr/>
      </w:pPr>
      <w:r>
        <w:rPr>
          <w:rFonts w:ascii="Amiri" w:hAnsi="Amiri" w:eastAsia="Amiri" w:cs="Amiri"/>
          <w:color w:val="111111"/>
          <w:sz w:val="28"/>
          <w:sz w:val="28"/>
          <w:szCs w:val="28"/>
          <w:rtl w:val="true"/>
          <w:lang w:bidi="ar-SA"/>
        </w:rPr>
        <w:t>أنّه هل يجوز وضع الخلية الجنسيّة بعد اللقاح و إخراجها من رحم الزوجة في رحم الأجنبيّة أو لايجوز لأنّه من موارد التلقيح بماء غير الزوج و دعوى أنّه لايطلق عليه ماء الأجنبي بعد إخراج الخلايا و جعل كلّ واحدة في غشاء خاصّ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في تحرير الوسيلة بأنّه لايجوز التلقيح بماء غير الزوج سواء كانت المرأة ذات بعل أو لارضى الزوج و الزوجة بذلك أو لاكانت المرأة من محارم صاحب الماء كأمّه و اخته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إنّ حذف المتعلّق في حفظ الفرج يدلّ على الإطلاق و العموم فلايختصّ الحفظ بالجماع و الاستمتاع بل يشمل مثلاً الاستيلاد حتّى بمثل التلقيح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موثّقة علي بن سالم عن أبي عبدالله عليه السلام قال إنّ أشدّ الناس عذاباً يوم القيامة رجل أقرّ نطفته في رحم يحرم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الظاهر منه أنّ العذاب الأشدّ مترتّب على إقرار النطفة في الرحم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يحرم عليه بحيث لو زنى الزاني و عزل ماءه لما تحقق موضوع لهذا العذاب الأشدّ فيدلّ الحديث دلالة واضحة على أنّ نفس جعل نطفته في رحم يحرم عليه معصية كبيرة اللّهمّ إلاّ أن يقال إنّ إقرار النطفة في الرحم منصرف إلى الزنا و الإيلاج و الإدخال حتّى يتحقّق الإقرار في الرحم فلا يشمل مجرّد إلقاء النطفة من دون جماع و من دون 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شككنا في كون المقام مشمولاً للأدلّة الدالّة على الحرمة و عدمه فقد يقال بلزوم الاجتناب للأمر بالاحتياط في باب الفروج كما يدلّ عليه صحيحة شعيب الحدّاد قال قلت لأبي عبدالله عليه السلام رجل من مواليك يقرئك السلام و قد أراد أن يتزوّج امرأة و قد وافقته و اعجبه بعض شأنها و قد كان لها زوج فطلّقها على غير السنّة و قد كره أن يقدم على تزويجها حتّى يستأمرك فتكون أنت تأمره فقال أبو عبدالله عليه السلام هو الفرج و أمر الفرج شديد و منه يكون الولد و نحن نحتاط فلا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مورد الرواية هو الشبهة الموضوعية لاالحكمية لأنّ الطلاق البدعي يطلق على أقسام منها باطل إن صدر منّا كطلاق الحائض بعد الدخول مع حضور الزوج أو مع غيبته من دون مضيّ مدّة يقطع بانقطاع الحيض و هكذا النفساء أو كطلاقها في طهر المواقعة ومنها صحيح كطلاق الثلاث مترتّبة بمعنى إنشاء الطلاق ثلاث مرّات في مجلس واحد فإنّه كما صرّح به في الجواهر لاخلاف في وقوع الواحدة به و حيث إنّ الراوي لم يعيّن الموضوع لعدم تمكّنه من إحراز كيفيّته وقوع الطلاق البدعي كانت الشبهة عنده موضوعية لاحكميّة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أنّ الإمام عليه السلام لايحتاط في الشبهات الحكميّة بل بين حكمها فلا يصحّ التمسّك بها في مثل المقام من موارد الشبهات الحكميّة اللّهمّ إلاّ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557" w:name="pg16065_153062"/>
    </w:p>
    <w:p>
      <w:pPr>
        <w:pStyle w:val="BookText"/>
        <w:rPr/>
      </w:pPr>
      <w:bookmarkEnd w:id="557"/>
      <w:r>
        <w:rPr>
          <w:rFonts w:ascii="Amiri" w:hAnsi="Amiri" w:eastAsia="Amiri" w:cs="Amiri"/>
          <w:color w:val="111111"/>
          <w:sz w:val="28"/>
          <w:sz w:val="28"/>
          <w:szCs w:val="28"/>
          <w:rtl w:val="true"/>
          <w:lang w:bidi="ar-SA"/>
        </w:rPr>
        <w:t>يقال باستفادة لزوم الاحتياط في المقام بالأولويّة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القول بأنّ الحفظ الواجب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موارد الاحتمال أيضاً سواء كانت الشبهة موضوعيّة أو حكميّة بناء على عدم اختصاص الآية المذكورة بخصوص الحفظ من الزنا كما مرّ البحث عنه و معه لامجال لأصالة البراءة لأنّ الأصل دليل حيث لادليل و يؤيّده ماذهب إليه شيخنا الأستاذ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صورة الشكّ في تحقّق الموضوع و عدمه و إن كان الشكّ من جهة نفس الموضوع شكّاً في الموضوع لكن ما هو المضاف إلى هذا الموضوع من الاحترام و الحفظ منقّح للموضوع فإنّ حفظ الشيء من التلف يصدق حقيقة في مورد احتماله كما أنّ عدم المبالاة فيه صادق حقيقة على ترك الحفظ و لو لم يكن لنفس الشيء تحقّق و واقعيّة و بالجملة حال الحفظ حال الاحتياط فكما أنّه صادق في مورد احتمال الضرر ولو لم يكن ضرر واقعاً و تركه تهوّر كذلك أيضاً و لا يدور شيء منهما مدار وجود الواقع بل الاحتمال هو الدخيل التام في صدقهما فكذلك الحفظ و رعاية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مساغ للرجوع إلى أصل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الحفظ في الآيات منصرف عن مثل الاستيلاد لاسيّما عن مثل إلقاء الخلية من دون استمتاع و انقطاع الأنساب و اختلاطه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85508_1280447820"/>
      <w:bookmarkStart w:id="559" w:name="_Toc203"/>
      <w:bookmarkEnd w:id="558"/>
      <w:r>
        <w:rPr>
          <w:rtl w:val="true"/>
        </w:rPr>
        <w:t>المسألة الرابعة</w:t>
      </w:r>
      <w:r>
        <w:rPr>
          <w:rtl w:val="true"/>
        </w:rPr>
        <w:t xml:space="preserve">: </w:t>
      </w:r>
      <w:r>
        <w:rPr>
          <w:rtl w:val="true"/>
        </w:rPr>
        <w:t>إذا وضعت الخلية الجنسيّة بعد اللقاح و انفصالها عن سائر الخلايا في رحم امرأة اخرى من دون دخالة لها و لزوجها</w:t>
      </w:r>
      <w:bookmarkEnd w:id="559"/>
    </w:p>
    <w:p>
      <w:pPr>
        <w:pStyle w:val="BookText"/>
        <w:rPr/>
      </w:pPr>
      <w:r>
        <w:rPr>
          <w:rFonts w:ascii="Amiri" w:hAnsi="Amiri" w:eastAsia="Amiri" w:cs="Amiri"/>
          <w:color w:val="111111"/>
          <w:sz w:val="28"/>
          <w:sz w:val="28"/>
          <w:szCs w:val="28"/>
          <w:rtl w:val="true"/>
          <w:lang w:bidi="ar-SA"/>
        </w:rPr>
        <w:t>انّه إذا وضعت الخلية الجنسيّة بعد اللقاح و انفصالها عن سائر الخلايا و إخراجها من رحم الزوجة في رحم امرأة أخرى من دون دخالة لبييضتها أو نطفة زوجها فهي من الزوج و الزوجة و الرحم المستأجرة أو المستعارة كالرحم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المصنوعي في عدم دخالتها في الأمومة فالزوج أبوها و الزوجة 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الأغذية التي استفادت الخلية من رحم المرأة المذكورة في مدّة الحمل لاتوجب خروج الخلية عن انتسابها إلى أبيها و أمّها الذين كانا منشأ لوجودها فالنسبة بين الخلية المذكورة و بين أبيها و أمّها باقية و لو تغذّت في رحم المرأة الأخرى و نمت في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ملاك الاُمومة شرعاً هو حمل الطفل و الولادة فمن حملته ثمّ ولدته فهي أمّ له شرعاً و لو كانت النطفة لغيرها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لدلالتها على أنّ الاُمّ هي المرأة التي تلد الولد فالمرأة الحاملة هي اُمّ شرعاً و الولد ملحق بها لابصاحبة البييضة و إن كان لها مدخلية في تكّون النطفة من بييضتها و منّي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الحصر في الآية الكريمة إضافيّ لاحقيقي و المقصود من الحصر هو نفي الاُمومة عن النسوة التي ظاهروهنّ بقولهم لهنّ أنت أو ظهرك عليّ كظهر اُمّي لانفي الاُمومة عن مطلق من لم تلد و جعل الاُمومة في اللائي ولدنهم ليس من باب اعتبار الولادة العادية في صدق الاُمومة بل يكون من باب أنّ الاُمومة بحسب العادة تحصل للنساء بالولادة فلذا عبّر في الآية بذلك هذا مضافاً إلى أنّه لايستفاد من الآية الكريمة خلاف ماعليه العقلاء من حكمهم بالاُمومة و لو لم يكن ولادة عادية ألا ترى أنّهم حكموا بالاُمومة للحاملة التي يشقّ بطنها و يخرج ولدها مع عدم الولادة العادية بالنسبة إليها فيعلم من ذلك أنّ الولادة العادية لامدخلية لها في صدق الأمومة فالملاك في الاُبوّة و الاُمومة هو مبدئيّة ماء الزوج و الزوجة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الطفل و هو بإطلاقه يشمل المقام و لايستفاد من الآية الكريمة تعبّد شرعيّ في قبال ماعليه العرف كما هو واضح و بعبارة اُخرى تدلّ الآية الكريمة على أنّ الوالدات هنّ اللائي لهنّ المبدئية في التولّد و هذا معنى يصدق على المقام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إنّ النطفة المفروزة حيث تغذّت في رحم المرأة المذكورة و نبت لحمها و اشتدّ عظمها صارت كالمرتضع و المرأة المذكورة تكون كالاُمّ الرضاعي و ذلك لأنّ ملاك كون الرضاع موجباً للحرمة هو نبت اللحم و شدّ العظم و هو موجود في ارتزاقها عن المرأة في حال الحمل و يشهد له التعليل الوارد في بعض أخبار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علي بن رئاب قال قلت مايحرم من الرضاع قال عليه السلام ماأنبت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فيحرم عشر رضعات قال لا لأنّه لاتنبت اللحم و لاتشدّ العظم عشر رضعات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أنّ الملاك في نشر الحرمة هو نبت اللحم و اشتداد العظم سواء كان بالرضاع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إنّ التعليل المذكور لايدلّ على أنّ نبت اللحم و شدّ العظم هو العلّة من أىّ ناحية كان بل يدلّ على عدم كفاية عشر رضعات لعدم كونها موجبة لنبت اللحم و شدّ العظم لأنّ اللازم هو خمسة عشر رضعات حتّى يحصل النبت و الشدّ المذكور الموجب نشر الحرمة و بعبارة اُخرى في مقام تعيين مصداق ماأنبت اللحم و شدّ العظم من الرضاع لاأنّ كلّ نبت و شدّ يوجب نشر الحرمة و لو لم يكن رضاع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الأهون من ذلك هو الاستدلال لذلك بالأولويّة بأن يقال إنّ الارتضاع في المقام و إن لم يكن له عين ولا أثر إلاّ أنّ النطفة التي جعلت في رحم المرأة غير صاحبة البييضة إنّما تنموا و تتكاثر و تصل إلى مرحلة جنين كامل بتغذيها من بدن هذه المرأة و ينبت جميع أعضاءه منها فهذا الإنبات أشدّ و أولى بمراتب من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مايحرم من الرضاع</w:t>
      </w:r>
      <w:r>
        <w:rPr>
          <w:rFonts w:eastAsia="Amiri" w:cs="Amiri" w:ascii="Amiri" w:hAnsi="Amiri"/>
          <w:color w:val="111111"/>
          <w:sz w:val="28"/>
          <w:szCs w:val="28"/>
          <w:rtl w:val="true"/>
          <w:lang w:bidi="ar-SA"/>
        </w:rPr>
        <w:t xml:space="preserve">. </w:t>
      </w:r>
      <w:bookmarkStart w:id="560" w:name="pg16065_153065"/>
    </w:p>
    <w:p>
      <w:pPr>
        <w:pStyle w:val="BookText"/>
        <w:rPr/>
      </w:pPr>
      <w:bookmarkEnd w:id="560"/>
      <w:r>
        <w:rPr>
          <w:rFonts w:ascii="Amiri" w:hAnsi="Amiri" w:eastAsia="Amiri" w:cs="Amiri"/>
          <w:color w:val="111111"/>
          <w:sz w:val="28"/>
          <w:sz w:val="28"/>
          <w:szCs w:val="28"/>
          <w:rtl w:val="true"/>
          <w:lang w:bidi="ar-SA"/>
        </w:rPr>
        <w:t>الإنبات و الاشتداد الحاصل بالارتضاع فلذلك كان ذلك الموجب للحرمة في الرضاع موجباً بعينه لها بطريق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لمنع القطع بالأولويّة و معه فليس في البين إلاّ الأولويّة الظنيّة و من المعلوم عدم حجّيّتها و لو سلّمنا إلحاق المرأة المذكورة بالمرضعة فهي محكومة بأحكامها فحينئذ يكون للنطفة المذكورة أبوان و أمّ كأمّ الرضاعيّة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85510_1280447820"/>
      <w:bookmarkStart w:id="562" w:name="_Toc204"/>
      <w:bookmarkEnd w:id="561"/>
      <w:r>
        <w:rPr>
          <w:rtl w:val="true"/>
        </w:rPr>
        <w:t>المسألة الخامسة</w:t>
      </w:r>
      <w:r>
        <w:rPr>
          <w:rtl w:val="true"/>
        </w:rPr>
        <w:t xml:space="preserve">: </w:t>
      </w:r>
      <w:r>
        <w:rPr>
          <w:rtl w:val="true"/>
        </w:rPr>
        <w:t>هل يجوز وضع الخلية في رحم الاجنبية من غير طريق الفرج</w:t>
      </w:r>
      <w:bookmarkEnd w:id="562"/>
    </w:p>
    <w:p>
      <w:pPr>
        <w:pStyle w:val="BookText"/>
        <w:rPr/>
      </w:pPr>
      <w:r>
        <w:rPr>
          <w:rFonts w:ascii="Amiri" w:hAnsi="Amiri" w:eastAsia="Amiri" w:cs="Amiri"/>
          <w:color w:val="111111"/>
          <w:sz w:val="28"/>
          <w:sz w:val="28"/>
          <w:szCs w:val="28"/>
          <w:rtl w:val="true"/>
          <w:lang w:bidi="ar-SA"/>
        </w:rPr>
        <w:t>أنّه هل يجوز وضع الخلية في رحم الأجنبيّة من غير طريق الفرج أو لايجوز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بالثاني لأنّه يرجع إلى إقرار النطفة في رحم الأجنبية و هو حرام لقوله عليه السلام إنّ أشدّ الناس عذاباً يوم القيامة رجل أقرّ نطفته في رحم يحرم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ذلك منصرف إلى الزنا و الإيلاج و الإدخال في الفرج و لا يشمل الإدخال توسط الأبر من غير طريق الفرج و لا أقلّ من الشكّ فيمكن الأخذ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لايلزم من القول بالاحتياط في باب الفروج القول بالاحتياط في المقام لأنّ المفروض وضع الخلية في الرحم من غير طريق الفرج و الاحتياط مربوط بحفظ الفرج هذا مضافاً إلى مامرّ من دعوى انصراف الآية عن مثل الاستيلاد حتّى من الفرج نعم يمكن أن يقال إنّ المستفاد من بعض الأخبار أنّ من الحكمة في الزنا هو انقطاع الأنساب و هو يقتضي التحريم في المقام أيضاً و في رواية محمد بن سنان عن الرضا عليه السلام فيما كتب إليه من جواب مسائله و حرّم الله الزنا لما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من الفساد من قتل النفس و ذهاب الأنساب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الاحتجاج في حديث أنّ زنديقاً قال لأبي عبدالله عليه السلام لم حرّم الله الزنا قال لما فيه من الفساد و ذهاب المواريث و انقطاع الأنساب لاتعلم المرأة في الزنا من أحبلها و لا المولود يعلم من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بتقريبهما كما في كلمات سديدة أنّهما تدّلان على أنّ ذهاب الأنساب سرّ من أسرار حرمة الزنا فهو أمر مبغوض يجب الاجتناب عنه مهما كان و كونه حكمة لايدور حرمة الزنا مدارها لايضرّ بالقول بحرمة كلّ عمل اشتمل على هذه الحكمة فإنّ الحكمة لاتقصر عن العلّة في موارد 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وجود انقطاع الأنساب في المقام مع معلوميّة صاحب النطفة المذكورة على المفروض نعم لو لم يعلم صاحبها كانت الحكمة المذكورة موجودة و مقتضاها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مافي الاستدلال على الحرمة بقوله عليه السلام في صحيحة شعيب الحداد بأنّه الفرج و أمر الفرج شديد و منه يكون الولد و نحن نحتاط فلا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 محلّ كلامنا هو الوضع من غير ناحية الفرج لامنه كما لايخفى إلاّ أن يقال إنّ الظاهر من قوله و منه يكون الولد أنّ حكم الفرج و الرحم واحد فإنّ الرواية دلّت على أنّ الولد من الفرج مع أنّه من الرحم و عليه فلزوم الاحتياط في الفرج يسري إلى لزومه في الرحم أيضاً بناء على شمول حفظ الفرج للاستيلاد و عدم انصرافه عنه و إلاّ كما عرفت فلا دليل على حرمة ذلك و إن كان الأحوط هو الاجتناب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563" w:name="pg16065_153067"/>
    </w:p>
    <w:p>
      <w:pPr>
        <w:pStyle w:val="Heading4"/>
        <w:numPr>
          <w:ilvl w:val="3"/>
          <w:numId w:val="1"/>
        </w:numPr>
        <w:rPr/>
      </w:pPr>
      <w:bookmarkStart w:id="564" w:name="__RefHeading___Toc285512_1280447820"/>
      <w:bookmarkStart w:id="565" w:name="_Toc205"/>
      <w:bookmarkEnd w:id="563"/>
      <w:bookmarkEnd w:id="564"/>
      <w:r>
        <w:rPr>
          <w:rtl w:val="true"/>
        </w:rPr>
        <w:t>المسألة السادسة</w:t>
      </w:r>
      <w:r>
        <w:rPr>
          <w:rtl w:val="true"/>
        </w:rPr>
        <w:t xml:space="preserve">: </w:t>
      </w:r>
      <w:r>
        <w:rPr>
          <w:rtl w:val="true"/>
        </w:rPr>
        <w:t>هل يجوز استيجار رحم المرأة أو لايجوز</w:t>
      </w:r>
      <w:bookmarkEnd w:id="565"/>
    </w:p>
    <w:p>
      <w:pPr>
        <w:pStyle w:val="BookText"/>
        <w:rPr/>
      </w:pPr>
      <w:r>
        <w:rPr>
          <w:rFonts w:ascii="Amiri" w:hAnsi="Amiri" w:eastAsia="Amiri" w:cs="Amiri"/>
          <w:color w:val="111111"/>
          <w:sz w:val="28"/>
          <w:sz w:val="28"/>
          <w:szCs w:val="28"/>
          <w:rtl w:val="true"/>
          <w:lang w:bidi="ar-SA"/>
        </w:rPr>
        <w:t>أنّه هل يجوز استيجار رحم المرأة أو لايجوز؟</w:t>
      </w:r>
    </w:p>
    <w:p>
      <w:pPr>
        <w:pStyle w:val="BookText"/>
        <w:rPr/>
      </w:pPr>
      <w:r>
        <w:rPr>
          <w:rFonts w:ascii="Amiri" w:hAnsi="Amiri" w:eastAsia="Amiri" w:cs="Amiri"/>
          <w:color w:val="111111"/>
          <w:sz w:val="28"/>
          <w:sz w:val="28"/>
          <w:szCs w:val="28"/>
          <w:rtl w:val="true"/>
          <w:lang w:bidi="ar-SA"/>
        </w:rPr>
        <w:t>يمكن أن يقال إنّ ذلك فرع تصوّر مالكية الحر لنفسه و اجزائه و أيضاً فرع جواز إشغال رحم الغير بالاستيلاد فإن تصوّرنا المالكيّة و قلنا بجواز إشغال رحم الغير بالاستيلاد فلا إشكال في ذلك لو كانت المدّة معلومة و إلاّ فمع الجهل بالمدّة فالإجارة باطلة نعم يجوز أن يستأجر المرأة للحمل و الوضع و الفرق بينهما واضح فإنّ مورد الإجارة في الصورة الأولى هو نفس الرحم و الحمل و الوضع غاية لذلك بخلاف مورد الإجارة في الصورة الثانية فإنّه نفس العمل و هو الحمل و الوضع و أيضاً يجوز جعل الجُعل في قبال الحمل و الوضع و إن لم نقل بجواز إشغال رحم الغير أو الحمل و الوضع فالعمل حينئذ يكون محرّماً و مقتضى الحرمة هو عدم جواز المعاوضة عليه لأنّه أكل المال بالباطل و لافرق في ذلك بين الإجارة و الجعالة و إن لم نقل بمالكيّة الحرّ لنفسه و أجزائه فلاتجوز الإجارة بالنسبة إلى الرحم ولكن يجوز بالنسبة إلى الحمل و الوضع لأنّهما من الأفعال و الأعمال التي يجوز الإجارة فيها بلاكلام</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285514_1280447820"/>
      <w:bookmarkStart w:id="567" w:name="_Toc206"/>
      <w:bookmarkEnd w:id="566"/>
      <w:r>
        <w:rPr>
          <w:rtl w:val="true"/>
        </w:rPr>
        <w:t>الأمر الخامس</w:t>
      </w:r>
      <w:r>
        <w:rPr>
          <w:rtl w:val="true"/>
        </w:rPr>
        <w:t xml:space="preserve">: </w:t>
      </w:r>
      <w:r>
        <w:rPr>
          <w:rtl w:val="true"/>
        </w:rPr>
        <w:t>في أحكام الاستنساخ البشري و هو على أقسام</w:t>
      </w:r>
      <w:r>
        <w:rPr>
          <w:rtl w:val="true"/>
        </w:rPr>
        <w:t>:</w:t>
      </w:r>
      <w:bookmarkEnd w:id="567"/>
    </w:p>
    <w:p>
      <w:pPr>
        <w:pStyle w:val="Heading4"/>
        <w:numPr>
          <w:ilvl w:val="3"/>
          <w:numId w:val="1"/>
        </w:numPr>
        <w:rPr/>
      </w:pPr>
      <w:bookmarkStart w:id="568" w:name="__RefHeading___Toc285516_1280447820"/>
      <w:bookmarkStart w:id="569" w:name="_Toc207"/>
      <w:bookmarkEnd w:id="568"/>
      <w:r>
        <w:rPr>
          <w:rtl w:val="true"/>
        </w:rPr>
        <w:t>اشارة</w:t>
      </w:r>
      <w:bookmarkEnd w:id="569"/>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تؤخذ نواة خلية أو الخلية من جلد المرأة و نحوه و توضع مكان نواة خلية بييضة غير ملقحة من نفس تلك المرأة فتصير جنيناً و تلده المرأة ففي هذه الصورة أنّ المرأة المذكورة أمّ له و ليس للولد أب، إذ البييضة غير ملقحة و المفروض أنّ نواة خلية الجلد تكون من نفس المرأة و لاارتباط للولد المذكور مع زوج المرأة مطلقاً سواء كان زوجاً لها في تلك الحال أو لم يكن ثم يتزوّج معها نعم يكون ولدها المذكور ربيبة له إن كان انثى أو مرتضعاً بلبنه إن ارضعته بلبن زوجها </w:t>
      </w:r>
    </w:p>
    <w:p>
      <w:pPr>
        <w:pStyle w:val="BookText"/>
        <w:rPr/>
      </w:pPr>
      <w:r>
        <w:rPr>
          <w:rFonts w:ascii="Amiri" w:hAnsi="Amiri" w:eastAsia="Amiri" w:cs="Amiri"/>
          <w:color w:val="111111"/>
          <w:sz w:val="28"/>
          <w:sz w:val="28"/>
          <w:szCs w:val="28"/>
          <w:rtl w:val="true"/>
          <w:lang w:bidi="ar-SA"/>
        </w:rPr>
        <w:t>فيكون حينئذ ولداً رضاعياً له و 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إن كان وقوعه ممكناً و لو في الآتي من الأزمنة بأن يؤخذ نواة خلية من جلد الرجل و تجعل مكان نواة خلية من منى الرجل المذكور من دون لقاح مع منى مرأة و توضع في رحم مصنوعي فهذا الجنين ليس له اُمّ و لاارتباط له بزوجة الرجل مطلقاً سواء كانت زوجة في تلك الحال أو تصير بعد ذلك زوجة له نعم هو ولد زوجها فيكون محرماً لها من هذه الناحية كما أنّها لو ارضعت هذا الو لد بلبن زوجها صار الولد المذكور رضيعاً لها و 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نواة خلية من جلد زوج المرأة و توضع مكان نواة خلية بييضة زوجته الملقحة ففي هذه الصورة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يشترك الزوج و الزوجة في تكوّن الجنين و مقتضى ذلك هو نسبة الجنين إليهما كما لو صارت البييضة الملقحة جنيناً بنفسها</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إنّ الدخيل في تكوّن الجنين حينئذ هو نواة خلية الزوج و أمّا الزوجة فبعد إخلاء نواة خلية بييضتها فلادخل لها إلاّ بمثل التغذية و لادليل على أنّ التغذية بالدم كالتغذية باللبن في إيجاد المحرميّة فالولد حينئذ يكون ولداً لزوجها و يترتّب عليه أحكامه و ليس ولداً لها و لايترتّب عليه أحكام الولد نعم يترتّب عليه أحكام ولد الزوج فيكون محرماً لها من هذه الناحية أو أحكام الرضيع إن ارضعته بلبن زوجها و ربما يرجّح الأوّل بأنّ صاحبة البييضة تعتبر أُمّاً عند العرف لأنّ الاُمّ عرفاً هي صاحبة البييضة و المفروض أنّ الزوجة صاحبة البييضة كما أنّ المعيار عرفاً في الأبوّة أيضاً هي الخلية الجنسيّة الحاصلة بالتلقيح أو نواة الخلية الجسدية من الزوج و هما موجودان و مقتضاهما هو اشتراكهما في تكوّن الولد اللّهمّ إلاّ أن يقال إنّ حكم العرف بذلك مالم يعلم بأنّ المؤثّر بعد إخلاء البييضة الملقحة عن نواتها هو خلية جلد الزوج و أمّا بعد العلم بتوسط أخبار الأخصّاء فالمؤثّر عنده أيضاً هو نواة خلية جلد الزوج و لادخل للبييضة إلاّ بمثل التغذية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تؤخذ نواة خلية جلد رجل و توضع مكان نواة بييضة ملقحة من زوجة الغير ففي هذه الصورة أيضاً احتمالات منها أنّه يشترك في الجنين الزوج و الزوجة و الرجل المأخوذ منه نواة خلية جلده و ذلك لأنّ النطفة الملقحة مركّبة من نطفة الزوج و الزوجة و هذه النطفة لها تأثير تام و لو بعد إخراج نواتها و تبديلها بنواة خلية جلد الغير في انقسام النواة إلى خلية و الخلية إلى خلايا من نفس النوع حتّى يصير جنيناً كاملاً و هي التي عبّر عنها بالسائل الخلوي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السيتوبلازم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يحيط بالنواة و هكذا تأثير تام لِنواة خلية جلد الرجل الأجنبي في تكوين الجنين المشابه له و مقتضى دخالة المجموع هو كون الزوج و الزوجة و الدين للجنين المذكور و الغير والد أيضاً إن كان رجلاً أو والدة إن كانت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هو أن يكون للجنين المذكور والدان مع الوالدة أو الوالدتان مع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الدخيل في تكوّن الجنين هو نواة خلية جلد الرجل و لادخل للزوجين في ذلك بعد إخلاء نواة خلية بييضة الزوجة الملقحة إلاّ بمثل التغذية فمنشأ الولد هو الرجل المأخوذ منه نواة خلية جلده و لاأبوّة و لاأمومة للزوجين بل لامحرميّة بين الزوجة و إيّاه إلاّ إذا ارضعت إيّاه بعد الولادة فيترتّب عليه أحكام الرضاع و هو مقتضى حكم بعض الأخصّاء بأنّ النطفة بعد إخلائها عن النواة لاتأثير لها إلاّ بمثل التغذية</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صاحبة السيتوبلازم و هي البييضة تعتبر أُمّاً لأنّ الاُمّ عرفاً هي صاحبة البييضة كما أنّ الأب عرفاً هو صاحب الخلية الجنسية لامطلق الخلية الجسدية و إن كان للجسدية دخل في المشابهة هذا مضافاً إلى أنّ الخلية المأخوذة بعد وضعها في البييضة صارت جزءاً منها عرفاً و يحكم عليها مايترتّب على البييضة و عليه فالأب و الاُم هما الزوجان و لو شكّ في ذلك فمقتضى الاستصحاب أنّ الجنين للزوجين إذ النطفة الملقحة قبل إخلائها عن النواة و جعل نواة خلية جلد </w:t>
      </w:r>
      <w:bookmarkStart w:id="570" w:name="pg16065_153070"/>
    </w:p>
    <w:p>
      <w:pPr>
        <w:pStyle w:val="BookText"/>
        <w:rPr/>
      </w:pPr>
      <w:bookmarkEnd w:id="570"/>
      <w:r>
        <w:rPr>
          <w:rFonts w:ascii="Amiri" w:hAnsi="Amiri" w:eastAsia="Amiri" w:cs="Amiri"/>
          <w:color w:val="111111"/>
          <w:sz w:val="28"/>
          <w:sz w:val="28"/>
          <w:szCs w:val="28"/>
          <w:rtl w:val="true"/>
          <w:lang w:bidi="ar-SA"/>
        </w:rPr>
        <w:t>الرجل فيها كانت من الزوجين و بعد إخلائها عن النواة و جعل نواة الرجل مكانها شككنا في أنّها باقية على ماكانت أو لافمقتضى الاستصحاب أنّها باقية على ماكانت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يرجّح القول الثاني بأنّ حكم العرف مادام لم يطّلع على أنّ المؤثّر في تكوين الجنين هو نواة خلية الجلد و أمّا بعد اطّلاعه على ذلك فهو يصّدق عرف الأخصّاء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تصديقه لذلك يحكم بما حكم به الأخصّاء و لايقاس المقام بالموت السريري فإنّ العرف بعد اطلاعه على أنّ المخ صار باطلاً يحكم ببقاء حياته مادام كان القلب ذا حركة فتدبّر</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285518_1280447820"/>
      <w:bookmarkStart w:id="572" w:name="_Toc208"/>
      <w:bookmarkEnd w:id="571"/>
      <w:r>
        <w:rPr>
          <w:rtl w:val="true"/>
        </w:rPr>
        <w:t>هنا مسائل</w:t>
      </w:r>
      <w:r>
        <w:rPr>
          <w:rtl w:val="true"/>
        </w:rPr>
        <w:t>:</w:t>
      </w:r>
      <w:bookmarkEnd w:id="572"/>
    </w:p>
    <w:p>
      <w:pPr>
        <w:pStyle w:val="Heading5"/>
        <w:numPr>
          <w:ilvl w:val="4"/>
          <w:numId w:val="1"/>
        </w:numPr>
        <w:rPr/>
      </w:pPr>
      <w:bookmarkStart w:id="573" w:name="__RefHeading___Toc285520_1280447820"/>
      <w:bookmarkStart w:id="574" w:name="_Toc209"/>
      <w:bookmarkEnd w:id="573"/>
      <w:r>
        <w:rPr>
          <w:rtl w:val="true"/>
        </w:rPr>
        <w:t xml:space="preserve">مسألة </w:t>
      </w:r>
      <w:r>
        <w:rPr/>
        <w:t>1</w:t>
      </w:r>
      <w:r>
        <w:rPr>
          <w:rtl w:val="true"/>
        </w:rPr>
        <w:t xml:space="preserve">: </w:t>
      </w:r>
      <w:r>
        <w:rPr>
          <w:rtl w:val="true"/>
        </w:rPr>
        <w:t>إذا أخذت خلية جسد الرجل و وضعت في بييضة زوجته</w:t>
      </w:r>
      <w:bookmarkEnd w:id="574"/>
    </w:p>
    <w:p>
      <w:pPr>
        <w:pStyle w:val="BookText"/>
        <w:rPr/>
      </w:pPr>
      <w:r>
        <w:rPr>
          <w:rFonts w:ascii="Amiri" w:hAnsi="Amiri" w:eastAsia="Amiri" w:cs="Amiri"/>
          <w:color w:val="111111"/>
          <w:sz w:val="28"/>
          <w:sz w:val="28"/>
          <w:szCs w:val="28"/>
          <w:rtl w:val="true"/>
          <w:lang w:bidi="ar-SA"/>
        </w:rPr>
        <w:t>إذا أخذت خلية جسد الرجل و وضعت في بييضة زوجته بعد إخلاء نواتها ثمّ بعد الالتقاح يحفظ في محفظة الانجماد الشديد انتظاراً لوقت مناسب حتّى توضع في رحم الزوجة ثمّ مات الزوج فهل يحتاج وضع النطفة في رحم الزوجة إلى الاستيذان من الورثة أو لايحتاج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لايبعد جواز ذلك من دون حاجة إلى الإذن و الوجه فيه أنّ اللقيح و إن كان متعلّقاً بالزوج نحو تعلّقه بالزوجة إلاّ أنّه ليس ملكاً له لينتقل من الزوج هذا الملك إلى ورثته فيجب الإذن منهم في وضعه في رحمها غاية الأمر أنّه كجزء صغير قد انفصل عن بدنه في زمن حياته و له تعلّق به في هذا الزمن ربما يوجب الاستيذان منه في أيّ فعل يفعل به و أمّا بعد موته فلاينبغي الريب في عدم بقاء ذلك الحق و بما أنّه لادليل على عدم جواز وضعه في رحم الزوجة فقاعدة البراءة العقلية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الدكتور حتحوت في رسالته بأنّ النواة للخلية هي سرّ النشاط الحياتي للخلية</w:t>
      </w:r>
      <w:r>
        <w:rPr>
          <w:rFonts w:eastAsia="Amiri" w:cs="Amiri" w:ascii="Amiri" w:hAnsi="Amiri"/>
          <w:color w:val="111111"/>
          <w:sz w:val="28"/>
          <w:szCs w:val="28"/>
          <w:rtl w:val="true"/>
          <w:lang w:bidi="ar-SA"/>
        </w:rPr>
        <w:t xml:space="preserve">. </w:t>
      </w:r>
      <w:bookmarkStart w:id="575" w:name="pg16065_153071"/>
    </w:p>
    <w:p>
      <w:pPr>
        <w:pStyle w:val="BookText"/>
        <w:rPr/>
      </w:pPr>
      <w:bookmarkEnd w:id="575"/>
      <w:r>
        <w:rPr>
          <w:rFonts w:ascii="Amiri" w:hAnsi="Amiri" w:eastAsia="Amiri" w:cs="Amiri"/>
          <w:color w:val="111111"/>
          <w:sz w:val="28"/>
          <w:sz w:val="28"/>
          <w:szCs w:val="28"/>
          <w:rtl w:val="true"/>
          <w:lang w:bidi="ar-SA"/>
        </w:rPr>
        <w:t>و النقلية مقتضية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الفضولات المنفصلة عن الإنسان و إن لم تكن ملكاً لمن انفصلت عنه ولكنها تكون مورداً لحق الأولويّة كالتسميد و أدلّة الإرث تعمّ الحقوق كما تشمل الأملاك و دعوى أنّها ليست مورداً للحق و إن جاز له التصرّف كما جاز له التصرف في أجزاء بدنه في زمان حياته من دون كونها ملكاً له مندفعة بأنّ الأجزاء قبل انفصالها محكومة بحكم الجواز و لاملكية و لاأولويّة و لذا يجوز لكلّ فرد من الأفراد أن يأخذ من شعره أو دمه و نحوهما و لايكون الشعر و الدم مثلاً ملكين له و لايتعلّق حقّ الأولويّة بالنسبة إليهما و أمّا بعد الانفصال فبناء العقلاء على أنّه أولى من غيره بالنسبة إلى التصرّف فيه و لذا أفتى الأصحاب بجواز المصالحة على حقّ الأولويّة في مثل التسميد فالأحوط إن لم يكن الأقوى هو مراعاة الإذن من الورثة كما لايخفى</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85522_1280447820"/>
      <w:bookmarkStart w:id="577" w:name="_Toc210"/>
      <w:bookmarkEnd w:id="576"/>
      <w:r>
        <w:rPr>
          <w:rtl w:val="true"/>
        </w:rPr>
        <w:t xml:space="preserve">مسألة </w:t>
      </w:r>
      <w:r>
        <w:rPr/>
        <w:t>2</w:t>
      </w:r>
      <w:r>
        <w:rPr>
          <w:rtl w:val="true"/>
        </w:rPr>
        <w:t xml:space="preserve">: </w:t>
      </w:r>
      <w:r>
        <w:rPr>
          <w:rtl w:val="true"/>
        </w:rPr>
        <w:t>هل يجب اجراء عقد الزوجية بين الرجل و المرأة اذا ارادا عملية خلق المشابه</w:t>
      </w:r>
      <w:bookmarkEnd w:id="577"/>
    </w:p>
    <w:p>
      <w:pPr>
        <w:pStyle w:val="BookText"/>
        <w:rPr/>
      </w:pPr>
      <w:r>
        <w:rPr>
          <w:rFonts w:ascii="Amiri" w:hAnsi="Amiri" w:eastAsia="Amiri" w:cs="Amiri"/>
          <w:color w:val="111111"/>
          <w:sz w:val="28"/>
          <w:sz w:val="28"/>
          <w:szCs w:val="28"/>
          <w:rtl w:val="true"/>
          <w:lang w:bidi="ar-SA"/>
        </w:rPr>
        <w:t>هل يجب إجراء عقد الزوجية بين الرجل و المرأة إذا أرادا عمليّة خلق المشابه أو لايجب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بوجوب ذلك و الوجه فيه هو رفع الحرمة عن التصرّف في فرج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ذلك صحيح إذا كان التصرّف في الفرج بمثل وضع خلية الجسد حراماً و أمّا إذا قلنا بأنّ الأدلّة الدالّة على حفظ الفرج منصرفة عن مثل ذلك فلاحرمة و معه فلادليل على وجوب إجراء العقد و إنشائه و إن كان هو الأحوط</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85524_1280447820"/>
      <w:bookmarkStart w:id="579" w:name="_Toc211"/>
      <w:bookmarkEnd w:id="578"/>
      <w:r>
        <w:rPr>
          <w:rtl w:val="true"/>
        </w:rPr>
        <w:t xml:space="preserve">مسألة </w:t>
      </w:r>
      <w:r>
        <w:rPr/>
        <w:t>3</w:t>
      </w:r>
      <w:r>
        <w:rPr>
          <w:rtl w:val="true"/>
        </w:rPr>
        <w:t xml:space="preserve">: </w:t>
      </w:r>
      <w:r>
        <w:rPr>
          <w:rtl w:val="true"/>
        </w:rPr>
        <w:t>هل يجوز اخذ الخلية من جسد الولد و وضعها فى بييضتة امه</w:t>
      </w:r>
      <w:bookmarkEnd w:id="579"/>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أخذ الخلية من جسد الولد و وضعها في بييضة أمّه الملقحة بعد </w:t>
      </w:r>
      <w:bookmarkStart w:id="580" w:name="pg16065_153072"/>
    </w:p>
    <w:p>
      <w:pPr>
        <w:pStyle w:val="BookText"/>
        <w:rPr/>
      </w:pPr>
      <w:bookmarkEnd w:id="580"/>
      <w:r>
        <w:rPr>
          <w:rFonts w:ascii="Amiri" w:hAnsi="Amiri" w:eastAsia="Amiri" w:cs="Amiri"/>
          <w:color w:val="111111"/>
          <w:sz w:val="28"/>
          <w:sz w:val="28"/>
          <w:szCs w:val="28"/>
          <w:rtl w:val="true"/>
          <w:lang w:bidi="ar-SA"/>
        </w:rPr>
        <w:t>إخلائها من النواة أو لايجوز؟</w:t>
      </w:r>
    </w:p>
    <w:p>
      <w:pPr>
        <w:pStyle w:val="BookText"/>
        <w:rPr/>
      </w:pPr>
      <w:r>
        <w:rPr>
          <w:rFonts w:ascii="Amiri" w:hAnsi="Amiri" w:eastAsia="Amiri" w:cs="Amiri"/>
          <w:color w:val="111111"/>
          <w:sz w:val="28"/>
          <w:sz w:val="28"/>
          <w:szCs w:val="28"/>
          <w:rtl w:val="true"/>
          <w:lang w:bidi="ar-SA"/>
        </w:rPr>
        <w:t>و لقائل أن يقول لايجوز لأنّ الولد في حكم الأجنبي بالنسبة إلى فرج أمّه ولكن ذلك متوقّف على حرمة التصرّف في فرج الأجنبية بمثل الاستيلاد و قد عرفت انصراف الأدلّة عن مثل هذا التصرّف و على فرض تحقّق ذلك صار الجنين ولداً لصاحب البييضة و نطفة زوجها بناء على حكم العرف بذلك و حينئذ صار ولد الولد ولداً لهما إن قلنا بأبوّة من أخذت الخلية من جسده و هكذا كان الجنين أخاً أو أختاً مع سائر أولاد والديه في عين كونه ابن الأخ أو ابن الأخت إن قلنا بأبوّة من أخذت الخلية من جسده و إن لم نقل بأبوّة من أخذت الخلية من جسده فانحصر الأبّوة و الأمومة في صاحب البييضة ونطفة زوجها كما أنّه لو لم نقل بأبوّة و أمومة صاحب البييضة و نطفة زوجها بعد إخلاء نواة البييضة فانحصرت الأبوّة أو الأمومة في من أخذت الخلية منه و قد مضى أنّ بعض الأعاظم رجّح الأخير و لابأس به لو لم نقل بأنّ المأخوذ من جسد الغير صار جزءاً للبييضة الملقّحة عرفاً و بعد ذلك لايترتّب عليه إلاّ ما ترتّب على البييضة الملقّحة اللّهمّ إلاّ أن يقال إنّ العرف بعد العلم بما ذكره الأخصّاء لايحكم بجزئيّة المأخوذ للبييضة الملقّحة فتأمّل</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285526_1280447820"/>
      <w:bookmarkStart w:id="582" w:name="_Toc212"/>
      <w:bookmarkEnd w:id="581"/>
      <w:r>
        <w:rPr>
          <w:rtl w:val="true"/>
        </w:rPr>
        <w:t xml:space="preserve">مسألة </w:t>
      </w:r>
      <w:r>
        <w:rPr/>
        <w:t>4</w:t>
      </w:r>
      <w:r>
        <w:rPr>
          <w:rtl w:val="true"/>
        </w:rPr>
        <w:t xml:space="preserve">: </w:t>
      </w:r>
      <w:r>
        <w:rPr>
          <w:rtl w:val="true"/>
        </w:rPr>
        <w:t>هل يجوز أن يؤخذ نواة الخلية من جلد الحيوان و توضع في بييضته امرأة</w:t>
      </w:r>
      <w:bookmarkEnd w:id="582"/>
    </w:p>
    <w:p>
      <w:pPr>
        <w:pStyle w:val="BookText"/>
        <w:rPr/>
      </w:pPr>
      <w:r>
        <w:rPr>
          <w:rFonts w:ascii="Amiri" w:hAnsi="Amiri" w:eastAsia="Amiri" w:cs="Amiri"/>
          <w:color w:val="111111"/>
          <w:sz w:val="28"/>
          <w:sz w:val="28"/>
          <w:szCs w:val="28"/>
          <w:rtl w:val="true"/>
          <w:lang w:bidi="ar-SA"/>
        </w:rPr>
        <w:t>هل يجوز أن يؤخذ نواة الخلية من جلد الحيوان و توضع في بييضة امرأة أو لايجوز قيل بالثاني قائلاً بأنّ ذلك موجب للنقص أو تشويه منظر المولود</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على تقدير لزوم ذلك لادليل على أنّه موجب للحرمة بل مقتضى الأصل هو الجواز و دعوى أنّ النقص ضرر و هو حرام ممنوعة لأنّ الضرر هو إيراد النقص على ماهو يكون كاملاً بالفعل و هو لايصدق في المقام لأنّ النطفة لها قابليّة الكمال لافعليّة الكمال و لادليل على حرمة الممانعة عن صيرورة مابالقّوة فعليّاً فتدبر</w:t>
      </w:r>
      <w:r>
        <w:rPr>
          <w:rFonts w:eastAsia="Amiri" w:cs="Amiri" w:ascii="Amiri" w:hAnsi="Amiri"/>
          <w:color w:val="111111"/>
          <w:sz w:val="28"/>
          <w:szCs w:val="28"/>
          <w:rtl w:val="true"/>
          <w:lang w:bidi="ar-SA"/>
        </w:rPr>
        <w:t xml:space="preserve">. </w:t>
      </w:r>
      <w:bookmarkStart w:id="583" w:name="pg16065_153073"/>
    </w:p>
    <w:p>
      <w:pPr>
        <w:pStyle w:val="Heading5"/>
        <w:numPr>
          <w:ilvl w:val="4"/>
          <w:numId w:val="1"/>
        </w:numPr>
        <w:rPr/>
      </w:pPr>
      <w:bookmarkStart w:id="584" w:name="__RefHeading___Toc285528_1280447820"/>
      <w:bookmarkStart w:id="585" w:name="_Toc213"/>
      <w:bookmarkEnd w:id="583"/>
      <w:bookmarkEnd w:id="584"/>
      <w:r>
        <w:rPr>
          <w:rtl w:val="true"/>
        </w:rPr>
        <w:t xml:space="preserve">مسألة </w:t>
      </w:r>
      <w:r>
        <w:rPr/>
        <w:t>5</w:t>
      </w:r>
      <w:r>
        <w:rPr>
          <w:rtl w:val="true"/>
        </w:rPr>
        <w:t xml:space="preserve">: </w:t>
      </w:r>
      <w:r>
        <w:rPr>
          <w:rtl w:val="true"/>
        </w:rPr>
        <w:t>هل يرث اللقيح الذى وضع في رحم امرأة بعد موت المأخوذ منه</w:t>
      </w:r>
      <w:bookmarkEnd w:id="585"/>
    </w:p>
    <w:p>
      <w:pPr>
        <w:pStyle w:val="BookText"/>
        <w:rPr/>
      </w:pPr>
      <w:r>
        <w:rPr>
          <w:rFonts w:ascii="Amiri" w:hAnsi="Amiri" w:eastAsia="Amiri" w:cs="Amiri"/>
          <w:color w:val="111111"/>
          <w:sz w:val="28"/>
          <w:sz w:val="28"/>
          <w:szCs w:val="28"/>
          <w:rtl w:val="true"/>
          <w:lang w:bidi="ar-SA"/>
        </w:rPr>
        <w:t>هل يرث اللقيح الذي وضع في رحم امرأة بعد موت المأخوذ منه الخلية منه أو لايرث منه قيل بالثاني و استدل له بأنّ مقتضى القواعد أن لايرث الميّت إلاّ من كان مصداقاً للعناوين النسبية الموجبة للإرث بعد موت المورّث و الأدلّة الخاصّة من الأخبار إنّما دلّت على إرث خصوص من كان في رحم الزوجة حين موت المورّث و هو لايشمل مانحن فيه ممّا كان المفروض انفصال اللقيح عند موت الأب عن الأرحام كلّها فلاتدلّ الروايات الخاصّة على إرثه و قد عرفت أنّ القواعد لاتقتضيه فاللازم أن لانقول بإرثه منه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لاأظنّ أن يلتزم أحد بكون الولد محروماً عن الإرث و عليه فلايبعد أن يقال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حقيقيّة و يشمل بعمومه مثل المقام ممّا يصدق عليه الولد و إن لم يتولّد حين موت من أخذت الخلية أو النطفة منه و دعوى تقييد الآية المباركة المذكورة و غيرها من آيات الإرث بمن تولد من أمّه و جاء إلى الدنيا حين موت الأب مندفعة بإمكان أن يقال إنّ الغلبة الخارجيّة و إن كانت كذلك ولكن لاتوجب تقييد إطلاق الآيات لاسيّما مع ورود الروايات الدالّة على أنّ الحمل يرث بشرط أن يتولّد حيّاً مع أنّه حال موت أبيه لايكون متولّداً و اكتفى بتولّده بعد موت أبيه و عليه فيمكن أن يكون المعيار هو موت الأب و تولّد الولد و إن كان التولّد مع الانفصال و دعوى أنّ الولد ظاهر في المتولّد لاماسيولد أوّل الكلام لأنّ المراد منه الأعمّ لو كان القضيّة بنحو القضيّة الحقيقيّة هذا مع أنّ المراد من الولد هو الابن و البنت و لاخصوصيّة للولد و هما ممّا لاشكّ في صدقه ولو مع الانفصال و ترتّب أحكامه من جواز النظر و حرمة النكاح فتأمّل</w:t>
      </w:r>
      <w:r>
        <w:rPr>
          <w:rFonts w:eastAsia="Amiri" w:cs="Amiri" w:ascii="Amiri" w:hAnsi="Amiri"/>
          <w:color w:val="111111"/>
          <w:sz w:val="28"/>
          <w:szCs w:val="28"/>
          <w:rtl w:val="true"/>
          <w:lang w:bidi="ar-SA"/>
        </w:rPr>
        <w:t xml:space="preserve">. </w:t>
      </w:r>
      <w:bookmarkStart w:id="586" w:name="pg16065_153074"/>
    </w:p>
    <w:p>
      <w:pPr>
        <w:pStyle w:val="Heading5"/>
        <w:numPr>
          <w:ilvl w:val="4"/>
          <w:numId w:val="1"/>
        </w:numPr>
        <w:rPr/>
      </w:pPr>
      <w:bookmarkStart w:id="587" w:name="__RefHeading___Toc285530_1280447820"/>
      <w:bookmarkStart w:id="588" w:name="_Toc214"/>
      <w:bookmarkEnd w:id="586"/>
      <w:bookmarkEnd w:id="587"/>
      <w:r>
        <w:rPr>
          <w:rtl w:val="true"/>
        </w:rPr>
        <w:t xml:space="preserve">مسألة </w:t>
      </w:r>
      <w:r>
        <w:rPr/>
        <w:t>6</w:t>
      </w:r>
      <w:r>
        <w:rPr>
          <w:rtl w:val="true"/>
        </w:rPr>
        <w:t xml:space="preserve">: </w:t>
      </w:r>
      <w:r>
        <w:rPr>
          <w:rtl w:val="true"/>
        </w:rPr>
        <w:t>هل يجوز اخذ نواة الخلية من جلد امرأة و وضعها فى بييضة امرأة أخرى</w:t>
      </w:r>
      <w:bookmarkEnd w:id="588"/>
    </w:p>
    <w:p>
      <w:pPr>
        <w:pStyle w:val="BookText"/>
        <w:rPr/>
      </w:pPr>
      <w:r>
        <w:rPr>
          <w:rFonts w:ascii="Amiri" w:hAnsi="Amiri" w:eastAsia="Amiri" w:cs="Amiri"/>
          <w:color w:val="111111"/>
          <w:sz w:val="28"/>
          <w:sz w:val="28"/>
          <w:szCs w:val="28"/>
          <w:rtl w:val="true"/>
          <w:lang w:bidi="ar-SA"/>
        </w:rPr>
        <w:t>هل يجوز أخذ نواة الخلية من جلد امرأة و وضعها في بييضة امرأة أخرى أم لايجوز؟</w:t>
      </w:r>
    </w:p>
    <w:p>
      <w:pPr>
        <w:pStyle w:val="BookText"/>
        <w:rPr/>
      </w:pPr>
      <w:r>
        <w:rPr>
          <w:rFonts w:ascii="Amiri" w:hAnsi="Amiri" w:eastAsia="Amiri" w:cs="Amiri"/>
          <w:color w:val="111111"/>
          <w:sz w:val="28"/>
          <w:sz w:val="28"/>
          <w:szCs w:val="28"/>
          <w:rtl w:val="true"/>
          <w:lang w:bidi="ar-SA"/>
        </w:rPr>
        <w:t>يمكن القول بالثاني بدعوى أنّ رحم المرأة الأخرى أجنبية بالنسبة إلى المرأة التي أخذت الخلية منها هذا بناء على حرمة التصرّف في رحم الأخرى و لو بمثل الاستيلاد و أمّا إذا قلنا بانصراف الأدلّة عن مثل الاستيلاد فلاإشكال فيه ثمّ في أمومة المأخوذة منها الخلية أو الموضوعة فيها الخلية خلاف سابق فراجع</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85532_1280447820"/>
      <w:bookmarkStart w:id="590" w:name="_Toc215"/>
      <w:bookmarkEnd w:id="589"/>
      <w:r>
        <w:rPr>
          <w:rtl w:val="true"/>
        </w:rPr>
        <w:t>الأمر السادس</w:t>
      </w:r>
      <w:r>
        <w:rPr>
          <w:rtl w:val="true"/>
        </w:rPr>
        <w:t xml:space="preserve">: </w:t>
      </w:r>
      <w:r>
        <w:rPr>
          <w:rtl w:val="true"/>
        </w:rPr>
        <w:t>هل يجوز خلق المشابه في الحيوانات</w:t>
      </w:r>
      <w:bookmarkEnd w:id="590"/>
    </w:p>
    <w:p>
      <w:pPr>
        <w:pStyle w:val="Heading4"/>
        <w:numPr>
          <w:ilvl w:val="3"/>
          <w:numId w:val="1"/>
        </w:numPr>
        <w:rPr/>
      </w:pPr>
      <w:bookmarkStart w:id="591" w:name="__RefHeading___Toc285534_1280447820"/>
      <w:bookmarkStart w:id="592" w:name="_Toc216"/>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أنّه هل يجوز خلق المشابه في الحيوانات أو لايجوز يمكن القول بالجواز إذ لادليل على الحرمة في نفسه و الاستدلال على الحرمة بكون الحيوان المأكول اللحم الذي خلق كذلك يصير اكله مضراً محل إشكال لأنّه مع فرض تسليم ذلك أجنبي عن حكم نفس خلق المشابه لأنّ الكلام في خلق المشابة في نفسه و أمّا بلحاظ العوارض فقد يكون ذلك مفيداً كما قد يكون مضرّاً فاللازم هو ملاحظة كلّ مورد بخصوصه في الحكم بالجواز و عدمه و هكذا لايتمّ الاستدلال على الحرمة بأنّ ذلك ربما يوجب إيذاء للحيوان إذ مع فرض تسليم ذلك أجنبي عن حكم نفس خلق المشابه و ممّا ذكرناه في خلق المشابه في الحيوانات يظهر حكم خلق المشابه في النباتات أيضاً فإنّه لامانع من جوازه كما لايخفى</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85536_1280447820"/>
      <w:bookmarkStart w:id="594" w:name="_Toc217"/>
      <w:bookmarkEnd w:id="593"/>
      <w:r>
        <w:rPr>
          <w:rtl w:val="true"/>
        </w:rPr>
        <w:t>هنا مسائل</w:t>
      </w:r>
      <w:r>
        <w:rPr>
          <w:rtl w:val="true"/>
        </w:rPr>
        <w:t>:</w:t>
      </w:r>
      <w:bookmarkEnd w:id="594"/>
    </w:p>
    <w:p>
      <w:pPr>
        <w:pStyle w:val="Heading5"/>
        <w:numPr>
          <w:ilvl w:val="4"/>
          <w:numId w:val="1"/>
        </w:numPr>
        <w:rPr/>
      </w:pPr>
      <w:bookmarkStart w:id="595" w:name="__RefHeading___Toc285538_1280447820"/>
      <w:bookmarkStart w:id="596" w:name="_Toc218"/>
      <w:bookmarkEnd w:id="595"/>
      <w:r>
        <w:rPr>
          <w:rtl w:val="true"/>
        </w:rPr>
        <w:t xml:space="preserve">مسألة </w:t>
      </w:r>
      <w:r>
        <w:rPr/>
        <w:t>1</w:t>
      </w:r>
      <w:r>
        <w:rPr>
          <w:rtl w:val="true"/>
        </w:rPr>
        <w:t xml:space="preserve">: </w:t>
      </w:r>
      <w:r>
        <w:rPr>
          <w:rtl w:val="true"/>
        </w:rPr>
        <w:t>لابأس بخلق المشابه فى الجين للبن المرأة</w:t>
      </w:r>
      <w:bookmarkEnd w:id="596"/>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لابأس بخلق المشابه في الجين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للبن المرأة و إدخاله في خلية الضئان حتّى يحصل منه لبن يشبه بلبن المرأة فنفس ذلك جائز و الاستفادة منه </w:t>
      </w:r>
      <w:bookmarkStart w:id="597" w:name="pg16065_153075"/>
    </w:p>
    <w:p>
      <w:pPr>
        <w:pStyle w:val="BookText"/>
        <w:rPr/>
      </w:pPr>
      <w:bookmarkEnd w:id="597"/>
      <w:r>
        <w:rPr>
          <w:rFonts w:ascii="Amiri" w:hAnsi="Amiri" w:eastAsia="Amiri" w:cs="Amiri"/>
          <w:color w:val="111111"/>
          <w:sz w:val="28"/>
          <w:sz w:val="28"/>
          <w:szCs w:val="28"/>
          <w:rtl w:val="true"/>
          <w:lang w:bidi="ar-SA"/>
        </w:rPr>
        <w:t>لامانع منه مالم يترتّب عليه ضرر أو فساد</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85540_1280447820"/>
      <w:bookmarkStart w:id="599" w:name="_Toc219"/>
      <w:bookmarkEnd w:id="598"/>
      <w:r>
        <w:rPr>
          <w:rtl w:val="true"/>
        </w:rPr>
        <w:t xml:space="preserve">مسألة </w:t>
      </w:r>
      <w:r>
        <w:rPr/>
        <w:t>2</w:t>
      </w:r>
      <w:r>
        <w:rPr>
          <w:rtl w:val="true"/>
        </w:rPr>
        <w:t xml:space="preserve">: </w:t>
      </w:r>
      <w:r>
        <w:rPr>
          <w:rtl w:val="true"/>
        </w:rPr>
        <w:t>هل يجوز توليد لحوم من الحيوانات مع تركيبها مع الجين</w:t>
      </w:r>
      <w:bookmarkEnd w:id="599"/>
    </w:p>
    <w:p>
      <w:pPr>
        <w:pStyle w:val="BookText"/>
        <w:rPr/>
      </w:pPr>
      <w:r>
        <w:rPr>
          <w:rFonts w:ascii="IRNazanin" w:hAnsi="IRNazanin" w:eastAsia="IRNazanin"/>
          <w:color w:val="111111"/>
          <w:sz w:val="28"/>
          <w:sz w:val="28"/>
          <w:szCs w:val="28"/>
          <w:rtl w:val="true"/>
          <w:lang w:bidi="fa-IR"/>
        </w:rPr>
        <w:t xml:space="preserve">هل يجوز توليد لحوم من الحيوانات مع تركيبها مع الجين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للانسان أو لغيره حتّى يكون له طعم خاص أو لايجوز و الظاهر هو الجواز و لادليل على الحرمة و أخذ الجين من الإنسان لاحرمة فيه اللّهمّ إلاّ أن يقال أنّ أخذ الجين و الاستفادة منه بالنحو المذكور في حكم الاستفادة من الأجزاء المبانة فإن قلنا بحرمة مطلق الاستفادة من الأجزاء المبانة فالاستفادة المذكورة لايجوز ولكن عرفت أنّ أدلّة الحرمة منصرفه عن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لايقال إنّ الاستفادة المذكورة و إن لم تكن محرمة إلاّ أنّ أكل هذه الأجزاء محرّم لأنّا نقول لو سلّمنا ذلك و لم يكن الأدلّة الدالّة على حرمة أكل الأجزاء المبانة منصرفة عن مثل الجين إنّما ذلك فيما إذا لم يصر جزءاً لمأكول اللحم و إلاّ جاز أكلها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جواز خلق المشابه و الاستنساخ البشرى إن كان موجباً لإتلاف النطفة المتعلّقة على جدار الرحم او النطفة الملقحة المستعدة للانسانية و لو لم تكن متعلقة على جدار الرحم محلّ تأمّل بل منع للنهي عن إتلافها في الأخبار المتعدّدة، مع التعليل بأنّ أوّل ما يخلق نطفة و أمّا سائر أنواع خلق المشابه حتّى الاستتئامى منه فلاإشكال فيه</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الحكم التكليفي و أمّا الأحكام الوضعيّة فقد مرّ بيانها بالتفصيل و الله هو الهادي</w:t>
      </w:r>
      <w:r>
        <w:rPr>
          <w:rFonts w:eastAsia="Amiri" w:cs="Amiri" w:ascii="Amiri" w:hAnsi="Amiri"/>
          <w:color w:val="111111"/>
          <w:sz w:val="28"/>
          <w:szCs w:val="28"/>
          <w:rtl w:val="true"/>
          <w:lang w:bidi="ar-SA"/>
        </w:rPr>
        <w:t xml:space="preserve">. </w:t>
      </w:r>
      <w:bookmarkStart w:id="600" w:name="pg16065_153076"/>
    </w:p>
    <w:p>
      <w:pPr>
        <w:pStyle w:val="Heading2"/>
        <w:numPr>
          <w:ilvl w:val="1"/>
          <w:numId w:val="1"/>
        </w:numPr>
        <w:rPr/>
      </w:pPr>
      <w:bookmarkStart w:id="601" w:name="__RefHeading___Toc285542_1280447820"/>
      <w:bookmarkStart w:id="602" w:name="_Toc220"/>
      <w:bookmarkEnd w:id="600"/>
      <w:bookmarkEnd w:id="601"/>
      <w:r>
        <w:rPr>
          <w:rtl w:val="true"/>
        </w:rPr>
        <w:t>الفهرس</w:t>
      </w:r>
      <w:bookmarkEnd w:id="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تشريح أجساد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تشريح أجساد المسلمين و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مستثناة من حرمة التشريح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حفظ حياة المسلم على تشريح جسد ميت مسلم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غرض اهم من حرمة الميت المسلم على التشريح و التقطيع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مصلحة التقطيع أو الكسر عائدة إلى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مسلم بتشريح جسده بعد الموت لترقيع بدن المحتاجين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بدن أنّه لمسلم أو كافر غير ذمى أو معاهد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الجنين الميّت المسلم بحكم من مات من الأحياء؟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بلع احد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 فى بطنه و موته هل يجوز شق 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بلع مالاً لنفسه هل يجوز ان يشق بطنه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لجسد الميت المسلم دية كدية جنين المسلم قبل ولوج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نظر الرجل الى المرأة و بالعكس فى موارد جواز 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فى موارد جواز التشريح و نحوه الاكتفاء بالارفق فالارفق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خياطة مواضع 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العضو من اعضاء المسلم كحكم جسده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الميت واجب و مقدم على 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تصفية الوقف الذريّ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عمل الصور المجسّمة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المصوّر مكلّف يوم القيامه بنفخ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التماثيل و التصاوير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لاوجه لاستبعاد العذاب الشديد لمثل التصوير و التماثيل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ظهور أخبار المطلقة في الأصنام أو انصرافها اليها لاشاهد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حكمة تشريع حرمة عمل الصور هى التشبّه بالخالق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التحقير و الإهانة لايدّلان على انّ تلك التماثيل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انصراف هذه الطائفة إلى عمل الأصنام فلاوجه لرفع اليد عن الطائفة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انّ الائمة عليهم السلام كرهوا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رسم ذوات الارواح من دون تجسيم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عمل المجسمه و لو كانت غير كاملة محرّماً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فى تصوير الحيوان و تمثيله هل هو تصوير الاجزاء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أو أكثر فى عمل 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فى حرمة تصوير الصورة مباشرة الفاعل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تصوير خصوص عظام الانسان تصويراً كاملاً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صورة الجن و الشيطان و الملك بالصورة الحيوانية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دعت الحاجة الى عمل شىء يكون شبيها بشىء من خلق الله و لو كان حيواناً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التصوير على غير البالغ لرفع التكليف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 على الكرة و نحوها بصورة الحيوان لايحرم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الاجرة على التصوير المحرّم غير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اقتناء الصور المحرّمه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الاقتناء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جواز الاقتناء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بالتطفيف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تحقق التطفيف و البخس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المأخوذ في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التطفيف و البخس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المعاملة من ناحية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الحكم بالبيع و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تغيير الجنسية من دون استئذان زوجها؟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للعبيد و الاماء أن يغيّرواجنسيّتهم من دون اذن مواليهم‌؟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تغيير الجنسية للأجير في مدّة اجارة نفسه للغير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التزويج من حين تغيير جنسيّة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بطل النكاح بتغيير جنسية هل يجب على الزوج كل المهر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جنس المرأة في زمان عدّتها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جنس الرجل الولى الى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لاتتغيّر عناوين النسبيّه بتغيير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حرمة النكاح و جواز النظر فى غير الابوين لايتغيّر بتغيير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جنس الأمّ و صارت رجلاً هل يجوز له نكاح بناته‌؟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جنس الأب فصار امرأة فزواجها مع ابنائها محرّم بالضرورة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جنس الأم فصارت رجلاً فهل تكون بعد الرجوليه كالأب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جنسيّة حليلة الابن فصارت رجلاً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تغيّرت جنسية الزوج و صار امرأة ارتفعت علقة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ألقى مني الزوج بوسيلة ما في رحم زوجته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التلقيح بماء غير الزوج هل يجوز ذلك ام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المنى أو البييضة من النباتات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مني الزوج و بييضته الزوجة و يركّبان في خارج الرحم ثم يزرع في رحم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منى الزوج و الزوجة و يركّبان في خارج الرحم ثم يزرع في رحم صناعية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ماء رجل معلوم و بييضة امرأة معلومة من دون ان يكون بينهما علقة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و علم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التنجيم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عن الأوضاع الفلكية المبتنية على سير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المجوّزة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عمّا يقع في المستقبل استناداً إلى الأوضاع الفلكية مع عدم اعتقاد تأثيرها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عن الحوادث و الحكم بها مع الاعتقاد بحياة الأفلاك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مع عدم الاعتقاد بحياة الأفلاك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مع الاعتقاد بما يتنافى مع الإيمان بالله تعالى و وحدانيته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تصديق المنجّم وترتيب الأثر على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تعلّم علم النجوم و تعليمه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الكلام في الرمل و الفأل و غيرهما كذلك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حفظ كتب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كلمات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الموضوع للبحث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ترتب الفساد عليه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الحفظ عند وجود مصلحة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المعاملة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اتلاف كتب الضالة أوْ لايجب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النهى عن ابقاء كتاب الضلال او نشره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الاشتراك فى الاتصالات المخابرية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الحكومة أن تقابل مع البر نامج المضرّة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الافكار المضرّة في مجالس العام او في الراديو و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عنوان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العلمى و الابتكار الفكرى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الانتاجات بعد وضوح كونها ملكاً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السؤال عن ماليتها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التوليد الفكرى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للنفس و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المولّد للفكر و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مالكا لما يحتويه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 المؤلف شيئاً فهل له حق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للمؤلف أن يتنازل عن حقه فى قبال عوض او 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عقد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من أثبت الحق للمؤلف في ثبوت ذلك الحق في زمان حياته الاّ انهم اختلفوا في مدة استمراره بعد الفوت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تملّك النسخة الأصلية لايستتبع نقل حق المؤلف الى المتملّك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المؤلف بعد ثبوته يكون حقاً مالياً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المؤلف و نحوه مركب من حق مالى و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اذا وضع الورثة اسم مؤلف اخر بجوار اسم مورثهم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المؤلف و نحوه في ضمن معاملة نسخة تأليفه مع الناشر ان يكون له كذا و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 العرف بحسب اختلاف الأمكنة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نقول بالنسبة الى الكتب من جهة اختصاص حق تكثيرها يجرى في غيرها من الافلام و 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لااشكال في جواز تغيير المؤلف تأليفه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قديقال انّ الالتزام بحق التأليف والترجمة و نحوهما يوجب اعطاء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تأليف كتاب و نحوه في زمان لايعتبر فيه حق التأليف ولكن بقى الى زمان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السرقفليّة أو بدل الخُلُو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تصويرات فقهية لكونه من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السرقفليه هى ان يستأجر شخص عيناً من الموجر من دون اشتراط ان لايكون له حق إخراجه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 المحلات التى توجر بلا سرقفلية ولكن اشترط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يستأجر شخص محلاً للتجارة و اشترط في العقد ان يكون له حق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الاجارة لو وقعت بعد فرض صدور قانون منع المالك من اجبار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المالك مبلغاً بعنوان القرض و اشترط فيه ان يكون للمستأجر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المالك للمستأجر آجرتك المحل و شرطت عليك اعطاء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محلاً للتجارة في مدّة طويله و اشترط ان يكون له حق الايجار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للمستأجر قبل أن يقضى مدة الاجارة أن يأخذ من الموجر مبلغاً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المستأجر للدكان أو الدار يجوز له أن يوجرهما في مدة الاجاره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ملاّك الاماكن احتالوا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توكيل الايجار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استحقاق ارتفاع قيمة السرقفلية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مطالبة بعض الورثة حصة من سائر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اجارة حق السرقفلية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سكن في محل من دون معاملة او اذن من صاحب السرقفلية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حق السرقفلية من ارباح سنته فهل يجب عليه الخمس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الوكالة في الابجار عن المالك لايوجب حقاً له بالنسبة الى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ازدياد اجرة المحل من ناحية المالك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اسقاط المالك حق السرقفلية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اذا كان حق السرقفلى لشخص و الملك 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حق السرقفلية و حق الكسب و الاشتغال بالتجارة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معاملة المستاجر مع المالك في حق السرقفلية 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حلق 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لحرمة حلق اللحية بامور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اعفاء اللحى و حفّ الشوارب</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حلق الحية يكون من المثلة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السلوك مسلك اعداء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فيه بترك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على أنّ الحلق من أعمال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من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أخذ الشوارب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 الرأس، يدل على استحبابه روايات يستثنى من استحباب حلق الرأس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الاحدى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المشابه أو الاستنساخ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المشابه و التكاثر على انواع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خلق المشابه و الاستنساخ في نفسه بانواعه المذكورة و عدم جوازه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المترتبة على الاستنساخ العضوى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لااشكال في أنّ الأجزاء المبانة من الانسان الحىّ محكومة بحكم الحىّ‌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الخلية المأخوذة من الجسد اذا نمت و كبرت هل يترتب عليها احكام اعضاء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خلية من جسد الغير لايجوز بدون اذن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بجواز النظر إلى الأعضاء المتجددّة و لمسها كان ذلك باقيا ما لم تصر اجزاء لبدن اللإنسان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الاخبار أنّ الأجزاء المبانة من الحي محكومة بحكم الميته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أخذ العوض في مقابل رفع اليد عن الخلية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احكام التكاثر الاستتئامى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الخلايا المخرجة من رحم الزوجة و اعادتها بعد موت زوجها هل تكون محكومة بحكم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القاء الخلية المخرجة من رحم الزوجة في رحمها بعد موت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يحوز وضع الجنسيّة بعد اللقاح و اخراجها من رحم الزوجة فى رحم الاجنبية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الخلية الجنسيّة بعد اللقاح و انفصالها عن سائر الخلايا في رحم امرأة اخرى من دون دخالة لها و لزوجها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الخلية في رحم الاجنبية من غير طريق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استيجار رحم المرأة أو لايجوز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احكام الاستنساخ البشري و هو على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خلية جسد الرجل و وضعت في بييضة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اجراء عقد الزوجية بين الرجل و المرأة اذا ارادا عملية خلق المشابه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اخذ الخلية من جسد الولد و وضعها فى بييضتة 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يؤخذ نواة الخلية من جلد الحيوان و توضع في بييضته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يرث اللقيح الذى وضع في رحم امرأة بعد موت المأخوذ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اخذ نواة الخلية من جلد امرأة و وضعها فى بييضة امرأة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خلق المشابه في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بخلق المشابه فى الجين للبن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توليد لحوم من الحيوانات مع تركيبها مع الجين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38240</Words>
  <Characters>161046</Characters>
  <CharactersWithSpaces>198111</CharactersWithSpaces>
  <Paragraphs>1317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2026-08-25T08:28:41Z</dcterms:created>
  <dc:creator>ghaemiyeh.com</dc:creator>
  <dc:description/>
  <dc:language>en-US</dc:language>
  <cp:lastModifiedBy/>
  <dcterms:modified xsi:type="dcterms:W3CDTF">2026-08-25T11:59:49Z</dcterms:modified>
  <cp:revision>1</cp:revision>
  <dc:subject/>
  <dc:title>البحوث الهامة فی المکاسب المحرمة مرتضی انصاری جلد 3</dc:title>
</cp:coreProperties>
</file>

<file path=docProps/custom.xml><?xml version="1.0" encoding="utf-8"?>
<Properties xmlns="http://schemas.openxmlformats.org/officeDocument/2006/custom-properties" xmlns:vt="http://schemas.openxmlformats.org/officeDocument/2006/docPropsVTypes"/>
</file>