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1</w:t>
      </w:r>
      <w:r>
        <w:rPr>
          <w:rtl w:val="true"/>
        </w:rPr>
        <w:t xml:space="preserve"> </w:t>
      </w:r>
      <w:r>
        <w:rPr>
          <w:rtl w:val="true"/>
        </w:rPr>
        <w:t xml:space="preserve">و </w:t>
      </w:r>
      <w:r>
        <w:rPr/>
        <w:t>2</w:t>
      </w:r>
      <w:r>
        <w:rPr>
          <w:rtl w:val="true"/>
        </w:rPr>
        <w:t xml:space="preserve"> </w:t>
      </w:r>
      <w:r>
        <w:rPr>
          <w:rtl w:val="true"/>
        </w:rPr>
        <w:t xml:space="preserve">منهاج الوصول الی علم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8760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4628762_2142443653">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4628764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628766_2142443653">
            <w:r>
              <w:rPr>
                <w:webHidden/>
                <w:rStyle w:val="IndexLink"/>
                <w:rtl w:val="true"/>
              </w:rPr>
              <w:t>المطلب الأوّل في المهمّ ممّا استدلّ به الأشعري على مطلوبه</w:t>
            </w:r>
            <w:r>
              <w:rPr>
                <w:rStyle w:val="IndexLink"/>
                <w:rtl w:val="true"/>
              </w:rPr>
              <w:tab/>
            </w:r>
            <w:r>
              <w:rPr>
                <w:rStyle w:val="IndexLink"/>
              </w:rPr>
              <w:t>15</w:t>
            </w:r>
          </w:hyperlink>
        </w:p>
        <w:p>
          <w:pPr>
            <w:pStyle w:val="Contents3"/>
            <w:tabs>
              <w:tab w:val="clear" w:pos="8459"/>
              <w:tab w:val="right" w:pos="9026" w:leader="dot"/>
            </w:tabs>
            <w:rPr/>
          </w:pPr>
          <w:hyperlink w:anchor="__RefHeading___Toc4628768_2142443653">
            <w:r>
              <w:rPr>
                <w:webHidden/>
                <w:rStyle w:val="IndexLink"/>
                <w:rtl w:val="true"/>
              </w:rPr>
              <w:t>الاستدلال بالأوامر الامتحانية على اختلاف الطلب والإرادة</w:t>
            </w:r>
            <w:r>
              <w:rPr>
                <w:rStyle w:val="IndexLink"/>
                <w:rtl w:val="true"/>
              </w:rPr>
              <w:tab/>
            </w:r>
            <w:r>
              <w:rPr>
                <w:rStyle w:val="IndexLink"/>
              </w:rPr>
              <w:t>15</w:t>
            </w:r>
          </w:hyperlink>
        </w:p>
        <w:p>
          <w:pPr>
            <w:pStyle w:val="Contents3"/>
            <w:tabs>
              <w:tab w:val="clear" w:pos="8459"/>
              <w:tab w:val="right" w:pos="9026" w:leader="dot"/>
            </w:tabs>
            <w:rPr/>
          </w:pPr>
          <w:hyperlink w:anchor="__RefHeading___Toc4628770_2142443653">
            <w:r>
              <w:rPr>
                <w:webHidden/>
                <w:rStyle w:val="IndexLink"/>
                <w:rtl w:val="true"/>
              </w:rPr>
              <w:t>الاستدلال بتكليف العصاة على اختلاف الطلب والإرادة</w:t>
            </w:r>
            <w:r>
              <w:rPr>
                <w:rStyle w:val="IndexLink"/>
                <w:rtl w:val="true"/>
              </w:rPr>
              <w:tab/>
            </w:r>
            <w:r>
              <w:rPr>
                <w:rStyle w:val="IndexLink"/>
              </w:rPr>
              <w:t>19</w:t>
            </w:r>
          </w:hyperlink>
        </w:p>
        <w:p>
          <w:pPr>
            <w:pStyle w:val="Contents3"/>
            <w:tabs>
              <w:tab w:val="clear" w:pos="8459"/>
              <w:tab w:val="right" w:pos="9026" w:leader="dot"/>
            </w:tabs>
            <w:rPr/>
          </w:pPr>
          <w:hyperlink w:anchor="__RefHeading___Toc4628772_2142443653">
            <w:r>
              <w:rPr>
                <w:webHidden/>
                <w:rStyle w:val="IndexLink"/>
                <w:rtl w:val="true"/>
              </w:rPr>
              <w:t xml:space="preserve">فصل </w:t>
            </w:r>
            <w:r>
              <w:rPr>
                <w:rStyle w:val="IndexLink"/>
                <w:rtl w:val="true"/>
              </w:rPr>
              <w:t xml:space="preserve">: </w:t>
            </w:r>
            <w:r>
              <w:rPr>
                <w:rStyle w:val="IndexLink"/>
                <w:rtl w:val="true"/>
              </w:rPr>
              <w:t>في مسألة الجبر والتفويض</w:t>
            </w:r>
            <w:r>
              <w:rPr>
                <w:rStyle w:val="IndexLink"/>
                <w:rtl w:val="true"/>
              </w:rPr>
              <w:tab/>
            </w:r>
            <w:r>
              <w:rPr>
                <w:rStyle w:val="IndexLink"/>
              </w:rPr>
              <w:t>21</w:t>
            </w:r>
          </w:hyperlink>
        </w:p>
        <w:p>
          <w:pPr>
            <w:pStyle w:val="Contents3"/>
            <w:tabs>
              <w:tab w:val="clear" w:pos="8459"/>
              <w:tab w:val="right" w:pos="9026" w:leader="dot"/>
            </w:tabs>
            <w:rPr/>
          </w:pPr>
          <w:hyperlink w:anchor="__RefHeading___Toc4628774_2142443653">
            <w:r>
              <w:rPr>
                <w:webHidden/>
                <w:rStyle w:val="IndexLink"/>
                <w:rtl w:val="true"/>
              </w:rPr>
              <w:t xml:space="preserve">فصل </w:t>
            </w:r>
            <w:r>
              <w:rPr>
                <w:rStyle w:val="IndexLink"/>
                <w:rtl w:val="true"/>
              </w:rPr>
              <w:t xml:space="preserve">: </w:t>
            </w:r>
            <w:r>
              <w:rPr>
                <w:rStyle w:val="IndexLink"/>
                <w:rtl w:val="true"/>
              </w:rPr>
              <w:t>في إبطال مذهبي التفويض والجبر</w:t>
            </w:r>
            <w:r>
              <w:rPr>
                <w:rStyle w:val="IndexLink"/>
                <w:rtl w:val="true"/>
              </w:rPr>
              <w:tab/>
            </w:r>
            <w:r>
              <w:rPr>
                <w:rStyle w:val="IndexLink"/>
              </w:rPr>
              <w:t>23</w:t>
            </w:r>
          </w:hyperlink>
        </w:p>
        <w:p>
          <w:pPr>
            <w:pStyle w:val="Contents3"/>
            <w:tabs>
              <w:tab w:val="clear" w:pos="8459"/>
              <w:tab w:val="right" w:pos="9026" w:leader="dot"/>
            </w:tabs>
            <w:rPr/>
          </w:pPr>
          <w:hyperlink w:anchor="__RefHeading___Toc4628776_2142443653">
            <w:r>
              <w:rPr>
                <w:webHidden/>
                <w:rStyle w:val="IndexLink"/>
                <w:rtl w:val="true"/>
              </w:rPr>
              <w:t xml:space="preserve">فصل </w:t>
            </w:r>
            <w:r>
              <w:rPr>
                <w:rStyle w:val="IndexLink"/>
                <w:rtl w:val="true"/>
              </w:rPr>
              <w:t xml:space="preserve">: </w:t>
            </w:r>
            <w:r>
              <w:rPr>
                <w:rStyle w:val="IndexLink"/>
                <w:rtl w:val="true"/>
              </w:rPr>
              <w:t>في بيان المذهب الحقّ</w:t>
            </w:r>
            <w:r>
              <w:rPr>
                <w:rStyle w:val="IndexLink"/>
                <w:rtl w:val="true"/>
              </w:rPr>
              <w:tab/>
            </w:r>
            <w:r>
              <w:rPr>
                <w:rStyle w:val="IndexLink"/>
              </w:rPr>
              <w:t>27</w:t>
            </w:r>
          </w:hyperlink>
        </w:p>
        <w:p>
          <w:pPr>
            <w:pStyle w:val="Contents3"/>
            <w:tabs>
              <w:tab w:val="clear" w:pos="8459"/>
              <w:tab w:val="right" w:pos="9026" w:leader="dot"/>
            </w:tabs>
            <w:rPr/>
          </w:pPr>
          <w:hyperlink w:anchor="__RefHeading___Toc4628778_2142443653">
            <w:r>
              <w:rPr>
                <w:webHidden/>
                <w:rStyle w:val="IndexLink"/>
                <w:rtl w:val="true"/>
              </w:rPr>
              <w:t>تنبيه</w:t>
            </w:r>
            <w:r>
              <w:rPr>
                <w:rStyle w:val="IndexLink"/>
                <w:rtl w:val="true"/>
              </w:rPr>
              <w:t xml:space="preserve">: </w:t>
            </w:r>
            <w:r>
              <w:rPr>
                <w:rStyle w:val="IndexLink"/>
                <w:rtl w:val="true"/>
              </w:rPr>
              <w:t>في شرك التفويضي وكفر الجبري</w:t>
            </w:r>
            <w:r>
              <w:rPr>
                <w:rStyle w:val="IndexLink"/>
                <w:rtl w:val="true"/>
              </w:rPr>
              <w:tab/>
            </w:r>
            <w:r>
              <w:rPr>
                <w:rStyle w:val="IndexLink"/>
              </w:rPr>
              <w:t>28</w:t>
            </w:r>
          </w:hyperlink>
        </w:p>
        <w:p>
          <w:pPr>
            <w:pStyle w:val="Contents3"/>
            <w:tabs>
              <w:tab w:val="clear" w:pos="8459"/>
              <w:tab w:val="right" w:pos="9026" w:leader="dot"/>
            </w:tabs>
            <w:rPr/>
          </w:pPr>
          <w:hyperlink w:anchor="__RefHeading___Toc4628780_2142443653">
            <w:r>
              <w:rPr>
                <w:webHidden/>
                <w:rStyle w:val="IndexLink"/>
                <w:rtl w:val="true"/>
              </w:rPr>
              <w:t>إرشاد</w:t>
            </w:r>
            <w:r>
              <w:rPr>
                <w:rStyle w:val="IndexLink"/>
                <w:rtl w:val="true"/>
              </w:rPr>
              <w:t xml:space="preserve">: </w:t>
            </w:r>
            <w:r>
              <w:rPr>
                <w:rStyle w:val="IndexLink"/>
                <w:rtl w:val="true"/>
              </w:rPr>
              <w:t>في استناد الأفعال إلى الله</w:t>
            </w:r>
            <w:r>
              <w:rPr>
                <w:rStyle w:val="IndexLink"/>
                <w:rtl w:val="true"/>
              </w:rPr>
              <w:tab/>
            </w:r>
            <w:r>
              <w:rPr>
                <w:rStyle w:val="IndexLink"/>
              </w:rPr>
              <w:t>29</w:t>
            </w:r>
          </w:hyperlink>
        </w:p>
        <w:p>
          <w:pPr>
            <w:pStyle w:val="Contents3"/>
            <w:tabs>
              <w:tab w:val="clear" w:pos="8459"/>
              <w:tab w:val="right" w:pos="9026" w:leader="dot"/>
            </w:tabs>
            <w:rPr/>
          </w:pPr>
          <w:hyperlink w:anchor="__RefHeading___Toc4628782_2142443653">
            <w:r>
              <w:rPr>
                <w:webHidden/>
                <w:rStyle w:val="IndexLink"/>
                <w:rtl w:val="true"/>
              </w:rPr>
              <w:t>تمثيل</w:t>
            </w:r>
            <w:r>
              <w:rPr>
                <w:rStyle w:val="IndexLink"/>
                <w:rtl w:val="true"/>
              </w:rPr>
              <w:tab/>
            </w:r>
            <w:r>
              <w:rPr>
                <w:rStyle w:val="IndexLink"/>
              </w:rPr>
              <w:t>30</w:t>
            </w:r>
          </w:hyperlink>
        </w:p>
        <w:p>
          <w:pPr>
            <w:pStyle w:val="Contents3"/>
            <w:tabs>
              <w:tab w:val="clear" w:pos="8459"/>
              <w:tab w:val="right" w:pos="9026" w:leader="dot"/>
            </w:tabs>
            <w:rPr/>
          </w:pPr>
          <w:hyperlink w:anchor="__RefHeading___Toc4628784_2142443653">
            <w:r>
              <w:rPr>
                <w:webHidden/>
                <w:rStyle w:val="IndexLink"/>
                <w:rtl w:val="true"/>
              </w:rPr>
              <w:t>تمثيل أقرب</w:t>
            </w:r>
            <w:r>
              <w:rPr>
                <w:rStyle w:val="IndexLink"/>
                <w:rtl w:val="true"/>
              </w:rPr>
              <w:tab/>
            </w:r>
            <w:r>
              <w:rPr>
                <w:rStyle w:val="IndexLink"/>
              </w:rPr>
              <w:t>31</w:t>
            </w:r>
          </w:hyperlink>
        </w:p>
        <w:p>
          <w:pPr>
            <w:pStyle w:val="Contents3"/>
            <w:tabs>
              <w:tab w:val="clear" w:pos="8459"/>
              <w:tab w:val="right" w:pos="9026" w:leader="dot"/>
            </w:tabs>
            <w:rPr/>
          </w:pPr>
          <w:hyperlink w:anchor="__RefHeading___Toc4628786_2142443653">
            <w:r>
              <w:rPr>
                <w:webHidden/>
                <w:rStyle w:val="IndexLink"/>
                <w:rtl w:val="true"/>
              </w:rPr>
              <w:t>تأييدات نقلية</w:t>
            </w:r>
            <w:r>
              <w:rPr>
                <w:rStyle w:val="IndexLink"/>
                <w:rtl w:val="true"/>
              </w:rPr>
              <w:tab/>
            </w:r>
            <w:r>
              <w:rPr>
                <w:rStyle w:val="IndexLink"/>
              </w:rPr>
              <w:t>32</w:t>
            </w:r>
          </w:hyperlink>
        </w:p>
        <w:p>
          <w:pPr>
            <w:pStyle w:val="Contents3"/>
            <w:tabs>
              <w:tab w:val="clear" w:pos="8459"/>
              <w:tab w:val="right" w:pos="9026" w:leader="dot"/>
            </w:tabs>
            <w:rPr/>
          </w:pPr>
          <w:hyperlink w:anchor="__RefHeading___Toc4628788_2142443653">
            <w:r>
              <w:rPr>
                <w:webHidden/>
                <w:rStyle w:val="IndexLink"/>
                <w:rtl w:val="true"/>
              </w:rPr>
              <w:t>فصل في ذكر بعض الشبهات الواردة وجوابها</w:t>
            </w:r>
            <w:r>
              <w:rPr>
                <w:rStyle w:val="IndexLink"/>
                <w:rtl w:val="true"/>
              </w:rPr>
              <w:tab/>
            </w:r>
            <w:r>
              <w:rPr>
                <w:rStyle w:val="IndexLink"/>
              </w:rPr>
              <w:t>36</w:t>
            </w:r>
          </w:hyperlink>
        </w:p>
        <w:p>
          <w:pPr>
            <w:pStyle w:val="Contents4"/>
            <w:tabs>
              <w:tab w:val="clear" w:pos="8176"/>
              <w:tab w:val="right" w:pos="9026" w:leader="dot"/>
            </w:tabs>
            <w:rPr/>
          </w:pPr>
          <w:hyperlink w:anchor="__RefHeading___Toc4628790_2142443653">
            <w:r>
              <w:rPr>
                <w:webHidden/>
                <w:rStyle w:val="IndexLink"/>
                <w:rtl w:val="true"/>
              </w:rPr>
              <w:t>شبهة عدم إرادية الإرادة الإنسانية</w:t>
            </w:r>
            <w:r>
              <w:rPr>
                <w:rStyle w:val="IndexLink"/>
                <w:rtl w:val="true"/>
              </w:rPr>
              <w:tab/>
            </w:r>
            <w:r>
              <w:rPr>
                <w:rStyle w:val="IndexLink"/>
              </w:rPr>
              <w:t>36</w:t>
            </w:r>
          </w:hyperlink>
        </w:p>
        <w:p>
          <w:pPr>
            <w:pStyle w:val="Contents4"/>
            <w:tabs>
              <w:tab w:val="clear" w:pos="8176"/>
              <w:tab w:val="right" w:pos="9026" w:leader="dot"/>
            </w:tabs>
            <w:rPr/>
          </w:pPr>
          <w:hyperlink w:anchor="__RefHeading___Toc4628792_2142443653">
            <w:r>
              <w:rPr>
                <w:webHidden/>
                <w:rStyle w:val="IndexLink"/>
                <w:rtl w:val="true"/>
              </w:rPr>
              <w:t>تحقيق به يدفع الإشكال</w:t>
            </w:r>
            <w:r>
              <w:rPr>
                <w:rStyle w:val="IndexLink"/>
                <w:rtl w:val="true"/>
              </w:rPr>
              <w:tab/>
            </w:r>
            <w:r>
              <w:rPr>
                <w:rStyle w:val="IndexLink"/>
              </w:rPr>
              <w:t>41</w:t>
            </w:r>
          </w:hyperlink>
        </w:p>
        <w:p>
          <w:pPr>
            <w:pStyle w:val="Contents4"/>
            <w:tabs>
              <w:tab w:val="clear" w:pos="8176"/>
              <w:tab w:val="right" w:pos="9026" w:leader="dot"/>
            </w:tabs>
            <w:rPr/>
          </w:pPr>
          <w:hyperlink w:anchor="__RefHeading___Toc4628794_2142443653">
            <w:r>
              <w:rPr>
                <w:webHidden/>
                <w:rStyle w:val="IndexLink"/>
                <w:rtl w:val="true"/>
              </w:rPr>
              <w:t xml:space="preserve">تنبيه </w:t>
            </w:r>
            <w:r>
              <w:rPr>
                <w:rStyle w:val="IndexLink"/>
                <w:rtl w:val="true"/>
              </w:rPr>
              <w:t xml:space="preserve">: </w:t>
            </w:r>
            <w:r>
              <w:rPr>
                <w:rStyle w:val="IndexLink"/>
                <w:rtl w:val="true"/>
              </w:rPr>
              <w:t>في عدم تعلّق الإرادة بالإرادة</w:t>
            </w:r>
            <w:r>
              <w:rPr>
                <w:rStyle w:val="IndexLink"/>
                <w:rtl w:val="true"/>
              </w:rPr>
              <w:tab/>
            </w:r>
            <w:r>
              <w:rPr>
                <w:rStyle w:val="IndexLink"/>
              </w:rPr>
              <w:t>43</w:t>
            </w:r>
          </w:hyperlink>
        </w:p>
        <w:p>
          <w:pPr>
            <w:pStyle w:val="Contents4"/>
            <w:tabs>
              <w:tab w:val="clear" w:pos="8176"/>
              <w:tab w:val="right" w:pos="9026" w:leader="dot"/>
            </w:tabs>
            <w:rPr/>
          </w:pPr>
          <w:hyperlink w:anchor="__RefHeading___Toc4628796_2142443653">
            <w:r>
              <w:rPr>
                <w:webHidden/>
                <w:rStyle w:val="IndexLink"/>
                <w:rtl w:val="true"/>
              </w:rPr>
              <w:t xml:space="preserve">شبهة استلزام قاعدة </w:t>
            </w:r>
            <w:r>
              <w:rPr>
                <w:rStyle w:val="IndexLink"/>
                <w:rtl w:val="true"/>
              </w:rPr>
              <w:t>«</w:t>
            </w:r>
            <w:r>
              <w:rPr>
                <w:rStyle w:val="IndexLink"/>
                <w:rtl w:val="true"/>
              </w:rPr>
              <w:t>الشيء ما لم يجب لم يوجد</w:t>
            </w:r>
            <w:r>
              <w:rPr>
                <w:rStyle w:val="IndexLink"/>
                <w:rtl w:val="true"/>
              </w:rPr>
              <w:t xml:space="preserve">» </w:t>
            </w:r>
            <w:r>
              <w:rPr>
                <w:rStyle w:val="IndexLink"/>
                <w:rtl w:val="true"/>
              </w:rPr>
              <w:t>الجبر</w:t>
            </w:r>
            <w:r>
              <w:rPr>
                <w:rStyle w:val="IndexLink"/>
                <w:rtl w:val="true"/>
              </w:rPr>
              <w:tab/>
            </w:r>
            <w:r>
              <w:rPr>
                <w:rStyle w:val="IndexLink"/>
              </w:rPr>
              <w:t>43</w:t>
            </w:r>
          </w:hyperlink>
        </w:p>
        <w:p>
          <w:pPr>
            <w:pStyle w:val="Contents4"/>
            <w:tabs>
              <w:tab w:val="clear" w:pos="8176"/>
              <w:tab w:val="right" w:pos="9026" w:leader="dot"/>
            </w:tabs>
            <w:rPr/>
          </w:pPr>
          <w:hyperlink w:anchor="__RefHeading___Toc4628798_2142443653">
            <w:r>
              <w:rPr>
                <w:webHidden/>
                <w:rStyle w:val="IndexLink"/>
                <w:rtl w:val="true"/>
              </w:rPr>
              <w:t>شبهة منافاة الإرادة الأزلية لكون الإنسان مختاراً</w:t>
            </w:r>
            <w:r>
              <w:rPr>
                <w:rStyle w:val="IndexLink"/>
                <w:rtl w:val="true"/>
              </w:rPr>
              <w:tab/>
            </w:r>
            <w:r>
              <w:rPr>
                <w:rStyle w:val="IndexLink"/>
              </w:rPr>
              <w:t>48</w:t>
            </w:r>
          </w:hyperlink>
        </w:p>
        <w:p>
          <w:pPr>
            <w:pStyle w:val="Contents4"/>
            <w:tabs>
              <w:tab w:val="clear" w:pos="8176"/>
              <w:tab w:val="right" w:pos="9026" w:leader="dot"/>
            </w:tabs>
            <w:rPr/>
          </w:pPr>
          <w:hyperlink w:anchor="__RefHeading___Toc4628800_2142443653">
            <w:r>
              <w:rPr>
                <w:webHidden/>
                <w:rStyle w:val="IndexLink"/>
                <w:rtl w:val="true"/>
              </w:rPr>
              <w:t>المطلب الثاني في بيان حقيقة السعادة والشقاوة وتوضيح بعض الاشتباهات الواقعة من بعض المحقّقين</w:t>
            </w:r>
            <w:r>
              <w:rPr>
                <w:rStyle w:val="IndexLink"/>
                <w:rtl w:val="true"/>
              </w:rPr>
              <w:tab/>
            </w:r>
            <w:r>
              <w:rPr>
                <w:rStyle w:val="IndexLink"/>
              </w:rPr>
              <w:t>51</w:t>
            </w:r>
          </w:hyperlink>
        </w:p>
        <w:p>
          <w:pPr>
            <w:pStyle w:val="Contents4"/>
            <w:tabs>
              <w:tab w:val="clear" w:pos="8176"/>
              <w:tab w:val="right" w:pos="9026" w:leader="dot"/>
            </w:tabs>
            <w:rPr/>
          </w:pPr>
          <w:hyperlink w:anchor="__RefHeading___Toc4628802_2142443653">
            <w:r>
              <w:rPr>
                <w:webHidden/>
                <w:rStyle w:val="IndexLink"/>
                <w:rtl w:val="true"/>
              </w:rPr>
              <w:t>الأمر الأوّل</w:t>
            </w:r>
            <w:r>
              <w:rPr>
                <w:rStyle w:val="IndexLink"/>
                <w:rtl w:val="true"/>
              </w:rPr>
              <w:t xml:space="preserve">: </w:t>
            </w:r>
            <w:r>
              <w:rPr>
                <w:rStyle w:val="IndexLink"/>
                <w:rtl w:val="true"/>
              </w:rPr>
              <w:t xml:space="preserve">في المراد من الذاتي في قاعدة </w:t>
            </w:r>
            <w:r>
              <w:rPr>
                <w:rStyle w:val="IndexLink"/>
                <w:rtl w:val="true"/>
              </w:rPr>
              <w:t>«</w:t>
            </w:r>
            <w:r>
              <w:rPr>
                <w:rStyle w:val="IndexLink"/>
                <w:rtl w:val="true"/>
              </w:rPr>
              <w:t>الذاتي لا يعلّل</w:t>
            </w:r>
            <w:r>
              <w:rPr>
                <w:rStyle w:val="IndexLink"/>
                <w:rtl w:val="true"/>
              </w:rPr>
              <w:t>»</w:t>
              <w:tab/>
            </w:r>
            <w:r>
              <w:rPr>
                <w:rStyle w:val="IndexLink"/>
              </w:rPr>
              <w:t>51</w:t>
            </w:r>
          </w:hyperlink>
        </w:p>
        <w:p>
          <w:pPr>
            <w:pStyle w:val="Contents4"/>
            <w:tabs>
              <w:tab w:val="clear" w:pos="8176"/>
              <w:tab w:val="right" w:pos="9026" w:leader="dot"/>
            </w:tabs>
            <w:rPr/>
          </w:pPr>
          <w:hyperlink w:anchor="__RefHeading___Toc4628804_2142443653">
            <w:r>
              <w:rPr>
                <w:webHidden/>
                <w:rStyle w:val="IndexLink"/>
                <w:rtl w:val="true"/>
              </w:rPr>
              <w:t>الأمر الثاني</w:t>
            </w:r>
            <w:r>
              <w:rPr>
                <w:rStyle w:val="IndexLink"/>
                <w:rtl w:val="true"/>
              </w:rPr>
              <w:t xml:space="preserve">: </w:t>
            </w:r>
            <w:r>
              <w:rPr>
                <w:rStyle w:val="IndexLink"/>
                <w:rtl w:val="true"/>
              </w:rPr>
              <w:t>في فقر وجود الممكنات وعوارضه ولوازمه</w:t>
            </w:r>
            <w:r>
              <w:rPr>
                <w:rStyle w:val="IndexLink"/>
                <w:rtl w:val="true"/>
              </w:rPr>
              <w:tab/>
            </w:r>
            <w:r>
              <w:rPr>
                <w:rStyle w:val="IndexLink"/>
              </w:rPr>
              <w:t>52</w:t>
            </w:r>
          </w:hyperlink>
        </w:p>
        <w:p>
          <w:pPr>
            <w:pStyle w:val="Contents4"/>
            <w:tabs>
              <w:tab w:val="clear" w:pos="8176"/>
              <w:tab w:val="right" w:pos="9026" w:leader="dot"/>
            </w:tabs>
            <w:rPr/>
          </w:pPr>
          <w:hyperlink w:anchor="__RefHeading___Toc4628806_2142443653">
            <w:r>
              <w:rPr>
                <w:webHidden/>
                <w:rStyle w:val="IndexLink"/>
                <w:rtl w:val="true"/>
              </w:rPr>
              <w:t>الأمر الثالث</w:t>
            </w:r>
            <w:r>
              <w:rPr>
                <w:rStyle w:val="IndexLink"/>
                <w:rtl w:val="true"/>
              </w:rPr>
              <w:t xml:space="preserve">: </w:t>
            </w:r>
            <w:r>
              <w:rPr>
                <w:rStyle w:val="IndexLink"/>
                <w:rtl w:val="true"/>
              </w:rPr>
              <w:t>في استناد الكمالات إلى الوجود</w:t>
            </w:r>
            <w:r>
              <w:rPr>
                <w:rStyle w:val="IndexLink"/>
                <w:rtl w:val="true"/>
              </w:rPr>
              <w:tab/>
            </w:r>
            <w:r>
              <w:rPr>
                <w:rStyle w:val="IndexLink"/>
              </w:rPr>
              <w:t>54</w:t>
            </w:r>
          </w:hyperlink>
        </w:p>
        <w:p>
          <w:pPr>
            <w:pStyle w:val="Contents4"/>
            <w:tabs>
              <w:tab w:val="clear" w:pos="8176"/>
              <w:tab w:val="right" w:pos="9026" w:leader="dot"/>
            </w:tabs>
            <w:rPr/>
          </w:pPr>
          <w:hyperlink w:anchor="__RefHeading___Toc4628808_2142443653">
            <w:r>
              <w:rPr>
                <w:webHidden/>
                <w:rStyle w:val="IndexLink"/>
                <w:rtl w:val="true"/>
              </w:rPr>
              <w:t>الأمر الرابع</w:t>
            </w:r>
            <w:r>
              <w:rPr>
                <w:rStyle w:val="IndexLink"/>
                <w:rtl w:val="true"/>
              </w:rPr>
              <w:t xml:space="preserve">: </w:t>
            </w:r>
            <w:r>
              <w:rPr>
                <w:rStyle w:val="IndexLink"/>
                <w:rtl w:val="true"/>
              </w:rPr>
              <w:t>في معنى السعادة والشقاوة</w:t>
            </w:r>
            <w:r>
              <w:rPr>
                <w:rStyle w:val="IndexLink"/>
                <w:rtl w:val="true"/>
              </w:rPr>
              <w:tab/>
            </w:r>
            <w:r>
              <w:rPr>
                <w:rStyle w:val="IndexLink"/>
              </w:rPr>
              <w:t>54</w:t>
            </w:r>
          </w:hyperlink>
        </w:p>
        <w:p>
          <w:pPr>
            <w:pStyle w:val="Contents4"/>
            <w:tabs>
              <w:tab w:val="clear" w:pos="8176"/>
              <w:tab w:val="right" w:pos="9026" w:leader="dot"/>
            </w:tabs>
            <w:rPr/>
          </w:pPr>
          <w:hyperlink w:anchor="__RefHeading___Toc4628810_2142443653">
            <w:r>
              <w:rPr>
                <w:webHidden/>
                <w:rStyle w:val="IndexLink"/>
                <w:rtl w:val="true"/>
              </w:rPr>
              <w:t>التحقيق</w:t>
            </w:r>
            <w:r>
              <w:rPr>
                <w:rStyle w:val="IndexLink"/>
                <w:rtl w:val="true"/>
              </w:rPr>
              <w:t xml:space="preserve">: </w:t>
            </w:r>
            <w:r>
              <w:rPr>
                <w:rStyle w:val="IndexLink"/>
                <w:rtl w:val="true"/>
              </w:rPr>
              <w:t>كون السعادة والشقاوة غير ذاتيتين</w:t>
            </w:r>
            <w:r>
              <w:rPr>
                <w:rStyle w:val="IndexLink"/>
                <w:rtl w:val="true"/>
              </w:rPr>
              <w:tab/>
            </w:r>
            <w:r>
              <w:rPr>
                <w:rStyle w:val="IndexLink"/>
              </w:rPr>
              <w:t>56</w:t>
            </w:r>
          </w:hyperlink>
        </w:p>
        <w:p>
          <w:pPr>
            <w:pStyle w:val="Contents3"/>
            <w:tabs>
              <w:tab w:val="clear" w:pos="8459"/>
              <w:tab w:val="right" w:pos="9026" w:leader="dot"/>
            </w:tabs>
            <w:rPr/>
          </w:pPr>
          <w:hyperlink w:anchor="__RefHeading___Toc4628812_2142443653">
            <w:r>
              <w:rPr>
                <w:webHidden/>
                <w:rStyle w:val="IndexLink"/>
                <w:rtl w:val="true"/>
              </w:rPr>
              <w:t>المطلب الثالث في شمّة من اختلاف خلق الطينات</w:t>
            </w:r>
            <w:r>
              <w:rPr>
                <w:rStyle w:val="IndexLink"/>
                <w:rtl w:val="true"/>
              </w:rPr>
              <w:tab/>
            </w:r>
            <w:r>
              <w:rPr>
                <w:rStyle w:val="IndexLink"/>
              </w:rPr>
              <w:t>57</w:t>
            </w:r>
          </w:hyperlink>
        </w:p>
        <w:p>
          <w:pPr>
            <w:pStyle w:val="Contents4"/>
            <w:tabs>
              <w:tab w:val="clear" w:pos="8176"/>
              <w:tab w:val="right" w:pos="9026" w:leader="dot"/>
            </w:tabs>
            <w:rPr/>
          </w:pPr>
          <w:hyperlink w:anchor="__RefHeading___Toc4628814_2142443653">
            <w:r>
              <w:rPr>
                <w:webHidden/>
                <w:rStyle w:val="IndexLink"/>
                <w:rtl w:val="true"/>
              </w:rPr>
              <w:t>توهّم كون الجبر مقتضى أخبار الطينة</w:t>
            </w:r>
            <w:r>
              <w:rPr>
                <w:rStyle w:val="IndexLink"/>
                <w:rtl w:val="true"/>
              </w:rPr>
              <w:tab/>
            </w:r>
            <w:r>
              <w:rPr>
                <w:rStyle w:val="IndexLink"/>
              </w:rPr>
              <w:t>57</w:t>
            </w:r>
          </w:hyperlink>
        </w:p>
        <w:p>
          <w:pPr>
            <w:pStyle w:val="Contents4"/>
            <w:tabs>
              <w:tab w:val="clear" w:pos="8176"/>
              <w:tab w:val="right" w:pos="9026" w:leader="dot"/>
            </w:tabs>
            <w:rPr/>
          </w:pPr>
          <w:hyperlink w:anchor="__RefHeading___Toc4628816_2142443653">
            <w:r>
              <w:rPr>
                <w:webHidden/>
                <w:rStyle w:val="IndexLink"/>
                <w:rtl w:val="true"/>
              </w:rPr>
              <w:t>موضوع حكم العقلاء في صحّة العقوبة وعدمها</w:t>
            </w:r>
            <w:r>
              <w:rPr>
                <w:rStyle w:val="IndexLink"/>
                <w:rtl w:val="true"/>
              </w:rPr>
              <w:tab/>
            </w:r>
            <w:r>
              <w:rPr>
                <w:rStyle w:val="IndexLink"/>
              </w:rPr>
              <w:t>57</w:t>
            </w:r>
          </w:hyperlink>
        </w:p>
        <w:p>
          <w:pPr>
            <w:pStyle w:val="Contents4"/>
            <w:tabs>
              <w:tab w:val="clear" w:pos="8176"/>
              <w:tab w:val="right" w:pos="9026" w:leader="dot"/>
            </w:tabs>
            <w:rPr/>
          </w:pPr>
          <w:hyperlink w:anchor="__RefHeading___Toc4628818_2142443653">
            <w:r>
              <w:rPr>
                <w:webHidden/>
                <w:rStyle w:val="IndexLink"/>
                <w:rtl w:val="true"/>
              </w:rPr>
              <w:t>إفاضة الفيض الوجودي بمقدار قابلية الموادّ</w:t>
            </w:r>
            <w:r>
              <w:rPr>
                <w:rStyle w:val="IndexLink"/>
                <w:rtl w:val="true"/>
              </w:rPr>
              <w:tab/>
            </w:r>
            <w:r>
              <w:rPr>
                <w:rStyle w:val="IndexLink"/>
              </w:rPr>
              <w:t>58</w:t>
            </w:r>
          </w:hyperlink>
        </w:p>
        <w:p>
          <w:pPr>
            <w:pStyle w:val="Contents4"/>
            <w:tabs>
              <w:tab w:val="clear" w:pos="8176"/>
              <w:tab w:val="right" w:pos="9026" w:leader="dot"/>
            </w:tabs>
            <w:rPr/>
          </w:pPr>
          <w:hyperlink w:anchor="__RefHeading___Toc4628820_2142443653">
            <w:r>
              <w:rPr>
                <w:webHidden/>
                <w:rStyle w:val="IndexLink"/>
                <w:rtl w:val="true"/>
              </w:rPr>
              <w:t>منشأ اختلاف النفوس في الميل إلى الخير أو الشرّ</w:t>
            </w:r>
            <w:r>
              <w:rPr>
                <w:rStyle w:val="IndexLink"/>
                <w:rtl w:val="true"/>
              </w:rPr>
              <w:tab/>
            </w:r>
            <w:r>
              <w:rPr>
                <w:rStyle w:val="IndexLink"/>
              </w:rPr>
              <w:t>59</w:t>
            </w:r>
          </w:hyperlink>
        </w:p>
        <w:p>
          <w:pPr>
            <w:pStyle w:val="Contents4"/>
            <w:tabs>
              <w:tab w:val="clear" w:pos="8176"/>
              <w:tab w:val="right" w:pos="9026" w:leader="dot"/>
            </w:tabs>
            <w:rPr/>
          </w:pPr>
          <w:hyperlink w:anchor="__RefHeading___Toc4628822_2142443653">
            <w:r>
              <w:rPr>
                <w:webHidden/>
                <w:rStyle w:val="IndexLink"/>
                <w:rtl w:val="true"/>
              </w:rPr>
              <w:t>تنبيه</w:t>
            </w:r>
            <w:r>
              <w:rPr>
                <w:rStyle w:val="IndexLink"/>
                <w:rtl w:val="true"/>
              </w:rPr>
              <w:t xml:space="preserve">: </w:t>
            </w:r>
            <w:r>
              <w:rPr>
                <w:rStyle w:val="IndexLink"/>
                <w:rtl w:val="true"/>
              </w:rPr>
              <w:t>حول مفاد بعض الأحاديث</w:t>
            </w:r>
            <w:r>
              <w:rPr>
                <w:rStyle w:val="IndexLink"/>
                <w:rtl w:val="true"/>
              </w:rPr>
              <w:tab/>
            </w:r>
            <w:r>
              <w:rPr>
                <w:rStyle w:val="IndexLink"/>
              </w:rPr>
              <w:t>61</w:t>
            </w:r>
          </w:hyperlink>
        </w:p>
        <w:p>
          <w:pPr>
            <w:pStyle w:val="Contents4"/>
            <w:tabs>
              <w:tab w:val="clear" w:pos="8176"/>
              <w:tab w:val="right" w:pos="9026" w:leader="dot"/>
            </w:tabs>
            <w:rPr/>
          </w:pPr>
          <w:hyperlink w:anchor="__RefHeading___Toc4628824_2142443653">
            <w:r>
              <w:rPr>
                <w:webHidden/>
                <w:rStyle w:val="IndexLink"/>
                <w:rtl w:val="true"/>
              </w:rPr>
              <w:t>خاتمة</w:t>
            </w:r>
            <w:r>
              <w:rPr>
                <w:rStyle w:val="IndexLink"/>
                <w:rtl w:val="true"/>
              </w:rPr>
              <w:t xml:space="preserve">: </w:t>
            </w:r>
            <w:r>
              <w:rPr>
                <w:rStyle w:val="IndexLink"/>
                <w:rtl w:val="true"/>
              </w:rPr>
              <w:t>حول فطرة العشق إلى الكمال والتنفّر عن النقص</w:t>
            </w:r>
            <w:r>
              <w:rPr>
                <w:rStyle w:val="IndexLink"/>
                <w:rtl w:val="true"/>
              </w:rPr>
              <w:tab/>
            </w:r>
            <w:r>
              <w:rPr>
                <w:rStyle w:val="IndexLink"/>
              </w:rPr>
              <w:t>63</w:t>
            </w:r>
          </w:hyperlink>
        </w:p>
        <w:p>
          <w:pPr>
            <w:pStyle w:val="Contents3"/>
            <w:tabs>
              <w:tab w:val="clear" w:pos="8459"/>
              <w:tab w:val="right" w:pos="9026" w:leader="dot"/>
            </w:tabs>
            <w:rPr/>
          </w:pPr>
          <w:hyperlink w:anchor="__RefHeading___Toc4628826_2142443653">
            <w:r>
              <w:rPr>
                <w:webHidden/>
                <w:rStyle w:val="IndexLink"/>
                <w:rtl w:val="true"/>
              </w:rPr>
              <w:t>الفهارس العامّة</w:t>
            </w:r>
            <w:r>
              <w:rPr>
                <w:rStyle w:val="IndexLink"/>
                <w:rtl w:val="true"/>
              </w:rPr>
              <w:tab/>
            </w:r>
            <w:r>
              <w:rPr>
                <w:rStyle w:val="IndexLink"/>
              </w:rPr>
              <w:t>68</w:t>
            </w:r>
          </w:hyperlink>
        </w:p>
        <w:p>
          <w:pPr>
            <w:pStyle w:val="Contents4"/>
            <w:tabs>
              <w:tab w:val="clear" w:pos="8176"/>
              <w:tab w:val="right" w:pos="9026" w:leader="dot"/>
            </w:tabs>
            <w:rPr/>
          </w:pPr>
          <w:hyperlink w:anchor="__RefHeading___Toc4628828_214244365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4628830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70</w:t>
            </w:r>
          </w:hyperlink>
        </w:p>
        <w:p>
          <w:pPr>
            <w:pStyle w:val="Contents4"/>
            <w:tabs>
              <w:tab w:val="clear" w:pos="8176"/>
              <w:tab w:val="right" w:pos="9026" w:leader="dot"/>
            </w:tabs>
            <w:rPr/>
          </w:pPr>
          <w:hyperlink w:anchor="__RefHeading___Toc4628832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76</w:t>
            </w:r>
          </w:hyperlink>
        </w:p>
        <w:p>
          <w:pPr>
            <w:pStyle w:val="Contents4"/>
            <w:tabs>
              <w:tab w:val="clear" w:pos="8176"/>
              <w:tab w:val="right" w:pos="9026" w:leader="dot"/>
            </w:tabs>
            <w:rPr/>
          </w:pPr>
          <w:hyperlink w:anchor="__RefHeading___Toc4628834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4628836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80</w:t>
            </w:r>
          </w:hyperlink>
        </w:p>
        <w:p>
          <w:pPr>
            <w:pStyle w:val="Contents4"/>
            <w:tabs>
              <w:tab w:val="clear" w:pos="8176"/>
              <w:tab w:val="right" w:pos="9026" w:leader="dot"/>
            </w:tabs>
            <w:rPr/>
          </w:pPr>
          <w:hyperlink w:anchor="__RefHeading___Toc4628838_2142443653">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81</w:t>
            </w:r>
          </w:hyperlink>
        </w:p>
        <w:p>
          <w:pPr>
            <w:pStyle w:val="Contents4"/>
            <w:tabs>
              <w:tab w:val="clear" w:pos="8176"/>
              <w:tab w:val="right" w:pos="9026" w:leader="dot"/>
            </w:tabs>
            <w:rPr/>
          </w:pPr>
          <w:hyperlink w:anchor="__RefHeading___Toc4628840_2142443653">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82</w:t>
            </w:r>
          </w:hyperlink>
        </w:p>
        <w:p>
          <w:pPr>
            <w:pStyle w:val="Contents4"/>
            <w:tabs>
              <w:tab w:val="clear" w:pos="8176"/>
              <w:tab w:val="right" w:pos="9026" w:leader="dot"/>
            </w:tabs>
            <w:rPr/>
          </w:pPr>
          <w:hyperlink w:anchor="__RefHeading___Toc4628842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90</w:t>
            </w:r>
          </w:hyperlink>
        </w:p>
        <w:p>
          <w:pPr>
            <w:pStyle w:val="Contents2"/>
            <w:tabs>
              <w:tab w:val="clear" w:pos="8743"/>
              <w:tab w:val="right" w:pos="9026" w:leader="dot"/>
            </w:tabs>
            <w:rPr/>
          </w:pPr>
          <w:hyperlink w:anchor="__RefHeading___Toc4628844_2142443653">
            <w:r>
              <w:rPr>
                <w:webHidden/>
                <w:rStyle w:val="IndexLink"/>
                <w:rtl w:val="true"/>
              </w:rPr>
              <w:t>الفصل الخامس في اقتضاء الأمر بالشيء للنهي عن ضدّه</w:t>
            </w:r>
            <w:r>
              <w:rPr>
                <w:rStyle w:val="IndexLink"/>
                <w:rtl w:val="true"/>
              </w:rPr>
              <w:tab/>
            </w:r>
            <w:r>
              <w:rPr>
                <w:rStyle w:val="IndexLink"/>
              </w:rPr>
              <w:t>93</w:t>
            </w:r>
          </w:hyperlink>
        </w:p>
        <w:p>
          <w:pPr>
            <w:pStyle w:val="Contents3"/>
            <w:tabs>
              <w:tab w:val="clear" w:pos="8459"/>
              <w:tab w:val="right" w:pos="9026" w:leader="dot"/>
            </w:tabs>
            <w:rPr/>
          </w:pPr>
          <w:hyperlink w:anchor="__RefHeading___Toc4628846_214244365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4628848_2142443653">
            <w:r>
              <w:rPr>
                <w:webHidden/>
                <w:rStyle w:val="IndexLink"/>
                <w:rtl w:val="true"/>
              </w:rPr>
              <w:t>الأمر الأوّل</w:t>
            </w:r>
            <w:r>
              <w:rPr>
                <w:rStyle w:val="IndexLink"/>
                <w:rtl w:val="true"/>
              </w:rPr>
              <w:t xml:space="preserve">: </w:t>
            </w:r>
            <w:r>
              <w:rPr>
                <w:rStyle w:val="IndexLink"/>
                <w:rtl w:val="true"/>
              </w:rPr>
              <w:t>في اُصولية المسألة</w:t>
            </w:r>
            <w:r>
              <w:rPr>
                <w:rStyle w:val="IndexLink"/>
                <w:rtl w:val="true"/>
              </w:rPr>
              <w:tab/>
            </w:r>
            <w:r>
              <w:rPr>
                <w:rStyle w:val="IndexLink"/>
              </w:rPr>
              <w:t>93</w:t>
            </w:r>
          </w:hyperlink>
        </w:p>
        <w:p>
          <w:pPr>
            <w:pStyle w:val="Contents3"/>
            <w:tabs>
              <w:tab w:val="clear" w:pos="8459"/>
              <w:tab w:val="right" w:pos="9026" w:leader="dot"/>
            </w:tabs>
            <w:rPr/>
          </w:pPr>
          <w:hyperlink w:anchor="__RefHeading___Toc4628850_2142443653">
            <w:r>
              <w:rPr>
                <w:webHidden/>
                <w:rStyle w:val="IndexLink"/>
                <w:rtl w:val="true"/>
              </w:rPr>
              <w:t xml:space="preserve">الأمر الثاني </w:t>
            </w:r>
            <w:r>
              <w:rPr>
                <w:rStyle w:val="IndexLink"/>
                <w:rtl w:val="true"/>
              </w:rPr>
              <w:t xml:space="preserve">: </w:t>
            </w:r>
            <w:r>
              <w:rPr>
                <w:rStyle w:val="IndexLink"/>
                <w:rtl w:val="true"/>
              </w:rPr>
              <w:t>في معنى الاقتضاء في عنوان المسألة</w:t>
            </w:r>
            <w:r>
              <w:rPr>
                <w:rStyle w:val="IndexLink"/>
                <w:rtl w:val="true"/>
              </w:rPr>
              <w:tab/>
            </w:r>
            <w:r>
              <w:rPr>
                <w:rStyle w:val="IndexLink"/>
              </w:rPr>
              <w:t>94</w:t>
            </w:r>
          </w:hyperlink>
        </w:p>
        <w:p>
          <w:pPr>
            <w:pStyle w:val="Contents3"/>
            <w:tabs>
              <w:tab w:val="clear" w:pos="8459"/>
              <w:tab w:val="right" w:pos="9026" w:leader="dot"/>
            </w:tabs>
            <w:rPr/>
          </w:pPr>
          <w:hyperlink w:anchor="__RefHeading___Toc4628852_2142443653">
            <w:r>
              <w:rPr>
                <w:webHidden/>
                <w:rStyle w:val="IndexLink"/>
                <w:rtl w:val="true"/>
              </w:rPr>
              <w:t xml:space="preserve">الأمر الثالث </w:t>
            </w:r>
            <w:r>
              <w:rPr>
                <w:rStyle w:val="IndexLink"/>
                <w:rtl w:val="true"/>
              </w:rPr>
              <w:t xml:space="preserve">: </w:t>
            </w:r>
            <w:r>
              <w:rPr>
                <w:rStyle w:val="IndexLink"/>
                <w:rtl w:val="true"/>
              </w:rPr>
              <w:t>في الاستدلال على القول بالاقتضاء في الضدّ الخاصّ</w:t>
            </w:r>
            <w:r>
              <w:rPr>
                <w:rStyle w:val="IndexLink"/>
                <w:rtl w:val="true"/>
              </w:rPr>
              <w:tab/>
            </w:r>
            <w:r>
              <w:rPr>
                <w:rStyle w:val="IndexLink"/>
              </w:rPr>
              <w:t>95</w:t>
            </w:r>
          </w:hyperlink>
        </w:p>
        <w:p>
          <w:pPr>
            <w:pStyle w:val="Contents4"/>
            <w:tabs>
              <w:tab w:val="clear" w:pos="8176"/>
              <w:tab w:val="right" w:pos="9026" w:leader="dot"/>
            </w:tabs>
            <w:rPr/>
          </w:pPr>
          <w:hyperlink w:anchor="__RefHeading___Toc4628854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4628856_2142443653">
            <w:r>
              <w:rPr>
                <w:webHidden/>
                <w:rStyle w:val="IndexLink"/>
                <w:rtl w:val="true"/>
              </w:rPr>
              <w:t>الوجه الأوّل</w:t>
            </w:r>
            <w:r>
              <w:rPr>
                <w:rStyle w:val="IndexLink"/>
                <w:rtl w:val="true"/>
              </w:rPr>
              <w:t xml:space="preserve">: - </w:t>
            </w:r>
            <w:r>
              <w:rPr>
                <w:rStyle w:val="IndexLink"/>
                <w:rtl w:val="true"/>
              </w:rPr>
              <w:t xml:space="preserve">وهو العمدة </w:t>
            </w:r>
            <w:r>
              <w:rPr>
                <w:rStyle w:val="IndexLink"/>
                <w:rtl w:val="true"/>
              </w:rPr>
              <w:t xml:space="preserve">- </w:t>
            </w:r>
            <w:r>
              <w:rPr>
                <w:rStyle w:val="IndexLink"/>
                <w:rtl w:val="true"/>
              </w:rPr>
              <w:t>من جهة المقدّمية</w:t>
            </w:r>
            <w:r>
              <w:rPr>
                <w:rStyle w:val="IndexLink"/>
                <w:rtl w:val="true"/>
              </w:rPr>
              <w:tab/>
            </w:r>
            <w:r>
              <w:rPr>
                <w:rStyle w:val="IndexLink"/>
              </w:rPr>
              <w:t>95</w:t>
            </w:r>
          </w:hyperlink>
        </w:p>
        <w:p>
          <w:pPr>
            <w:pStyle w:val="Contents4"/>
            <w:tabs>
              <w:tab w:val="clear" w:pos="8176"/>
              <w:tab w:val="right" w:pos="9026" w:leader="dot"/>
            </w:tabs>
            <w:rPr/>
          </w:pPr>
          <w:hyperlink w:anchor="__RefHeading___Toc4628858_2142443653">
            <w:r>
              <w:rPr>
                <w:webHidden/>
                <w:rStyle w:val="IndexLink"/>
                <w:rtl w:val="true"/>
              </w:rPr>
              <w:t>الوجه الثاني</w:t>
            </w:r>
            <w:r>
              <w:rPr>
                <w:rStyle w:val="IndexLink"/>
                <w:rtl w:val="true"/>
              </w:rPr>
              <w:t xml:space="preserve">: </w:t>
            </w:r>
            <w:r>
              <w:rPr>
                <w:rStyle w:val="IndexLink"/>
                <w:rtl w:val="true"/>
              </w:rPr>
              <w:t>من جهة الاستلزام</w:t>
            </w:r>
            <w:r>
              <w:rPr>
                <w:rStyle w:val="IndexLink"/>
                <w:rtl w:val="true"/>
              </w:rPr>
              <w:tab/>
            </w:r>
            <w:r>
              <w:rPr>
                <w:rStyle w:val="IndexLink"/>
              </w:rPr>
              <w:t>102</w:t>
            </w:r>
          </w:hyperlink>
        </w:p>
        <w:p>
          <w:pPr>
            <w:pStyle w:val="Contents3"/>
            <w:tabs>
              <w:tab w:val="clear" w:pos="8459"/>
              <w:tab w:val="right" w:pos="9026" w:leader="dot"/>
            </w:tabs>
            <w:rPr/>
          </w:pPr>
          <w:hyperlink w:anchor="__RefHeading___Toc4628860_2142443653">
            <w:r>
              <w:rPr>
                <w:webHidden/>
                <w:rStyle w:val="IndexLink"/>
                <w:rtl w:val="true"/>
              </w:rPr>
              <w:t>الأمر الرابع في ثمرة المسألة</w:t>
            </w:r>
            <w:r>
              <w:rPr>
                <w:rStyle w:val="IndexLink"/>
                <w:rtl w:val="true"/>
              </w:rPr>
              <w:tab/>
            </w:r>
            <w:r>
              <w:rPr>
                <w:rStyle w:val="IndexLink"/>
              </w:rPr>
              <w:t>105</w:t>
            </w:r>
          </w:hyperlink>
        </w:p>
        <w:p>
          <w:pPr>
            <w:pStyle w:val="Contents4"/>
            <w:tabs>
              <w:tab w:val="clear" w:pos="8176"/>
              <w:tab w:val="right" w:pos="9026" w:leader="dot"/>
            </w:tabs>
            <w:rPr/>
          </w:pPr>
          <w:hyperlink w:anchor="__RefHeading___Toc4628862_2142443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628864_2142443653">
            <w:r>
              <w:rPr>
                <w:webHidden/>
                <w:rStyle w:val="IndexLink"/>
                <w:rtl w:val="true"/>
              </w:rPr>
              <w:t>مقالة الشيخ البهائي في إنكار الثمرة بعدم الأمر بالمهمّ وما اُجيب عنها</w:t>
            </w:r>
            <w:r>
              <w:rPr>
                <w:rStyle w:val="IndexLink"/>
                <w:rtl w:val="true"/>
              </w:rPr>
              <w:tab/>
            </w:r>
            <w:r>
              <w:rPr>
                <w:rStyle w:val="IndexLink"/>
              </w:rPr>
              <w:t>106</w:t>
            </w:r>
          </w:hyperlink>
        </w:p>
        <w:p>
          <w:pPr>
            <w:pStyle w:val="Contents5"/>
            <w:tabs>
              <w:tab w:val="clear" w:pos="7892"/>
              <w:tab w:val="right" w:pos="9026" w:leader="dot"/>
            </w:tabs>
            <w:rPr/>
          </w:pPr>
          <w:hyperlink w:anchor="__RefHeading___Toc4628866_2142443653">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4628868_2142443653">
            <w:r>
              <w:rPr>
                <w:webHidden/>
                <w:rStyle w:val="IndexLink"/>
                <w:rtl w:val="true"/>
              </w:rPr>
              <w:t>تصوير المحقّق الثاني الأمر بالمهمّ بالأمر المتعلّق بنفس الطبيعة</w:t>
            </w:r>
            <w:r>
              <w:rPr>
                <w:rStyle w:val="IndexLink"/>
                <w:rtl w:val="true"/>
              </w:rPr>
              <w:tab/>
            </w:r>
            <w:r>
              <w:rPr>
                <w:rStyle w:val="IndexLink"/>
              </w:rPr>
              <w:t>106</w:t>
            </w:r>
          </w:hyperlink>
        </w:p>
        <w:p>
          <w:pPr>
            <w:pStyle w:val="Contents5"/>
            <w:tabs>
              <w:tab w:val="clear" w:pos="7892"/>
              <w:tab w:val="right" w:pos="9026" w:leader="dot"/>
            </w:tabs>
            <w:rPr/>
          </w:pPr>
          <w:hyperlink w:anchor="__RefHeading___Toc4628870_2142443653">
            <w:r>
              <w:rPr>
                <w:webHidden/>
                <w:rStyle w:val="IndexLink"/>
                <w:rtl w:val="true"/>
              </w:rPr>
              <w:t>التحقيق في تصوير الأمر بالمهمّ بلا تشبّث بالترتّب</w:t>
            </w:r>
            <w:r>
              <w:rPr>
                <w:rStyle w:val="IndexLink"/>
                <w:rtl w:val="true"/>
              </w:rPr>
              <w:tab/>
            </w:r>
            <w:r>
              <w:rPr>
                <w:rStyle w:val="IndexLink"/>
              </w:rPr>
              <w:t>107</w:t>
            </w:r>
          </w:hyperlink>
        </w:p>
        <w:p>
          <w:pPr>
            <w:pStyle w:val="Contents5"/>
            <w:tabs>
              <w:tab w:val="clear" w:pos="7892"/>
              <w:tab w:val="right" w:pos="9026" w:leader="dot"/>
            </w:tabs>
            <w:rPr/>
          </w:pPr>
          <w:hyperlink w:anchor="__RefHeading___Toc4628872_2142443653">
            <w:r>
              <w:rPr>
                <w:webHidden/>
                <w:rStyle w:val="IndexLink"/>
                <w:rtl w:val="true"/>
              </w:rPr>
              <w:t>تصوير المحقّق النائيني الأمر بالمهمّ بنحو الترتّب</w:t>
            </w:r>
            <w:r>
              <w:rPr>
                <w:rStyle w:val="IndexLink"/>
                <w:rtl w:val="true"/>
              </w:rPr>
              <w:tab/>
            </w:r>
            <w:r>
              <w:rPr>
                <w:rStyle w:val="IndexLink"/>
              </w:rPr>
              <w:t>115</w:t>
            </w:r>
          </w:hyperlink>
        </w:p>
        <w:p>
          <w:pPr>
            <w:pStyle w:val="Contents5"/>
            <w:tabs>
              <w:tab w:val="clear" w:pos="7892"/>
              <w:tab w:val="right" w:pos="9026" w:leader="dot"/>
            </w:tabs>
            <w:rPr/>
          </w:pPr>
          <w:hyperlink w:anchor="__RefHeading___Toc4628874_2142443653">
            <w:r>
              <w:rPr>
                <w:webHidden/>
                <w:rStyle w:val="IndexLink"/>
                <w:rtl w:val="true"/>
              </w:rPr>
              <w:t>تمسّك المحقّق النائيني ببعض الفروع الفقهية على الترتّب</w:t>
            </w:r>
            <w:r>
              <w:rPr>
                <w:rStyle w:val="IndexLink"/>
                <w:rtl w:val="true"/>
              </w:rPr>
              <w:tab/>
            </w:r>
            <w:r>
              <w:rPr>
                <w:rStyle w:val="IndexLink"/>
              </w:rPr>
              <w:t>136</w:t>
            </w:r>
          </w:hyperlink>
        </w:p>
        <w:p>
          <w:pPr>
            <w:pStyle w:val="Contents5"/>
            <w:tabs>
              <w:tab w:val="clear" w:pos="7892"/>
              <w:tab w:val="right" w:pos="9026" w:leader="dot"/>
            </w:tabs>
            <w:rPr/>
          </w:pPr>
          <w:hyperlink w:anchor="__RefHeading___Toc4628876_2142443653">
            <w:r>
              <w:rPr>
                <w:webHidden/>
                <w:rStyle w:val="IndexLink"/>
                <w:rtl w:val="true"/>
              </w:rPr>
              <w:t>تقرير الذي أورده المحقّق الأصفهاني لتصحيح الترتّب</w:t>
            </w:r>
            <w:r>
              <w:rPr>
                <w:rStyle w:val="IndexLink"/>
                <w:rtl w:val="true"/>
              </w:rPr>
              <w:tab/>
            </w:r>
            <w:r>
              <w:rPr>
                <w:rStyle w:val="IndexLink"/>
              </w:rPr>
              <w:t>138</w:t>
            </w:r>
          </w:hyperlink>
        </w:p>
        <w:p>
          <w:pPr>
            <w:pStyle w:val="Contents5"/>
            <w:tabs>
              <w:tab w:val="clear" w:pos="7892"/>
              <w:tab w:val="right" w:pos="9026" w:leader="dot"/>
            </w:tabs>
            <w:rPr/>
          </w:pPr>
          <w:hyperlink w:anchor="__RefHeading___Toc4628878_2142443653">
            <w:r>
              <w:rPr>
                <w:webHidden/>
                <w:rStyle w:val="IndexLink"/>
                <w:rtl w:val="true"/>
              </w:rPr>
              <w:t>تقرير المحقّق العراقي لتصحيح الترتّب</w:t>
            </w:r>
            <w:r>
              <w:rPr>
                <w:rStyle w:val="IndexLink"/>
                <w:rtl w:val="true"/>
              </w:rPr>
              <w:tab/>
            </w:r>
            <w:r>
              <w:rPr>
                <w:rStyle w:val="IndexLink"/>
              </w:rPr>
              <w:t>139</w:t>
            </w:r>
          </w:hyperlink>
        </w:p>
        <w:p>
          <w:pPr>
            <w:pStyle w:val="Contents2"/>
            <w:tabs>
              <w:tab w:val="clear" w:pos="8743"/>
              <w:tab w:val="right" w:pos="9026" w:leader="dot"/>
            </w:tabs>
            <w:rPr/>
          </w:pPr>
          <w:hyperlink w:anchor="__RefHeading___Toc4628880_2142443653">
            <w:r>
              <w:rPr>
                <w:webHidden/>
                <w:rStyle w:val="IndexLink"/>
                <w:rtl w:val="true"/>
              </w:rPr>
              <w:t>الفصل السادس في جواز الأمر مع العلم بانتفاء الشرط</w:t>
            </w:r>
            <w:r>
              <w:rPr>
                <w:rStyle w:val="IndexLink"/>
                <w:rtl w:val="true"/>
              </w:rPr>
              <w:tab/>
            </w:r>
            <w:r>
              <w:rPr>
                <w:rStyle w:val="IndexLink"/>
              </w:rPr>
              <w:t>142</w:t>
            </w:r>
          </w:hyperlink>
        </w:p>
        <w:p>
          <w:pPr>
            <w:pStyle w:val="Contents2"/>
            <w:tabs>
              <w:tab w:val="clear" w:pos="8743"/>
              <w:tab w:val="right" w:pos="9026" w:leader="dot"/>
            </w:tabs>
            <w:rPr/>
          </w:pPr>
          <w:hyperlink w:anchor="__RefHeading___Toc4628882_2142443653">
            <w:r>
              <w:rPr>
                <w:webHidden/>
                <w:rStyle w:val="IndexLink"/>
                <w:rtl w:val="true"/>
              </w:rPr>
              <w:t>الفصل السابع في متعلّق الأوامر والنواهي</w:t>
            </w:r>
            <w:r>
              <w:rPr>
                <w:rStyle w:val="IndexLink"/>
                <w:rtl w:val="true"/>
              </w:rPr>
              <w:tab/>
            </w:r>
            <w:r>
              <w:rPr>
                <w:rStyle w:val="IndexLink"/>
              </w:rPr>
              <w:t>145</w:t>
            </w:r>
          </w:hyperlink>
        </w:p>
        <w:p>
          <w:pPr>
            <w:pStyle w:val="Contents3"/>
            <w:tabs>
              <w:tab w:val="clear" w:pos="8459"/>
              <w:tab w:val="right" w:pos="9026" w:leader="dot"/>
            </w:tabs>
            <w:rPr/>
          </w:pPr>
          <w:hyperlink w:anchor="__RefHeading___Toc4628884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4628886_2142443653">
            <w:r>
              <w:rPr>
                <w:webHidden/>
                <w:rStyle w:val="IndexLink"/>
                <w:rtl w:val="true"/>
              </w:rPr>
              <w:t>تحرير محلّ النزاع</w:t>
            </w:r>
            <w:r>
              <w:rPr>
                <w:rStyle w:val="IndexLink"/>
                <w:rtl w:val="true"/>
              </w:rPr>
              <w:tab/>
            </w:r>
            <w:r>
              <w:rPr>
                <w:rStyle w:val="IndexLink"/>
              </w:rPr>
              <w:t>145</w:t>
            </w:r>
          </w:hyperlink>
        </w:p>
        <w:p>
          <w:pPr>
            <w:pStyle w:val="Contents3"/>
            <w:tabs>
              <w:tab w:val="clear" w:pos="8459"/>
              <w:tab w:val="right" w:pos="9026" w:leader="dot"/>
            </w:tabs>
            <w:rPr/>
          </w:pPr>
          <w:hyperlink w:anchor="__RefHeading___Toc4628888_2142443653">
            <w:r>
              <w:rPr>
                <w:webHidden/>
                <w:rStyle w:val="IndexLink"/>
                <w:rtl w:val="true"/>
              </w:rPr>
              <w:t>مقتضى التحقيق</w:t>
            </w:r>
            <w:r>
              <w:rPr>
                <w:rStyle w:val="IndexLink"/>
                <w:rtl w:val="true"/>
              </w:rPr>
              <w:t xml:space="preserve">: </w:t>
            </w:r>
            <w:r>
              <w:rPr>
                <w:rStyle w:val="IndexLink"/>
                <w:rtl w:val="true"/>
              </w:rPr>
              <w:t>تعلّق الأوامر والنواهي بالطبائع</w:t>
            </w:r>
            <w:r>
              <w:rPr>
                <w:rStyle w:val="IndexLink"/>
                <w:rtl w:val="true"/>
              </w:rPr>
              <w:tab/>
            </w:r>
            <w:r>
              <w:rPr>
                <w:rStyle w:val="IndexLink"/>
              </w:rPr>
              <w:t>147</w:t>
            </w:r>
          </w:hyperlink>
        </w:p>
        <w:p>
          <w:pPr>
            <w:pStyle w:val="Contents3"/>
            <w:tabs>
              <w:tab w:val="clear" w:pos="8459"/>
              <w:tab w:val="right" w:pos="9026" w:leader="dot"/>
            </w:tabs>
            <w:rPr/>
          </w:pPr>
          <w:hyperlink w:anchor="__RefHeading___Toc4628890_2142443653">
            <w:r>
              <w:rPr>
                <w:webHidden/>
                <w:rStyle w:val="IndexLink"/>
                <w:rtl w:val="true"/>
              </w:rPr>
              <w:t>المراد من البعث نحو المأموربه</w:t>
            </w:r>
            <w:r>
              <w:rPr>
                <w:rStyle w:val="IndexLink"/>
                <w:rtl w:val="true"/>
              </w:rPr>
              <w:tab/>
            </w:r>
            <w:r>
              <w:rPr>
                <w:rStyle w:val="IndexLink"/>
              </w:rPr>
              <w:t>148</w:t>
            </w:r>
          </w:hyperlink>
        </w:p>
        <w:p>
          <w:pPr>
            <w:pStyle w:val="Contents3"/>
            <w:tabs>
              <w:tab w:val="clear" w:pos="8459"/>
              <w:tab w:val="right" w:pos="9026" w:leader="dot"/>
            </w:tabs>
            <w:rPr/>
          </w:pPr>
          <w:hyperlink w:anchor="__RefHeading___Toc4628892_2142443653">
            <w:r>
              <w:rPr>
                <w:webHidden/>
                <w:rStyle w:val="IndexLink"/>
                <w:rtl w:val="true"/>
              </w:rPr>
              <w:t>تنبيه</w:t>
            </w:r>
            <w:r>
              <w:rPr>
                <w:rStyle w:val="IndexLink"/>
                <w:rtl w:val="true"/>
              </w:rPr>
              <w:t xml:space="preserve">: </w:t>
            </w:r>
            <w:r>
              <w:rPr>
                <w:rStyle w:val="IndexLink"/>
                <w:rtl w:val="true"/>
              </w:rPr>
              <w:t>في تعلّق الأمر بنفس الماهية</w:t>
            </w:r>
            <w:r>
              <w:rPr>
                <w:rStyle w:val="IndexLink"/>
                <w:rtl w:val="true"/>
              </w:rPr>
              <w:tab/>
            </w:r>
            <w:r>
              <w:rPr>
                <w:rStyle w:val="IndexLink"/>
              </w:rPr>
              <w:t>149</w:t>
            </w:r>
          </w:hyperlink>
        </w:p>
        <w:p>
          <w:pPr>
            <w:pStyle w:val="Contents3"/>
            <w:tabs>
              <w:tab w:val="clear" w:pos="8459"/>
              <w:tab w:val="right" w:pos="9026" w:leader="dot"/>
            </w:tabs>
            <w:rPr/>
          </w:pPr>
          <w:hyperlink w:anchor="__RefHeading___Toc4628894_2142443653">
            <w:r>
              <w:rPr>
                <w:webHidden/>
                <w:rStyle w:val="IndexLink"/>
                <w:rtl w:val="true"/>
              </w:rPr>
              <w:t xml:space="preserve">نقد وتحصيل </w:t>
            </w:r>
            <w:r>
              <w:rPr>
                <w:rStyle w:val="IndexLink"/>
                <w:rtl w:val="true"/>
              </w:rPr>
              <w:t xml:space="preserve">: </w:t>
            </w:r>
            <w:r>
              <w:rPr>
                <w:rStyle w:val="IndexLink"/>
                <w:rtl w:val="true"/>
              </w:rPr>
              <w:t>في سراية الأمر من العنوان إلى الأفراد والحصص</w:t>
            </w:r>
            <w:r>
              <w:rPr>
                <w:rStyle w:val="IndexLink"/>
                <w:rtl w:val="true"/>
              </w:rPr>
              <w:tab/>
            </w:r>
            <w:r>
              <w:rPr>
                <w:rStyle w:val="IndexLink"/>
              </w:rPr>
              <w:t>151</w:t>
            </w:r>
          </w:hyperlink>
        </w:p>
        <w:p>
          <w:pPr>
            <w:pStyle w:val="Contents3"/>
            <w:tabs>
              <w:tab w:val="clear" w:pos="8459"/>
              <w:tab w:val="right" w:pos="9026" w:leader="dot"/>
            </w:tabs>
            <w:rPr/>
          </w:pPr>
          <w:hyperlink w:anchor="__RefHeading___Toc4628896_2142443653">
            <w:r>
              <w:rPr>
                <w:webHidden/>
                <w:rStyle w:val="IndexLink"/>
                <w:rtl w:val="true"/>
              </w:rPr>
              <w:t>تحقيق</w:t>
            </w:r>
            <w:r>
              <w:rPr>
                <w:rStyle w:val="IndexLink"/>
                <w:rtl w:val="true"/>
              </w:rPr>
              <w:t xml:space="preserve">: </w:t>
            </w:r>
            <w:r>
              <w:rPr>
                <w:rStyle w:val="IndexLink"/>
                <w:rtl w:val="true"/>
              </w:rPr>
              <w:t>في الكلّي الطبيعي</w:t>
            </w:r>
            <w:r>
              <w:rPr>
                <w:rStyle w:val="IndexLink"/>
                <w:rtl w:val="true"/>
              </w:rPr>
              <w:tab/>
            </w:r>
            <w:r>
              <w:rPr>
                <w:rStyle w:val="IndexLink"/>
              </w:rPr>
              <w:t>153</w:t>
            </w:r>
          </w:hyperlink>
        </w:p>
        <w:p>
          <w:pPr>
            <w:pStyle w:val="Contents2"/>
            <w:tabs>
              <w:tab w:val="clear" w:pos="8743"/>
              <w:tab w:val="right" w:pos="9026" w:leader="dot"/>
            </w:tabs>
            <w:rPr/>
          </w:pPr>
          <w:hyperlink w:anchor="__RefHeading___Toc4628898_2142443653">
            <w:r>
              <w:rPr>
                <w:webHidden/>
                <w:rStyle w:val="IndexLink"/>
                <w:rtl w:val="true"/>
              </w:rPr>
              <w:t>الفصل الثامن في بقاء الجواز بعد نسخ الوجوب</w:t>
            </w:r>
            <w:r>
              <w:rPr>
                <w:rStyle w:val="IndexLink"/>
                <w:rtl w:val="true"/>
              </w:rPr>
              <w:tab/>
            </w:r>
            <w:r>
              <w:rPr>
                <w:rStyle w:val="IndexLink"/>
              </w:rPr>
              <w:t>159</w:t>
            </w:r>
          </w:hyperlink>
        </w:p>
        <w:p>
          <w:pPr>
            <w:pStyle w:val="Contents3"/>
            <w:tabs>
              <w:tab w:val="clear" w:pos="8459"/>
              <w:tab w:val="right" w:pos="9026" w:leader="dot"/>
            </w:tabs>
            <w:rPr/>
          </w:pPr>
          <w:hyperlink w:anchor="__RefHeading___Toc4628900_2142443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4628902_2142443653">
            <w:r>
              <w:rPr>
                <w:webHidden/>
                <w:rStyle w:val="IndexLink"/>
                <w:rtl w:val="true"/>
              </w:rPr>
              <w:t>المقام الأوّل</w:t>
            </w:r>
            <w:r>
              <w:rPr>
                <w:rStyle w:val="IndexLink"/>
                <w:rtl w:val="true"/>
              </w:rPr>
              <w:t xml:space="preserve">: </w:t>
            </w:r>
            <w:r>
              <w:rPr>
                <w:rStyle w:val="IndexLink"/>
                <w:rtl w:val="true"/>
              </w:rPr>
              <w:t>في إمكان بقائه عقلاً</w:t>
            </w:r>
            <w:r>
              <w:rPr>
                <w:rStyle w:val="IndexLink"/>
                <w:rtl w:val="true"/>
              </w:rPr>
              <w:tab/>
            </w:r>
            <w:r>
              <w:rPr>
                <w:rStyle w:val="IndexLink"/>
              </w:rPr>
              <w:t>159</w:t>
            </w:r>
          </w:hyperlink>
        </w:p>
        <w:p>
          <w:pPr>
            <w:pStyle w:val="Contents3"/>
            <w:tabs>
              <w:tab w:val="clear" w:pos="8459"/>
              <w:tab w:val="right" w:pos="9026" w:leader="dot"/>
            </w:tabs>
            <w:rPr/>
          </w:pPr>
          <w:hyperlink w:anchor="__RefHeading___Toc4628904_2142443653">
            <w:r>
              <w:rPr>
                <w:webHidden/>
                <w:rStyle w:val="IndexLink"/>
                <w:rtl w:val="true"/>
              </w:rPr>
              <w:t>المقام الثاني</w:t>
            </w:r>
            <w:r>
              <w:rPr>
                <w:rStyle w:val="IndexLink"/>
                <w:rtl w:val="true"/>
              </w:rPr>
              <w:t xml:space="preserve">: </w:t>
            </w:r>
            <w:r>
              <w:rPr>
                <w:rStyle w:val="IndexLink"/>
                <w:rtl w:val="true"/>
              </w:rPr>
              <w:t>في مقتضى الأدلّة إثباتاً بعد فرض إمكانه</w:t>
            </w:r>
            <w:r>
              <w:rPr>
                <w:rStyle w:val="IndexLink"/>
                <w:rtl w:val="true"/>
              </w:rPr>
              <w:tab/>
            </w:r>
            <w:r>
              <w:rPr>
                <w:rStyle w:val="IndexLink"/>
              </w:rPr>
              <w:t>161</w:t>
            </w:r>
          </w:hyperlink>
        </w:p>
        <w:p>
          <w:pPr>
            <w:pStyle w:val="Contents3"/>
            <w:tabs>
              <w:tab w:val="clear" w:pos="8459"/>
              <w:tab w:val="right" w:pos="9026" w:leader="dot"/>
            </w:tabs>
            <w:rPr/>
          </w:pPr>
          <w:hyperlink w:anchor="__RefHeading___Toc4628906_2142443653">
            <w:r>
              <w:rPr>
                <w:webHidden/>
                <w:rStyle w:val="IndexLink"/>
                <w:rtl w:val="true"/>
              </w:rPr>
              <w:t>المقام الثالث</w:t>
            </w:r>
            <w:r>
              <w:rPr>
                <w:rStyle w:val="IndexLink"/>
                <w:rtl w:val="true"/>
              </w:rPr>
              <w:t xml:space="preserve">: </w:t>
            </w:r>
            <w:r>
              <w:rPr>
                <w:rStyle w:val="IndexLink"/>
                <w:rtl w:val="true"/>
              </w:rPr>
              <w:t>في استصحاب الجواز عند الشكّ في بقائه</w:t>
            </w:r>
            <w:r>
              <w:rPr>
                <w:rStyle w:val="IndexLink"/>
                <w:rtl w:val="true"/>
              </w:rPr>
              <w:tab/>
            </w:r>
            <w:r>
              <w:rPr>
                <w:rStyle w:val="IndexLink"/>
              </w:rPr>
              <w:t>162</w:t>
            </w:r>
          </w:hyperlink>
        </w:p>
        <w:p>
          <w:pPr>
            <w:pStyle w:val="Contents2"/>
            <w:tabs>
              <w:tab w:val="clear" w:pos="8743"/>
              <w:tab w:val="right" w:pos="9026" w:leader="dot"/>
            </w:tabs>
            <w:rPr/>
          </w:pPr>
          <w:hyperlink w:anchor="__RefHeading___Toc4628908_2142443653">
            <w:r>
              <w:rPr>
                <w:webHidden/>
                <w:rStyle w:val="IndexLink"/>
                <w:rtl w:val="true"/>
              </w:rPr>
              <w:t>الفصل التاسع في الواجب التخييري</w:t>
            </w:r>
            <w:r>
              <w:rPr>
                <w:rStyle w:val="IndexLink"/>
                <w:rtl w:val="true"/>
              </w:rPr>
              <w:tab/>
            </w:r>
            <w:r>
              <w:rPr>
                <w:rStyle w:val="IndexLink"/>
              </w:rPr>
              <w:t>164</w:t>
            </w:r>
          </w:hyperlink>
        </w:p>
        <w:p>
          <w:pPr>
            <w:pStyle w:val="Contents3"/>
            <w:tabs>
              <w:tab w:val="clear" w:pos="8459"/>
              <w:tab w:val="right" w:pos="9026" w:leader="dot"/>
            </w:tabs>
            <w:rPr/>
          </w:pPr>
          <w:hyperlink w:anchor="__RefHeading___Toc4628910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4628912_2142443653">
            <w:r>
              <w:rPr>
                <w:webHidden/>
                <w:rStyle w:val="IndexLink"/>
                <w:rtl w:val="true"/>
              </w:rPr>
              <w:t xml:space="preserve">تنبيه </w:t>
            </w:r>
            <w:r>
              <w:rPr>
                <w:rStyle w:val="IndexLink"/>
                <w:rtl w:val="true"/>
              </w:rPr>
              <w:t xml:space="preserve">: </w:t>
            </w:r>
            <w:r>
              <w:rPr>
                <w:rStyle w:val="IndexLink"/>
                <w:rtl w:val="true"/>
              </w:rPr>
              <w:t>في التخيير بين الأقلّ والأكثر</w:t>
            </w:r>
            <w:r>
              <w:rPr>
                <w:rStyle w:val="IndexLink"/>
                <w:rtl w:val="true"/>
              </w:rPr>
              <w:tab/>
            </w:r>
            <w:r>
              <w:rPr>
                <w:rStyle w:val="IndexLink"/>
              </w:rPr>
              <w:t>167</w:t>
            </w:r>
          </w:hyperlink>
        </w:p>
        <w:p>
          <w:pPr>
            <w:pStyle w:val="Contents4"/>
            <w:tabs>
              <w:tab w:val="clear" w:pos="8176"/>
              <w:tab w:val="right" w:pos="9026" w:leader="dot"/>
            </w:tabs>
            <w:rPr/>
          </w:pPr>
          <w:hyperlink w:anchor="__RefHeading___Toc4628914_2142443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4628916_2142443653">
            <w:r>
              <w:rPr>
                <w:webHidden/>
                <w:rStyle w:val="IndexLink"/>
                <w:rtl w:val="true"/>
              </w:rPr>
              <w:t>التخيير بين الأقلّ والأكثر في التدريجيات</w:t>
            </w:r>
            <w:r>
              <w:rPr>
                <w:rStyle w:val="IndexLink"/>
                <w:rtl w:val="true"/>
              </w:rPr>
              <w:tab/>
            </w:r>
            <w:r>
              <w:rPr>
                <w:rStyle w:val="IndexLink"/>
              </w:rPr>
              <w:t>167</w:t>
            </w:r>
          </w:hyperlink>
        </w:p>
        <w:p>
          <w:pPr>
            <w:pStyle w:val="Contents4"/>
            <w:tabs>
              <w:tab w:val="clear" w:pos="8176"/>
              <w:tab w:val="right" w:pos="9026" w:leader="dot"/>
            </w:tabs>
            <w:rPr/>
          </w:pPr>
          <w:hyperlink w:anchor="__RefHeading___Toc4628918_2142443653">
            <w:r>
              <w:rPr>
                <w:webHidden/>
                <w:rStyle w:val="IndexLink"/>
                <w:rtl w:val="true"/>
              </w:rPr>
              <w:t>التخيير بين الأقلّ والأكثر في الدفعيات</w:t>
            </w:r>
            <w:r>
              <w:rPr>
                <w:rStyle w:val="IndexLink"/>
                <w:rtl w:val="true"/>
              </w:rPr>
              <w:tab/>
            </w:r>
            <w:r>
              <w:rPr>
                <w:rStyle w:val="IndexLink"/>
              </w:rPr>
              <w:t>169</w:t>
            </w:r>
          </w:hyperlink>
        </w:p>
        <w:p>
          <w:pPr>
            <w:pStyle w:val="Contents2"/>
            <w:tabs>
              <w:tab w:val="clear" w:pos="8743"/>
              <w:tab w:val="right" w:pos="9026" w:leader="dot"/>
            </w:tabs>
            <w:rPr/>
          </w:pPr>
          <w:hyperlink w:anchor="__RefHeading___Toc4628920_2142443653">
            <w:r>
              <w:rPr>
                <w:webHidden/>
                <w:rStyle w:val="IndexLink"/>
                <w:rtl w:val="true"/>
              </w:rPr>
              <w:t>الفصل العاشر في الواجب العيني والكفائي</w:t>
            </w:r>
            <w:r>
              <w:rPr>
                <w:rStyle w:val="IndexLink"/>
                <w:rtl w:val="true"/>
              </w:rPr>
              <w:tab/>
            </w:r>
            <w:r>
              <w:rPr>
                <w:rStyle w:val="IndexLink"/>
              </w:rPr>
              <w:t>171</w:t>
            </w:r>
          </w:hyperlink>
        </w:p>
        <w:p>
          <w:pPr>
            <w:pStyle w:val="Contents2"/>
            <w:tabs>
              <w:tab w:val="clear" w:pos="8743"/>
              <w:tab w:val="right" w:pos="9026" w:leader="dot"/>
            </w:tabs>
            <w:rPr/>
          </w:pPr>
          <w:hyperlink w:anchor="__RefHeading___Toc4628922_2142443653">
            <w:r>
              <w:rPr>
                <w:webHidden/>
                <w:rStyle w:val="IndexLink"/>
                <w:rtl w:val="true"/>
              </w:rPr>
              <w:t>الفصل الحادي عشر في الواجب المطلق والموقّت</w:t>
            </w:r>
            <w:r>
              <w:rPr>
                <w:rStyle w:val="IndexLink"/>
                <w:rtl w:val="true"/>
              </w:rPr>
              <w:tab/>
            </w:r>
            <w:r>
              <w:rPr>
                <w:rStyle w:val="IndexLink"/>
              </w:rPr>
              <w:t>174</w:t>
            </w:r>
          </w:hyperlink>
        </w:p>
        <w:p>
          <w:pPr>
            <w:pStyle w:val="Contents3"/>
            <w:tabs>
              <w:tab w:val="clear" w:pos="8459"/>
              <w:tab w:val="right" w:pos="9026" w:leader="dot"/>
            </w:tabs>
            <w:rPr/>
          </w:pPr>
          <w:hyperlink w:anchor="__RefHeading___Toc4628924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4628926_2142443653">
            <w:r>
              <w:rPr>
                <w:webHidden/>
                <w:rStyle w:val="IndexLink"/>
                <w:rtl w:val="true"/>
              </w:rPr>
              <w:t>تتميم</w:t>
            </w:r>
            <w:r>
              <w:rPr>
                <w:rStyle w:val="IndexLink"/>
                <w:rtl w:val="true"/>
              </w:rPr>
              <w:t xml:space="preserve">: </w:t>
            </w:r>
            <w:r>
              <w:rPr>
                <w:rStyle w:val="IndexLink"/>
                <w:rtl w:val="true"/>
              </w:rPr>
              <w:t>في عدم كون القضاء بالأمر الأوّل</w:t>
            </w:r>
            <w:r>
              <w:rPr>
                <w:rStyle w:val="IndexLink"/>
                <w:rtl w:val="true"/>
              </w:rPr>
              <w:tab/>
            </w:r>
            <w:r>
              <w:rPr>
                <w:rStyle w:val="IndexLink"/>
              </w:rPr>
              <w:t>175</w:t>
            </w:r>
          </w:hyperlink>
        </w:p>
        <w:p>
          <w:pPr>
            <w:pStyle w:val="Contents2"/>
            <w:tabs>
              <w:tab w:val="clear" w:pos="8743"/>
              <w:tab w:val="right" w:pos="9026" w:leader="dot"/>
            </w:tabs>
            <w:rPr/>
          </w:pPr>
          <w:hyperlink w:anchor="__RefHeading___Toc4628928_2142443653">
            <w:r>
              <w:rPr>
                <w:webHidden/>
                <w:rStyle w:val="IndexLink"/>
                <w:rtl w:val="true"/>
              </w:rPr>
              <w:t>المقصد الثاني في النواهي وفيه فصول</w:t>
            </w:r>
            <w:r>
              <w:rPr>
                <w:rStyle w:val="IndexLink"/>
                <w:rtl w:val="true"/>
              </w:rPr>
              <w:t>:</w:t>
              <w:tab/>
            </w:r>
            <w:r>
              <w:rPr>
                <w:rStyle w:val="IndexLink"/>
              </w:rPr>
              <w:t>179</w:t>
            </w:r>
          </w:hyperlink>
        </w:p>
        <w:p>
          <w:pPr>
            <w:pStyle w:val="Contents3"/>
            <w:tabs>
              <w:tab w:val="clear" w:pos="8459"/>
              <w:tab w:val="right" w:pos="9026" w:leader="dot"/>
            </w:tabs>
            <w:rPr/>
          </w:pPr>
          <w:hyperlink w:anchor="__RefHeading___Toc4628930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4628932_2142443653">
            <w:r>
              <w:rPr>
                <w:webHidden/>
                <w:rStyle w:val="IndexLink"/>
                <w:rtl w:val="true"/>
              </w:rPr>
              <w:t>الفصل الأوّل في مفاد هيئة النهي</w:t>
            </w:r>
            <w:r>
              <w:rPr>
                <w:rStyle w:val="IndexLink"/>
                <w:rtl w:val="true"/>
              </w:rPr>
              <w:tab/>
            </w:r>
            <w:r>
              <w:rPr>
                <w:rStyle w:val="IndexLink"/>
              </w:rPr>
              <w:t>181</w:t>
            </w:r>
          </w:hyperlink>
        </w:p>
        <w:p>
          <w:pPr>
            <w:pStyle w:val="Contents4"/>
            <w:tabs>
              <w:tab w:val="clear" w:pos="8176"/>
              <w:tab w:val="right" w:pos="9026" w:leader="dot"/>
            </w:tabs>
            <w:rPr/>
          </w:pPr>
          <w:hyperlink w:anchor="__RefHeading___Toc4628934_2142443653">
            <w:r>
              <w:rPr>
                <w:webHidden/>
                <w:rStyle w:val="IndexLink"/>
                <w:rtl w:val="true"/>
              </w:rPr>
              <w:t>متعلّق الطلب في النهي</w:t>
            </w:r>
            <w:r>
              <w:rPr>
                <w:rStyle w:val="IndexLink"/>
                <w:rtl w:val="true"/>
              </w:rPr>
              <w:tab/>
            </w:r>
            <w:r>
              <w:rPr>
                <w:rStyle w:val="IndexLink"/>
              </w:rPr>
              <w:t>181</w:t>
            </w:r>
          </w:hyperlink>
        </w:p>
        <w:p>
          <w:pPr>
            <w:pStyle w:val="Contents4"/>
            <w:tabs>
              <w:tab w:val="clear" w:pos="8176"/>
              <w:tab w:val="right" w:pos="9026" w:leader="dot"/>
            </w:tabs>
            <w:rPr/>
          </w:pPr>
          <w:hyperlink w:anchor="__RefHeading___Toc4628936_2142443653">
            <w:r>
              <w:rPr>
                <w:webHidden/>
                <w:rStyle w:val="IndexLink"/>
                <w:rtl w:val="true"/>
              </w:rPr>
              <w:t>دلالة النهي على التكرار</w:t>
            </w:r>
            <w:r>
              <w:rPr>
                <w:rStyle w:val="IndexLink"/>
                <w:rtl w:val="true"/>
              </w:rPr>
              <w:tab/>
            </w:r>
            <w:r>
              <w:rPr>
                <w:rStyle w:val="IndexLink"/>
              </w:rPr>
              <w:t>182</w:t>
            </w:r>
          </w:hyperlink>
        </w:p>
        <w:p>
          <w:pPr>
            <w:pStyle w:val="Contents3"/>
            <w:tabs>
              <w:tab w:val="clear" w:pos="8459"/>
              <w:tab w:val="right" w:pos="9026" w:leader="dot"/>
            </w:tabs>
            <w:rPr/>
          </w:pPr>
          <w:hyperlink w:anchor="__RefHeading___Toc4628938_2142443653">
            <w:r>
              <w:rPr>
                <w:webHidden/>
                <w:rStyle w:val="IndexLink"/>
                <w:rtl w:val="true"/>
              </w:rPr>
              <w:t>الفصل الثاني في جواز اجتماع الأمر والنهي</w:t>
            </w:r>
            <w:r>
              <w:rPr>
                <w:rStyle w:val="IndexLink"/>
                <w:rtl w:val="true"/>
              </w:rPr>
              <w:tab/>
            </w:r>
            <w:r>
              <w:rPr>
                <w:rStyle w:val="IndexLink"/>
              </w:rPr>
              <w:t>186</w:t>
            </w:r>
          </w:hyperlink>
        </w:p>
        <w:p>
          <w:pPr>
            <w:pStyle w:val="Contents4"/>
            <w:tabs>
              <w:tab w:val="clear" w:pos="8176"/>
              <w:tab w:val="right" w:pos="9026" w:leader="dot"/>
            </w:tabs>
            <w:rPr/>
          </w:pPr>
          <w:hyperlink w:anchor="__RefHeading___Toc4628940_2142443653">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4628942_2142443653">
            <w:r>
              <w:rPr>
                <w:webHidden/>
                <w:rStyle w:val="IndexLink"/>
                <w:rtl w:val="true"/>
              </w:rPr>
              <w:t>الأمر الأوّل</w:t>
            </w:r>
            <w:r>
              <w:rPr>
                <w:rStyle w:val="IndexLink"/>
                <w:rtl w:val="true"/>
              </w:rPr>
              <w:t xml:space="preserve">: </w:t>
            </w:r>
            <w:r>
              <w:rPr>
                <w:rStyle w:val="IndexLink"/>
                <w:rtl w:val="true"/>
              </w:rPr>
              <w:t>في تحرير محلّ النزاع</w:t>
            </w:r>
            <w:r>
              <w:rPr>
                <w:rStyle w:val="IndexLink"/>
                <w:rtl w:val="true"/>
              </w:rPr>
              <w:tab/>
            </w:r>
            <w:r>
              <w:rPr>
                <w:rStyle w:val="IndexLink"/>
              </w:rPr>
              <w:t>186</w:t>
            </w:r>
          </w:hyperlink>
        </w:p>
        <w:p>
          <w:pPr>
            <w:pStyle w:val="Contents4"/>
            <w:tabs>
              <w:tab w:val="clear" w:pos="8176"/>
              <w:tab w:val="right" w:pos="9026" w:leader="dot"/>
            </w:tabs>
            <w:rPr/>
          </w:pPr>
          <w:hyperlink w:anchor="__RefHeading___Toc4628944_2142443653">
            <w:r>
              <w:rPr>
                <w:webHidden/>
                <w:rStyle w:val="IndexLink"/>
                <w:rtl w:val="true"/>
              </w:rPr>
              <w:t>الأمر الثاني</w:t>
            </w:r>
            <w:r>
              <w:rPr>
                <w:rStyle w:val="IndexLink"/>
                <w:rtl w:val="true"/>
              </w:rPr>
              <w:t xml:space="preserve">: </w:t>
            </w:r>
            <w:r>
              <w:rPr>
                <w:rStyle w:val="IndexLink"/>
                <w:rtl w:val="true"/>
              </w:rPr>
              <w:t>في الفرق بين المقام وبين النهي في العبادة</w:t>
            </w:r>
            <w:r>
              <w:rPr>
                <w:rStyle w:val="IndexLink"/>
                <w:rtl w:val="true"/>
              </w:rPr>
              <w:tab/>
            </w:r>
            <w:r>
              <w:rPr>
                <w:rStyle w:val="IndexLink"/>
              </w:rPr>
              <w:t>187</w:t>
            </w:r>
          </w:hyperlink>
        </w:p>
        <w:p>
          <w:pPr>
            <w:pStyle w:val="Contents4"/>
            <w:tabs>
              <w:tab w:val="clear" w:pos="8176"/>
              <w:tab w:val="right" w:pos="9026" w:leader="dot"/>
            </w:tabs>
            <w:rPr/>
          </w:pPr>
          <w:hyperlink w:anchor="__RefHeading___Toc4628946_2142443653">
            <w:r>
              <w:rPr>
                <w:webHidden/>
                <w:rStyle w:val="IndexLink"/>
                <w:rtl w:val="true"/>
              </w:rPr>
              <w:t>الأمر الثالث</w:t>
            </w:r>
            <w:r>
              <w:rPr>
                <w:rStyle w:val="IndexLink"/>
                <w:rtl w:val="true"/>
              </w:rPr>
              <w:t xml:space="preserve">: </w:t>
            </w:r>
            <w:r>
              <w:rPr>
                <w:rStyle w:val="IndexLink"/>
                <w:rtl w:val="true"/>
              </w:rPr>
              <w:t>في اُصولية مسألة جواز الاجتماع</w:t>
            </w:r>
            <w:r>
              <w:rPr>
                <w:rStyle w:val="IndexLink"/>
                <w:rtl w:val="true"/>
              </w:rPr>
              <w:tab/>
            </w:r>
            <w:r>
              <w:rPr>
                <w:rStyle w:val="IndexLink"/>
              </w:rPr>
              <w:t>188</w:t>
            </w:r>
          </w:hyperlink>
        </w:p>
        <w:p>
          <w:pPr>
            <w:pStyle w:val="Contents4"/>
            <w:tabs>
              <w:tab w:val="clear" w:pos="8176"/>
              <w:tab w:val="right" w:pos="9026" w:leader="dot"/>
            </w:tabs>
            <w:rPr/>
          </w:pPr>
          <w:hyperlink w:anchor="__RefHeading___Toc4628948_2142443653">
            <w:r>
              <w:rPr>
                <w:webHidden/>
                <w:rStyle w:val="IndexLink"/>
                <w:rtl w:val="true"/>
              </w:rPr>
              <w:t>الأمر الرابع</w:t>
            </w:r>
            <w:r>
              <w:rPr>
                <w:rStyle w:val="IndexLink"/>
                <w:rtl w:val="true"/>
              </w:rPr>
              <w:t xml:space="preserve">: </w:t>
            </w:r>
            <w:r>
              <w:rPr>
                <w:rStyle w:val="IndexLink"/>
                <w:rtl w:val="true"/>
              </w:rPr>
              <w:t>في اعتبار قيد المندوحة</w:t>
            </w:r>
            <w:r>
              <w:rPr>
                <w:rStyle w:val="IndexLink"/>
                <w:rtl w:val="true"/>
              </w:rPr>
              <w:tab/>
            </w:r>
            <w:r>
              <w:rPr>
                <w:rStyle w:val="IndexLink"/>
              </w:rPr>
              <w:t>189</w:t>
            </w:r>
          </w:hyperlink>
        </w:p>
        <w:p>
          <w:pPr>
            <w:pStyle w:val="Contents4"/>
            <w:tabs>
              <w:tab w:val="clear" w:pos="8176"/>
              <w:tab w:val="right" w:pos="9026" w:leader="dot"/>
            </w:tabs>
            <w:rPr/>
          </w:pPr>
          <w:hyperlink w:anchor="__RefHeading___Toc4628950_2142443653">
            <w:r>
              <w:rPr>
                <w:webHidden/>
                <w:rStyle w:val="IndexLink"/>
                <w:rtl w:val="true"/>
              </w:rPr>
              <w:t>الأمر الخامس</w:t>
            </w:r>
            <w:r>
              <w:rPr>
                <w:rStyle w:val="IndexLink"/>
                <w:rtl w:val="true"/>
              </w:rPr>
              <w:t xml:space="preserve">: </w:t>
            </w:r>
            <w:r>
              <w:rPr>
                <w:rStyle w:val="IndexLink"/>
                <w:rtl w:val="true"/>
              </w:rPr>
              <w:t>في عدم ابتناء النزاع على تعلّق الأحكام بالطبائع</w:t>
            </w:r>
            <w:r>
              <w:rPr>
                <w:rStyle w:val="IndexLink"/>
                <w:rtl w:val="true"/>
              </w:rPr>
              <w:tab/>
            </w:r>
            <w:r>
              <w:rPr>
                <w:rStyle w:val="IndexLink"/>
              </w:rPr>
              <w:t>191</w:t>
            </w:r>
          </w:hyperlink>
        </w:p>
        <w:p>
          <w:pPr>
            <w:pStyle w:val="Contents4"/>
            <w:tabs>
              <w:tab w:val="clear" w:pos="8176"/>
              <w:tab w:val="right" w:pos="9026" w:leader="dot"/>
            </w:tabs>
            <w:rPr/>
          </w:pPr>
          <w:hyperlink w:anchor="__RefHeading___Toc4628952_2142443653">
            <w:r>
              <w:rPr>
                <w:webHidden/>
                <w:rStyle w:val="IndexLink"/>
                <w:rtl w:val="true"/>
              </w:rPr>
              <w:t>الأمر السادس</w:t>
            </w:r>
            <w:r>
              <w:rPr>
                <w:rStyle w:val="IndexLink"/>
                <w:rtl w:val="true"/>
              </w:rPr>
              <w:t xml:space="preserve">: </w:t>
            </w:r>
            <w:r>
              <w:rPr>
                <w:rStyle w:val="IndexLink"/>
                <w:rtl w:val="true"/>
              </w:rPr>
              <w:t>في عدم ابتناء النزاع على إحراز المناط</w:t>
            </w:r>
            <w:r>
              <w:rPr>
                <w:rStyle w:val="IndexLink"/>
                <w:rtl w:val="true"/>
              </w:rPr>
              <w:tab/>
            </w:r>
            <w:r>
              <w:rPr>
                <w:rStyle w:val="IndexLink"/>
              </w:rPr>
              <w:t>192</w:t>
            </w:r>
          </w:hyperlink>
        </w:p>
        <w:p>
          <w:pPr>
            <w:pStyle w:val="Contents4"/>
            <w:tabs>
              <w:tab w:val="clear" w:pos="8176"/>
              <w:tab w:val="right" w:pos="9026" w:leader="dot"/>
            </w:tabs>
            <w:rPr/>
          </w:pPr>
          <w:hyperlink w:anchor="__RefHeading___Toc4628954_2142443653">
            <w:r>
              <w:rPr>
                <w:webHidden/>
                <w:rStyle w:val="IndexLink"/>
                <w:rtl w:val="true"/>
              </w:rPr>
              <w:t>الأمر السابع</w:t>
            </w:r>
            <w:r>
              <w:rPr>
                <w:rStyle w:val="IndexLink"/>
                <w:rtl w:val="true"/>
              </w:rPr>
              <w:t xml:space="preserve">: </w:t>
            </w:r>
            <w:r>
              <w:rPr>
                <w:rStyle w:val="IndexLink"/>
                <w:rtl w:val="true"/>
              </w:rPr>
              <w:t>في ثمرة النزاع على القول بالجواز</w:t>
            </w:r>
            <w:r>
              <w:rPr>
                <w:rStyle w:val="IndexLink"/>
                <w:rtl w:val="true"/>
              </w:rPr>
              <w:tab/>
            </w:r>
            <w:r>
              <w:rPr>
                <w:rStyle w:val="IndexLink"/>
              </w:rPr>
              <w:t>194</w:t>
            </w:r>
          </w:hyperlink>
        </w:p>
        <w:p>
          <w:pPr>
            <w:pStyle w:val="Contents4"/>
            <w:tabs>
              <w:tab w:val="clear" w:pos="8176"/>
              <w:tab w:val="right" w:pos="9026" w:leader="dot"/>
            </w:tabs>
            <w:rPr/>
          </w:pPr>
          <w:hyperlink w:anchor="__RefHeading___Toc4628956_2142443653">
            <w:r>
              <w:rPr>
                <w:webHidden/>
                <w:rStyle w:val="IndexLink"/>
                <w:rtl w:val="true"/>
              </w:rPr>
              <w:t>الأمر الثامن</w:t>
            </w:r>
            <w:r>
              <w:rPr>
                <w:rStyle w:val="IndexLink"/>
                <w:rtl w:val="true"/>
              </w:rPr>
              <w:t xml:space="preserve">: </w:t>
            </w:r>
            <w:r>
              <w:rPr>
                <w:rStyle w:val="IndexLink"/>
                <w:rtl w:val="true"/>
              </w:rPr>
              <w:t>في ثمرة النزاع على القول بالامتناع</w:t>
            </w:r>
            <w:r>
              <w:rPr>
                <w:rStyle w:val="IndexLink"/>
                <w:rtl w:val="true"/>
              </w:rPr>
              <w:tab/>
            </w:r>
            <w:r>
              <w:rPr>
                <w:rStyle w:val="IndexLink"/>
              </w:rPr>
              <w:t>198</w:t>
            </w:r>
          </w:hyperlink>
        </w:p>
        <w:p>
          <w:pPr>
            <w:pStyle w:val="Contents4"/>
            <w:tabs>
              <w:tab w:val="clear" w:pos="8176"/>
              <w:tab w:val="right" w:pos="9026" w:leader="dot"/>
            </w:tabs>
            <w:rPr/>
          </w:pPr>
          <w:hyperlink w:anchor="__RefHeading___Toc4628958_2142443653">
            <w:r>
              <w:rPr>
                <w:webHidden/>
                <w:rStyle w:val="IndexLink"/>
                <w:rtl w:val="true"/>
              </w:rPr>
              <w:t>الأمر التاسع</w:t>
            </w:r>
            <w:r>
              <w:rPr>
                <w:rStyle w:val="IndexLink"/>
                <w:rtl w:val="true"/>
              </w:rPr>
              <w:t xml:space="preserve">: </w:t>
            </w:r>
            <w:r>
              <w:rPr>
                <w:rStyle w:val="IndexLink"/>
                <w:rtl w:val="true"/>
              </w:rPr>
              <w:t>في شروط جريان النزاع في المقام</w:t>
            </w:r>
            <w:r>
              <w:rPr>
                <w:rStyle w:val="IndexLink"/>
                <w:rtl w:val="true"/>
              </w:rPr>
              <w:tab/>
            </w:r>
            <w:r>
              <w:rPr>
                <w:rStyle w:val="IndexLink"/>
              </w:rPr>
              <w:t>201</w:t>
            </w:r>
          </w:hyperlink>
        </w:p>
        <w:p>
          <w:pPr>
            <w:pStyle w:val="Contents4"/>
            <w:tabs>
              <w:tab w:val="clear" w:pos="8176"/>
              <w:tab w:val="right" w:pos="9026" w:leader="dot"/>
            </w:tabs>
            <w:rPr/>
          </w:pPr>
          <w:hyperlink w:anchor="__RefHeading___Toc4628960_2142443653">
            <w:r>
              <w:rPr>
                <w:webHidden/>
                <w:rStyle w:val="IndexLink"/>
                <w:rtl w:val="true"/>
              </w:rPr>
              <w:t>مقتضى التحقيق هو القول بجواز الاجتماع</w:t>
            </w:r>
            <w:r>
              <w:rPr>
                <w:rStyle w:val="IndexLink"/>
                <w:rtl w:val="true"/>
              </w:rPr>
              <w:tab/>
            </w:r>
            <w:r>
              <w:rPr>
                <w:rStyle w:val="IndexLink"/>
              </w:rPr>
              <w:t>203</w:t>
            </w:r>
          </w:hyperlink>
        </w:p>
        <w:p>
          <w:pPr>
            <w:pStyle w:val="Contents5"/>
            <w:tabs>
              <w:tab w:val="clear" w:pos="7892"/>
              <w:tab w:val="right" w:pos="9026" w:leader="dot"/>
            </w:tabs>
            <w:rPr/>
          </w:pPr>
          <w:hyperlink w:anchor="__RefHeading___Toc4628962_2142443653">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628964_2142443653">
            <w:r>
              <w:rPr>
                <w:webHidden/>
                <w:rStyle w:val="IndexLink"/>
                <w:rtl w:val="true"/>
              </w:rPr>
              <w:t>دفع الإشكالات الواردة على القول بالجواز</w:t>
            </w:r>
            <w:r>
              <w:rPr>
                <w:rStyle w:val="IndexLink"/>
                <w:rtl w:val="true"/>
              </w:rPr>
              <w:tab/>
            </w:r>
            <w:r>
              <w:rPr>
                <w:rStyle w:val="IndexLink"/>
              </w:rPr>
              <w:t>207</w:t>
            </w:r>
          </w:hyperlink>
        </w:p>
        <w:p>
          <w:pPr>
            <w:pStyle w:val="Contents5"/>
            <w:tabs>
              <w:tab w:val="clear" w:pos="7892"/>
              <w:tab w:val="right" w:pos="9026" w:leader="dot"/>
            </w:tabs>
            <w:rPr/>
          </w:pPr>
          <w:hyperlink w:anchor="__RefHeading___Toc4628966_2142443653">
            <w:r>
              <w:rPr>
                <w:webHidden/>
                <w:rStyle w:val="IndexLink"/>
                <w:rtl w:val="true"/>
              </w:rPr>
              <w:t xml:space="preserve">تنبيه </w:t>
            </w:r>
            <w:r>
              <w:rPr>
                <w:rStyle w:val="IndexLink"/>
                <w:rtl w:val="true"/>
              </w:rPr>
              <w:t xml:space="preserve">: </w:t>
            </w:r>
            <w:r>
              <w:rPr>
                <w:rStyle w:val="IndexLink"/>
                <w:rtl w:val="true"/>
              </w:rPr>
              <w:t>في التضادّ بين الأحكام الخمسة</w:t>
            </w:r>
            <w:r>
              <w:rPr>
                <w:rStyle w:val="IndexLink"/>
                <w:rtl w:val="true"/>
              </w:rPr>
              <w:tab/>
            </w:r>
            <w:r>
              <w:rPr>
                <w:rStyle w:val="IndexLink"/>
              </w:rPr>
              <w:t>211</w:t>
            </w:r>
          </w:hyperlink>
        </w:p>
        <w:p>
          <w:pPr>
            <w:pStyle w:val="Contents5"/>
            <w:tabs>
              <w:tab w:val="clear" w:pos="7892"/>
              <w:tab w:val="right" w:pos="9026" w:leader="dot"/>
            </w:tabs>
            <w:rPr/>
          </w:pPr>
          <w:hyperlink w:anchor="__RefHeading___Toc4628968_2142443653">
            <w:r>
              <w:rPr>
                <w:webHidden/>
                <w:rStyle w:val="IndexLink"/>
                <w:rtl w:val="true"/>
              </w:rPr>
              <w:t>استدلال المجوّزين بوقوع العبادات المكروهة</w:t>
            </w:r>
            <w:r>
              <w:rPr>
                <w:rStyle w:val="IndexLink"/>
                <w:rtl w:val="true"/>
              </w:rPr>
              <w:tab/>
            </w:r>
            <w:r>
              <w:rPr>
                <w:rStyle w:val="IndexLink"/>
              </w:rPr>
              <w:t>214</w:t>
            </w:r>
          </w:hyperlink>
        </w:p>
        <w:p>
          <w:pPr>
            <w:pStyle w:val="Contents5"/>
            <w:tabs>
              <w:tab w:val="clear" w:pos="7892"/>
              <w:tab w:val="right" w:pos="9026" w:leader="dot"/>
            </w:tabs>
            <w:rPr/>
          </w:pPr>
          <w:hyperlink w:anchor="__RefHeading___Toc4628970_2142443653">
            <w:r>
              <w:rPr>
                <w:webHidden/>
                <w:rStyle w:val="IndexLink"/>
                <w:rtl w:val="true"/>
              </w:rPr>
              <w:t>كيفية العبادات المكروهة</w:t>
            </w:r>
            <w:r>
              <w:rPr>
                <w:rStyle w:val="IndexLink"/>
                <w:rtl w:val="true"/>
              </w:rPr>
              <w:tab/>
            </w:r>
            <w:r>
              <w:rPr>
                <w:rStyle w:val="IndexLink"/>
              </w:rPr>
              <w:t>214</w:t>
            </w:r>
          </w:hyperlink>
        </w:p>
        <w:p>
          <w:pPr>
            <w:pStyle w:val="Contents5"/>
            <w:tabs>
              <w:tab w:val="clear" w:pos="7892"/>
              <w:tab w:val="right" w:pos="9026" w:leader="dot"/>
            </w:tabs>
            <w:rPr/>
          </w:pPr>
          <w:hyperlink w:anchor="__RefHeading___Toc4628972_2142443653">
            <w:r>
              <w:rPr>
                <w:webHidden/>
                <w:rStyle w:val="IndexLink"/>
                <w:rtl w:val="true"/>
              </w:rPr>
              <w:t xml:space="preserve">تنبيه </w:t>
            </w:r>
            <w:r>
              <w:rPr>
                <w:rStyle w:val="IndexLink"/>
                <w:rtl w:val="true"/>
              </w:rPr>
              <w:t xml:space="preserve">: </w:t>
            </w:r>
            <w:r>
              <w:rPr>
                <w:rStyle w:val="IndexLink"/>
                <w:rtl w:val="true"/>
              </w:rPr>
              <w:t>في توسّط الأرض المغصوبة</w:t>
            </w:r>
            <w:r>
              <w:rPr>
                <w:rStyle w:val="IndexLink"/>
                <w:rtl w:val="true"/>
              </w:rPr>
              <w:tab/>
            </w:r>
            <w:r>
              <w:rPr>
                <w:rStyle w:val="IndexLink"/>
              </w:rPr>
              <w:t>218</w:t>
            </w:r>
          </w:hyperlink>
        </w:p>
        <w:p>
          <w:pPr>
            <w:pStyle w:val="Contents3"/>
            <w:tabs>
              <w:tab w:val="clear" w:pos="8459"/>
              <w:tab w:val="right" w:pos="9026" w:leader="dot"/>
            </w:tabs>
            <w:rPr/>
          </w:pPr>
          <w:hyperlink w:anchor="__RefHeading___Toc4628974_2142443653">
            <w:r>
              <w:rPr>
                <w:webHidden/>
                <w:rStyle w:val="IndexLink"/>
                <w:rtl w:val="true"/>
              </w:rPr>
              <w:t>الفصل الثالث في أنّ النهي عن الشيء هل يكشف عن فساده ؟</w:t>
            </w:r>
            <w:r>
              <w:rPr>
                <w:rStyle w:val="IndexLink"/>
                <w:rtl w:val="true"/>
              </w:rPr>
              <w:tab/>
            </w:r>
            <w:r>
              <w:rPr>
                <w:rStyle w:val="IndexLink"/>
              </w:rPr>
              <w:t>223</w:t>
            </w:r>
          </w:hyperlink>
        </w:p>
        <w:p>
          <w:pPr>
            <w:pStyle w:val="Contents4"/>
            <w:tabs>
              <w:tab w:val="clear" w:pos="8176"/>
              <w:tab w:val="right" w:pos="9026" w:leader="dot"/>
            </w:tabs>
            <w:rPr/>
          </w:pPr>
          <w:hyperlink w:anchor="__RefHeading___Toc4628976_2142443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4628978_2142443653">
            <w:r>
              <w:rPr>
                <w:webHidden/>
                <w:rStyle w:val="IndexLink"/>
                <w:rtl w:val="true"/>
              </w:rPr>
              <w:t>الأمر الأوّل</w:t>
            </w:r>
            <w:r>
              <w:rPr>
                <w:rStyle w:val="IndexLink"/>
                <w:rtl w:val="true"/>
              </w:rPr>
              <w:t xml:space="preserve">: </w:t>
            </w:r>
            <w:r>
              <w:rPr>
                <w:rStyle w:val="IndexLink"/>
                <w:rtl w:val="true"/>
              </w:rPr>
              <w:t>في الاختلاف في عنوان البحث</w:t>
            </w:r>
            <w:r>
              <w:rPr>
                <w:rStyle w:val="IndexLink"/>
                <w:rtl w:val="true"/>
              </w:rPr>
              <w:tab/>
            </w:r>
            <w:r>
              <w:rPr>
                <w:rStyle w:val="IndexLink"/>
              </w:rPr>
              <w:t>223</w:t>
            </w:r>
          </w:hyperlink>
        </w:p>
        <w:p>
          <w:pPr>
            <w:pStyle w:val="Contents4"/>
            <w:tabs>
              <w:tab w:val="clear" w:pos="8176"/>
              <w:tab w:val="right" w:pos="9026" w:leader="dot"/>
            </w:tabs>
            <w:rPr/>
          </w:pPr>
          <w:hyperlink w:anchor="__RefHeading___Toc4628980_2142443653">
            <w:r>
              <w:rPr>
                <w:webHidden/>
                <w:rStyle w:val="IndexLink"/>
                <w:rtl w:val="true"/>
              </w:rPr>
              <w:t>الأمر الثاني</w:t>
            </w:r>
            <w:r>
              <w:rPr>
                <w:rStyle w:val="IndexLink"/>
                <w:rtl w:val="true"/>
              </w:rPr>
              <w:t xml:space="preserve">: </w:t>
            </w:r>
            <w:r>
              <w:rPr>
                <w:rStyle w:val="IndexLink"/>
                <w:rtl w:val="true"/>
              </w:rPr>
              <w:t>في كون المسألة عقلية لفظية</w:t>
            </w:r>
            <w:r>
              <w:rPr>
                <w:rStyle w:val="IndexLink"/>
                <w:rtl w:val="true"/>
              </w:rPr>
              <w:tab/>
            </w:r>
            <w:r>
              <w:rPr>
                <w:rStyle w:val="IndexLink"/>
              </w:rPr>
              <w:t>224</w:t>
            </w:r>
          </w:hyperlink>
        </w:p>
        <w:p>
          <w:pPr>
            <w:pStyle w:val="Contents4"/>
            <w:tabs>
              <w:tab w:val="clear" w:pos="8176"/>
              <w:tab w:val="right" w:pos="9026" w:leader="dot"/>
            </w:tabs>
            <w:rPr/>
          </w:pPr>
          <w:hyperlink w:anchor="__RefHeading___Toc4628982_2142443653">
            <w:r>
              <w:rPr>
                <w:webHidden/>
                <w:rStyle w:val="IndexLink"/>
                <w:rtl w:val="true"/>
              </w:rPr>
              <w:t>الأمر الثالث</w:t>
            </w:r>
            <w:r>
              <w:rPr>
                <w:rStyle w:val="IndexLink"/>
                <w:rtl w:val="true"/>
              </w:rPr>
              <w:t xml:space="preserve">: </w:t>
            </w:r>
            <w:r>
              <w:rPr>
                <w:rStyle w:val="IndexLink"/>
                <w:rtl w:val="true"/>
              </w:rPr>
              <w:t>في تحرير محلّ النزاع</w:t>
            </w:r>
            <w:r>
              <w:rPr>
                <w:rStyle w:val="IndexLink"/>
                <w:rtl w:val="true"/>
              </w:rPr>
              <w:tab/>
            </w:r>
            <w:r>
              <w:rPr>
                <w:rStyle w:val="IndexLink"/>
              </w:rPr>
              <w:t>225</w:t>
            </w:r>
          </w:hyperlink>
        </w:p>
        <w:p>
          <w:pPr>
            <w:pStyle w:val="Contents4"/>
            <w:tabs>
              <w:tab w:val="clear" w:pos="8176"/>
              <w:tab w:val="right" w:pos="9026" w:leader="dot"/>
            </w:tabs>
            <w:rPr/>
          </w:pPr>
          <w:hyperlink w:anchor="__RefHeading___Toc4628984_2142443653">
            <w:r>
              <w:rPr>
                <w:webHidden/>
                <w:rStyle w:val="IndexLink"/>
                <w:rtl w:val="true"/>
              </w:rPr>
              <w:t>الأمر الرابع</w:t>
            </w:r>
            <w:r>
              <w:rPr>
                <w:rStyle w:val="IndexLink"/>
                <w:rtl w:val="true"/>
              </w:rPr>
              <w:t xml:space="preserve">: </w:t>
            </w:r>
            <w:r>
              <w:rPr>
                <w:rStyle w:val="IndexLink"/>
                <w:rtl w:val="true"/>
              </w:rPr>
              <w:t>في المراد من العبادات والمعاملات</w:t>
            </w:r>
            <w:r>
              <w:rPr>
                <w:rStyle w:val="IndexLink"/>
                <w:rtl w:val="true"/>
              </w:rPr>
              <w:tab/>
            </w:r>
            <w:r>
              <w:rPr>
                <w:rStyle w:val="IndexLink"/>
              </w:rPr>
              <w:t>225</w:t>
            </w:r>
          </w:hyperlink>
        </w:p>
        <w:p>
          <w:pPr>
            <w:pStyle w:val="Contents4"/>
            <w:tabs>
              <w:tab w:val="clear" w:pos="8176"/>
              <w:tab w:val="right" w:pos="9026" w:leader="dot"/>
            </w:tabs>
            <w:rPr/>
          </w:pPr>
          <w:hyperlink w:anchor="__RefHeading___Toc4628986_2142443653">
            <w:r>
              <w:rPr>
                <w:webHidden/>
                <w:rStyle w:val="IndexLink"/>
                <w:rtl w:val="true"/>
              </w:rPr>
              <w:t>الأمر الخامس</w:t>
            </w:r>
            <w:r>
              <w:rPr>
                <w:rStyle w:val="IndexLink"/>
                <w:rtl w:val="true"/>
              </w:rPr>
              <w:t xml:space="preserve">: </w:t>
            </w:r>
            <w:r>
              <w:rPr>
                <w:rStyle w:val="IndexLink"/>
                <w:rtl w:val="true"/>
              </w:rPr>
              <w:t>في مساوقة الصحّة والفساد للنقص والتمام</w:t>
            </w:r>
            <w:r>
              <w:rPr>
                <w:rStyle w:val="IndexLink"/>
                <w:rtl w:val="true"/>
              </w:rPr>
              <w:tab/>
            </w:r>
            <w:r>
              <w:rPr>
                <w:rStyle w:val="IndexLink"/>
              </w:rPr>
              <w:t>226</w:t>
            </w:r>
          </w:hyperlink>
        </w:p>
        <w:p>
          <w:pPr>
            <w:pStyle w:val="Contents5"/>
            <w:tabs>
              <w:tab w:val="clear" w:pos="7892"/>
              <w:tab w:val="right" w:pos="9026" w:leader="dot"/>
            </w:tabs>
            <w:rPr/>
          </w:pPr>
          <w:hyperlink w:anchor="__RefHeading___Toc4628988_2142443653">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4628990_2142443653">
            <w:r>
              <w:rPr>
                <w:webHidden/>
                <w:rStyle w:val="IndexLink"/>
                <w:rtl w:val="true"/>
              </w:rPr>
              <w:t>تنبيه</w:t>
            </w:r>
            <w:r>
              <w:rPr>
                <w:rStyle w:val="IndexLink"/>
                <w:rtl w:val="true"/>
              </w:rPr>
              <w:t xml:space="preserve">: </w:t>
            </w:r>
            <w:r>
              <w:rPr>
                <w:rStyle w:val="IndexLink"/>
                <w:rtl w:val="true"/>
              </w:rPr>
              <w:t>في مجعولية الصحّة والفساد</w:t>
            </w:r>
            <w:r>
              <w:rPr>
                <w:rStyle w:val="IndexLink"/>
                <w:rtl w:val="true"/>
              </w:rPr>
              <w:tab/>
            </w:r>
            <w:r>
              <w:rPr>
                <w:rStyle w:val="IndexLink"/>
              </w:rPr>
              <w:t>227</w:t>
            </w:r>
          </w:hyperlink>
        </w:p>
        <w:p>
          <w:pPr>
            <w:pStyle w:val="Contents4"/>
            <w:tabs>
              <w:tab w:val="clear" w:pos="8176"/>
              <w:tab w:val="right" w:pos="9026" w:leader="dot"/>
            </w:tabs>
            <w:rPr/>
          </w:pPr>
          <w:hyperlink w:anchor="__RefHeading___Toc4628992_2142443653">
            <w:r>
              <w:rPr>
                <w:webHidden/>
                <w:rStyle w:val="IndexLink"/>
                <w:rtl w:val="true"/>
              </w:rPr>
              <w:t>الأمر السادس</w:t>
            </w:r>
            <w:r>
              <w:rPr>
                <w:rStyle w:val="IndexLink"/>
                <w:rtl w:val="true"/>
              </w:rPr>
              <w:t xml:space="preserve">: </w:t>
            </w:r>
            <w:r>
              <w:rPr>
                <w:rStyle w:val="IndexLink"/>
                <w:rtl w:val="true"/>
              </w:rPr>
              <w:t>في تحقيق الأصل في المقام</w:t>
            </w:r>
            <w:r>
              <w:rPr>
                <w:rStyle w:val="IndexLink"/>
                <w:rtl w:val="true"/>
              </w:rPr>
              <w:tab/>
            </w:r>
            <w:r>
              <w:rPr>
                <w:rStyle w:val="IndexLink"/>
              </w:rPr>
              <w:t>228</w:t>
            </w:r>
          </w:hyperlink>
        </w:p>
        <w:p>
          <w:pPr>
            <w:pStyle w:val="Contents4"/>
            <w:tabs>
              <w:tab w:val="clear" w:pos="8176"/>
              <w:tab w:val="right" w:pos="9026" w:leader="dot"/>
            </w:tabs>
            <w:rPr/>
          </w:pPr>
          <w:hyperlink w:anchor="__RefHeading___Toc4628994_2142443653">
            <w:r>
              <w:rPr>
                <w:webHidden/>
                <w:rStyle w:val="IndexLink"/>
                <w:rtl w:val="true"/>
              </w:rPr>
              <w:t>التحقيق في دلالة النهي على الفساد</w:t>
            </w:r>
            <w:r>
              <w:rPr>
                <w:rStyle w:val="IndexLink"/>
                <w:rtl w:val="true"/>
              </w:rPr>
              <w:tab/>
            </w:r>
            <w:r>
              <w:rPr>
                <w:rStyle w:val="IndexLink"/>
              </w:rPr>
              <w:t>230</w:t>
            </w:r>
          </w:hyperlink>
        </w:p>
        <w:p>
          <w:pPr>
            <w:pStyle w:val="Contents5"/>
            <w:tabs>
              <w:tab w:val="clear" w:pos="7892"/>
              <w:tab w:val="right" w:pos="9026" w:leader="dot"/>
            </w:tabs>
            <w:rPr/>
          </w:pPr>
          <w:hyperlink w:anchor="__RefHeading___Toc4628996_2142443653">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628998_2142443653">
            <w:r>
              <w:rPr>
                <w:webHidden/>
                <w:rStyle w:val="IndexLink"/>
                <w:rtl w:val="true"/>
              </w:rPr>
              <w:t>دلالة النهي على الفساد عرفاً مع عدم إحراز حال النهي</w:t>
            </w:r>
            <w:r>
              <w:rPr>
                <w:rStyle w:val="IndexLink"/>
                <w:rtl w:val="true"/>
              </w:rPr>
              <w:tab/>
            </w:r>
            <w:r>
              <w:rPr>
                <w:rStyle w:val="IndexLink"/>
              </w:rPr>
              <w:t>230</w:t>
            </w:r>
          </w:hyperlink>
        </w:p>
        <w:p>
          <w:pPr>
            <w:pStyle w:val="Contents5"/>
            <w:tabs>
              <w:tab w:val="clear" w:pos="7892"/>
              <w:tab w:val="right" w:pos="9026" w:leader="dot"/>
            </w:tabs>
            <w:rPr/>
          </w:pPr>
          <w:hyperlink w:anchor="__RefHeading___Toc4629000_2142443653">
            <w:r>
              <w:rPr>
                <w:webHidden/>
                <w:rStyle w:val="IndexLink"/>
                <w:rtl w:val="true"/>
              </w:rPr>
              <w:t>في اقتضاء النهي الفساد عقلاً مع إحراز حال النهي</w:t>
            </w:r>
            <w:r>
              <w:rPr>
                <w:rStyle w:val="IndexLink"/>
                <w:rtl w:val="true"/>
              </w:rPr>
              <w:tab/>
            </w:r>
            <w:r>
              <w:rPr>
                <w:rStyle w:val="IndexLink"/>
              </w:rPr>
              <w:t>232</w:t>
            </w:r>
          </w:hyperlink>
        </w:p>
        <w:p>
          <w:pPr>
            <w:pStyle w:val="Contents5"/>
            <w:tabs>
              <w:tab w:val="clear" w:pos="7892"/>
              <w:tab w:val="right" w:pos="9026" w:leader="dot"/>
            </w:tabs>
            <w:rPr/>
          </w:pPr>
          <w:hyperlink w:anchor="__RefHeading___Toc4629002_2142443653">
            <w:r>
              <w:rPr>
                <w:webHidden/>
                <w:rStyle w:val="IndexLink"/>
                <w:rtl w:val="true"/>
              </w:rPr>
              <w:t>في التمسّك بالروايات على فساد المعاملة المنهيّ عنها</w:t>
            </w:r>
            <w:r>
              <w:rPr>
                <w:rStyle w:val="IndexLink"/>
                <w:rtl w:val="true"/>
              </w:rPr>
              <w:tab/>
            </w:r>
            <w:r>
              <w:rPr>
                <w:rStyle w:val="IndexLink"/>
              </w:rPr>
              <w:t>236</w:t>
            </w:r>
          </w:hyperlink>
        </w:p>
        <w:p>
          <w:pPr>
            <w:pStyle w:val="Contents5"/>
            <w:tabs>
              <w:tab w:val="clear" w:pos="7892"/>
              <w:tab w:val="right" w:pos="9026" w:leader="dot"/>
            </w:tabs>
            <w:rPr/>
          </w:pPr>
          <w:hyperlink w:anchor="__RefHeading___Toc4629004_2142443653">
            <w:r>
              <w:rPr>
                <w:webHidden/>
                <w:rStyle w:val="IndexLink"/>
                <w:rtl w:val="true"/>
              </w:rPr>
              <w:t>تذنيب</w:t>
            </w:r>
            <w:r>
              <w:rPr>
                <w:rStyle w:val="IndexLink"/>
                <w:rtl w:val="true"/>
              </w:rPr>
              <w:t xml:space="preserve">: </w:t>
            </w:r>
            <w:r>
              <w:rPr>
                <w:rStyle w:val="IndexLink"/>
                <w:rtl w:val="true"/>
              </w:rPr>
              <w:t>في دعوى دلالة النهي على الصحّة</w:t>
            </w:r>
            <w:r>
              <w:rPr>
                <w:rStyle w:val="IndexLink"/>
                <w:rtl w:val="true"/>
              </w:rPr>
              <w:tab/>
            </w:r>
            <w:r>
              <w:rPr>
                <w:rStyle w:val="IndexLink"/>
              </w:rPr>
              <w:t>238</w:t>
            </w:r>
          </w:hyperlink>
        </w:p>
        <w:p>
          <w:pPr>
            <w:pStyle w:val="Contents5"/>
            <w:tabs>
              <w:tab w:val="clear" w:pos="7892"/>
              <w:tab w:val="right" w:pos="9026" w:leader="dot"/>
            </w:tabs>
            <w:rPr/>
          </w:pPr>
          <w:hyperlink w:anchor="__RefHeading___Toc4629006_2142443653">
            <w:r>
              <w:rPr>
                <w:webHidden/>
                <w:rStyle w:val="IndexLink"/>
                <w:rtl w:val="true"/>
              </w:rPr>
              <w:t>تنبيه في حكم تعلّق النهي بجزء العبادة أو شرطها أو وصفها</w:t>
            </w:r>
            <w:r>
              <w:rPr>
                <w:rStyle w:val="IndexLink"/>
                <w:rtl w:val="true"/>
              </w:rPr>
              <w:tab/>
            </w:r>
            <w:r>
              <w:rPr>
                <w:rStyle w:val="IndexLink"/>
              </w:rPr>
              <w:t>241</w:t>
            </w:r>
          </w:hyperlink>
        </w:p>
        <w:p>
          <w:pPr>
            <w:pStyle w:val="Contents2"/>
            <w:tabs>
              <w:tab w:val="clear" w:pos="8743"/>
              <w:tab w:val="right" w:pos="9026" w:leader="dot"/>
            </w:tabs>
            <w:rPr/>
          </w:pPr>
          <w:hyperlink w:anchor="__RefHeading___Toc4629008_2142443653">
            <w:r>
              <w:rPr>
                <w:webHidden/>
                <w:rStyle w:val="IndexLink"/>
                <w:rtl w:val="true"/>
              </w:rPr>
              <w:t>المقصد الثالث في المفاهيم</w:t>
            </w:r>
            <w:r>
              <w:rPr>
                <w:rStyle w:val="IndexLink"/>
                <w:rtl w:val="true"/>
              </w:rPr>
              <w:tab/>
            </w:r>
            <w:r>
              <w:rPr>
                <w:rStyle w:val="IndexLink"/>
              </w:rPr>
              <w:t>243</w:t>
            </w:r>
          </w:hyperlink>
        </w:p>
        <w:p>
          <w:pPr>
            <w:pStyle w:val="Contents3"/>
            <w:tabs>
              <w:tab w:val="clear" w:pos="8459"/>
              <w:tab w:val="right" w:pos="9026" w:leader="dot"/>
            </w:tabs>
            <w:rPr/>
          </w:pPr>
          <w:hyperlink w:anchor="__RefHeading___Toc4629010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4629012_2142443653">
            <w:r>
              <w:rPr>
                <w:webHidden/>
                <w:rStyle w:val="IndexLink"/>
                <w:rtl w:val="true"/>
              </w:rPr>
              <w:t>مقدّمة في تعريف المفهوم</w:t>
            </w:r>
            <w:r>
              <w:rPr>
                <w:rStyle w:val="IndexLink"/>
                <w:rtl w:val="true"/>
              </w:rPr>
              <w:tab/>
            </w:r>
            <w:r>
              <w:rPr>
                <w:rStyle w:val="IndexLink"/>
              </w:rPr>
              <w:t>245</w:t>
            </w:r>
          </w:hyperlink>
        </w:p>
        <w:p>
          <w:pPr>
            <w:pStyle w:val="Contents3"/>
            <w:tabs>
              <w:tab w:val="clear" w:pos="8459"/>
              <w:tab w:val="right" w:pos="9026" w:leader="dot"/>
            </w:tabs>
            <w:rPr/>
          </w:pPr>
          <w:hyperlink w:anchor="__RefHeading___Toc4629014_2142443653">
            <w:r>
              <w:rPr>
                <w:webHidden/>
                <w:rStyle w:val="IndexLink"/>
                <w:rtl w:val="true"/>
              </w:rPr>
              <w:t>الفصل الأوّل في دلالة الجمل الشرطية على المفهوم</w:t>
            </w:r>
            <w:r>
              <w:rPr>
                <w:rStyle w:val="IndexLink"/>
                <w:rtl w:val="true"/>
              </w:rPr>
              <w:tab/>
            </w:r>
            <w:r>
              <w:rPr>
                <w:rStyle w:val="IndexLink"/>
              </w:rPr>
              <w:t>249</w:t>
            </w:r>
          </w:hyperlink>
        </w:p>
        <w:p>
          <w:pPr>
            <w:pStyle w:val="Contents4"/>
            <w:tabs>
              <w:tab w:val="clear" w:pos="8176"/>
              <w:tab w:val="right" w:pos="9026" w:leader="dot"/>
            </w:tabs>
            <w:rPr/>
          </w:pPr>
          <w:hyperlink w:anchor="__RefHeading___Toc4629016_2142443653">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4629018_2142443653">
            <w:r>
              <w:rPr>
                <w:webHidden/>
                <w:rStyle w:val="IndexLink"/>
                <w:rtl w:val="true"/>
              </w:rPr>
              <w:t>الأمر الأوّل في الإشكال فيما إذا كان مفاد الجزاء معنىً حرفياً</w:t>
            </w:r>
            <w:r>
              <w:rPr>
                <w:rStyle w:val="IndexLink"/>
                <w:rtl w:val="true"/>
              </w:rPr>
              <w:tab/>
            </w:r>
            <w:r>
              <w:rPr>
                <w:rStyle w:val="IndexLink"/>
              </w:rPr>
              <w:t>255</w:t>
            </w:r>
          </w:hyperlink>
        </w:p>
        <w:p>
          <w:pPr>
            <w:pStyle w:val="Contents4"/>
            <w:tabs>
              <w:tab w:val="clear" w:pos="8176"/>
              <w:tab w:val="right" w:pos="9026" w:leader="dot"/>
            </w:tabs>
            <w:rPr/>
          </w:pPr>
          <w:hyperlink w:anchor="__RefHeading___Toc4629020_2142443653">
            <w:r>
              <w:rPr>
                <w:webHidden/>
                <w:rStyle w:val="IndexLink"/>
                <w:rtl w:val="true"/>
              </w:rPr>
              <w:t>الأمر الثاني في تعدّد الشرط واتّحاد الجزاء</w:t>
            </w:r>
            <w:r>
              <w:rPr>
                <w:rStyle w:val="IndexLink"/>
                <w:rtl w:val="true"/>
              </w:rPr>
              <w:tab/>
            </w:r>
            <w:r>
              <w:rPr>
                <w:rStyle w:val="IndexLink"/>
              </w:rPr>
              <w:t>257</w:t>
            </w:r>
          </w:hyperlink>
        </w:p>
        <w:p>
          <w:pPr>
            <w:pStyle w:val="Contents4"/>
            <w:tabs>
              <w:tab w:val="clear" w:pos="8176"/>
              <w:tab w:val="right" w:pos="9026" w:leader="dot"/>
            </w:tabs>
            <w:rPr/>
          </w:pPr>
          <w:hyperlink w:anchor="__RefHeading___Toc4629022_2142443653">
            <w:r>
              <w:rPr>
                <w:webHidden/>
                <w:rStyle w:val="IndexLink"/>
                <w:rtl w:val="true"/>
              </w:rPr>
              <w:t>الأمر الثالث في تداخل الأسباب والمسبّبات</w:t>
            </w:r>
            <w:r>
              <w:rPr>
                <w:rStyle w:val="IndexLink"/>
                <w:rtl w:val="true"/>
              </w:rPr>
              <w:tab/>
            </w:r>
            <w:r>
              <w:rPr>
                <w:rStyle w:val="IndexLink"/>
              </w:rPr>
              <w:t>260</w:t>
            </w:r>
          </w:hyperlink>
        </w:p>
        <w:p>
          <w:pPr>
            <w:pStyle w:val="Contents5"/>
            <w:tabs>
              <w:tab w:val="clear" w:pos="7892"/>
              <w:tab w:val="right" w:pos="9026" w:leader="dot"/>
            </w:tabs>
            <w:rPr/>
          </w:pPr>
          <w:hyperlink w:anchor="__RefHeading___Toc4629024_2142443653">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629026_2142443653">
            <w:r>
              <w:rPr>
                <w:webHidden/>
                <w:rStyle w:val="IndexLink"/>
                <w:rtl w:val="true"/>
              </w:rPr>
              <w:t>الاُولى</w:t>
            </w:r>
            <w:r>
              <w:rPr>
                <w:rStyle w:val="IndexLink"/>
                <w:rtl w:val="true"/>
              </w:rPr>
              <w:t xml:space="preserve">: </w:t>
            </w:r>
            <w:r>
              <w:rPr>
                <w:rStyle w:val="IndexLink"/>
                <w:rtl w:val="true"/>
              </w:rPr>
              <w:t>في تحرير محلّ النزاع</w:t>
            </w:r>
            <w:r>
              <w:rPr>
                <w:rStyle w:val="IndexLink"/>
                <w:rtl w:val="true"/>
              </w:rPr>
              <w:tab/>
            </w:r>
            <w:r>
              <w:rPr>
                <w:rStyle w:val="IndexLink"/>
              </w:rPr>
              <w:t>260</w:t>
            </w:r>
          </w:hyperlink>
        </w:p>
        <w:p>
          <w:pPr>
            <w:pStyle w:val="Contents5"/>
            <w:tabs>
              <w:tab w:val="clear" w:pos="7892"/>
              <w:tab w:val="right" w:pos="9026" w:leader="dot"/>
            </w:tabs>
            <w:rPr/>
          </w:pPr>
          <w:hyperlink w:anchor="__RefHeading___Toc4629028_2142443653">
            <w:r>
              <w:rPr>
                <w:webHidden/>
                <w:rStyle w:val="IndexLink"/>
                <w:rtl w:val="true"/>
              </w:rPr>
              <w:t>الثانية</w:t>
            </w:r>
            <w:r>
              <w:rPr>
                <w:rStyle w:val="IndexLink"/>
                <w:rtl w:val="true"/>
              </w:rPr>
              <w:t xml:space="preserve">: </w:t>
            </w:r>
            <w:r>
              <w:rPr>
                <w:rStyle w:val="IndexLink"/>
                <w:rtl w:val="true"/>
              </w:rPr>
              <w:t>في المراد من تداخل الأسباب والمسبّبات</w:t>
            </w:r>
            <w:r>
              <w:rPr>
                <w:rStyle w:val="IndexLink"/>
                <w:rtl w:val="true"/>
              </w:rPr>
              <w:tab/>
            </w:r>
            <w:r>
              <w:rPr>
                <w:rStyle w:val="IndexLink"/>
              </w:rPr>
              <w:t>260</w:t>
            </w:r>
          </w:hyperlink>
        </w:p>
        <w:p>
          <w:pPr>
            <w:pStyle w:val="Contents5"/>
            <w:tabs>
              <w:tab w:val="clear" w:pos="7892"/>
              <w:tab w:val="right" w:pos="9026" w:leader="dot"/>
            </w:tabs>
            <w:rPr/>
          </w:pPr>
          <w:hyperlink w:anchor="__RefHeading___Toc4629030_2142443653">
            <w:r>
              <w:rPr>
                <w:webHidden/>
                <w:rStyle w:val="IndexLink"/>
                <w:rtl w:val="true"/>
              </w:rPr>
              <w:t>الثالثة</w:t>
            </w:r>
            <w:r>
              <w:rPr>
                <w:rStyle w:val="IndexLink"/>
                <w:rtl w:val="true"/>
              </w:rPr>
              <w:t xml:space="preserve">: </w:t>
            </w:r>
            <w:r>
              <w:rPr>
                <w:rStyle w:val="IndexLink"/>
                <w:rtl w:val="true"/>
              </w:rPr>
              <w:t>في اختصاص النزاع بالماهية القابلة للتكثّر</w:t>
            </w:r>
            <w:r>
              <w:rPr>
                <w:rStyle w:val="IndexLink"/>
                <w:rtl w:val="true"/>
              </w:rPr>
              <w:tab/>
            </w:r>
            <w:r>
              <w:rPr>
                <w:rStyle w:val="IndexLink"/>
              </w:rPr>
              <w:t>261</w:t>
            </w:r>
          </w:hyperlink>
        </w:p>
        <w:p>
          <w:pPr>
            <w:pStyle w:val="Contents5"/>
            <w:tabs>
              <w:tab w:val="clear" w:pos="7892"/>
              <w:tab w:val="right" w:pos="9026" w:leader="dot"/>
            </w:tabs>
            <w:rPr/>
          </w:pPr>
          <w:hyperlink w:anchor="__RefHeading___Toc4629032_2142443653">
            <w:r>
              <w:rPr>
                <w:webHidden/>
                <w:rStyle w:val="IndexLink"/>
                <w:rtl w:val="true"/>
              </w:rPr>
              <w:t>الرابعة</w:t>
            </w:r>
            <w:r>
              <w:rPr>
                <w:rStyle w:val="IndexLink"/>
                <w:rtl w:val="true"/>
              </w:rPr>
              <w:t xml:space="preserve">: </w:t>
            </w:r>
            <w:r>
              <w:rPr>
                <w:rStyle w:val="IndexLink"/>
                <w:rtl w:val="true"/>
              </w:rPr>
              <w:t>في إمكان التداخل وعدمه</w:t>
            </w:r>
            <w:r>
              <w:rPr>
                <w:rStyle w:val="IndexLink"/>
                <w:rtl w:val="true"/>
              </w:rPr>
              <w:tab/>
            </w:r>
            <w:r>
              <w:rPr>
                <w:rStyle w:val="IndexLink"/>
              </w:rPr>
              <w:t>262</w:t>
            </w:r>
          </w:hyperlink>
        </w:p>
        <w:p>
          <w:pPr>
            <w:pStyle w:val="Contents5"/>
            <w:tabs>
              <w:tab w:val="clear" w:pos="7892"/>
              <w:tab w:val="right" w:pos="9026" w:leader="dot"/>
            </w:tabs>
            <w:rPr/>
          </w:pPr>
          <w:hyperlink w:anchor="__RefHeading___Toc4629034_2142443653">
            <w:r>
              <w:rPr>
                <w:webHidden/>
                <w:rStyle w:val="IndexLink"/>
                <w:rtl w:val="true"/>
              </w:rPr>
              <w:t>الخامسة</w:t>
            </w:r>
            <w:r>
              <w:rPr>
                <w:rStyle w:val="IndexLink"/>
                <w:rtl w:val="true"/>
              </w:rPr>
              <w:t xml:space="preserve">: </w:t>
            </w:r>
            <w:r>
              <w:rPr>
                <w:rStyle w:val="IndexLink"/>
                <w:rtl w:val="true"/>
              </w:rPr>
              <w:t>في أنحاء تعدّد الشرط</w:t>
            </w:r>
            <w:r>
              <w:rPr>
                <w:rStyle w:val="IndexLink"/>
                <w:rtl w:val="true"/>
              </w:rPr>
              <w:tab/>
            </w:r>
            <w:r>
              <w:rPr>
                <w:rStyle w:val="IndexLink"/>
              </w:rPr>
              <w:t>263</w:t>
            </w:r>
          </w:hyperlink>
        </w:p>
        <w:p>
          <w:pPr>
            <w:pStyle w:val="Contents6"/>
            <w:tabs>
              <w:tab w:val="clear" w:pos="7609"/>
              <w:tab w:val="right" w:pos="9026" w:leader="dot"/>
            </w:tabs>
            <w:rPr/>
          </w:pPr>
          <w:hyperlink w:anchor="__RefHeading___Toc4629036_2142443653">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4629038_2142443653">
            <w:r>
              <w:rPr>
                <w:webHidden/>
                <w:rStyle w:val="IndexLink"/>
                <w:rtl w:val="true"/>
              </w:rPr>
              <w:t>تداخل الأسباب والمسبّبات فيما إذا تعدّدت الأسباب نوعاً</w:t>
            </w:r>
            <w:r>
              <w:rPr>
                <w:rStyle w:val="IndexLink"/>
                <w:rtl w:val="true"/>
              </w:rPr>
              <w:tab/>
            </w:r>
            <w:r>
              <w:rPr>
                <w:rStyle w:val="IndexLink"/>
              </w:rPr>
              <w:t>264</w:t>
            </w:r>
          </w:hyperlink>
        </w:p>
        <w:p>
          <w:pPr>
            <w:pStyle w:val="Contents6"/>
            <w:tabs>
              <w:tab w:val="clear" w:pos="7609"/>
              <w:tab w:val="right" w:pos="9026" w:leader="dot"/>
            </w:tabs>
            <w:rPr/>
          </w:pPr>
          <w:hyperlink w:anchor="__RefHeading___Toc4629040_2142443653">
            <w:r>
              <w:rPr>
                <w:webHidden/>
                <w:rStyle w:val="IndexLink"/>
                <w:rtl w:val="true"/>
              </w:rPr>
              <w:t>الاستدلال على عدم تداخل الأسباب</w:t>
            </w:r>
            <w:r>
              <w:rPr>
                <w:rStyle w:val="IndexLink"/>
                <w:rtl w:val="true"/>
              </w:rPr>
              <w:tab/>
            </w:r>
            <w:r>
              <w:rPr>
                <w:rStyle w:val="IndexLink"/>
              </w:rPr>
              <w:t>264</w:t>
            </w:r>
          </w:hyperlink>
        </w:p>
        <w:p>
          <w:pPr>
            <w:pStyle w:val="Contents6"/>
            <w:tabs>
              <w:tab w:val="clear" w:pos="7609"/>
              <w:tab w:val="right" w:pos="9026" w:leader="dot"/>
            </w:tabs>
            <w:rPr/>
          </w:pPr>
          <w:hyperlink w:anchor="__RefHeading___Toc4629042_2142443653">
            <w:r>
              <w:rPr>
                <w:webHidden/>
                <w:rStyle w:val="IndexLink"/>
                <w:rtl w:val="true"/>
              </w:rPr>
              <w:t>الاستدلال على تداخل المسبّبات ثبوتاً وإثباتاً</w:t>
            </w:r>
            <w:r>
              <w:rPr>
                <w:rStyle w:val="IndexLink"/>
                <w:rtl w:val="true"/>
              </w:rPr>
              <w:tab/>
            </w:r>
            <w:r>
              <w:rPr>
                <w:rStyle w:val="IndexLink"/>
              </w:rPr>
              <w:t>274</w:t>
            </w:r>
          </w:hyperlink>
        </w:p>
        <w:p>
          <w:pPr>
            <w:pStyle w:val="Contents6"/>
            <w:tabs>
              <w:tab w:val="clear" w:pos="7609"/>
              <w:tab w:val="right" w:pos="9026" w:leader="dot"/>
            </w:tabs>
            <w:rPr/>
          </w:pPr>
          <w:hyperlink w:anchor="__RefHeading___Toc4629044_2142443653">
            <w:r>
              <w:rPr>
                <w:webHidden/>
                <w:rStyle w:val="IndexLink"/>
                <w:rtl w:val="true"/>
              </w:rPr>
              <w:t>تداخل الأسباب والمسبّبات فيما إذا تعدّدت الأسباب شخصاً</w:t>
            </w:r>
            <w:r>
              <w:rPr>
                <w:rStyle w:val="IndexLink"/>
                <w:rtl w:val="true"/>
              </w:rPr>
              <w:tab/>
            </w:r>
            <w:r>
              <w:rPr>
                <w:rStyle w:val="IndexLink"/>
              </w:rPr>
              <w:t>276</w:t>
            </w:r>
          </w:hyperlink>
        </w:p>
        <w:p>
          <w:pPr>
            <w:pStyle w:val="Contents6"/>
            <w:tabs>
              <w:tab w:val="clear" w:pos="7609"/>
              <w:tab w:val="right" w:pos="9026" w:leader="dot"/>
            </w:tabs>
            <w:rPr/>
          </w:pPr>
          <w:hyperlink w:anchor="__RefHeading___Toc4629046_2142443653">
            <w:r>
              <w:rPr>
                <w:webHidden/>
                <w:rStyle w:val="IndexLink"/>
                <w:rtl w:val="true"/>
              </w:rPr>
              <w:t>تتمّة الإشكال في العامّ الاستغراقي في المقام</w:t>
            </w:r>
            <w:r>
              <w:rPr>
                <w:rStyle w:val="IndexLink"/>
                <w:rtl w:val="true"/>
              </w:rPr>
              <w:tab/>
            </w:r>
            <w:r>
              <w:rPr>
                <w:rStyle w:val="IndexLink"/>
              </w:rPr>
              <w:t>277</w:t>
            </w:r>
          </w:hyperlink>
        </w:p>
        <w:p>
          <w:pPr>
            <w:pStyle w:val="Contents3"/>
            <w:tabs>
              <w:tab w:val="clear" w:pos="8459"/>
              <w:tab w:val="right" w:pos="9026" w:leader="dot"/>
            </w:tabs>
            <w:rPr/>
          </w:pPr>
          <w:hyperlink w:anchor="__RefHeading___Toc4629048_2142443653">
            <w:r>
              <w:rPr>
                <w:webHidden/>
                <w:rStyle w:val="IndexLink"/>
                <w:rtl w:val="true"/>
              </w:rPr>
              <w:t>الفصل الثاني في مفهوم الوصف</w:t>
            </w:r>
            <w:r>
              <w:rPr>
                <w:rStyle w:val="IndexLink"/>
                <w:rtl w:val="true"/>
              </w:rPr>
              <w:tab/>
            </w:r>
            <w:r>
              <w:rPr>
                <w:rStyle w:val="IndexLink"/>
              </w:rPr>
              <w:t>280</w:t>
            </w:r>
          </w:hyperlink>
        </w:p>
        <w:p>
          <w:pPr>
            <w:pStyle w:val="Contents3"/>
            <w:tabs>
              <w:tab w:val="clear" w:pos="8459"/>
              <w:tab w:val="right" w:pos="9026" w:leader="dot"/>
            </w:tabs>
            <w:rPr/>
          </w:pPr>
          <w:hyperlink w:anchor="__RefHeading___Toc4629050_2142443653">
            <w:r>
              <w:rPr>
                <w:webHidden/>
                <w:rStyle w:val="IndexLink"/>
                <w:rtl w:val="true"/>
              </w:rPr>
              <w:t>الفصل الثالث في مفهوم الغاية</w:t>
            </w:r>
            <w:r>
              <w:rPr>
                <w:rStyle w:val="IndexLink"/>
                <w:rtl w:val="true"/>
              </w:rPr>
              <w:tab/>
            </w:r>
            <w:r>
              <w:rPr>
                <w:rStyle w:val="IndexLink"/>
              </w:rPr>
              <w:t>283</w:t>
            </w:r>
          </w:hyperlink>
        </w:p>
        <w:p>
          <w:pPr>
            <w:pStyle w:val="Contents4"/>
            <w:tabs>
              <w:tab w:val="clear" w:pos="8176"/>
              <w:tab w:val="right" w:pos="9026" w:leader="dot"/>
            </w:tabs>
            <w:rPr/>
          </w:pPr>
          <w:hyperlink w:anchor="__RefHeading___Toc4629052_2142443653">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4629054_2142443653">
            <w:r>
              <w:rPr>
                <w:webHidden/>
                <w:rStyle w:val="IndexLink"/>
                <w:rtl w:val="true"/>
              </w:rPr>
              <w:t>المقام الأوّل</w:t>
            </w:r>
            <w:r>
              <w:rPr>
                <w:rStyle w:val="IndexLink"/>
                <w:rtl w:val="true"/>
              </w:rPr>
              <w:t xml:space="preserve">: </w:t>
            </w:r>
            <w:r>
              <w:rPr>
                <w:rStyle w:val="IndexLink"/>
                <w:rtl w:val="true"/>
              </w:rPr>
              <w:t>في دلالة الغاية على ارتفاع الحكم بعدها</w:t>
            </w:r>
            <w:r>
              <w:rPr>
                <w:rStyle w:val="IndexLink"/>
                <w:rtl w:val="true"/>
              </w:rPr>
              <w:tab/>
            </w:r>
            <w:r>
              <w:rPr>
                <w:rStyle w:val="IndexLink"/>
              </w:rPr>
              <w:t>283</w:t>
            </w:r>
          </w:hyperlink>
        </w:p>
        <w:p>
          <w:pPr>
            <w:pStyle w:val="Contents4"/>
            <w:tabs>
              <w:tab w:val="clear" w:pos="8176"/>
              <w:tab w:val="right" w:pos="9026" w:leader="dot"/>
            </w:tabs>
            <w:rPr/>
          </w:pPr>
          <w:hyperlink w:anchor="__RefHeading___Toc4629056_2142443653">
            <w:r>
              <w:rPr>
                <w:webHidden/>
                <w:rStyle w:val="IndexLink"/>
                <w:rtl w:val="true"/>
              </w:rPr>
              <w:t>المقام الثاني</w:t>
            </w:r>
            <w:r>
              <w:rPr>
                <w:rStyle w:val="IndexLink"/>
                <w:rtl w:val="true"/>
              </w:rPr>
              <w:t xml:space="preserve">: </w:t>
            </w:r>
            <w:r>
              <w:rPr>
                <w:rStyle w:val="IndexLink"/>
                <w:rtl w:val="true"/>
              </w:rPr>
              <w:t>في أنّ الغاية داخلة في المغيّا أو لا ؟</w:t>
            </w:r>
            <w:r>
              <w:rPr>
                <w:rStyle w:val="IndexLink"/>
                <w:rtl w:val="true"/>
              </w:rPr>
              <w:tab/>
            </w:r>
            <w:r>
              <w:rPr>
                <w:rStyle w:val="IndexLink"/>
              </w:rPr>
              <w:t>286</w:t>
            </w:r>
          </w:hyperlink>
        </w:p>
        <w:p>
          <w:pPr>
            <w:pStyle w:val="Contents3"/>
            <w:tabs>
              <w:tab w:val="clear" w:pos="8459"/>
              <w:tab w:val="right" w:pos="9026" w:leader="dot"/>
            </w:tabs>
            <w:rPr/>
          </w:pPr>
          <w:hyperlink w:anchor="__RefHeading___Toc4629058_2142443653">
            <w:r>
              <w:rPr>
                <w:webHidden/>
                <w:rStyle w:val="IndexLink"/>
                <w:rtl w:val="true"/>
              </w:rPr>
              <w:t>الفصل الرابع في مفهوم الاستثناء</w:t>
            </w:r>
            <w:r>
              <w:rPr>
                <w:rStyle w:val="IndexLink"/>
                <w:rtl w:val="true"/>
              </w:rPr>
              <w:tab/>
            </w:r>
            <w:r>
              <w:rPr>
                <w:rStyle w:val="IndexLink"/>
              </w:rPr>
              <w:t>289</w:t>
            </w:r>
          </w:hyperlink>
        </w:p>
        <w:p>
          <w:pPr>
            <w:pStyle w:val="Contents2"/>
            <w:tabs>
              <w:tab w:val="clear" w:pos="8743"/>
              <w:tab w:val="right" w:pos="9026" w:leader="dot"/>
            </w:tabs>
            <w:rPr/>
          </w:pPr>
          <w:hyperlink w:anchor="__RefHeading___Toc4629060_2142443653">
            <w:r>
              <w:rPr>
                <w:webHidden/>
                <w:rStyle w:val="IndexLink"/>
                <w:rtl w:val="true"/>
              </w:rPr>
              <w:t>المقصد الرابع فيالعامّ والخاصّ</w:t>
            </w:r>
            <w:r>
              <w:rPr>
                <w:rStyle w:val="IndexLink"/>
                <w:rtl w:val="true"/>
              </w:rPr>
              <w:tab/>
            </w:r>
            <w:r>
              <w:rPr>
                <w:rStyle w:val="IndexLink"/>
              </w:rPr>
              <w:t>291</w:t>
            </w:r>
          </w:hyperlink>
        </w:p>
        <w:p>
          <w:pPr>
            <w:pStyle w:val="Contents3"/>
            <w:tabs>
              <w:tab w:val="clear" w:pos="8459"/>
              <w:tab w:val="right" w:pos="9026" w:leader="dot"/>
            </w:tabs>
            <w:rPr/>
          </w:pPr>
          <w:hyperlink w:anchor="__RefHeading___Toc4629062_2142443653">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4629064_2142443653">
            <w:r>
              <w:rPr>
                <w:webHidden/>
                <w:rStyle w:val="IndexLink"/>
                <w:rtl w:val="true"/>
              </w:rPr>
              <w:t>الأمر الأوّل في تعريف العامّ</w:t>
            </w:r>
            <w:r>
              <w:rPr>
                <w:rStyle w:val="IndexLink"/>
                <w:rtl w:val="true"/>
              </w:rPr>
              <w:tab/>
            </w:r>
            <w:r>
              <w:rPr>
                <w:rStyle w:val="IndexLink"/>
              </w:rPr>
              <w:t>293</w:t>
            </w:r>
          </w:hyperlink>
        </w:p>
        <w:p>
          <w:pPr>
            <w:pStyle w:val="Contents3"/>
            <w:tabs>
              <w:tab w:val="clear" w:pos="8459"/>
              <w:tab w:val="right" w:pos="9026" w:leader="dot"/>
            </w:tabs>
            <w:rPr/>
          </w:pPr>
          <w:hyperlink w:anchor="__RefHeading___Toc4629066_2142443653">
            <w:r>
              <w:rPr>
                <w:webHidden/>
                <w:rStyle w:val="IndexLink"/>
                <w:rtl w:val="true"/>
              </w:rPr>
              <w:t>الأمر الثاني في الفرق بين المطلق والعامّ</w:t>
            </w:r>
            <w:r>
              <w:rPr>
                <w:rStyle w:val="IndexLink"/>
                <w:rtl w:val="true"/>
              </w:rPr>
              <w:tab/>
            </w:r>
            <w:r>
              <w:rPr>
                <w:rStyle w:val="IndexLink"/>
              </w:rPr>
              <w:t>295</w:t>
            </w:r>
          </w:hyperlink>
        </w:p>
        <w:p>
          <w:pPr>
            <w:pStyle w:val="Contents3"/>
            <w:tabs>
              <w:tab w:val="clear" w:pos="8459"/>
              <w:tab w:val="right" w:pos="9026" w:leader="dot"/>
            </w:tabs>
            <w:rPr/>
          </w:pPr>
          <w:hyperlink w:anchor="__RefHeading___Toc4629068_2142443653">
            <w:r>
              <w:rPr>
                <w:webHidden/>
                <w:rStyle w:val="IndexLink"/>
                <w:rtl w:val="true"/>
              </w:rPr>
              <w:t>الأمر الثالث في عدم احتياج العامّ إلى مقدّمات الحكمة</w:t>
            </w:r>
            <w:r>
              <w:rPr>
                <w:rStyle w:val="IndexLink"/>
                <w:rtl w:val="true"/>
              </w:rPr>
              <w:tab/>
            </w:r>
            <w:r>
              <w:rPr>
                <w:rStyle w:val="IndexLink"/>
              </w:rPr>
              <w:t>296</w:t>
            </w:r>
          </w:hyperlink>
        </w:p>
        <w:p>
          <w:pPr>
            <w:pStyle w:val="Contents3"/>
            <w:tabs>
              <w:tab w:val="clear" w:pos="8459"/>
              <w:tab w:val="right" w:pos="9026" w:leader="dot"/>
            </w:tabs>
            <w:rPr/>
          </w:pPr>
          <w:hyperlink w:anchor="__RefHeading___Toc4629070_2142443653">
            <w:r>
              <w:rPr>
                <w:webHidden/>
                <w:rStyle w:val="IndexLink"/>
                <w:rtl w:val="true"/>
              </w:rPr>
              <w:t>الأمر الرابع في أقسام العموم</w:t>
            </w:r>
            <w:r>
              <w:rPr>
                <w:rStyle w:val="IndexLink"/>
                <w:rtl w:val="true"/>
              </w:rPr>
              <w:tab/>
            </w:r>
            <w:r>
              <w:rPr>
                <w:rStyle w:val="IndexLink"/>
              </w:rPr>
              <w:t>298</w:t>
            </w:r>
          </w:hyperlink>
        </w:p>
        <w:p>
          <w:pPr>
            <w:pStyle w:val="Contents4"/>
            <w:tabs>
              <w:tab w:val="clear" w:pos="8176"/>
              <w:tab w:val="right" w:pos="9026" w:leader="dot"/>
            </w:tabs>
            <w:rPr/>
          </w:pPr>
          <w:hyperlink w:anchor="__RefHeading___Toc4629072_2142443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4629074_2142443653">
            <w:r>
              <w:rPr>
                <w:webHidden/>
                <w:rStyle w:val="IndexLink"/>
                <w:rtl w:val="true"/>
              </w:rPr>
              <w:t>تنبيه</w:t>
            </w:r>
            <w:r>
              <w:rPr>
                <w:rStyle w:val="IndexLink"/>
                <w:rtl w:val="true"/>
              </w:rPr>
              <w:t xml:space="preserve">: </w:t>
            </w:r>
            <w:r>
              <w:rPr>
                <w:rStyle w:val="IndexLink"/>
                <w:rtl w:val="true"/>
              </w:rPr>
              <w:t>في نقد كلام المحقّق الخراساني في وجه انقسام العموم</w:t>
            </w:r>
            <w:r>
              <w:rPr>
                <w:rStyle w:val="IndexLink"/>
                <w:rtl w:val="true"/>
              </w:rPr>
              <w:tab/>
            </w:r>
            <w:r>
              <w:rPr>
                <w:rStyle w:val="IndexLink"/>
              </w:rPr>
              <w:t>300</w:t>
            </w:r>
          </w:hyperlink>
        </w:p>
        <w:p>
          <w:pPr>
            <w:pStyle w:val="Contents3"/>
            <w:tabs>
              <w:tab w:val="clear" w:pos="8459"/>
              <w:tab w:val="right" w:pos="9026" w:leader="dot"/>
            </w:tabs>
            <w:rPr/>
          </w:pPr>
          <w:hyperlink w:anchor="__RefHeading___Toc4629076_2142443653">
            <w:r>
              <w:rPr>
                <w:webHidden/>
                <w:rStyle w:val="IndexLink"/>
                <w:rtl w:val="true"/>
              </w:rPr>
              <w:t>الأمر الخامس في الألفاظ الدالّة على العموم</w:t>
            </w:r>
            <w:r>
              <w:rPr>
                <w:rStyle w:val="IndexLink"/>
                <w:rtl w:val="true"/>
              </w:rPr>
              <w:tab/>
            </w:r>
            <w:r>
              <w:rPr>
                <w:rStyle w:val="IndexLink"/>
              </w:rPr>
              <w:t>301</w:t>
            </w:r>
          </w:hyperlink>
        </w:p>
        <w:p>
          <w:pPr>
            <w:pStyle w:val="Contents3"/>
            <w:tabs>
              <w:tab w:val="clear" w:pos="8459"/>
              <w:tab w:val="right" w:pos="9026" w:leader="dot"/>
            </w:tabs>
            <w:rPr/>
          </w:pPr>
          <w:hyperlink w:anchor="__RefHeading___Toc4629078_2142443653">
            <w:r>
              <w:rPr>
                <w:webHidden/>
                <w:rStyle w:val="IndexLink"/>
                <w:rtl w:val="true"/>
              </w:rPr>
              <w:t>الفصل الأوّل في حجّية العامّ المخصّص في الباقي</w:t>
            </w:r>
            <w:r>
              <w:rPr>
                <w:rStyle w:val="IndexLink"/>
                <w:rtl w:val="true"/>
              </w:rPr>
              <w:tab/>
            </w:r>
            <w:r>
              <w:rPr>
                <w:rStyle w:val="IndexLink"/>
              </w:rPr>
              <w:t>303</w:t>
            </w:r>
          </w:hyperlink>
        </w:p>
        <w:p>
          <w:pPr>
            <w:pStyle w:val="Contents3"/>
            <w:tabs>
              <w:tab w:val="clear" w:pos="8459"/>
              <w:tab w:val="right" w:pos="9026" w:leader="dot"/>
            </w:tabs>
            <w:rPr/>
          </w:pPr>
          <w:hyperlink w:anchor="__RefHeading___Toc4629080_2142443653">
            <w:r>
              <w:rPr>
                <w:webHidden/>
                <w:rStyle w:val="IndexLink"/>
                <w:rtl w:val="true"/>
              </w:rPr>
              <w:t>الفصل الثاني في سراية إجمال المخصّص إلى العامّ</w:t>
            </w:r>
            <w:r>
              <w:rPr>
                <w:rStyle w:val="IndexLink"/>
                <w:rtl w:val="true"/>
              </w:rPr>
              <w:tab/>
            </w:r>
            <w:r>
              <w:rPr>
                <w:rStyle w:val="IndexLink"/>
              </w:rPr>
              <w:t>307</w:t>
            </w:r>
          </w:hyperlink>
        </w:p>
        <w:p>
          <w:pPr>
            <w:pStyle w:val="Contents4"/>
            <w:tabs>
              <w:tab w:val="clear" w:pos="8176"/>
              <w:tab w:val="right" w:pos="9026" w:leader="dot"/>
            </w:tabs>
            <w:rPr/>
          </w:pPr>
          <w:hyperlink w:anchor="__RefHeading___Toc4629082_2142443653">
            <w:r>
              <w:rPr>
                <w:webHidden/>
                <w:rStyle w:val="IndexLink"/>
                <w:rtl w:val="true"/>
              </w:rPr>
              <w:t>التمسّك بالعامّ في الشبهة المفهومية</w:t>
            </w:r>
            <w:r>
              <w:rPr>
                <w:rStyle w:val="IndexLink"/>
                <w:rtl w:val="true"/>
              </w:rPr>
              <w:tab/>
            </w:r>
            <w:r>
              <w:rPr>
                <w:rStyle w:val="IndexLink"/>
              </w:rPr>
              <w:t>307</w:t>
            </w:r>
          </w:hyperlink>
        </w:p>
        <w:p>
          <w:pPr>
            <w:pStyle w:val="Contents4"/>
            <w:tabs>
              <w:tab w:val="clear" w:pos="8176"/>
              <w:tab w:val="right" w:pos="9026" w:leader="dot"/>
            </w:tabs>
            <w:rPr/>
          </w:pPr>
          <w:hyperlink w:anchor="__RefHeading___Toc4629084_2142443653">
            <w:r>
              <w:rPr>
                <w:webHidden/>
                <w:rStyle w:val="IndexLink"/>
                <w:rtl w:val="true"/>
              </w:rPr>
              <w:t>التمسّك بالعامّ في الشبهة المصداقية للمخصّص اللفظي</w:t>
            </w:r>
            <w:r>
              <w:rPr>
                <w:rStyle w:val="IndexLink"/>
                <w:rtl w:val="true"/>
              </w:rPr>
              <w:tab/>
            </w:r>
            <w:r>
              <w:rPr>
                <w:rStyle w:val="IndexLink"/>
              </w:rPr>
              <w:t>309</w:t>
            </w:r>
          </w:hyperlink>
        </w:p>
        <w:p>
          <w:pPr>
            <w:pStyle w:val="Contents4"/>
            <w:tabs>
              <w:tab w:val="clear" w:pos="8176"/>
              <w:tab w:val="right" w:pos="9026" w:leader="dot"/>
            </w:tabs>
            <w:rPr/>
          </w:pPr>
          <w:hyperlink w:anchor="__RefHeading___Toc4629086_2142443653">
            <w:r>
              <w:rPr>
                <w:webHidden/>
                <w:rStyle w:val="IndexLink"/>
                <w:rtl w:val="true"/>
              </w:rPr>
              <w:t>حول الاستدلال على جواز التمسّك بالعامّ في المقام</w:t>
            </w:r>
            <w:r>
              <w:rPr>
                <w:rStyle w:val="IndexLink"/>
                <w:rtl w:val="true"/>
              </w:rPr>
              <w:tab/>
            </w:r>
            <w:r>
              <w:rPr>
                <w:rStyle w:val="IndexLink"/>
              </w:rPr>
              <w:t>310</w:t>
            </w:r>
          </w:hyperlink>
        </w:p>
        <w:p>
          <w:pPr>
            <w:pStyle w:val="Contents4"/>
            <w:tabs>
              <w:tab w:val="clear" w:pos="8176"/>
              <w:tab w:val="right" w:pos="9026" w:leader="dot"/>
            </w:tabs>
            <w:rPr/>
          </w:pPr>
          <w:hyperlink w:anchor="__RefHeading___Toc4629088_2142443653">
            <w:r>
              <w:rPr>
                <w:webHidden/>
                <w:rStyle w:val="IndexLink"/>
                <w:rtl w:val="true"/>
              </w:rPr>
              <w:t>تتميم</w:t>
            </w:r>
            <w:r>
              <w:rPr>
                <w:rStyle w:val="IndexLink"/>
                <w:rtl w:val="true"/>
              </w:rPr>
              <w:t xml:space="preserve">: </w:t>
            </w:r>
            <w:r>
              <w:rPr>
                <w:rStyle w:val="IndexLink"/>
                <w:rtl w:val="true"/>
              </w:rPr>
              <w:t>في التمسّك بالعامّ في الشبهة المصداقية للمخصّص اللبّي</w:t>
            </w:r>
            <w:r>
              <w:rPr>
                <w:rStyle w:val="IndexLink"/>
                <w:rtl w:val="true"/>
              </w:rPr>
              <w:tab/>
            </w:r>
            <w:r>
              <w:rPr>
                <w:rStyle w:val="IndexLink"/>
              </w:rPr>
              <w:t>314</w:t>
            </w:r>
          </w:hyperlink>
        </w:p>
        <w:p>
          <w:pPr>
            <w:pStyle w:val="Contents4"/>
            <w:tabs>
              <w:tab w:val="clear" w:pos="8176"/>
              <w:tab w:val="right" w:pos="9026" w:leader="dot"/>
            </w:tabs>
            <w:rPr/>
          </w:pPr>
          <w:hyperlink w:anchor="__RefHeading___Toc4629090_2142443653">
            <w:r>
              <w:rPr>
                <w:webHidden/>
                <w:rStyle w:val="IndexLink"/>
                <w:rtl w:val="true"/>
              </w:rPr>
              <w:t>تنبيهات</w:t>
            </w:r>
            <w:r>
              <w:rPr>
                <w:rStyle w:val="IndexLink"/>
                <w:rtl w:val="true"/>
              </w:rPr>
              <w:t>:</w:t>
              <w:tab/>
            </w:r>
            <w:r>
              <w:rPr>
                <w:rStyle w:val="IndexLink"/>
              </w:rPr>
              <w:t>316</w:t>
            </w:r>
          </w:hyperlink>
        </w:p>
        <w:p>
          <w:pPr>
            <w:pStyle w:val="Contents5"/>
            <w:tabs>
              <w:tab w:val="clear" w:pos="7892"/>
              <w:tab w:val="right" w:pos="9026" w:leader="dot"/>
            </w:tabs>
            <w:rPr/>
          </w:pPr>
          <w:hyperlink w:anchor="__RefHeading___Toc4629092_2142443653">
            <w:r>
              <w:rPr>
                <w:webHidden/>
                <w:rStyle w:val="IndexLink"/>
                <w:rtl w:val="true"/>
              </w:rPr>
              <w:t>التنبيه الأوّل في التمسّك بالعامّ إذا كان الخاصّ معلّلاً</w:t>
            </w:r>
            <w:r>
              <w:rPr>
                <w:rStyle w:val="IndexLink"/>
                <w:rtl w:val="true"/>
              </w:rPr>
              <w:tab/>
            </w:r>
            <w:r>
              <w:rPr>
                <w:rStyle w:val="IndexLink"/>
              </w:rPr>
              <w:t>316</w:t>
            </w:r>
          </w:hyperlink>
        </w:p>
        <w:p>
          <w:pPr>
            <w:pStyle w:val="Contents5"/>
            <w:tabs>
              <w:tab w:val="clear" w:pos="7892"/>
              <w:tab w:val="right" w:pos="9026" w:leader="dot"/>
            </w:tabs>
            <w:rPr/>
          </w:pPr>
          <w:hyperlink w:anchor="__RefHeading___Toc4629094_2142443653">
            <w:r>
              <w:rPr>
                <w:webHidden/>
                <w:rStyle w:val="IndexLink"/>
                <w:rtl w:val="true"/>
              </w:rPr>
              <w:t>التنبيه الثاني في العامّين من وجه المتنافيي الحكم</w:t>
            </w:r>
            <w:r>
              <w:rPr>
                <w:rStyle w:val="IndexLink"/>
                <w:rtl w:val="true"/>
              </w:rPr>
              <w:tab/>
            </w:r>
            <w:r>
              <w:rPr>
                <w:rStyle w:val="IndexLink"/>
              </w:rPr>
              <w:t>316</w:t>
            </w:r>
          </w:hyperlink>
        </w:p>
        <w:p>
          <w:pPr>
            <w:pStyle w:val="Contents5"/>
            <w:tabs>
              <w:tab w:val="clear" w:pos="7892"/>
              <w:tab w:val="right" w:pos="9026" w:leader="dot"/>
            </w:tabs>
            <w:rPr/>
          </w:pPr>
          <w:hyperlink w:anchor="__RefHeading___Toc4629096_2142443653">
            <w:r>
              <w:rPr>
                <w:webHidden/>
                <w:rStyle w:val="IndexLink"/>
                <w:rtl w:val="true"/>
              </w:rPr>
              <w:t>التنبيه الثالث في إحراز المصداق بالأصل في الشبهة المصداقية</w:t>
            </w:r>
            <w:r>
              <w:rPr>
                <w:rStyle w:val="IndexLink"/>
                <w:rtl w:val="true"/>
              </w:rPr>
              <w:tab/>
            </w:r>
            <w:r>
              <w:rPr>
                <w:rStyle w:val="IndexLink"/>
              </w:rPr>
              <w:t>317</w:t>
            </w:r>
          </w:hyperlink>
        </w:p>
        <w:p>
          <w:pPr>
            <w:pStyle w:val="Contents6"/>
            <w:tabs>
              <w:tab w:val="clear" w:pos="7609"/>
              <w:tab w:val="right" w:pos="9026" w:leader="dot"/>
            </w:tabs>
            <w:rPr/>
          </w:pPr>
          <w:hyperlink w:anchor="__RefHeading___Toc4629098_2142443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4629100_2142443653">
            <w:r>
              <w:rPr>
                <w:webHidden/>
                <w:rStyle w:val="IndexLink"/>
                <w:rtl w:val="true"/>
              </w:rPr>
              <w:t>التحقيق في جريان الأصل المحرز لموضوع العامّ</w:t>
            </w:r>
            <w:r>
              <w:rPr>
                <w:rStyle w:val="IndexLink"/>
                <w:rtl w:val="true"/>
              </w:rPr>
              <w:tab/>
            </w:r>
            <w:r>
              <w:rPr>
                <w:rStyle w:val="IndexLink"/>
              </w:rPr>
              <w:t>320</w:t>
            </w:r>
          </w:hyperlink>
        </w:p>
        <w:p>
          <w:pPr>
            <w:pStyle w:val="Contents6"/>
            <w:tabs>
              <w:tab w:val="clear" w:pos="7609"/>
              <w:tab w:val="right" w:pos="9026" w:leader="dot"/>
            </w:tabs>
            <w:rPr/>
          </w:pPr>
          <w:hyperlink w:anchor="__RefHeading___Toc4629102_2142443653">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4629104_2142443653">
            <w:r>
              <w:rPr>
                <w:webHidden/>
                <w:rStyle w:val="IndexLink"/>
                <w:rtl w:val="true"/>
              </w:rPr>
              <w:t>الاُولى</w:t>
            </w:r>
            <w:r>
              <w:rPr>
                <w:rStyle w:val="IndexLink"/>
                <w:rtl w:val="true"/>
              </w:rPr>
              <w:t xml:space="preserve">: </w:t>
            </w:r>
            <w:r>
              <w:rPr>
                <w:rStyle w:val="IndexLink"/>
                <w:rtl w:val="true"/>
              </w:rPr>
              <w:t>أقسام القضايا بلحاظ النسبة</w:t>
            </w:r>
            <w:r>
              <w:rPr>
                <w:rStyle w:val="IndexLink"/>
                <w:rtl w:val="true"/>
              </w:rPr>
              <w:tab/>
            </w:r>
            <w:r>
              <w:rPr>
                <w:rStyle w:val="IndexLink"/>
              </w:rPr>
              <w:t>320</w:t>
            </w:r>
          </w:hyperlink>
        </w:p>
        <w:p>
          <w:pPr>
            <w:pStyle w:val="Contents6"/>
            <w:tabs>
              <w:tab w:val="clear" w:pos="7609"/>
              <w:tab w:val="right" w:pos="9026" w:leader="dot"/>
            </w:tabs>
            <w:rPr/>
          </w:pPr>
          <w:hyperlink w:anchor="__RefHeading___Toc4629106_2142443653">
            <w:r>
              <w:rPr>
                <w:webHidden/>
                <w:rStyle w:val="IndexLink"/>
                <w:rtl w:val="true"/>
              </w:rPr>
              <w:t>الثانية</w:t>
            </w:r>
            <w:r>
              <w:rPr>
                <w:rStyle w:val="IndexLink"/>
                <w:rtl w:val="true"/>
              </w:rPr>
              <w:t xml:space="preserve">: </w:t>
            </w:r>
            <w:r>
              <w:rPr>
                <w:rStyle w:val="IndexLink"/>
                <w:rtl w:val="true"/>
              </w:rPr>
              <w:t>مناط الصدق والكذب في القضايا</w:t>
            </w:r>
            <w:r>
              <w:rPr>
                <w:rStyle w:val="IndexLink"/>
                <w:rtl w:val="true"/>
              </w:rPr>
              <w:tab/>
            </w:r>
            <w:r>
              <w:rPr>
                <w:rStyle w:val="IndexLink"/>
              </w:rPr>
              <w:t>321</w:t>
            </w:r>
          </w:hyperlink>
        </w:p>
        <w:p>
          <w:pPr>
            <w:pStyle w:val="Contents6"/>
            <w:tabs>
              <w:tab w:val="clear" w:pos="7609"/>
              <w:tab w:val="right" w:pos="9026" w:leader="dot"/>
            </w:tabs>
            <w:rPr/>
          </w:pPr>
          <w:hyperlink w:anchor="__RefHeading___Toc4629108_2142443653">
            <w:r>
              <w:rPr>
                <w:webHidden/>
                <w:rStyle w:val="IndexLink"/>
                <w:rtl w:val="true"/>
              </w:rPr>
              <w:t>الثالثة</w:t>
            </w:r>
            <w:r>
              <w:rPr>
                <w:rStyle w:val="IndexLink"/>
                <w:rtl w:val="true"/>
              </w:rPr>
              <w:t xml:space="preserve">: </w:t>
            </w:r>
            <w:r>
              <w:rPr>
                <w:rStyle w:val="IndexLink"/>
                <w:rtl w:val="true"/>
              </w:rPr>
              <w:t>القضايا المفتقرة إلى وجود الموضوع</w:t>
            </w:r>
            <w:r>
              <w:rPr>
                <w:rStyle w:val="IndexLink"/>
                <w:rtl w:val="true"/>
              </w:rPr>
              <w:tab/>
            </w:r>
            <w:r>
              <w:rPr>
                <w:rStyle w:val="IndexLink"/>
              </w:rPr>
              <w:t>322</w:t>
            </w:r>
          </w:hyperlink>
        </w:p>
        <w:p>
          <w:pPr>
            <w:pStyle w:val="Contents6"/>
            <w:tabs>
              <w:tab w:val="clear" w:pos="7609"/>
              <w:tab w:val="right" w:pos="9026" w:leader="dot"/>
            </w:tabs>
            <w:rPr/>
          </w:pPr>
          <w:hyperlink w:anchor="__RefHeading___Toc4629110_2142443653">
            <w:r>
              <w:rPr>
                <w:webHidden/>
                <w:rStyle w:val="IndexLink"/>
                <w:rtl w:val="true"/>
              </w:rPr>
              <w:t>الرابعة</w:t>
            </w:r>
            <w:r>
              <w:rPr>
                <w:rStyle w:val="IndexLink"/>
                <w:rtl w:val="true"/>
              </w:rPr>
              <w:t xml:space="preserve">: </w:t>
            </w:r>
            <w:r>
              <w:rPr>
                <w:rStyle w:val="IndexLink"/>
                <w:rtl w:val="true"/>
              </w:rPr>
              <w:t>ضرورية كون موضوع الحكم مفرداً</w:t>
            </w:r>
            <w:r>
              <w:rPr>
                <w:rStyle w:val="IndexLink"/>
                <w:rtl w:val="true"/>
              </w:rPr>
              <w:tab/>
            </w:r>
            <w:r>
              <w:rPr>
                <w:rStyle w:val="IndexLink"/>
              </w:rPr>
              <w:t>323</w:t>
            </w:r>
          </w:hyperlink>
        </w:p>
        <w:p>
          <w:pPr>
            <w:pStyle w:val="Contents6"/>
            <w:tabs>
              <w:tab w:val="clear" w:pos="7609"/>
              <w:tab w:val="right" w:pos="9026" w:leader="dot"/>
            </w:tabs>
            <w:rPr/>
          </w:pPr>
          <w:hyperlink w:anchor="__RefHeading___Toc4629112_2142443653">
            <w:r>
              <w:rPr>
                <w:webHidden/>
                <w:rStyle w:val="IndexLink"/>
                <w:rtl w:val="true"/>
              </w:rPr>
              <w:t>الخامسة</w:t>
            </w:r>
            <w:r>
              <w:rPr>
                <w:rStyle w:val="IndexLink"/>
                <w:rtl w:val="true"/>
              </w:rPr>
              <w:t xml:space="preserve">: </w:t>
            </w:r>
            <w:r>
              <w:rPr>
                <w:rStyle w:val="IndexLink"/>
                <w:rtl w:val="true"/>
              </w:rPr>
              <w:t>في اعتبارات موضوع العامّ المخصَّص</w:t>
            </w:r>
            <w:r>
              <w:rPr>
                <w:rStyle w:val="IndexLink"/>
                <w:rtl w:val="true"/>
              </w:rPr>
              <w:tab/>
            </w:r>
            <w:r>
              <w:rPr>
                <w:rStyle w:val="IndexLink"/>
              </w:rPr>
              <w:t>324</w:t>
            </w:r>
          </w:hyperlink>
        </w:p>
        <w:p>
          <w:pPr>
            <w:pStyle w:val="Contents6"/>
            <w:tabs>
              <w:tab w:val="clear" w:pos="7609"/>
              <w:tab w:val="right" w:pos="9026" w:leader="dot"/>
            </w:tabs>
            <w:rPr/>
          </w:pPr>
          <w:hyperlink w:anchor="__RefHeading___Toc4629114_2142443653">
            <w:r>
              <w:rPr>
                <w:webHidden/>
                <w:rStyle w:val="IndexLink"/>
                <w:rtl w:val="true"/>
              </w:rPr>
              <w:t>التحقيق في المقام</w:t>
            </w:r>
            <w:r>
              <w:rPr>
                <w:rStyle w:val="IndexLink"/>
                <w:rtl w:val="true"/>
              </w:rPr>
              <w:tab/>
            </w:r>
            <w:r>
              <w:rPr>
                <w:rStyle w:val="IndexLink"/>
              </w:rPr>
              <w:t>325</w:t>
            </w:r>
          </w:hyperlink>
        </w:p>
        <w:p>
          <w:pPr>
            <w:pStyle w:val="Contents5"/>
            <w:tabs>
              <w:tab w:val="clear" w:pos="7892"/>
              <w:tab w:val="right" w:pos="9026" w:leader="dot"/>
            </w:tabs>
            <w:rPr/>
          </w:pPr>
          <w:hyperlink w:anchor="__RefHeading___Toc4629116_2142443653">
            <w:r>
              <w:rPr>
                <w:webHidden/>
                <w:rStyle w:val="IndexLink"/>
                <w:rtl w:val="true"/>
              </w:rPr>
              <w:t>التنبيه الرابع في التمسّك بعمومات النذر وأمثاله لكشف حال الفرد</w:t>
            </w:r>
            <w:r>
              <w:rPr>
                <w:rStyle w:val="IndexLink"/>
                <w:rtl w:val="true"/>
              </w:rPr>
              <w:tab/>
            </w:r>
            <w:r>
              <w:rPr>
                <w:rStyle w:val="IndexLink"/>
              </w:rPr>
              <w:t>329</w:t>
            </w:r>
          </w:hyperlink>
        </w:p>
        <w:p>
          <w:pPr>
            <w:pStyle w:val="Contents5"/>
            <w:tabs>
              <w:tab w:val="clear" w:pos="7892"/>
              <w:tab w:val="right" w:pos="9026" w:leader="dot"/>
            </w:tabs>
            <w:rPr/>
          </w:pPr>
          <w:hyperlink w:anchor="__RefHeading___Toc4629118_2142443653">
            <w:r>
              <w:rPr>
                <w:webHidden/>
                <w:rStyle w:val="IndexLink"/>
                <w:rtl w:val="true"/>
              </w:rPr>
              <w:t>التنبيه الخامس التمسّك بالعامّ لكشف حال الفرد عند الشكّ بين التخصيص والتخصّص</w:t>
            </w:r>
            <w:r>
              <w:rPr>
                <w:rStyle w:val="IndexLink"/>
                <w:rtl w:val="true"/>
              </w:rPr>
              <w:tab/>
            </w:r>
            <w:r>
              <w:rPr>
                <w:rStyle w:val="IndexLink"/>
              </w:rPr>
              <w:t>330</w:t>
            </w:r>
          </w:hyperlink>
        </w:p>
        <w:p>
          <w:pPr>
            <w:pStyle w:val="Contents5"/>
            <w:tabs>
              <w:tab w:val="clear" w:pos="7892"/>
              <w:tab w:val="right" w:pos="9026" w:leader="dot"/>
            </w:tabs>
            <w:rPr/>
          </w:pPr>
          <w:hyperlink w:anchor="__RefHeading___Toc4629120_2142443653">
            <w:r>
              <w:rPr>
                <w:webHidden/>
                <w:rStyle w:val="IndexLink"/>
                <w:rtl w:val="true"/>
              </w:rPr>
              <w:t>التنبيه السادس في دوران الأمر بين التخصيص والتخصّص لإجمال الخاصّ</w:t>
            </w:r>
            <w:r>
              <w:rPr>
                <w:rStyle w:val="IndexLink"/>
                <w:rtl w:val="true"/>
              </w:rPr>
              <w:tab/>
            </w:r>
            <w:r>
              <w:rPr>
                <w:rStyle w:val="IndexLink"/>
              </w:rPr>
              <w:t>331</w:t>
            </w:r>
          </w:hyperlink>
        </w:p>
        <w:p>
          <w:pPr>
            <w:pStyle w:val="Contents3"/>
            <w:tabs>
              <w:tab w:val="clear" w:pos="8459"/>
              <w:tab w:val="right" w:pos="9026" w:leader="dot"/>
            </w:tabs>
            <w:rPr/>
          </w:pPr>
          <w:hyperlink w:anchor="__RefHeading___Toc4629122_2142443653">
            <w:r>
              <w:rPr>
                <w:webHidden/>
                <w:rStyle w:val="IndexLink"/>
                <w:rtl w:val="true"/>
              </w:rPr>
              <w:t>الفصل الثالث هل يجوز العمل بالعامّ قبل الفحص ؟</w:t>
            </w:r>
            <w:r>
              <w:rPr>
                <w:rStyle w:val="IndexLink"/>
                <w:rtl w:val="true"/>
              </w:rPr>
              <w:tab/>
            </w:r>
            <w:r>
              <w:rPr>
                <w:rStyle w:val="IndexLink"/>
              </w:rPr>
              <w:t>333</w:t>
            </w:r>
          </w:hyperlink>
        </w:p>
        <w:p>
          <w:pPr>
            <w:pStyle w:val="Contents4"/>
            <w:tabs>
              <w:tab w:val="clear" w:pos="8176"/>
              <w:tab w:val="right" w:pos="9026" w:leader="dot"/>
            </w:tabs>
            <w:rPr/>
          </w:pPr>
          <w:hyperlink w:anchor="__RefHeading___Toc4629124_214244365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4629126_2142443653">
            <w:r>
              <w:rPr>
                <w:webHidden/>
                <w:rStyle w:val="IndexLink"/>
                <w:rtl w:val="true"/>
              </w:rPr>
              <w:t>الاستدلال على وجوب الفحص عن المخصّص بمعرضية العامّ للتخصيص</w:t>
            </w:r>
            <w:r>
              <w:rPr>
                <w:rStyle w:val="IndexLink"/>
                <w:rtl w:val="true"/>
              </w:rPr>
              <w:tab/>
            </w:r>
            <w:r>
              <w:rPr>
                <w:rStyle w:val="IndexLink"/>
              </w:rPr>
              <w:t>334</w:t>
            </w:r>
          </w:hyperlink>
        </w:p>
        <w:p>
          <w:pPr>
            <w:pStyle w:val="Contents4"/>
            <w:tabs>
              <w:tab w:val="clear" w:pos="8176"/>
              <w:tab w:val="right" w:pos="9026" w:leader="dot"/>
            </w:tabs>
            <w:rPr/>
          </w:pPr>
          <w:hyperlink w:anchor="__RefHeading___Toc4629128_2142443653">
            <w:r>
              <w:rPr>
                <w:webHidden/>
                <w:rStyle w:val="IndexLink"/>
                <w:rtl w:val="true"/>
              </w:rPr>
              <w:t>الاستدلال على وجوب الفحص عن المخصّص بالعلم الإجمالي</w:t>
            </w:r>
            <w:r>
              <w:rPr>
                <w:rStyle w:val="IndexLink"/>
                <w:rtl w:val="true"/>
              </w:rPr>
              <w:tab/>
            </w:r>
            <w:r>
              <w:rPr>
                <w:rStyle w:val="IndexLink"/>
              </w:rPr>
              <w:t>337</w:t>
            </w:r>
          </w:hyperlink>
        </w:p>
        <w:p>
          <w:pPr>
            <w:pStyle w:val="Contents4"/>
            <w:tabs>
              <w:tab w:val="clear" w:pos="8176"/>
              <w:tab w:val="right" w:pos="9026" w:leader="dot"/>
            </w:tabs>
            <w:rPr/>
          </w:pPr>
          <w:hyperlink w:anchor="__RefHeading___Toc4629130_2142443653">
            <w:r>
              <w:rPr>
                <w:webHidden/>
                <w:rStyle w:val="IndexLink"/>
                <w:rtl w:val="true"/>
              </w:rPr>
              <w:t>مقدار الفحص عن المخصّص</w:t>
            </w:r>
            <w:r>
              <w:rPr>
                <w:rStyle w:val="IndexLink"/>
                <w:rtl w:val="true"/>
              </w:rPr>
              <w:tab/>
            </w:r>
            <w:r>
              <w:rPr>
                <w:rStyle w:val="IndexLink"/>
              </w:rPr>
              <w:t>340</w:t>
            </w:r>
          </w:hyperlink>
        </w:p>
        <w:p>
          <w:pPr>
            <w:pStyle w:val="Contents3"/>
            <w:tabs>
              <w:tab w:val="clear" w:pos="8459"/>
              <w:tab w:val="right" w:pos="9026" w:leader="dot"/>
            </w:tabs>
            <w:rPr/>
          </w:pPr>
          <w:hyperlink w:anchor="__RefHeading___Toc4629132_2142443653">
            <w:r>
              <w:rPr>
                <w:webHidden/>
                <w:rStyle w:val="IndexLink"/>
                <w:rtl w:val="true"/>
              </w:rPr>
              <w:t>الفصل الرابع في عموم الخطابات الشفاهية لغير الحاضرين</w:t>
            </w:r>
            <w:r>
              <w:rPr>
                <w:rStyle w:val="IndexLink"/>
                <w:rtl w:val="true"/>
              </w:rPr>
              <w:tab/>
            </w:r>
            <w:r>
              <w:rPr>
                <w:rStyle w:val="IndexLink"/>
              </w:rPr>
              <w:t>341</w:t>
            </w:r>
          </w:hyperlink>
        </w:p>
        <w:p>
          <w:pPr>
            <w:pStyle w:val="Contents4"/>
            <w:tabs>
              <w:tab w:val="clear" w:pos="8176"/>
              <w:tab w:val="right" w:pos="9026" w:leader="dot"/>
            </w:tabs>
            <w:rPr/>
          </w:pPr>
          <w:hyperlink w:anchor="__RefHeading___Toc4629134_2142443653">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4629136_2142443653">
            <w:r>
              <w:rPr>
                <w:webHidden/>
                <w:rStyle w:val="IndexLink"/>
                <w:rtl w:val="true"/>
              </w:rPr>
              <w:t>التحقيق في المقام</w:t>
            </w:r>
            <w:r>
              <w:rPr>
                <w:rStyle w:val="IndexLink"/>
                <w:rtl w:val="true"/>
              </w:rPr>
              <w:tab/>
            </w:r>
            <w:r>
              <w:rPr>
                <w:rStyle w:val="IndexLink"/>
              </w:rPr>
              <w:t>345</w:t>
            </w:r>
          </w:hyperlink>
        </w:p>
        <w:p>
          <w:pPr>
            <w:pStyle w:val="Contents4"/>
            <w:tabs>
              <w:tab w:val="clear" w:pos="8176"/>
              <w:tab w:val="right" w:pos="9026" w:leader="dot"/>
            </w:tabs>
            <w:rPr/>
          </w:pPr>
          <w:hyperlink w:anchor="__RefHeading___Toc4629138_2142443653">
            <w:r>
              <w:rPr>
                <w:webHidden/>
                <w:rStyle w:val="IndexLink"/>
                <w:rtl w:val="true"/>
              </w:rPr>
              <w:t>تتمّة</w:t>
            </w:r>
            <w:r>
              <w:rPr>
                <w:rStyle w:val="IndexLink"/>
                <w:rtl w:val="true"/>
              </w:rPr>
              <w:t xml:space="preserve">: </w:t>
            </w:r>
            <w:r>
              <w:rPr>
                <w:rStyle w:val="IndexLink"/>
                <w:rtl w:val="true"/>
              </w:rPr>
              <w:t>في ثمرة النزاع</w:t>
            </w:r>
            <w:r>
              <w:rPr>
                <w:rStyle w:val="IndexLink"/>
                <w:rtl w:val="true"/>
              </w:rPr>
              <w:tab/>
            </w:r>
            <w:r>
              <w:rPr>
                <w:rStyle w:val="IndexLink"/>
              </w:rPr>
              <w:t>348</w:t>
            </w:r>
          </w:hyperlink>
        </w:p>
        <w:p>
          <w:pPr>
            <w:pStyle w:val="Contents3"/>
            <w:tabs>
              <w:tab w:val="clear" w:pos="8459"/>
              <w:tab w:val="right" w:pos="9026" w:leader="dot"/>
            </w:tabs>
            <w:rPr/>
          </w:pPr>
          <w:hyperlink w:anchor="__RefHeading___Toc4629140_2142443653">
            <w:r>
              <w:rPr>
                <w:webHidden/>
                <w:rStyle w:val="IndexLink"/>
                <w:rtl w:val="true"/>
              </w:rPr>
              <w:t>الفصل الخامس في تخصيص العامّ بالضمير الراجع إلى بعض أفراده</w:t>
            </w:r>
            <w:r>
              <w:rPr>
                <w:rStyle w:val="IndexLink"/>
                <w:rtl w:val="true"/>
              </w:rPr>
              <w:tab/>
            </w:r>
            <w:r>
              <w:rPr>
                <w:rStyle w:val="IndexLink"/>
              </w:rPr>
              <w:t>350</w:t>
            </w:r>
          </w:hyperlink>
        </w:p>
        <w:p>
          <w:pPr>
            <w:pStyle w:val="Contents3"/>
            <w:tabs>
              <w:tab w:val="clear" w:pos="8459"/>
              <w:tab w:val="right" w:pos="9026" w:leader="dot"/>
            </w:tabs>
            <w:rPr/>
          </w:pPr>
          <w:hyperlink w:anchor="__RefHeading___Toc4629142_2142443653">
            <w:r>
              <w:rPr>
                <w:webHidden/>
                <w:rStyle w:val="IndexLink"/>
                <w:rtl w:val="true"/>
              </w:rPr>
              <w:t>الفصل السادس في تخصيص العامّ بالمفهوم</w:t>
            </w:r>
            <w:r>
              <w:rPr>
                <w:rStyle w:val="IndexLink"/>
                <w:rtl w:val="true"/>
              </w:rPr>
              <w:tab/>
            </w:r>
            <w:r>
              <w:rPr>
                <w:rStyle w:val="IndexLink"/>
              </w:rPr>
              <w:t>354</w:t>
            </w:r>
          </w:hyperlink>
        </w:p>
        <w:p>
          <w:pPr>
            <w:pStyle w:val="Contents4"/>
            <w:tabs>
              <w:tab w:val="clear" w:pos="8176"/>
              <w:tab w:val="right" w:pos="9026" w:leader="dot"/>
            </w:tabs>
            <w:rPr/>
          </w:pPr>
          <w:hyperlink w:anchor="__RefHeading___Toc4629144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4629146_2142443653">
            <w:r>
              <w:rPr>
                <w:webHidden/>
                <w:rStyle w:val="IndexLink"/>
                <w:rtl w:val="true"/>
              </w:rPr>
              <w:t>المقام الأوّل</w:t>
            </w:r>
            <w:r>
              <w:rPr>
                <w:rStyle w:val="IndexLink"/>
                <w:rtl w:val="true"/>
              </w:rPr>
              <w:t xml:space="preserve">: </w:t>
            </w:r>
            <w:r>
              <w:rPr>
                <w:rStyle w:val="IndexLink"/>
                <w:rtl w:val="true"/>
              </w:rPr>
              <w:t>في المفهوم الموافق</w:t>
            </w:r>
            <w:r>
              <w:rPr>
                <w:rStyle w:val="IndexLink"/>
                <w:rtl w:val="true"/>
              </w:rPr>
              <w:tab/>
            </w:r>
            <w:r>
              <w:rPr>
                <w:rStyle w:val="IndexLink"/>
              </w:rPr>
              <w:t>354</w:t>
            </w:r>
          </w:hyperlink>
        </w:p>
        <w:p>
          <w:pPr>
            <w:pStyle w:val="Contents4"/>
            <w:tabs>
              <w:tab w:val="clear" w:pos="8176"/>
              <w:tab w:val="right" w:pos="9026" w:leader="dot"/>
            </w:tabs>
            <w:rPr/>
          </w:pPr>
          <w:hyperlink w:anchor="__RefHeading___Toc4629148_2142443653">
            <w:r>
              <w:rPr>
                <w:webHidden/>
                <w:rStyle w:val="IndexLink"/>
                <w:rtl w:val="true"/>
              </w:rPr>
              <w:t>المقام الثاني</w:t>
            </w:r>
            <w:r>
              <w:rPr>
                <w:rStyle w:val="IndexLink"/>
                <w:rtl w:val="true"/>
              </w:rPr>
              <w:t xml:space="preserve">: </w:t>
            </w:r>
            <w:r>
              <w:rPr>
                <w:rStyle w:val="IndexLink"/>
                <w:rtl w:val="true"/>
              </w:rPr>
              <w:t>في المفهوم المخالف</w:t>
            </w:r>
            <w:r>
              <w:rPr>
                <w:rStyle w:val="IndexLink"/>
                <w:rtl w:val="true"/>
              </w:rPr>
              <w:tab/>
            </w:r>
            <w:r>
              <w:rPr>
                <w:rStyle w:val="IndexLink"/>
              </w:rPr>
              <w:t>358</w:t>
            </w:r>
          </w:hyperlink>
        </w:p>
        <w:p>
          <w:pPr>
            <w:pStyle w:val="Contents3"/>
            <w:tabs>
              <w:tab w:val="clear" w:pos="8459"/>
              <w:tab w:val="right" w:pos="9026" w:leader="dot"/>
            </w:tabs>
            <w:rPr/>
          </w:pPr>
          <w:hyperlink w:anchor="__RefHeading___Toc4629150_2142443653">
            <w:r>
              <w:rPr>
                <w:webHidden/>
                <w:rStyle w:val="IndexLink"/>
                <w:rtl w:val="true"/>
              </w:rPr>
              <w:t>الفصل السابع في الاستثناء المتعقّب لجمل متعدّدة</w:t>
            </w:r>
            <w:r>
              <w:rPr>
                <w:rStyle w:val="IndexLink"/>
                <w:rtl w:val="true"/>
              </w:rPr>
              <w:tab/>
            </w:r>
            <w:r>
              <w:rPr>
                <w:rStyle w:val="IndexLink"/>
              </w:rPr>
              <w:t>361</w:t>
            </w:r>
          </w:hyperlink>
        </w:p>
        <w:p>
          <w:pPr>
            <w:pStyle w:val="Contents4"/>
            <w:tabs>
              <w:tab w:val="clear" w:pos="8176"/>
              <w:tab w:val="right" w:pos="9026" w:leader="dot"/>
            </w:tabs>
            <w:rPr/>
          </w:pPr>
          <w:hyperlink w:anchor="__RefHeading___Toc4629152_2142443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4629154_2142443653">
            <w:r>
              <w:rPr>
                <w:webHidden/>
                <w:rStyle w:val="IndexLink"/>
                <w:rtl w:val="true"/>
              </w:rPr>
              <w:t>المقام الأوّل</w:t>
            </w:r>
            <w:r>
              <w:rPr>
                <w:rStyle w:val="IndexLink"/>
                <w:rtl w:val="true"/>
              </w:rPr>
              <w:t xml:space="preserve">: </w:t>
            </w:r>
            <w:r>
              <w:rPr>
                <w:rStyle w:val="IndexLink"/>
                <w:rtl w:val="true"/>
              </w:rPr>
              <w:t>في إمكان الرجوع إلى الجميع</w:t>
            </w:r>
            <w:r>
              <w:rPr>
                <w:rStyle w:val="IndexLink"/>
                <w:rtl w:val="true"/>
              </w:rPr>
              <w:tab/>
            </w:r>
            <w:r>
              <w:rPr>
                <w:rStyle w:val="IndexLink"/>
              </w:rPr>
              <w:t>361</w:t>
            </w:r>
          </w:hyperlink>
        </w:p>
        <w:p>
          <w:pPr>
            <w:pStyle w:val="Contents4"/>
            <w:tabs>
              <w:tab w:val="clear" w:pos="8176"/>
              <w:tab w:val="right" w:pos="9026" w:leader="dot"/>
            </w:tabs>
            <w:rPr/>
          </w:pPr>
          <w:hyperlink w:anchor="__RefHeading___Toc4629156_2142443653">
            <w:r>
              <w:rPr>
                <w:webHidden/>
                <w:rStyle w:val="IndexLink"/>
                <w:rtl w:val="true"/>
              </w:rPr>
              <w:t>المقام الثاني</w:t>
            </w:r>
            <w:r>
              <w:rPr>
                <w:rStyle w:val="IndexLink"/>
                <w:rtl w:val="true"/>
              </w:rPr>
              <w:t xml:space="preserve">: </w:t>
            </w:r>
            <w:r>
              <w:rPr>
                <w:rStyle w:val="IndexLink"/>
                <w:rtl w:val="true"/>
              </w:rPr>
              <w:t>في حاله إثباتاً</w:t>
            </w:r>
            <w:r>
              <w:rPr>
                <w:rStyle w:val="IndexLink"/>
                <w:rtl w:val="true"/>
              </w:rPr>
              <w:tab/>
            </w:r>
            <w:r>
              <w:rPr>
                <w:rStyle w:val="IndexLink"/>
              </w:rPr>
              <w:t>362</w:t>
            </w:r>
          </w:hyperlink>
        </w:p>
        <w:p>
          <w:pPr>
            <w:pStyle w:val="Contents2"/>
            <w:tabs>
              <w:tab w:val="clear" w:pos="8743"/>
              <w:tab w:val="right" w:pos="9026" w:leader="dot"/>
            </w:tabs>
            <w:rPr/>
          </w:pPr>
          <w:hyperlink w:anchor="__RefHeading___Toc4629158_2142443653">
            <w:r>
              <w:rPr>
                <w:webHidden/>
                <w:rStyle w:val="IndexLink"/>
                <w:rtl w:val="true"/>
              </w:rPr>
              <w:t>المقصد الخامس في المطلق والمقيّد</w:t>
            </w:r>
            <w:r>
              <w:rPr>
                <w:rStyle w:val="IndexLink"/>
                <w:rtl w:val="true"/>
              </w:rPr>
              <w:tab/>
            </w:r>
            <w:r>
              <w:rPr>
                <w:rStyle w:val="IndexLink"/>
              </w:rPr>
              <w:t>367</w:t>
            </w:r>
          </w:hyperlink>
        </w:p>
        <w:p>
          <w:pPr>
            <w:pStyle w:val="Contents3"/>
            <w:tabs>
              <w:tab w:val="clear" w:pos="8459"/>
              <w:tab w:val="right" w:pos="9026" w:leader="dot"/>
            </w:tabs>
            <w:rPr/>
          </w:pPr>
          <w:hyperlink w:anchor="__RefHeading___Toc4629160_2142443653">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4629162_2142443653">
            <w:r>
              <w:rPr>
                <w:webHidden/>
                <w:rStyle w:val="IndexLink"/>
                <w:rtl w:val="true"/>
              </w:rPr>
              <w:t>الفصل الأوّل في تعريف المطلق والمقيّد</w:t>
            </w:r>
            <w:r>
              <w:rPr>
                <w:rStyle w:val="IndexLink"/>
                <w:rtl w:val="true"/>
              </w:rPr>
              <w:tab/>
            </w:r>
            <w:r>
              <w:rPr>
                <w:rStyle w:val="IndexLink"/>
              </w:rPr>
              <w:t>369</w:t>
            </w:r>
          </w:hyperlink>
        </w:p>
        <w:p>
          <w:pPr>
            <w:pStyle w:val="Contents3"/>
            <w:tabs>
              <w:tab w:val="clear" w:pos="8459"/>
              <w:tab w:val="right" w:pos="9026" w:leader="dot"/>
            </w:tabs>
            <w:rPr/>
          </w:pPr>
          <w:hyperlink w:anchor="__RefHeading___Toc4629164_2142443653">
            <w:r>
              <w:rPr>
                <w:webHidden/>
                <w:rStyle w:val="IndexLink"/>
                <w:rtl w:val="true"/>
              </w:rPr>
              <w:t>الفصل الثاني في اسم الجنس والماهية وأقسامها</w:t>
            </w:r>
            <w:r>
              <w:rPr>
                <w:rStyle w:val="IndexLink"/>
                <w:rtl w:val="true"/>
              </w:rPr>
              <w:tab/>
            </w:r>
            <w:r>
              <w:rPr>
                <w:rStyle w:val="IndexLink"/>
              </w:rPr>
              <w:t>372</w:t>
            </w:r>
          </w:hyperlink>
        </w:p>
        <w:p>
          <w:pPr>
            <w:pStyle w:val="Contents4"/>
            <w:tabs>
              <w:tab w:val="clear" w:pos="8176"/>
              <w:tab w:val="right" w:pos="9026" w:leader="dot"/>
            </w:tabs>
            <w:rPr/>
          </w:pPr>
          <w:hyperlink w:anchor="__RefHeading___Toc4629166_2142443653">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4629168_2142443653">
            <w:r>
              <w:rPr>
                <w:webHidden/>
                <w:rStyle w:val="IndexLink"/>
                <w:rtl w:val="true"/>
              </w:rPr>
              <w:t>تتميم</w:t>
            </w:r>
            <w:r>
              <w:rPr>
                <w:rStyle w:val="IndexLink"/>
                <w:rtl w:val="true"/>
              </w:rPr>
              <w:t xml:space="preserve">: </w:t>
            </w:r>
            <w:r>
              <w:rPr>
                <w:rStyle w:val="IndexLink"/>
                <w:rtl w:val="true"/>
              </w:rPr>
              <w:t>في اسم الجنس وعلمه</w:t>
            </w:r>
            <w:r>
              <w:rPr>
                <w:rStyle w:val="IndexLink"/>
                <w:rtl w:val="true"/>
              </w:rPr>
              <w:tab/>
            </w:r>
            <w:r>
              <w:rPr>
                <w:rStyle w:val="IndexLink"/>
              </w:rPr>
              <w:t>377</w:t>
            </w:r>
          </w:hyperlink>
        </w:p>
        <w:p>
          <w:pPr>
            <w:pStyle w:val="Contents3"/>
            <w:tabs>
              <w:tab w:val="clear" w:pos="8459"/>
              <w:tab w:val="right" w:pos="9026" w:leader="dot"/>
            </w:tabs>
            <w:rPr/>
          </w:pPr>
          <w:hyperlink w:anchor="__RefHeading___Toc4629170_2142443653">
            <w:r>
              <w:rPr>
                <w:webHidden/>
                <w:rStyle w:val="IndexLink"/>
                <w:rtl w:val="true"/>
              </w:rPr>
              <w:t>الفصل الثالث في مقدّمات الحكمة</w:t>
            </w:r>
            <w:r>
              <w:rPr>
                <w:rStyle w:val="IndexLink"/>
                <w:rtl w:val="true"/>
              </w:rPr>
              <w:tab/>
            </w:r>
            <w:r>
              <w:rPr>
                <w:rStyle w:val="IndexLink"/>
              </w:rPr>
              <w:t>380</w:t>
            </w:r>
          </w:hyperlink>
        </w:p>
        <w:p>
          <w:pPr>
            <w:pStyle w:val="Contents4"/>
            <w:tabs>
              <w:tab w:val="clear" w:pos="8176"/>
              <w:tab w:val="right" w:pos="9026" w:leader="dot"/>
            </w:tabs>
            <w:rPr/>
          </w:pPr>
          <w:hyperlink w:anchor="__RefHeading___Toc4629172_2142443653">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4629174_2142443653">
            <w:r>
              <w:rPr>
                <w:webHidden/>
                <w:rStyle w:val="IndexLink"/>
                <w:rtl w:val="true"/>
              </w:rPr>
              <w:t>تتميم</w:t>
            </w:r>
            <w:r>
              <w:rPr>
                <w:rStyle w:val="IndexLink"/>
                <w:rtl w:val="true"/>
              </w:rPr>
              <w:t xml:space="preserve">: </w:t>
            </w:r>
            <w:r>
              <w:rPr>
                <w:rStyle w:val="IndexLink"/>
                <w:rtl w:val="true"/>
              </w:rPr>
              <w:t>في الأصل عند الشكّ في مقام البيان</w:t>
            </w:r>
            <w:r>
              <w:rPr>
                <w:rStyle w:val="IndexLink"/>
                <w:rtl w:val="true"/>
              </w:rPr>
              <w:tab/>
            </w:r>
            <w:r>
              <w:rPr>
                <w:rStyle w:val="IndexLink"/>
              </w:rPr>
              <w:t>383</w:t>
            </w:r>
          </w:hyperlink>
        </w:p>
        <w:p>
          <w:pPr>
            <w:pStyle w:val="Contents3"/>
            <w:tabs>
              <w:tab w:val="clear" w:pos="8459"/>
              <w:tab w:val="right" w:pos="9026" w:leader="dot"/>
            </w:tabs>
            <w:rPr/>
          </w:pPr>
          <w:hyperlink w:anchor="__RefHeading___Toc4629176_2142443653">
            <w:r>
              <w:rPr>
                <w:webHidden/>
                <w:rStyle w:val="IndexLink"/>
                <w:rtl w:val="true"/>
              </w:rPr>
              <w:t>الفصل الرابع في حمل المطلق على المقيّد</w:t>
            </w:r>
            <w:r>
              <w:rPr>
                <w:rStyle w:val="IndexLink"/>
                <w:rtl w:val="true"/>
              </w:rPr>
              <w:tab/>
            </w:r>
            <w:r>
              <w:rPr>
                <w:rStyle w:val="IndexLink"/>
              </w:rPr>
              <w:t>384</w:t>
            </w:r>
          </w:hyperlink>
        </w:p>
        <w:p>
          <w:pPr>
            <w:pStyle w:val="Contents4"/>
            <w:tabs>
              <w:tab w:val="clear" w:pos="8176"/>
              <w:tab w:val="right" w:pos="9026" w:leader="dot"/>
            </w:tabs>
            <w:rPr/>
          </w:pPr>
          <w:hyperlink w:anchor="__RefHeading___Toc4629178_2142443653">
            <w:r>
              <w:rPr>
                <w:webHidden/>
                <w:rStyle w:val="IndexLink"/>
                <w:rtl w:val="true"/>
              </w:rPr>
              <w:t>الصور المتصوّرة في ورود المطلق والمقيّد</w:t>
            </w:r>
            <w:r>
              <w:rPr>
                <w:rStyle w:val="IndexLink"/>
                <w:rtl w:val="true"/>
              </w:rPr>
              <w:tab/>
            </w:r>
            <w:r>
              <w:rPr>
                <w:rStyle w:val="IndexLink"/>
              </w:rPr>
              <w:t>384</w:t>
            </w:r>
          </w:hyperlink>
        </w:p>
        <w:p>
          <w:pPr>
            <w:pStyle w:val="Contents4"/>
            <w:tabs>
              <w:tab w:val="clear" w:pos="8176"/>
              <w:tab w:val="right" w:pos="9026" w:leader="dot"/>
            </w:tabs>
            <w:rPr/>
          </w:pPr>
          <w:hyperlink w:anchor="__RefHeading___Toc4629180_2142443653">
            <w:r>
              <w:rPr>
                <w:webHidden/>
                <w:rStyle w:val="IndexLink"/>
                <w:rtl w:val="true"/>
              </w:rPr>
              <w:t>تحرير محطّ البحث</w:t>
            </w:r>
            <w:r>
              <w:rPr>
                <w:rStyle w:val="IndexLink"/>
                <w:rtl w:val="true"/>
              </w:rPr>
              <w:tab/>
            </w:r>
            <w:r>
              <w:rPr>
                <w:rStyle w:val="IndexLink"/>
              </w:rPr>
              <w:t>385</w:t>
            </w:r>
          </w:hyperlink>
        </w:p>
        <w:p>
          <w:pPr>
            <w:pStyle w:val="Contents4"/>
            <w:tabs>
              <w:tab w:val="clear" w:pos="8176"/>
              <w:tab w:val="right" w:pos="9026" w:leader="dot"/>
            </w:tabs>
            <w:rPr/>
          </w:pPr>
          <w:hyperlink w:anchor="__RefHeading___Toc4629182_2142443653">
            <w:r>
              <w:rPr>
                <w:webHidden/>
                <w:rStyle w:val="IndexLink"/>
                <w:rtl w:val="true"/>
              </w:rPr>
              <w:t>أحكام الصور المهمّة في المسألة</w:t>
            </w:r>
            <w:r>
              <w:rPr>
                <w:rStyle w:val="IndexLink"/>
                <w:rtl w:val="true"/>
              </w:rPr>
              <w:tab/>
            </w:r>
            <w:r>
              <w:rPr>
                <w:rStyle w:val="IndexLink"/>
              </w:rPr>
              <w:t>386</w:t>
            </w:r>
          </w:hyperlink>
        </w:p>
        <w:p>
          <w:pPr>
            <w:pStyle w:val="Contents2"/>
            <w:tabs>
              <w:tab w:val="clear" w:pos="8743"/>
              <w:tab w:val="right" w:pos="9026" w:leader="dot"/>
            </w:tabs>
            <w:rPr/>
          </w:pPr>
          <w:hyperlink w:anchor="__RefHeading___Toc4629184_2142443653">
            <w:r>
              <w:rPr>
                <w:webHidden/>
                <w:rStyle w:val="IndexLink"/>
                <w:rtl w:val="true"/>
              </w:rPr>
              <w:t>الفهارس العامّة</w:t>
            </w:r>
            <w:r>
              <w:rPr>
                <w:rStyle w:val="IndexLink"/>
                <w:rtl w:val="true"/>
              </w:rPr>
              <w:tab/>
            </w:r>
            <w:r>
              <w:rPr>
                <w:rStyle w:val="IndexLink"/>
              </w:rPr>
              <w:t>393</w:t>
            </w:r>
          </w:hyperlink>
        </w:p>
        <w:p>
          <w:pPr>
            <w:pStyle w:val="Contents3"/>
            <w:tabs>
              <w:tab w:val="clear" w:pos="8459"/>
              <w:tab w:val="right" w:pos="9026" w:leader="dot"/>
            </w:tabs>
            <w:rPr/>
          </w:pPr>
          <w:hyperlink w:anchor="__RefHeading___Toc4629186_2142443653">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4629188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395</w:t>
            </w:r>
          </w:hyperlink>
        </w:p>
        <w:p>
          <w:pPr>
            <w:pStyle w:val="Contents3"/>
            <w:tabs>
              <w:tab w:val="clear" w:pos="8459"/>
              <w:tab w:val="right" w:pos="9026" w:leader="dot"/>
            </w:tabs>
            <w:rPr/>
          </w:pPr>
          <w:hyperlink w:anchor="__RefHeading___Toc4629190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397</w:t>
            </w:r>
          </w:hyperlink>
        </w:p>
        <w:p>
          <w:pPr>
            <w:pStyle w:val="Contents3"/>
            <w:tabs>
              <w:tab w:val="clear" w:pos="8459"/>
              <w:tab w:val="right" w:pos="9026" w:leader="dot"/>
            </w:tabs>
            <w:rPr/>
          </w:pPr>
          <w:hyperlink w:anchor="__RefHeading___Toc4629192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4629194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401</w:t>
            </w:r>
          </w:hyperlink>
        </w:p>
        <w:p>
          <w:pPr>
            <w:pStyle w:val="Contents3"/>
            <w:tabs>
              <w:tab w:val="clear" w:pos="8459"/>
              <w:tab w:val="right" w:pos="9026" w:leader="dot"/>
            </w:tabs>
            <w:rPr/>
          </w:pPr>
          <w:hyperlink w:anchor="__RefHeading___Toc4629196_2142443653">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405</w:t>
            </w:r>
          </w:hyperlink>
        </w:p>
        <w:p>
          <w:pPr>
            <w:pStyle w:val="Contents3"/>
            <w:tabs>
              <w:tab w:val="clear" w:pos="8459"/>
              <w:tab w:val="right" w:pos="9026" w:leader="dot"/>
            </w:tabs>
            <w:rPr/>
          </w:pPr>
          <w:hyperlink w:anchor="__RefHeading___Toc4629198_2142443653">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407</w:t>
            </w:r>
          </w:hyperlink>
        </w:p>
        <w:p>
          <w:pPr>
            <w:pStyle w:val="Contents3"/>
            <w:tabs>
              <w:tab w:val="clear" w:pos="8459"/>
              <w:tab w:val="right" w:pos="9026" w:leader="dot"/>
            </w:tabs>
            <w:rPr/>
          </w:pPr>
          <w:hyperlink w:anchor="__RefHeading___Toc4629200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419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89_219978"/>
      <w:bookmarkStart w:id="1" w:name="pg15289_219978"/>
      <w:bookmarkEnd w:id="1"/>
    </w:p>
    <w:p>
      <w:pPr>
        <w:pStyle w:val="Heading2"/>
        <w:numPr>
          <w:ilvl w:val="1"/>
          <w:numId w:val="1"/>
        </w:numPr>
        <w:rPr/>
      </w:pPr>
      <w:bookmarkStart w:id="2" w:name="pg15289_219978"/>
      <w:bookmarkStart w:id="3" w:name="__RefHeading___Toc4628760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الوصول الی علم الاصول المجلد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Heading2"/>
        <w:numPr>
          <w:ilvl w:val="1"/>
          <w:numId w:val="1"/>
        </w:numPr>
        <w:rPr/>
      </w:pPr>
      <w:bookmarkStart w:id="5" w:name="__RefHeading___Toc4628762_2142443653"/>
      <w:bookmarkStart w:id="6" w:name="_Toc2"/>
      <w:bookmarkEnd w:id="5"/>
      <w:r>
        <w:rPr>
          <w:rtl w:val="true"/>
        </w:rPr>
        <w:t>المقدّمة</w:t>
      </w:r>
      <w:bookmarkEnd w:id="6"/>
    </w:p>
    <w:p>
      <w:pPr>
        <w:pStyle w:val="Heading3"/>
        <w:numPr>
          <w:ilvl w:val="2"/>
          <w:numId w:val="1"/>
        </w:numPr>
        <w:rPr/>
      </w:pPr>
      <w:bookmarkStart w:id="7" w:name="__RefHeading___Toc4628764_2142443653"/>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 إلى يوم الدين</w:t>
      </w:r>
    </w:p>
    <w:p>
      <w:pPr>
        <w:pStyle w:val="BookText"/>
        <w:rPr/>
      </w:pPr>
      <w:r>
        <w:rPr>
          <w:rFonts w:ascii="Amiri" w:hAnsi="Amiri" w:eastAsia="Amiri" w:cs="Amiri"/>
          <w:color w:val="111111"/>
          <w:sz w:val="28"/>
          <w:sz w:val="28"/>
          <w:szCs w:val="28"/>
          <w:rtl w:val="true"/>
          <w:lang w:bidi="ar-SA"/>
        </w:rPr>
        <w:t>وبعد، فلمّا انتهى بحثنا في اُصول الفقه إلى مسألة الطلب والإرادة، المنتهية إلى مسألة الجبر والتفويض، أردنا أن نتركها لأهلها ومحلّها؛ لعدم إمكان أداء حقّها كما هو في هذه المظانّ؛ لكثرة مقدّماتها، ودقّة مطالبها، وبُعدها عن أفهام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إصرار بعض المولَعين بتنقيح المباحث ألجأني إلى التعرّض لبعض أطراف المسألة ممّا يناسب المقام، والإشارة إلى ما هو التحقيق ممّا ساق إليه البرهان، من غير ذكر البراهين غالباً؛ إيكالاً إلى العلم الأعلى المعدّ لتحقيق</w:t>
      </w:r>
    </w:p>
    <w:p>
      <w:pPr>
        <w:pStyle w:val="BookText"/>
        <w:rPr/>
      </w:pPr>
      <w:r>
        <w:rPr>
          <w:rFonts w:ascii="IRNazanin" w:hAnsi="IRNazanin" w:eastAsia="IRNazanin"/>
          <w:color w:val="111111"/>
          <w:sz w:val="28"/>
          <w:sz w:val="28"/>
          <w:szCs w:val="28"/>
          <w:rtl w:val="true"/>
          <w:lang w:bidi="fa-IR"/>
        </w:rPr>
        <w:t>هذه المباحث</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رأيت أنّ المسألة مع ذلك صارت طويلة الذيل، أفرزتها من بين المباحث رسالة مفردة مشتملة على مقدّمة ومطالب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الاختلاف في الطلب والإرادة هو الاختلاف في الكلام النفسي، ومبنى ذلك هو اختلاف أصحاب الكلام في أوصاف الواجب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الأشاعرة</w:t>
      </w:r>
      <w:r>
        <w:rPr>
          <w:rStyle w:val="FootnoteAnchor"/>
          <w:rtl w:val="true"/>
        </w:rPr>
        <w:footnoteReference w:id="2"/>
      </w:r>
      <w:r>
        <w:rPr>
          <w:rFonts w:ascii="Amiri" w:hAnsi="Amiri" w:eastAsia="Amiri" w:cs="Amiri"/>
          <w:color w:val="111111"/>
          <w:sz w:val="28"/>
          <w:sz w:val="28"/>
          <w:szCs w:val="28"/>
          <w:rtl w:val="true"/>
          <w:lang w:bidi="ar-SA"/>
        </w:rPr>
        <w:t>إلى جانب الإفراط بإثبات صفات قديمة زائدة على ذاته تعالى، قائمة بها؛ قياماً حلولياً ثابتة لها في الأزل، والمعتزلة</w:t>
      </w:r>
      <w:r>
        <w:rPr>
          <w:rStyle w:val="FootnoteAnchor"/>
          <w:rtl w:val="true"/>
        </w:rPr>
        <w:footnoteReference w:id="3"/>
      </w:r>
      <w:r>
        <w:rPr>
          <w:rFonts w:ascii="Amiri" w:hAnsi="Amiri" w:eastAsia="Amiri" w:cs="Amiri"/>
          <w:color w:val="111111"/>
          <w:sz w:val="28"/>
          <w:sz w:val="28"/>
          <w:szCs w:val="28"/>
          <w:rtl w:val="true"/>
          <w:lang w:bidi="ar-SA"/>
        </w:rPr>
        <w:t>إلى جانب التفريط من نفي الصفات عنه تعالى؛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نائبة مناب الصفات،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الغايات، واترك المبادي</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الفحل الوسط</w:t>
      </w:r>
      <w:r>
        <w:rPr>
          <w:rStyle w:val="FootnoteAnchor"/>
          <w:rtl w:val="true"/>
        </w:rPr>
        <w:footnoteReference w:id="4"/>
      </w:r>
      <w:r>
        <w:rPr>
          <w:rFonts w:ascii="Amiri" w:hAnsi="Amiri" w:eastAsia="Amiri" w:cs="Amiri"/>
          <w:color w:val="111111"/>
          <w:sz w:val="28"/>
          <w:sz w:val="28"/>
          <w:szCs w:val="28"/>
          <w:rtl w:val="true"/>
          <w:lang w:bidi="ar-SA"/>
        </w:rPr>
        <w:t xml:space="preserve">هو إثبات الصفات المتّحدة مع الذات؛ لأنّ صرف الوجود صرف كلّ كمال وجمال، لا تشذّ عنه حيثية كمالية، بل يرجع كلّ كمال </w:t>
      </w:r>
    </w:p>
    <w:p>
      <w:pPr>
        <w:pStyle w:val="BookText"/>
        <w:rPr/>
      </w:pPr>
      <w:r>
        <w:rPr>
          <w:rFonts w:ascii="Amiri" w:hAnsi="Amiri" w:eastAsia="Amiri" w:cs="Amiri"/>
          <w:color w:val="111111"/>
          <w:sz w:val="28"/>
          <w:sz w:val="28"/>
          <w:szCs w:val="28"/>
          <w:rtl w:val="true"/>
          <w:lang w:bidi="ar-SA"/>
        </w:rPr>
        <w:t>وجمال إلى حقيقة الوجود بحسب الخارج، وإلاّ يلزم الأصلان أو الاُصول، والتركيب في ذاته، والخلف في صرافة الوجود، والإمكان في الوجود الواجبي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يطول ذكرها وذكر البراهين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بحثهم إلى الكلام طال التشاجر بين الفريقين، ولعلّ تسميتهم بالمتكلّمين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المعتزلة</w:t>
      </w:r>
      <w:r>
        <w:rPr>
          <w:rStyle w:val="FootnoteAnchor"/>
          <w:rtl w:val="true"/>
        </w:rPr>
        <w:footnoteReference w:id="5"/>
      </w:r>
      <w:r>
        <w:rPr>
          <w:rFonts w:ascii="Amiri" w:hAnsi="Amiri" w:eastAsia="Amiri" w:cs="Amiri"/>
          <w:color w:val="111111"/>
          <w:sz w:val="28"/>
          <w:sz w:val="28"/>
          <w:szCs w:val="28"/>
          <w:rtl w:val="true"/>
          <w:lang w:bidi="ar-SA"/>
        </w:rPr>
        <w:t>ومتكلّموا الإمامية</w:t>
      </w:r>
      <w:r>
        <w:rPr>
          <w:rStyle w:val="FootnoteAnchor"/>
          <w:rtl w:val="true"/>
        </w:rPr>
        <w:footnoteReference w:id="6"/>
      </w:r>
      <w:r>
        <w:rPr>
          <w:rFonts w:ascii="IRNazanin" w:hAnsi="IRNazanin" w:eastAsia="IRNazanin"/>
          <w:color w:val="111111"/>
          <w:sz w:val="28"/>
          <w:sz w:val="28"/>
          <w:szCs w:val="28"/>
          <w:rtl w:val="true"/>
          <w:lang w:bidi="fa-IR"/>
        </w:rPr>
        <w:t>إلى أنّ توصيف الباري بالمتكلّم لأجل إيجاده الكلام في شيء مثل شجرة موسى علیه السلام ، أو نفس نبيّ، أو 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أهل التحقيق</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 عليه لقيام التكلّم به، لا الكلام؛ قياماً صدورياً لا حلولياً، كما أنّ إطلاقه علينا أيضاً كذلك، إلاّ أنّ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إيجادنا</w:t>
      </w:r>
    </w:p>
    <w:p>
      <w:pPr>
        <w:pStyle w:val="BookText"/>
        <w:rPr/>
      </w:pPr>
      <w:r>
        <w:rPr>
          <w:rFonts w:ascii="Amiri" w:hAnsi="Amiri" w:eastAsia="Amiri" w:cs="Amiri"/>
          <w:color w:val="111111"/>
          <w:sz w:val="28"/>
          <w:sz w:val="28"/>
          <w:szCs w:val="28"/>
          <w:rtl w:val="true"/>
          <w:lang w:bidi="ar-SA"/>
        </w:rPr>
        <w:t>بالآلة، دونه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w:t>
      </w:r>
      <w:r>
        <w:rPr>
          <w:rStyle w:val="FootnoteAnchor"/>
          <w:rtl w:val="true"/>
        </w:rPr>
        <w:footnoteReference w:id="8"/>
      </w:r>
      <w:r>
        <w:rPr>
          <w:rFonts w:ascii="Amiri" w:hAnsi="Amiri" w:eastAsia="Amiri" w:cs="Amiri"/>
          <w:color w:val="111111"/>
          <w:sz w:val="28"/>
          <w:sz w:val="28"/>
          <w:szCs w:val="28"/>
          <w:rtl w:val="true"/>
          <w:lang w:bidi="ar-SA"/>
        </w:rPr>
        <w:t>إلى أنّ كلامه تعالى ليس من جنس الأصوات والحروف، بل هو معنى قائم بذاته تعالى في الأزل، يسمّى الكلام النفسي، وهو مدلول الكلام اللفظي المركّب من الحروف، ومنه الطلب القائم بنفسه، وهو غير الإرادة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الحقّ الموافق للبرهان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المتكلّم عليه تعالى ليس لذاك ولا لذا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فساد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إحداث الكلام المتجدّد والمتصرّم بلا وسط مستلزم لمفاسد كثيرة؛ منها التجدّد في صفاته وذاته،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إيحاء الوحي وإنزال الكتب إلى الأنبياء والمرسلين علیهم السلام من العلوم العالية الربّانية التي قلّما يتّفق لبشر أن يكشف مغزاها كتكلّمه تعالى مع موسى علیه السلام ، ولقد أشار إلى بعض أسرارها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لَقُرءَانٌ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وَحْىٌ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إلى آخره، فأشار إلى كيفية الوحي ونزول الكتاب بوجه موافق للبرهان، غير منافٍ لتنزيهه تعالى عن شوب التغيّر، ووصمة الحدوث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ولعمري إنّ الأسرار المودعة في هذا الكلام الإلهي المشير إلى كيفية الوحي، ودنوّ روحانية رسول الله صلی الله علیه و آله وسلم إلى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والمقام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تحقّق الوحي، ممّا لم يصل إليه فكر البشر إلاّ الأوحدي الراسخ في العلم بقوّة البرهان المشفوع إلى الرياضات ونور الإيمان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توهّم كونه تعالى متكلّماً بإيجاد الكلام المتصرّم في </w:t>
      </w:r>
    </w:p>
    <w:p>
      <w:pPr>
        <w:pStyle w:val="BookText"/>
        <w:rPr/>
      </w:pPr>
      <w:r>
        <w:rPr>
          <w:rFonts w:ascii="Amiri" w:hAnsi="Amiri" w:eastAsia="Amiri" w:cs="Amiri"/>
          <w:color w:val="111111"/>
          <w:sz w:val="28"/>
          <w:sz w:val="28"/>
          <w:szCs w:val="28"/>
          <w:rtl w:val="true"/>
          <w:lang w:bidi="ar-SA"/>
        </w:rPr>
        <w:t>شجرة أو غيرها، أو بقيام التكلّم به قياماً صدورياً، والفرق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إيجادنا بالآلة وإيجاده بغيرها؛ فإنّ ذلك أيضاً ملازم للتصرّم والتغيّر في الصفات والذات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قرع سمعك من بعض أصحاب الحديث</w:t>
      </w:r>
      <w:r>
        <w:rPr>
          <w:rStyle w:val="FootnoteAnchor"/>
          <w:rtl w:val="true"/>
        </w:rPr>
        <w:footnoteReference w:id="12"/>
      </w:r>
      <w:r>
        <w:rPr>
          <w:rFonts w:ascii="Amiri" w:hAnsi="Amiri" w:eastAsia="Amiri" w:cs="Amiri"/>
          <w:color w:val="111111"/>
          <w:sz w:val="28"/>
          <w:sz w:val="28"/>
          <w:szCs w:val="28"/>
          <w:rtl w:val="true"/>
          <w:lang w:bidi="ar-SA"/>
        </w:rPr>
        <w:t xml:space="preserve">اغتراراً بظواهر بعض الأحاديث من غير الغور إلى مغزاها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إرادته تعالى حادثة مع الفعل، ومن صفات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يدفعه البرهان المتين، جلّ جنابه تعالى أن يكون في ذاته خلوّاً عن الإرادة التي هي من صفات الكمال للموجود بما أ نّه موجود، وكونه كالطبائع في فعله الصادر من ذاته؛ للزوم التركيب في ذاته، وتصوّر ما هو الأكمل منه، تعالى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تعالى لا يمكن أن تكون عين علمه تعالى؛ فإنّه يعلم كلّ شيء، ولا يريد شرّاً ولا ظلماً ولا شيئاً من القبائح، فعلمه</w:t>
      </w:r>
    </w:p>
    <w:p>
      <w:pPr>
        <w:pStyle w:val="BookText"/>
        <w:rPr/>
      </w:pPr>
      <w:r>
        <w:rPr>
          <w:rFonts w:ascii="Amiri" w:hAnsi="Amiri" w:eastAsia="Amiri" w:cs="Amiri"/>
          <w:color w:val="111111"/>
          <w:sz w:val="28"/>
          <w:sz w:val="28"/>
          <w:szCs w:val="28"/>
          <w:rtl w:val="true"/>
          <w:lang w:bidi="ar-SA"/>
        </w:rPr>
        <w:t xml:space="preserve">متعلّق بكلّ شيء دون إرادته، فعلمه غير إرادته، وعلمه عين ذاته، فيجب أن تكون إرادته غير ذاته، فهو مريدٌ، لا بإرادة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وعالم بعلم ذاتي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فيدفع بما في مسفورات أئمّة الفلسفة</w:t>
      </w:r>
      <w:r>
        <w:rPr>
          <w:rStyle w:val="FootnoteAnchor"/>
          <w:rtl w:val="true"/>
        </w:rPr>
        <w:footnoteReference w:id="14"/>
      </w:r>
      <w:r>
        <w:rPr>
          <w:rFonts w:ascii="Amiri" w:hAnsi="Amiri" w:eastAsia="Amiri" w:cs="Amiri"/>
          <w:color w:val="111111"/>
          <w:sz w:val="28"/>
          <w:sz w:val="28"/>
          <w:szCs w:val="28"/>
          <w:rtl w:val="true"/>
          <w:lang w:bidi="ar-SA"/>
        </w:rPr>
        <w:t xml:space="preserve">بأنّ إفاضة الخيرات غير منافية لذات الجواد المطلق، بل اختيارها لازم ذاته، وكون إفاضة الخيرات مرضيّاً بها بحسب ذاته هو معنى إرادته، ووزان الإرادة المتعلّقة بالخيرات بالإضافة إلى العلم وزان </w:t>
      </w:r>
    </w:p>
    <w:p>
      <w:pPr>
        <w:pStyle w:val="BookText"/>
        <w:rPr/>
      </w:pPr>
      <w:r>
        <w:rPr>
          <w:rFonts w:ascii="Amiri" w:hAnsi="Amiri" w:eastAsia="Amiri" w:cs="Amiri"/>
          <w:color w:val="111111"/>
          <w:sz w:val="28"/>
          <w:sz w:val="28"/>
          <w:szCs w:val="28"/>
          <w:rtl w:val="true"/>
          <w:lang w:bidi="ar-SA"/>
        </w:rPr>
        <w:t>السمع والبصر؛ فإنّهما عين ذاته تعالى مع أ نّهما متعلّقان بالمسموعات والمبصرات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فذاته تعالى علم بكلّ معلوم، وسمع بكلّ مسموع، وبصر بكلّ 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الإرادة الحقّة مع كونها متعلّقة بالخيرات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مسلك آخر في دفعه نشير إليه إجمالاً،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إلى محلّه</w:t>
      </w:r>
      <w:r>
        <w:rPr>
          <w:rStyle w:val="FootnoteAnchor"/>
          <w:rtl w:val="true"/>
        </w:rPr>
        <w:footnoteReference w:id="15"/>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الذي هو عين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كشف</w:t>
      </w:r>
    </w:p>
    <w:p>
      <w:pPr>
        <w:pStyle w:val="BookText"/>
        <w:rPr/>
      </w:pPr>
      <w:r>
        <w:rPr>
          <w:rFonts w:ascii="Amiri" w:hAnsi="Amiri" w:eastAsia="Amiri" w:cs="Amiri"/>
          <w:color w:val="111111"/>
          <w:sz w:val="28"/>
          <w:sz w:val="28"/>
          <w:szCs w:val="28"/>
          <w:rtl w:val="true"/>
          <w:lang w:bidi="ar-SA"/>
        </w:rPr>
        <w:t xml:space="preserve">تفصيلي في عين البساطة والوحدة حقيقته حقيقة الوجود الصرف الجامع لكلّ وجود بنحو الوحدة والكشف التامّ المتعلّق بتبع كشفه عن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كشف عن الوجود بما هو وجود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وجهات الشرور والنقائص الراجعة إلى الأعدام لا يمكن أن يتعلّق بذاتها العلم بالذات؛ لنقص فيها، لا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يتعلّق العلم بها بوجه على جهة التبعية وبالعرض، كما أنّ الإرادة أيضاً متعلّقة بها كذلك، فوزان الإرادة بعينها وزان العلم في التعلّق الذاتي والعرضي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يتعلّق بكلّ شيء دون الإرادة، غير تامّ، بل كلُّ ما يتعلّق به العلم بالذات تتعلّق به الإرادة كذلك، وكلُّ ما يتعلّق به بالعرض تتعلّق هي أيضاً به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فيه تعالى من 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الإرادة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المتصرّمة المتجدّدة التي لنا منفيّة عنه تعالى، كما أنّ سائر الأوصاف بحدودها </w:t>
      </w:r>
    </w:p>
    <w:p>
      <w:pPr>
        <w:pStyle w:val="BookText"/>
        <w:rPr/>
      </w:pPr>
      <w:r>
        <w:rPr>
          <w:rFonts w:ascii="Amiri" w:hAnsi="Amiri" w:eastAsia="Amiri" w:cs="Amiri"/>
          <w:color w:val="111111"/>
          <w:sz w:val="28"/>
          <w:sz w:val="28"/>
          <w:szCs w:val="28"/>
          <w:rtl w:val="true"/>
          <w:lang w:bidi="ar-SA"/>
        </w:rPr>
        <w:t>الإمكانية منفيّة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وللأخبار الواردة</w:t>
      </w:r>
      <w:r>
        <w:rPr>
          <w:rStyle w:val="FootnoteAnchor"/>
          <w:rtl w:val="true"/>
        </w:rPr>
        <w:footnoteReference w:id="17"/>
      </w:r>
      <w:r>
        <w:rPr>
          <w:rFonts w:ascii="Amiri" w:hAnsi="Amiri" w:eastAsia="Amiri" w:cs="Amiri"/>
          <w:color w:val="111111"/>
          <w:sz w:val="28"/>
          <w:sz w:val="28"/>
          <w:szCs w:val="28"/>
          <w:rtl w:val="true"/>
          <w:lang w:bidi="ar-SA"/>
        </w:rPr>
        <w:t>في المقام، الموهمة خلاف ما ذكرنا توجيه لطيف لا يسع المقام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يمكن إثبات التكلّم له تعالى بما ذكره المعتزلة، وتبعه بعض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ذهبت إليه الأشاعرة</w:t>
      </w:r>
      <w:r>
        <w:rPr>
          <w:rStyle w:val="FootnoteAnchor"/>
          <w:rtl w:val="true"/>
        </w:rPr>
        <w:footnoteReference w:id="18"/>
      </w:r>
      <w:r>
        <w:rPr>
          <w:rFonts w:ascii="Amiri" w:hAnsi="Amiri" w:eastAsia="Amiri" w:cs="Amiri"/>
          <w:color w:val="111111"/>
          <w:sz w:val="28"/>
          <w:sz w:val="28"/>
          <w:szCs w:val="28"/>
          <w:rtl w:val="true"/>
          <w:lang w:bidi="ar-SA"/>
        </w:rPr>
        <w:t xml:space="preserve">، من قيام صفات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فإنّ القيام الحلولي مستلزمٌ للقوّة والنقص والتركيب،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خلوّ الذات عن صفات الكمال مستلزم لذلك، ولكونه تعالى ذا ماهية، ولانقلاب الوجوب الذاتي إلى الإمكان، إلى غير ذلك من المفاسد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إنّه تعالى متكلّم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الراسخون في الحكمة</w:t>
      </w:r>
      <w:r>
        <w:rPr>
          <w:rStyle w:val="FootnoteAnchor"/>
          <w:rtl w:val="true"/>
        </w:rPr>
        <w:footnoteReference w:id="19"/>
      </w:r>
      <w:r>
        <w:rPr>
          <w:rFonts w:ascii="Amiri" w:hAnsi="Amiri" w:eastAsia="Amiri" w:cs="Amiri"/>
          <w:color w:val="111111"/>
          <w:sz w:val="28"/>
          <w:sz w:val="28"/>
          <w:szCs w:val="28"/>
          <w:rtl w:val="true"/>
          <w:lang w:bidi="ar-SA"/>
        </w:rPr>
        <w:t>ولو اُطلق على ذلك، الكلام النفسي لا مشاحّة فيه، لكن الأشعري لا يستشعره، وأفهام أصحاب الكلام من المعتزلة والأشاعرة بعيدة عن طور هذا الكلام، والإعراض عنه أولى</w:t>
      </w:r>
      <w:r>
        <w:rPr>
          <w:rFonts w:eastAsia="Amiri" w:cs="Amiri" w:ascii="Amiri" w:hAnsi="Amiri"/>
          <w:color w:val="111111"/>
          <w:sz w:val="28"/>
          <w:szCs w:val="28"/>
          <w:rtl w:val="true"/>
          <w:lang w:bidi="ar-SA"/>
        </w:rPr>
        <w:t xml:space="preserve">. </w:t>
      </w:r>
      <w:bookmarkStart w:id="9" w:name="pg15289_219985"/>
    </w:p>
    <w:p>
      <w:pPr>
        <w:pStyle w:val="Heading3"/>
        <w:numPr>
          <w:ilvl w:val="2"/>
          <w:numId w:val="1"/>
        </w:numPr>
        <w:rPr/>
      </w:pPr>
      <w:bookmarkStart w:id="10" w:name="__RefHeading___Toc4628766_2142443653"/>
      <w:bookmarkStart w:id="11" w:name="_Toc4"/>
      <w:bookmarkEnd w:id="9"/>
      <w:bookmarkEnd w:id="10"/>
      <w:r>
        <w:rPr>
          <w:rtl w:val="true"/>
        </w:rPr>
        <w:t>المطلب الأوّل في المهمّ ممّا استدلّ به الأشعري على مطلوبه</w:t>
      </w:r>
      <w:bookmarkEnd w:id="11"/>
    </w:p>
    <w:p>
      <w:pPr>
        <w:pStyle w:val="BookText"/>
        <w:rPr/>
      </w:pPr>
      <w:r>
        <w:rPr>
          <w:rFonts w:ascii="Amiri" w:hAnsi="Amiri" w:eastAsia="Amiri" w:cs="Amiri"/>
          <w:color w:val="111111"/>
          <w:sz w:val="28"/>
          <w:sz w:val="28"/>
          <w:szCs w:val="28"/>
          <w:rtl w:val="true"/>
          <w:lang w:bidi="ar-SA"/>
        </w:rPr>
        <w:t>وهو اُمور</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4628768_2142443653"/>
      <w:bookmarkStart w:id="13" w:name="_Toc5"/>
      <w:bookmarkEnd w:id="12"/>
      <w:r>
        <w:rPr>
          <w:rtl w:val="true"/>
        </w:rPr>
        <w:t>الاستدلال بالأوامر الامتحانية على اختلاف الطلب والإرادة</w:t>
      </w:r>
      <w:bookmarkEnd w:id="13"/>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اللفظي قد يتحقّق من غير أن تكون الإرادة مبدأً له، كالأوامر الامتحانية والإعذارية، ولا بدّ له من مبدأ، وليس من الصفات النفسانية شيء يصلح للمبدئية له إلاّ الطلب النفساني القائم بالنفس، فإذا ثبت إمكانه في موردٍ فليكن كذلك في سائر الموارد، بل في مطلق الكلام؛ طلباً كان أو لا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الأوامر الامتحانية والإعذارية فينا، فالمبدأ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فعل اختياري صدر منّا مسبوق بالتصوّر والتصديق بالفائدة بنحو؛ فإن كان موافقاً لتمايلات النفس ومشتهياتها، تشتاق إليه وبحسب اختلاف </w:t>
      </w:r>
    </w:p>
    <w:p>
      <w:pPr>
        <w:pStyle w:val="BookText"/>
        <w:rPr/>
      </w:pPr>
      <w:r>
        <w:rPr>
          <w:rFonts w:ascii="Amiri" w:hAnsi="Amiri" w:eastAsia="Amiri" w:cs="Amiri"/>
          <w:color w:val="111111"/>
          <w:sz w:val="28"/>
          <w:sz w:val="28"/>
          <w:szCs w:val="28"/>
          <w:rtl w:val="true"/>
          <w:lang w:bidi="ar-SA"/>
        </w:rPr>
        <w:t>مراتب الملائمة يشتدّ الاشتياق إليه، ثمّ بعد الاشتياق قد تختاره وتصطفيه فتعزم</w:t>
      </w:r>
    </w:p>
    <w:p>
      <w:pPr>
        <w:pStyle w:val="BookText"/>
        <w:rPr/>
      </w:pPr>
      <w:r>
        <w:rPr>
          <w:rFonts w:ascii="Amiri" w:hAnsi="Amiri" w:eastAsia="Amiri" w:cs="Amiri"/>
          <w:color w:val="111111"/>
          <w:sz w:val="28"/>
          <w:sz w:val="28"/>
          <w:szCs w:val="28"/>
          <w:rtl w:val="true"/>
          <w:lang w:bidi="ar-SA"/>
        </w:rPr>
        <w:t>على إتيانه وتهمّ إليه فتحرّك الأعضاء التي تحت سلطانها نحوه فتأتي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ملائماً لمشتهاها لكنّ العقل يرى أصلحية تحقّقه وإتيانه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مشتهيات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 فتختار النفس وجوده وتعزم عليه وتهمّ وتحرّك الأعضاء، كشرب الدواء النافع وقطع اليد الفاسدة، فإنّ العقل يحمل النفس على الشرب والقطع مع كمال 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هو الاشتياق الأكيد</w:t>
      </w:r>
      <w:r>
        <w:rPr>
          <w:rStyle w:val="FootnoteAnchor"/>
          <w:rtl w:val="true"/>
        </w:rPr>
        <w:footnoteReference w:id="21"/>
      </w:r>
      <w:r>
        <w:rPr>
          <w:rFonts w:ascii="Amiri" w:hAnsi="Amiri" w:eastAsia="Amiri" w:cs="Amiri"/>
          <w:color w:val="111111"/>
          <w:sz w:val="28"/>
          <w:sz w:val="28"/>
          <w:szCs w:val="28"/>
          <w:rtl w:val="true"/>
          <w:lang w:bidi="ar-SA"/>
        </w:rPr>
        <w:t>أو أنّ الاشتياق من مقدّماتها</w:t>
      </w:r>
      <w:r>
        <w:rPr>
          <w:rStyle w:val="FootnoteAnchor"/>
          <w:rtl w:val="true"/>
        </w:rPr>
        <w:footnoteReference w:id="22"/>
      </w:r>
      <w:r>
        <w:rPr>
          <w:rFonts w:ascii="Amiri" w:hAnsi="Amiri" w:eastAsia="Amiri" w:cs="Amiri"/>
          <w:color w:val="111111"/>
          <w:sz w:val="28"/>
          <w:sz w:val="28"/>
          <w:szCs w:val="28"/>
          <w:rtl w:val="true"/>
          <w:lang w:bidi="ar-SA"/>
        </w:rPr>
        <w:t>ليس على ما ينبغي، بل ليس التصديق بالفائدة أيضاً من المقدّمات الحتمية، ولا يسع المقام تفصيل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الأوامر الصادرة من الإنسان، من جملة أفعاله الاختيارية الصادرة منه بمباديها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الأوامر والنواهي الامتحانية والإعذارية وبين غيرها ليس في المبادي ولا في معاني الأوامر والنواهي؛ فإنّها بما هي أفعال اختيارية محتاجة إلى المبادي من التصوّر إلى تصميم العزم وتحريك عضلة اللسان، والهيئة مستعملة في كليهما استعمالاً إيجادياً؛ أي تكون مستعملة في البعث إلى المتعلّق أو الزجر عنه، وإنّما الفارق بينهما بالدواعي والغايات، فالداعي للأوامر الغير الامتحانية وما يكون باعثاً للآمر وغاية له هي الخاصّية المدركة من </w:t>
      </w:r>
    </w:p>
    <w:p>
      <w:pPr>
        <w:pStyle w:val="BookText"/>
        <w:rPr/>
      </w:pPr>
      <w:r>
        <w:rPr>
          <w:rFonts w:ascii="Amiri" w:hAnsi="Amiri" w:eastAsia="Amiri" w:cs="Amiri"/>
          <w:color w:val="111111"/>
          <w:sz w:val="28"/>
          <w:sz w:val="28"/>
          <w:szCs w:val="28"/>
          <w:rtl w:val="true"/>
          <w:lang w:bidi="ar-SA"/>
        </w:rPr>
        <w:t>المتعلّقات، فالداعي إلى الأمر بإتيان الماء للشرب هو الوصول إلى الخاصّية المدركة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الداعي إلى الأوامر الامتحانية والإعذارية فهو امتحان العبد واختباره أو إعذار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الأشعري من أنّ المبدأ لها ليست الإرادة</w:t>
      </w:r>
      <w:r>
        <w:rPr>
          <w:rStyle w:val="FootnoteAnchor"/>
          <w:rtl w:val="true"/>
        </w:rPr>
        <w:footnoteReference w:id="23"/>
      </w:r>
      <w:r>
        <w:rPr>
          <w:rFonts w:ascii="Amiri" w:hAnsi="Amiri" w:eastAsia="Amiri" w:cs="Amiri"/>
          <w:color w:val="111111"/>
          <w:sz w:val="28"/>
          <w:sz w:val="28"/>
          <w:szCs w:val="28"/>
          <w:rtl w:val="true"/>
          <w:lang w:bidi="ar-SA"/>
        </w:rPr>
        <w:t>، إن كان مراده إرادة الفعل الصادر من المأمور فهو صحيح، لكن في الأوامر الغير الامتحانية أيضاً لا تتعلّق الإرادة بالفعل الصادر من المأمور؛ لأنّ فعل الغير ليس متعلّقاً لإرادته،</w:t>
      </w:r>
    </w:p>
    <w:p>
      <w:pPr>
        <w:pStyle w:val="BookText"/>
        <w:rPr/>
      </w:pPr>
      <w:r>
        <w:rPr>
          <w:rFonts w:ascii="Amiri" w:hAnsi="Amiri" w:eastAsia="Amiri" w:cs="Amiri"/>
          <w:color w:val="111111"/>
          <w:sz w:val="28"/>
          <w:sz w:val="28"/>
          <w:szCs w:val="28"/>
          <w:rtl w:val="true"/>
          <w:lang w:bidi="ar-SA"/>
        </w:rPr>
        <w:t>وإن كان مراده إرادة بعث الغير إلى الفعل فهي حاصلة في الأوامر الامتحانية والإعذارية أيضاً، إلاّ أنّ الدواعي مختلفة فيها وفي غيرها، كما أنّ الدواعي في مطلق الأوامر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فعل اختياري للآمر هو الأمر الصادر منه وهو مسبوق بالمبادي الاختيارية، سواء فيه الأوامر الامتحانية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الأوامر الصادرة من الموالي العرفية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الأوامر والنواهي الإلهية ممّا أوحى الله إلى أنبيائه، فهي ليست كالأوامر الصادرة منّا في كيفية الصدور ولا في المعلّلية بالأغراض والدواعي؛ لأنّ الغايات والأغراض والدواعي كلّها مؤثّرات في الفاعل ويصير هو تحت تأثيرها وهو غير معقول في المبادي العالية الروحانية، فضلاً عن مبدأ المبادي جلّت عظمته؛ لاستلزامه للقوّة التي حاملها الهيولى، وتركّب الذات من الهيولى والصورة والقوّة والفعل والنقص والكمال وهو عين الإمكان والافتقار تعالى عنه، </w:t>
      </w:r>
    </w:p>
    <w:p>
      <w:pPr>
        <w:pStyle w:val="BookText"/>
        <w:rPr/>
      </w:pPr>
      <w:r>
        <w:rPr>
          <w:rFonts w:ascii="Amiri" w:hAnsi="Amiri" w:eastAsia="Amiri" w:cs="Amiri"/>
          <w:color w:val="111111"/>
          <w:sz w:val="28"/>
          <w:sz w:val="28"/>
          <w:szCs w:val="28"/>
          <w:rtl w:val="true"/>
          <w:lang w:bidi="ar-SA"/>
        </w:rPr>
        <w:t xml:space="preserve">فما هو المعروف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تعالى يفعل للنفع العائد إلى العباد</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مشترك في الفساد والامتناع مع فعله للنفع العائد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ممّا ذكرنا أن يكون فعله لا لغرض وغاية فيكون عبثاً؛ لأنّ الغاية في فعله وهو النظام الأتمّ التابع للنظام الربّاني هو ذاته تعالى، والفاعل والغاية فيه تعالى واحد لا يمكن اختلافهما، لا بمعنى كونه تعالى تحت تأثير ذاته في فعله؛ فإنّه أيضاً مستحيل لوجوه، بل بمعنى أنّ حبّ ذاته مستلزم لحبّ آثاره استجراراً وتبعاً لا استقلالاً واستبداداً، فعلمه بذاته علم بما عداه في مرتبة ذاته،</w:t>
      </w:r>
    </w:p>
    <w:p>
      <w:pPr>
        <w:pStyle w:val="BookText"/>
        <w:rPr/>
      </w:pPr>
      <w:r>
        <w:rPr>
          <w:rFonts w:ascii="Amiri" w:hAnsi="Amiri" w:eastAsia="Amiri" w:cs="Amiri"/>
          <w:color w:val="111111"/>
          <w:sz w:val="28"/>
          <w:sz w:val="28"/>
          <w:szCs w:val="28"/>
          <w:rtl w:val="true"/>
          <w:lang w:bidi="ar-SA"/>
        </w:rPr>
        <w:t>وعلّة لعلمه بما عداه في مرآة التفصيل، وحبّه بذاته كذلك، وإرادته المتعلّقة بالأشياء على وجه منزّه عن وصمة التغيّر والتصرّم لأجل محبوبية ذاته وكونها مرضيّة، لا محبوبية الأشياء وكونها مرضيّة استقلالاً، وإلى ذلك أشار الحديث القدسي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اُعرف فخلقتُ الخلقَ لِكي اُعرف</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فحُبّ ظهور الذات ومعروفيتها حبّ الذات لا الأشياء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إيحاء الوحي وإنزال الكتب وإرسال الرسل جزء من النظام الأتمّ الكياني التابع للنظام الأجمل الربّاني، وكيفية تعلّق الإرادة بها ككيفية تعلّقها بالنظام الكياني بنحو التبعية والاستجرار للنظام الربّاني؛ أي حضرة الأسماء والصفات وهي الكنز المخفيّ المحبوب بالذات، والمحبّ والمحبوب والحبّ عين الذات</w:t>
      </w:r>
      <w:r>
        <w:rPr>
          <w:rFonts w:eastAsia="Amiri" w:cs="Amiri" w:ascii="Amiri" w:hAnsi="Amiri"/>
          <w:color w:val="111111"/>
          <w:sz w:val="28"/>
          <w:szCs w:val="28"/>
          <w:rtl w:val="true"/>
          <w:lang w:bidi="ar-SA"/>
        </w:rPr>
        <w:t xml:space="preserve">. </w:t>
      </w:r>
      <w:bookmarkStart w:id="14" w:name="pg15289_219989"/>
    </w:p>
    <w:p>
      <w:pPr>
        <w:pStyle w:val="BookText"/>
        <w:rPr/>
      </w:pPr>
      <w:bookmarkEnd w:id="14"/>
      <w:r>
        <w:rPr>
          <w:rFonts w:ascii="Amiri" w:hAnsi="Amiri" w:eastAsia="Amiri" w:cs="Amiri"/>
          <w:color w:val="111111"/>
          <w:sz w:val="28"/>
          <w:sz w:val="28"/>
          <w:szCs w:val="28"/>
          <w:rtl w:val="true"/>
          <w:lang w:bidi="ar-SA"/>
        </w:rPr>
        <w:t>فتحصّل ممّا ذكرنا وهن تمسّك الأشعري لإثبات مطلوبه بالأوامر الامتحانية؛ فإنّه مع ما عرفت بطلانه لو فرض كلام نفسي وطلب نفسي لنا فيها، لا يمكن تصوّره في ذات القيّوم الواجب جلّ وعلا، وهل هذا إلاّ قياس الحقّ بالخلق، والتراب وربّ الأرباب، ولعلّ النملة ترى أنّ لله تعالى زُبانَيَين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اتّضح وهن كلام المحقّق الخراساني رحمه الله علیه </w:t>
      </w:r>
      <w:r>
        <w:rPr>
          <w:rStyle w:val="FootnoteAnchor"/>
          <w:rtl w:val="true"/>
        </w:rPr>
        <w:footnoteReference w:id="27"/>
      </w:r>
      <w:r>
        <w:rPr>
          <w:rFonts w:ascii="Amiri" w:hAnsi="Amiri" w:eastAsia="Amiri" w:cs="Amiri"/>
          <w:color w:val="111111"/>
          <w:sz w:val="28"/>
          <w:sz w:val="28"/>
          <w:szCs w:val="28"/>
          <w:rtl w:val="true"/>
          <w:lang w:bidi="ar-SA"/>
        </w:rPr>
        <w:t xml:space="preserve">من أ نّه ليس في الأوامر الامتحانية إرادة حقيقية ولا طلب حقيقي، بل فيها إرادة إنشائية وطلب إنشائي؛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 نّه لا معنى محصّل للإرادة الإنشائية، بل لا معنى للوجود الإنشائي والاعتباري للحقايق المتحقّقة كالسماء والأرض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العقلاء اُموراً لا حقيقة لها لمسيس الحاجة إليها، كالزوجية والملكية وسائر الاعتباريات، فليس للإرادة والطلب فرد حقيقي وفرد إنشائي</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628770_2142443653"/>
      <w:bookmarkStart w:id="16" w:name="_Toc6"/>
      <w:bookmarkEnd w:id="15"/>
      <w:r>
        <w:rPr>
          <w:rtl w:val="true"/>
        </w:rPr>
        <w:t>الاستدلال بتكليف العصاة على اختلاف الطلب والإرادة</w:t>
      </w:r>
      <w:bookmarkEnd w:id="16"/>
    </w:p>
    <w:p>
      <w:pPr>
        <w:pStyle w:val="BookText"/>
        <w:rPr/>
      </w:pPr>
      <w:r>
        <w:rPr>
          <w:rFonts w:ascii="Amiri" w:hAnsi="Amiri" w:eastAsia="Amiri" w:cs="Amiri"/>
          <w:color w:val="111111"/>
          <w:sz w:val="28"/>
          <w:sz w:val="28"/>
          <w:szCs w:val="28"/>
          <w:rtl w:val="true"/>
          <w:lang w:bidi="ar-SA"/>
        </w:rPr>
        <w:t>ومن متمسّكات الأشاعرة</w:t>
      </w:r>
      <w:r>
        <w:rPr>
          <w:rStyle w:val="FootnoteAnchor"/>
          <w:rtl w:val="true"/>
        </w:rPr>
        <w:footnoteReference w:id="28"/>
      </w:r>
      <w:r>
        <w:rPr>
          <w:rFonts w:ascii="Amiri" w:hAnsi="Amiri" w:eastAsia="Amiri" w:cs="Amiri"/>
          <w:color w:val="111111"/>
          <w:sz w:val="28"/>
          <w:sz w:val="28"/>
          <w:szCs w:val="28"/>
          <w:rtl w:val="true"/>
          <w:lang w:bidi="ar-SA"/>
        </w:rPr>
        <w:t>لإثبات اختلاف 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يلزم بناءً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اتّحادهما في تكليف الكفّار بالإيمان بل مطلق أهل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يكون تكليف جدّي وهو فاسد بالضرورة، أو تخلّف مراد الله تعالى عن إرادته </w:t>
      </w:r>
    </w:p>
    <w:p>
      <w:pPr>
        <w:pStyle w:val="BookText"/>
        <w:rPr/>
      </w:pPr>
      <w:r>
        <w:rPr>
          <w:rFonts w:ascii="Amiri" w:hAnsi="Amiri" w:eastAsia="Amiri" w:cs="Amiri"/>
          <w:color w:val="111111"/>
          <w:sz w:val="28"/>
          <w:sz w:val="28"/>
          <w:szCs w:val="28"/>
          <w:rtl w:val="true"/>
          <w:lang w:bidi="ar-SA"/>
        </w:rPr>
        <w:t>وهو أفسد، وحيث لا بدّ في هذه التكاليف من مبدأ ولا يمكن أن يكون الإرادة، وليس شيء آخر مناسباً للمبدئية غير الطلب، فهو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الإرادة الواجبة مبدأً للطلب اللفظي لزم حصول المطلوب بالضرورة؛ لامتناع تخلّف مراده تعالى عن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رأينا التخلّف علمنا أنّ المبدأ غيرها، ولم يكن غير الطلب صالحاً لها فهو المبدأ، فيكون في سائر الموارد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المحقّق الخراساني رحمه الله علیه </w:t>
      </w:r>
      <w:r>
        <w:rPr>
          <w:rStyle w:val="FootnoteAnchor"/>
          <w:rtl w:val="true"/>
        </w:rPr>
        <w:footnoteReference w:id="29"/>
      </w:r>
      <w:r>
        <w:rPr>
          <w:rFonts w:ascii="Amiri" w:hAnsi="Amiri" w:eastAsia="Amiri" w:cs="Amiri"/>
          <w:color w:val="111111"/>
          <w:sz w:val="28"/>
          <w:sz w:val="28"/>
          <w:szCs w:val="28"/>
          <w:rtl w:val="true"/>
          <w:lang w:bidi="ar-SA"/>
        </w:rPr>
        <w:t>عنه بكلام مجمل ثمّ أردفه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انتهى الأمر إلى عويصة الجبر والتفويض، وأجاب عنها بما يزيد الإشكال، فلا محيص عن طرح المسألة على ما هي عليها وبيان الحقّ فيها إجمالاً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فيتمّ الكلام في ضمن فصول</w:t>
      </w:r>
      <w:r>
        <w:rPr>
          <w:rFonts w:eastAsia="Amiri" w:cs="Amiri" w:ascii="Amiri" w:hAnsi="Amiri"/>
          <w:color w:val="111111"/>
          <w:sz w:val="28"/>
          <w:szCs w:val="28"/>
          <w:rtl w:val="true"/>
          <w:lang w:bidi="ar-SA"/>
        </w:rPr>
        <w:t xml:space="preserve">: </w:t>
      </w:r>
      <w:bookmarkStart w:id="17" w:name="pg15289_219991"/>
    </w:p>
    <w:p>
      <w:pPr>
        <w:pStyle w:val="Heading3"/>
        <w:numPr>
          <w:ilvl w:val="2"/>
          <w:numId w:val="1"/>
        </w:numPr>
        <w:rPr/>
      </w:pPr>
      <w:bookmarkStart w:id="18" w:name="__RefHeading___Toc4628772_2142443653"/>
      <w:bookmarkStart w:id="19" w:name="_Toc7"/>
      <w:bookmarkEnd w:id="17"/>
      <w:bookmarkEnd w:id="18"/>
      <w:r>
        <w:rPr>
          <w:rtl w:val="true"/>
        </w:rPr>
        <w:t xml:space="preserve">فصل </w:t>
      </w:r>
      <w:r>
        <w:rPr>
          <w:rtl w:val="true"/>
        </w:rPr>
        <w:t xml:space="preserve">: </w:t>
      </w:r>
      <w:r>
        <w:rPr>
          <w:rtl w:val="true"/>
        </w:rPr>
        <w:t>في مسألة الجبر والتفويض</w:t>
      </w:r>
      <w:bookmarkEnd w:id="19"/>
    </w:p>
    <w:p>
      <w:pPr>
        <w:pStyle w:val="BookText"/>
        <w:rPr/>
      </w:pPr>
      <w:r>
        <w:rPr>
          <w:rFonts w:ascii="Amiri" w:hAnsi="Amiri" w:eastAsia="Amiri" w:cs="Amiri"/>
          <w:color w:val="111111"/>
          <w:sz w:val="28"/>
          <w:sz w:val="28"/>
          <w:szCs w:val="28"/>
          <w:rtl w:val="true"/>
          <w:lang w:bidi="ar-SA"/>
        </w:rPr>
        <w:t>إنّ المسألة بما هي معنونة في مسفورات أهل الكلام فرع من فروع أصل المسألة العقلية ونطاق البحث العقلي أوسع منه بل من بين السماء والأرض كما سيتّضح، ولعلّه إليه الإشارة فيما ورد أنّ بين الجبر والتفويض منزلة أوسع ممّا بين السماء والأرض</w:t>
      </w:r>
      <w:r>
        <w:rPr>
          <w:rStyle w:val="FootnoteAnchor"/>
          <w:rtl w:val="true"/>
        </w:rPr>
        <w:footnoteReference w:id="30"/>
      </w:r>
      <w:r>
        <w:rPr>
          <w:rFonts w:ascii="Amiri" w:hAnsi="Amiri" w:eastAsia="Amiri" w:cs="Amiri"/>
          <w:color w:val="111111"/>
          <w:sz w:val="28"/>
          <w:sz w:val="28"/>
          <w:szCs w:val="28"/>
          <w:rtl w:val="true"/>
          <w:lang w:bidi="ar-SA"/>
        </w:rPr>
        <w:t>، تأمّل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المعلولات الصادرة من عللها، والآثار والخواصّ المترتّبة على الأشياء، والمسبّبات المربوطة بالأسباب، والأفعال الصادرة عن الفواعل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عالم الملك أو الملكوت، والمجرّدات أو المادّيات، وسواء صدرت عن الفواعل الطبيعية كإشراق الشمس وإحراق النار، أو الحيوانية والإنسانية، أو الآثار والخواصّ المترتّبة على الأشياء كحلاوة العسل ومرارة الحنظل، وسواء كان الفاعل مختاراً أو لا،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يترتّب على شيء 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مترتّبٌ عليه وصادر منه على سبيل الاستقلال والاستبداد؛ بحيث لا يكون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فيها، وإنّما شأنه تعالى خلق المبادي فقط، ونسبته إلى العالم كالبنّاء والبناء؛ بحيث يكون بعد الإيجاد منعزلاً عن التأثير والتدبير، ويكون الشمس في إشراقها والنار في إحراقها والإنسان في أفعاله والملائكة في شؤونها مستقلاّت ومستبدّات ويكون وجود الباري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فاعلية العبد ومنشئية الموجودات للآثار على السواء، وأ نّه تعالى أوجد العقل مثلاً وفوّض الأمر إليه أو أوجد المكلّف وفوّض أفعاله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 نّه تعالى كما هو فاعل المبادي فاعل للآثار بلا وسط ولا فاعلية ولا تأثير لشيء من الأشياء، ولا علّية لموجود بالنسبة إلى غيره، ولا خاصّية لموجود، بل الأشياء كلّها منعزلة عن العلّية والتأثير والخواصّ والآثار، ولكن جرت عادة الله بإيجاد أشياء عقيب أشياء كالإشراق عقيب وجود الشمس، والإحراق عقيب النار، والإرادة والقدرة في الإنسان، والفعل عقيب الإرادة، والعلم بالنتائج عقيب الأقيسة، والأشياء كلّها على السواء في عدم التأثير لكن الجاهل بالواقع يرى ترتّب الآثار على المؤثّرات غفلة عن حقيقة الأمر، حتّى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وكلّ حيوان جسم لا ينتج كلّ إنسان جسم، وكانت نسبتهما إلى النتيجة كنسبة ضَرَبَ فعل ماضٍ ويَضربُ فعل مضارع بالنسبة إليها لكن جرت عادة الله على إيجادها عقيب الاُوليين لا الأخيرتين؟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فالتفويضي يرى انعزاله تعالى عن التأثير مطلقاً إلاّ في المبادي</w:t>
      </w:r>
      <w:r>
        <w:rPr>
          <w:rStyle w:val="FootnoteAnchor"/>
          <w:rtl w:val="true"/>
        </w:rPr>
        <w:footnoteReference w:id="31"/>
      </w:r>
      <w:r>
        <w:rPr>
          <w:rFonts w:ascii="Amiri" w:hAnsi="Amiri" w:eastAsia="Amiri" w:cs="Amiri"/>
          <w:color w:val="111111"/>
          <w:sz w:val="28"/>
          <w:sz w:val="28"/>
          <w:szCs w:val="28"/>
          <w:rtl w:val="true"/>
          <w:lang w:bidi="ar-SA"/>
        </w:rPr>
        <w:t>، والجبري يرى انعزال الخلق عنه واستناد الكلّ إليه تعالى بلا وسط وبنحو المباشرة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20" w:name="pg15289_219993"/>
    </w:p>
    <w:p>
      <w:pPr>
        <w:pStyle w:val="Heading3"/>
        <w:numPr>
          <w:ilvl w:val="2"/>
          <w:numId w:val="1"/>
        </w:numPr>
        <w:rPr/>
      </w:pPr>
      <w:bookmarkStart w:id="21" w:name="__RefHeading___Toc4628774_2142443653"/>
      <w:bookmarkStart w:id="22" w:name="_Toc8"/>
      <w:bookmarkEnd w:id="20"/>
      <w:bookmarkEnd w:id="21"/>
      <w:r>
        <w:rPr>
          <w:rtl w:val="true"/>
        </w:rPr>
        <w:t xml:space="preserve">فصل </w:t>
      </w:r>
      <w:r>
        <w:rPr>
          <w:rtl w:val="true"/>
        </w:rPr>
        <w:t xml:space="preserve">: </w:t>
      </w:r>
      <w:r>
        <w:rPr>
          <w:rtl w:val="true"/>
        </w:rPr>
        <w:t>في إبطال مذهبي التفويض والجبر</w:t>
      </w:r>
      <w:bookmarkEnd w:id="22"/>
    </w:p>
    <w:p>
      <w:pPr>
        <w:pStyle w:val="BookText"/>
        <w:rPr/>
      </w:pPr>
      <w:r>
        <w:rPr>
          <w:rFonts w:ascii="Amiri" w:hAnsi="Amiri" w:eastAsia="Amiri" w:cs="Amiri"/>
          <w:color w:val="111111"/>
          <w:sz w:val="28"/>
          <w:sz w:val="28"/>
          <w:szCs w:val="28"/>
          <w:rtl w:val="true"/>
          <w:lang w:bidi="ar-SA"/>
        </w:rPr>
        <w:t>أمّا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استقلال موجود في الإيجاد إنّما يعقل إذا سدّت العلّة جميع الأعدام الممكنة على المعلول وإلاّ لم يكن مستقلاًّ فيه، فإذا توقّف وجود المعلول على ألف شرط وكان في قدرة الفاعل إيجاد ما عدا واحد منها، فسدّ عدم المعلول من ناحية ما عدا الواحد منها، لم يكن علّةً تامّةً مستقلّة ولا فاعلاً بالاستبداد والاستقلال في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ضرورية لا تحتاج إلى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الأعدام الممكنة على المعلول عدمه بعدم فاعله ومقتضيه، وليس في شأن ممكن من الممكنات مجرّداً كان أو مادّياً سدّ هذا العدم وإلاّ انقلب الممكن بالذات إلى الواجب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المعلول بالذات في الفاعل الإلهي؛ أي فاعل الوجود، بتمام هويته وحاقّ حقيقته وذاتيته متعلّق ومفتقر إلى العلّة، ويكون ذاته بذاته عين الافتقار والتعلّق وصرف الربط والاحتياج، ولو كان شيئاً له الافتقار حتّى يكون افتقاره زائداً على ذاته وتعلّقه بالعلّة عارضاً على أصل هويته يلزم أن يكون واجباً في وجوده وجوهره وعَرَضَه المعلولية، وهو واضح الاستحالة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ومرادنا من المعلول بالذات هو وجود الممكن الذي هو أثر جعل الجاعل، وإلاّ فالماهيات ليست مجعولةً ولا موجودة إلاّ بالعرض؛ لكونها اعتبارات وانتزاعات من حدود الوجود، والوجود المعلولي ذاته الافتقار والتعلّق، ولو </w:t>
      </w:r>
    </w:p>
    <w:p>
      <w:pPr>
        <w:pStyle w:val="BookText"/>
        <w:rPr/>
      </w:pPr>
      <w:r>
        <w:rPr>
          <w:rFonts w:ascii="Amiri" w:hAnsi="Amiri" w:eastAsia="Amiri" w:cs="Amiri"/>
          <w:color w:val="111111"/>
          <w:sz w:val="28"/>
          <w:sz w:val="28"/>
          <w:szCs w:val="28"/>
          <w:rtl w:val="true"/>
          <w:lang w:bidi="ar-SA"/>
        </w:rPr>
        <w:t>استغنى في حيثية من الحيثيات لانقلب من الإمكان والافتقار الذاتي إلى الوجوب والاستغناء، وهو مستحيل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المستقلّ في الإيجاد لا بدّ وأن يكون مستقلاًّ في الوجود؛ لأنّ الإيجاد</w:t>
      </w:r>
    </w:p>
    <w:p>
      <w:pPr>
        <w:pStyle w:val="BookText"/>
        <w:rPr/>
      </w:pPr>
      <w:r>
        <w:rPr>
          <w:rFonts w:ascii="Amiri" w:hAnsi="Amiri" w:eastAsia="Amiri" w:cs="Amiri"/>
          <w:color w:val="111111"/>
          <w:sz w:val="28"/>
          <w:sz w:val="28"/>
          <w:szCs w:val="28"/>
          <w:rtl w:val="true"/>
          <w:lang w:bidi="ar-SA"/>
        </w:rPr>
        <w:t xml:space="preserve">فرع الوجود، ولا يمكن أشرفيته عنه، فالتفويض بمعنى جعل ممكن مستقلاًّ في الفاعلية مستحيل ومستلزم للانقلاب المستحيل، سواء في ذلك المجرّد والمادّي، والفاعل المختار وغيره، فلا يعقل تفويض الإيجاد والفعل والأثر والخواصّ إلى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لَقَوِىٌّ عَزِيزٌ</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إبطال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تحقيقه كتحقيق إبطال التفويض على ما هو عليه موكول إلى بيان مقدّمات مبرهنة في العلم الأعلى، لكن لا محيص عن الإشارة إلى بعض الوجوه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لمّا كان أصلاً في التحقّق وبسيطاً لا جنس له ولا فصل، ومن ذاته أن يكون ذا مراتب ومشكّكاً بالتشكيك الخاصّ، فلا محالة يتعلّق كلّ مرتبة ناقصة بالمرتبة المتلوّة تعلّقاً ذاتياً غير متجافية عنها؛ بحيث يكون تعلّقها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بمرتبة اُخرى غيرها موجباً ومساوقاً للانقلاب الذاتي المستحيل، ومقدّمات هذا البرهان تطلب من مظانّه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تعالى لمّا كان بسيطاً في غاية البساطة، وجميع صفاته وشؤونه الذاتية يرجع إلى الوجود الصرف البسيط، فلا يتصوّر في ذاته وصفاته التجدّد والتصرّم والتغيّر، وإلاّ لانقلب البسيط مركّباً، والفعلية الصرفة قوّةً، والوجوب بالذات إمكاناً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بساطة الذات والصفات أنّ ما يصدر منه يكون صادراً من حاقّ ذاته وتمام هويته وصرف حقيقته، فلو صدر المتجدّدات والمتصرّمات عنه تعالى من غير وسط وبالمباشرة والمزاولة يلزم منه التصرّم والتغيّر في ذاته وصفاته التي هي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35"/>
      </w:r>
      <w:r>
        <w:rPr>
          <w:rFonts w:ascii="Amiri" w:hAnsi="Amiri" w:eastAsia="Amiri" w:cs="Amiri"/>
          <w:color w:val="111111"/>
          <w:sz w:val="28"/>
          <w:sz w:val="28"/>
          <w:szCs w:val="28"/>
          <w:rtl w:val="true"/>
          <w:lang w:bidi="ar-SA"/>
        </w:rPr>
        <w:t>فساد كون الإرادة من صفات الفعل لا الذات، فما صدر عنه تعالى لا يمكن أن يصدر من إرادته لا من ذاته، أو من ذاته دونها فإنّها عين ذاته، فإذن صدور المتغيّر والمتصرّم منه تعالى مستلزم لحدوث القديم، أو قدم الحادث بالذات وثبات المتغيّر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الكثير بلا وسط عن الواحد البسيط من جميع الجهات مستلزم للتركيب والتكثير فيه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مستحيل في غير الفاعل المختار وأمّا هو فله أن يفعل باختياره كلّ ما أراد</w:t>
      </w:r>
      <w:r>
        <w:rPr>
          <w:rStyle w:val="FootnoteAnchor"/>
          <w:rtl w:val="true"/>
        </w:rPr>
        <w:footnoteReference w:id="36"/>
      </w:r>
      <w:r>
        <w:rPr>
          <w:rFonts w:ascii="Amiri" w:hAnsi="Amiri" w:eastAsia="Amiri" w:cs="Amiri"/>
          <w:color w:val="111111"/>
          <w:sz w:val="28"/>
          <w:sz w:val="28"/>
          <w:szCs w:val="28"/>
          <w:rtl w:val="true"/>
          <w:lang w:bidi="ar-SA"/>
        </w:rPr>
        <w:t>، فليس بشيء؛ فإنّ الاختيار والإرادة عين الذات البسيطة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صدر عنهما صدر عنها، وتحقّق الكثرة والتجدّد في الإرادة عين تحقّقهما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إرادته تعالى وفعله الإرادي وكذا صدور الفعل عنه تعالى على الإنسان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الاشتباهات منشأه هذا القياس الباطل، فأين </w:t>
      </w:r>
    </w:p>
    <w:p>
      <w:pPr>
        <w:pStyle w:val="BookText"/>
        <w:rPr/>
      </w:pPr>
      <w:r>
        <w:rPr>
          <w:rFonts w:ascii="Amiri" w:hAnsi="Amiri" w:eastAsia="Amiri" w:cs="Amiri"/>
          <w:color w:val="111111"/>
          <w:sz w:val="28"/>
          <w:sz w:val="28"/>
          <w:szCs w:val="28"/>
          <w:rtl w:val="true"/>
          <w:lang w:bidi="ar-SA"/>
        </w:rPr>
        <w:t>الإنسان الناقص الكثير المتكثّر المتغيّر المتصرّم ذاتاً وصفاتاً وربّ الأرباب</w:t>
      </w:r>
    </w:p>
    <w:p>
      <w:pPr>
        <w:pStyle w:val="BookText"/>
        <w:rPr/>
      </w:pPr>
      <w:r>
        <w:rPr>
          <w:rFonts w:ascii="Amiri" w:hAnsi="Amiri" w:eastAsia="Amiri" w:cs="Amiri"/>
          <w:color w:val="111111"/>
          <w:sz w:val="28"/>
          <w:sz w:val="28"/>
          <w:szCs w:val="28"/>
          <w:rtl w:val="true"/>
          <w:lang w:bidi="ar-SA"/>
        </w:rPr>
        <w:t>البسيط الذات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قد يتوهّم أ نّه يلزم من ذلك قصور في قدرته تعالى ومغلولية يده</w:t>
      </w:r>
      <w:r>
        <w:rPr>
          <w:rStyle w:val="FootnoteAnchor"/>
          <w:rtl w:val="true"/>
        </w:rPr>
        <w:footnoteReference w:id="37"/>
      </w:r>
      <w:r>
        <w:rPr>
          <w:rFonts w:ascii="Amiri" w:hAnsi="Amiri" w:eastAsia="Amiri" w:cs="Amiri"/>
          <w:color w:val="111111"/>
          <w:sz w:val="28"/>
          <w:sz w:val="28"/>
          <w:szCs w:val="28"/>
          <w:rtl w:val="true"/>
          <w:lang w:bidi="ar-SA"/>
        </w:rPr>
        <w:t>، فاسد سيأتي ما يدفعه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الوجود ذاتها عين منشأية الآثار، ولا يمكن سلب الأثر مطلقاً عن ذاته لمساوقته لسلب ذاته، فلا يمكن أن يكون موجود مسلوباً عنه الآثار، بل سلب الأثر عن وجود مستلزم لسلبه عن كافّة الوجودات حتّى وجود الواجب لبساطة حقيقة الوجود واشتراكه المعنوي، فتدبّر جيّداً</w:t>
      </w:r>
      <w:r>
        <w:rPr>
          <w:rFonts w:eastAsia="Amiri" w:cs="Amiri" w:ascii="Amiri" w:hAnsi="Amiri"/>
          <w:color w:val="111111"/>
          <w:sz w:val="28"/>
          <w:szCs w:val="28"/>
          <w:rtl w:val="true"/>
          <w:lang w:bidi="ar-SA"/>
        </w:rPr>
        <w:t xml:space="preserve">. </w:t>
      </w:r>
      <w:bookmarkStart w:id="23" w:name="pg15289_219997"/>
    </w:p>
    <w:p>
      <w:pPr>
        <w:pStyle w:val="Heading3"/>
        <w:numPr>
          <w:ilvl w:val="2"/>
          <w:numId w:val="1"/>
        </w:numPr>
        <w:rPr/>
      </w:pPr>
      <w:bookmarkStart w:id="24" w:name="__RefHeading___Toc4628776_2142443653"/>
      <w:bookmarkStart w:id="25" w:name="_Toc9"/>
      <w:bookmarkEnd w:id="23"/>
      <w:bookmarkEnd w:id="24"/>
      <w:r>
        <w:rPr>
          <w:rtl w:val="true"/>
        </w:rPr>
        <w:t xml:space="preserve">فصل </w:t>
      </w:r>
      <w:r>
        <w:rPr>
          <w:rtl w:val="true"/>
        </w:rPr>
        <w:t xml:space="preserve">: </w:t>
      </w:r>
      <w:r>
        <w:rPr>
          <w:rtl w:val="true"/>
        </w:rPr>
        <w:t>في بيان المذهب الحقّ</w:t>
      </w:r>
      <w:bookmarkEnd w:id="25"/>
    </w:p>
    <w:p>
      <w:pPr>
        <w:pStyle w:val="BookText"/>
        <w:rPr/>
      </w:pPr>
      <w:r>
        <w:rPr>
          <w:rFonts w:ascii="Amiri" w:hAnsi="Amiri" w:eastAsia="Amiri" w:cs="Amiri"/>
          <w:color w:val="111111"/>
          <w:sz w:val="28"/>
          <w:sz w:val="28"/>
          <w:szCs w:val="28"/>
          <w:rtl w:val="true"/>
          <w:lang w:bidi="ar-SA"/>
        </w:rPr>
        <w:t>وهو الأمر بين الأمرين والمنزلة بين المنزلتين، وفيه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بعد ما علم أنّ التفويض وهو استقلال الممكن في الإيجاد والفاعلية، والجبر وهو سلب التأثير عن الموجود ومزاولته تعالى للأفعال والآثار مباشرة وبلا وسط، مستحيلان، اتّضح سبيل الأمر بين الأمرين وهو كون الموجودات الإمكانية مؤثّرات لكن لا بالاستقلال، وفيها الفاعلية والعلّية والتأثير لكن من غير استقلال واستبداد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دار التحقّق فاعل مستقلّ سوى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الموجودات كما أ نّها موجودات لا بالاستقلال بل روابط محضة ووجودها عين الفقر والتعلّق ومحض الربط والفاقة تكون في الصفات والآثار والأفعال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 نّها ذات صفات وآثار وأفعال لم تكن مستقلاّت في شيء منها كما تقدّم برهانه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عرف حقيقة كون الممكن ربطاً محضاً عرف أنّ فعله مع كونه فعله فعل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بما أ نّه ربط صرف وتعلّق محض ظهور قدرة الله وإرادته وعلمه وفعله، وهذا عين المنزلة بين المنزلتين والأمر بين الأمرين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إليه أشار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رَمَيْتَ إِذْ رَمَيْتَ وَلَكِنَّ الله </w:t>
      </w:r>
      <w:bookmarkStart w:id="26" w:name="pg15289_219998"/>
    </w:p>
    <w:p>
      <w:pPr>
        <w:pStyle w:val="BookText"/>
        <w:rPr/>
      </w:pPr>
      <w:bookmarkEnd w:id="26"/>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حيث أثبت الرمي من حيث نفاه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 وما رميت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الرمي كونه منه لم يكن بقوّته واستقلاله بل بقوّة الله وحوله،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تَشَآؤُونَ إِلاَّ أَنْ يَشَآءَ الله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فأثبت المشيّة لله من حيث كونها لهم، لا بأن يكون المؤثّر مشيّتين أو فعلين بالاشتراك بل بما أنّ مشيّة الممكن ظهور مشيّته تعالى وعين الربط والتعلّق بها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628778_2142443653"/>
      <w:bookmarkStart w:id="28" w:name="_Toc10"/>
      <w:bookmarkEnd w:id="27"/>
      <w:r>
        <w:rPr>
          <w:rtl w:val="true"/>
        </w:rPr>
        <w:t>تنبيه</w:t>
      </w:r>
      <w:r>
        <w:rPr>
          <w:rtl w:val="true"/>
        </w:rPr>
        <w:t xml:space="preserve">: </w:t>
      </w:r>
      <w:r>
        <w:rPr>
          <w:rtl w:val="true"/>
        </w:rPr>
        <w:t>في شرك التفويضي وكفر الجبري</w:t>
      </w:r>
      <w:bookmarkEnd w:id="28"/>
    </w:p>
    <w:p>
      <w:pPr>
        <w:pStyle w:val="BookText"/>
        <w:rPr/>
      </w:pPr>
      <w:r>
        <w:rPr>
          <w:rFonts w:ascii="Amiri" w:hAnsi="Amiri" w:eastAsia="Amiri" w:cs="Amiri"/>
          <w:color w:val="111111"/>
          <w:sz w:val="28"/>
          <w:sz w:val="28"/>
          <w:szCs w:val="28"/>
          <w:rtl w:val="true"/>
          <w:lang w:bidi="ar-SA"/>
        </w:rPr>
        <w:t>التفويضي أخرج الممكن عن حدّه إلى حدّ الواجب بالذات فهو مشرك، وا لجبري حطّ الواجب تعالى عن علوّ مقامه إلى حدود بقعة الإمكان فهو كافر، ولقد سمّى مولانا عليّ بن موسى الرضا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القائل بالجبر كافراً، والقائل بالتفويض مشركاً على رواية صدوق الطائفة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والأمر بين الأمرين هو الطريقة الوسطى التي للاُمّة المحمّدية صلی الله علیه و آله وسلم وهي حفظ مقام الربوبية والحدود الإمكانية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فالجبري ظلم الواجب حقّه بل الممكنات حقّها، والتفويضي كذلك، والقائل بالأمر بين الأمرين أعطى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 عينه اليمنى عمياء فسرى عماه منها إلى اليسرى، والتفويضي عينه اليسرى عمياء فسرى منها إلى اليمنى، والقائل بالمنزلة بين المنزلتين ذو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 مجوس هذه الاُمّة حيث نسب </w:t>
      </w:r>
      <w:bookmarkStart w:id="29" w:name="pg15289_219999"/>
    </w:p>
    <w:p>
      <w:pPr>
        <w:pStyle w:val="BookText"/>
        <w:rPr/>
      </w:pPr>
      <w:bookmarkEnd w:id="29"/>
      <w:r>
        <w:rPr>
          <w:rFonts w:ascii="Amiri" w:hAnsi="Amiri" w:eastAsia="Amiri" w:cs="Amiri"/>
          <w:color w:val="111111"/>
          <w:sz w:val="28"/>
          <w:sz w:val="28"/>
          <w:szCs w:val="28"/>
          <w:rtl w:val="true"/>
          <w:lang w:bidi="ar-SA"/>
        </w:rPr>
        <w:t xml:space="preserve">الخسائس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والنقائص إلى الله تعالى، والتفويضي يهود هذه الاُمّة حيث جعل يد الله تعالى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أَيْدِيهِمْ وَلُعِنُوا بِمَا قَالُوا بَلْ يَدَاهُ مَبْسُوطَتَانِ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والقائل بالأمر بين الأمرين على الحنفية الإسلامية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628780_2142443653"/>
      <w:bookmarkStart w:id="31" w:name="_Toc11"/>
      <w:bookmarkEnd w:id="30"/>
      <w:r>
        <w:rPr>
          <w:rtl w:val="true"/>
        </w:rPr>
        <w:t>إرشاد</w:t>
      </w:r>
      <w:r>
        <w:rPr>
          <w:rtl w:val="true"/>
        </w:rPr>
        <w:t xml:space="preserve">: </w:t>
      </w:r>
      <w:r>
        <w:rPr>
          <w:rtl w:val="true"/>
        </w:rPr>
        <w:t>في استناد الأفعال إلى الله</w:t>
      </w:r>
      <w:bookmarkEnd w:id="31"/>
    </w:p>
    <w:p>
      <w:pPr>
        <w:pStyle w:val="BookText"/>
        <w:rPr/>
      </w:pPr>
      <w:r>
        <w:rPr>
          <w:rFonts w:ascii="Amiri" w:hAnsi="Amiri" w:eastAsia="Amiri" w:cs="Amiri"/>
          <w:color w:val="111111"/>
          <w:sz w:val="28"/>
          <w:sz w:val="28"/>
          <w:szCs w:val="28"/>
          <w:rtl w:val="true"/>
          <w:lang w:bidi="ar-SA"/>
        </w:rPr>
        <w:t>مع أنّ أثر كلّ ذي أثر وفعل كلّ فاعل منسوب إلى الله تعالى وإليها كما عرفت، لكن خيراتها وحسناتها وكمالاتها وسعاداتها كلّها من الله وهو تعالى أولى بها منها، وشرورها وسيّئاتها ونقائصها وشقاواتها ترجع إلى نفسها وهي أولى بها منه تعالى؛ فإنّه تعالى لمّا كان صرف الوجود فهو صرف كلّ كمال وجمال، وإلاّ يلزم عدم كونه صرفاً وهو يرجع إلى التركيب والإمكان، وأيضاً يلزم منه أن يكون في التحقّق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ومقابله، مع أنّ مقابله العدم والماهية، وحالهما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تعالى صرف الوجود وصرف كلّ الكمالات، والصادر من صرف الوجود لا يمكن أن يكون غير الوجود والكمال، والنقائص والشرور لوازم ذوات المعاليل من غير تخلّل جعل؛ لعدم إمكان تعلّقه إلاّ بالوجود وهو نفس الكمال والسعادة والخير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فالخيرات كلّها مجعولات ومبدأ الجعل فيها هو الحقّ تعالى، والشرور التي في دار الطبيعة المظلمة من تصادمات المادّيات وضيق عالم الطبيعة وكلّها ترجع إلى عدم وجود أو عدم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والأعدام مطلقاً غير متعلّقة للجعل، بل المضافة منها من لوازم المجعول، وتضائق دار البوار، وتصادم المسجونين في سجن </w:t>
      </w:r>
      <w:bookmarkStart w:id="32" w:name="pg15289_220000"/>
    </w:p>
    <w:p>
      <w:pPr>
        <w:pStyle w:val="BookText"/>
        <w:rPr/>
      </w:pPr>
      <w:bookmarkEnd w:id="32"/>
      <w:r>
        <w:rPr>
          <w:rFonts w:ascii="Amiri" w:hAnsi="Amiri" w:eastAsia="Amiri" w:cs="Amiri"/>
          <w:color w:val="111111"/>
          <w:sz w:val="28"/>
          <w:sz w:val="28"/>
          <w:szCs w:val="28"/>
          <w:rtl w:val="true"/>
          <w:lang w:bidi="ar-SA"/>
        </w:rPr>
        <w:t>الطبيعة وسلاسل الزمان، فكلّها ترجع إلى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أصابك من حسنة وخير وسعادة وكمال فمن الله، وما أصابك من سيّئة وشرّ ونقص وشقاء فمن نفسك</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كانت النقائص والشرور اللازمة للوجودات الإمكانية من قبيل الأعدام المضافة، والحدود والماهيات كان لها وجود بالعرض، وما كان كذلك فمن عند الله لكن بالعرض، فالخيرات من الله بالذات ومنسوبة إلى الممكنات بالعرض، والشرور من الممكنات بالذات ومنسوبة إليه تعالى بالعرض، فحينئذٍ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عند الله، فإنّه لولا الإيجاد والإفاضة وبسط الخيرات لم يكن وجود ولا حدّه ولا طبيعة ولا 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تغيير الاُسلوب وتخلّل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للإشارة إلى المجعولية بالعرض</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628782_2142443653"/>
      <w:bookmarkStart w:id="34" w:name="_Toc12"/>
      <w:bookmarkEnd w:id="33"/>
      <w:r>
        <w:rPr>
          <w:rtl w:val="true"/>
        </w:rPr>
        <w:t>تمثيل</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يقرّب من وجه لا من جميع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أشرقت الشمس على مرآة ووقع النور منها على جدار، فنور الجدار ليس من المرآة بذاتها لعدم نور لها، ولا من الشمس المطلقة أي بلا وسط وبلا قيد، بل هو نور شمس المرآة، فمَن نظر إلى المرآة غافلاً عن الشمس يزعم كونه للمرآة، ومَن نظر إلى الشمس غافلاً عن المرآة يزعم كونه من الشمس بلا وسط، ومَن كان ذا العينين يرى الشمس والمرآة، يرى أنّ النور من شمس المرآة ومع ذلك يحكم بأنّ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 </w:t>
      </w:r>
      <w:bookmarkStart w:id="35" w:name="pg15289_220001"/>
    </w:p>
    <w:p>
      <w:pPr>
        <w:pStyle w:val="BookText"/>
        <w:rPr/>
      </w:pPr>
      <w:bookmarkEnd w:id="35"/>
      <w:r>
        <w:rPr>
          <w:rFonts w:ascii="Amiri" w:hAnsi="Amiri" w:eastAsia="Amiri" w:cs="Amiri"/>
          <w:color w:val="111111"/>
          <w:sz w:val="28"/>
          <w:sz w:val="28"/>
          <w:szCs w:val="28"/>
          <w:rtl w:val="true"/>
          <w:lang w:bidi="ar-SA"/>
        </w:rPr>
        <w:t xml:space="preserve">سنخه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بالذات وللمرآة بالعرض، ومحدودية النور حسب حدّ المرآة للمرآة بالذات وللنور بالعرض، ومع ذلك لولا الشمس وإشراقها لم يكن نور ولا حدّ، فالنور وحدّه من عند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فالأنوار الطالعة من اُفق عالم الغيب إنّما هي لنور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 الوجود من حضرة الرحموت وظلّ نور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ولا نور إلاّ نوره ولا ظهور إلاّ ظهوره ولا وجود إلاّ وجوده ولا إرادة إلاّ إرادته ولا حول ولا قوّة إلاّ به وإلاّ بحوله وقوّته، والحدود والتعيّنات والشرور كلّها من حدود الإمكان ومن لوازم الذوات الممكنة وضيق المادّة وتصادم المادّيات</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628784_2142443653"/>
      <w:bookmarkStart w:id="37" w:name="_Toc13"/>
      <w:bookmarkEnd w:id="36"/>
      <w:r>
        <w:rPr>
          <w:rtl w:val="true"/>
        </w:rPr>
        <w:t>تمثيل أقرب</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قوى النفس المنبثّة في تلك الصيصية البدنية من غيبها، فإنّها بما هي متعلّقات بذات النفس وروابط محضة بها فعلها فعل النفس، بل هي ظهورها وأسماؤها وصفاتها، فمع صحّة نسبة الرؤية إلى البصر، والسماع إلى السمع وهكذا، تصحّ نسبتها إلى النفس فبالسمع تسمع وبالبصر تبصر، فلا يصحّ سلب الانتساب عن القوى ولا عن النفس؛ لكونها روابطها وظهورها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فناء نور الوجود في نور الأنوار أشدّ من فناء قوى النفس فيها بما لا نسبة بينهما؛ لأنّ النفس بما أ نّها موجودة متعيّنة ذات ماهية 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والماهية من ذاتها التباين </w:t>
      </w:r>
      <w:bookmarkStart w:id="38" w:name="pg15289_220002"/>
    </w:p>
    <w:p>
      <w:pPr>
        <w:pStyle w:val="BookText"/>
        <w:rPr/>
      </w:pPr>
      <w:bookmarkEnd w:id="38"/>
      <w:r>
        <w:rPr>
          <w:rFonts w:ascii="Amiri" w:hAnsi="Amiri" w:eastAsia="Amiri" w:cs="Amiri"/>
          <w:color w:val="111111"/>
          <w:sz w:val="28"/>
          <w:sz w:val="28"/>
          <w:szCs w:val="28"/>
          <w:rtl w:val="true"/>
          <w:lang w:bidi="ar-SA"/>
        </w:rPr>
        <w:t xml:space="preserve">والغيرية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تُصحّح الغيرية والتباين مع قواها، ومع ذلك تكون النسبة إليهما حقيقية لأجل الحظّ الوجودي الذي لهما، فكيف بموجود بريء من جهات النقص والتعيّن، ومنزّه عن الماهية ولوازمها، ومقدّس عن شوائب الكثرة ومصحّحات الغيرية والتضادّ والتباين؟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628786_2142443653"/>
      <w:bookmarkStart w:id="40" w:name="_Toc14"/>
      <w:bookmarkEnd w:id="39"/>
      <w:r>
        <w:rPr>
          <w:rtl w:val="true"/>
        </w:rPr>
        <w:t>تأييدات نقلية</w:t>
      </w:r>
      <w:bookmarkEnd w:id="40"/>
    </w:p>
    <w:p>
      <w:pPr>
        <w:pStyle w:val="BookText"/>
        <w:rPr/>
      </w:pPr>
      <w:r>
        <w:rPr>
          <w:rFonts w:ascii="Amiri" w:hAnsi="Amiri" w:eastAsia="Amiri" w:cs="Amiri"/>
          <w:color w:val="111111"/>
          <w:sz w:val="28"/>
          <w:sz w:val="28"/>
          <w:szCs w:val="28"/>
          <w:rtl w:val="true"/>
          <w:lang w:bidi="ar-SA"/>
        </w:rPr>
        <w:t>وهي أكثر من أن يذكر، فالآيات الكريمة والأحاديث الشريفة مشحونة بذكر هذه اللطيفة الربّانية والحقيقة الإلهية تصريحاً وتلويحاً، تنصيصاً وكناية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قدّمنا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50"/>
      </w:r>
      <w:r>
        <w:rPr>
          <w:rFonts w:ascii="Amiri" w:hAnsi="Amiri" w:eastAsia="Amiri" w:cs="Amiri"/>
          <w:color w:val="111111"/>
          <w:sz w:val="28"/>
          <w:sz w:val="28"/>
          <w:szCs w:val="28"/>
          <w:rtl w:val="true"/>
          <w:lang w:bidi="ar-SA"/>
        </w:rPr>
        <w:t xml:space="preserve">الواردة في قضيّة خضر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إشارة لطيفة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التي وردت فيها نسبة التوفّي تارة إلى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الْأَنْفُسَ حِينَ مَوْتِهَا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واُخرى إلى ملك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يَتَوَفَّاكُمْ مَلَكُ </w:t>
      </w:r>
    </w:p>
    <w:p>
      <w:pPr>
        <w:pStyle w:val="BookText"/>
        <w:rPr/>
      </w:pPr>
      <w:r>
        <w:rPr>
          <w:rFonts w:ascii="Amiri" w:hAnsi="Amiri" w:eastAsia="Amiri" w:cs="Amiri"/>
          <w:color w:val="111111"/>
          <w:sz w:val="28"/>
          <w:sz w:val="28"/>
          <w:szCs w:val="28"/>
          <w:rtl w:val="true"/>
          <w:lang w:bidi="ar-SA"/>
        </w:rPr>
        <w:t>الْمَوْتِ الَّذِى وُكِّلَ بِكُمْ</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وثالثة إلى الملائكة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يَتَوَفَّى الَّذِينَ كَفَرُوا الْمَلاَئِكَةُ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التي تنسب الإضلال تارةً إلى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واُخرى إلى إبليس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عَدُوٌّ مُضِلٌّ مُبِينٌ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وثالثة إلى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 فِرْعَوْنُ قَوْمَهُ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وَأَضَلَّهُمُ السَّامِرِىُّ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كنت ذا قلب متنوّر بنور فهم القرآن بعد تطهيره من أرجاس التعلّق إلى الطبيعة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لَقُرْءَانٌ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لوجدت هذه اللطيفة في آيات لا يمسّها العامّة، فهذا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قصّر جميع المحامد عليه تعالى وأرجع كلّ محمدة إليه، فلولا أنّ كلّ كمال وجمال كمالُه وجماله بالذات وبحسب الحقيقة لم يكن وجه لصحّة هذا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أضفت إلى ذلك ما عند أهل المعرفة</w:t>
      </w:r>
      <w:r>
        <w:rPr>
          <w:rStyle w:val="FootnoteAnchor"/>
          <w:rtl w:val="true"/>
        </w:rPr>
        <w:footnoteReference w:id="60"/>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 المحامد من كلّ حامد إنّما يقع باسم الله، فباسمه يكون كلّ حمد لله تعالى، فهو الحامد والمحمود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شمّةٌ من الآيات ذكرناها اُنموذجة لغير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الروايات من طريق أهل بيت الوحي والتنزيل علیهم السلام فكثيرة جدّاً، جمَع</w:t>
      </w:r>
    </w:p>
    <w:p>
      <w:pPr>
        <w:pStyle w:val="BookText"/>
        <w:rPr/>
      </w:pPr>
      <w:r>
        <w:rPr>
          <w:rFonts w:ascii="Amiri" w:hAnsi="Amiri" w:eastAsia="Amiri" w:cs="Amiri"/>
          <w:color w:val="111111"/>
          <w:sz w:val="28"/>
          <w:sz w:val="28"/>
          <w:szCs w:val="28"/>
          <w:rtl w:val="true"/>
          <w:lang w:bidi="ar-SA"/>
        </w:rPr>
        <w:t xml:space="preserve">المحقّق البارع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عن الحقيقة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منها</w:t>
      </w:r>
      <w:r>
        <w:rPr>
          <w:rStyle w:val="FootnoteAnchor"/>
          <w:rtl w:val="true"/>
        </w:rPr>
        <w:footnoteReference w:id="61"/>
      </w:r>
      <w:r>
        <w:rPr>
          <w:rFonts w:ascii="Amiri" w:hAnsi="Amiri" w:eastAsia="Amiri" w:cs="Amiri"/>
          <w:color w:val="111111"/>
          <w:sz w:val="28"/>
          <w:sz w:val="28"/>
          <w:szCs w:val="28"/>
          <w:rtl w:val="true"/>
          <w:lang w:bidi="ar-SA"/>
        </w:rPr>
        <w:t xml:space="preserve">، فقال في آخر الإيقاظ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أحاديث هذا الباب كثيرة وفيما أوردناه كفاية للمتبصّر، فلنكتف الآن بما حواه هذا الإيقاظ، وذلك اثنان وتسعون حديثاً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انتهى، فمن شاء فليراجع إليها وإلى الكتب الناقلة لأحاديث العترة الطاهرة علیهم السلام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فالآن نتبرّك بذكر رواية صحيحة منها هي ما رواه الشيخ الكليني في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بمشيّتي كنت أنت الذي تشاء لنفسك ما تشاء، وبقوّتي أدّيت فرائضي، وبنعمتي قويت على معصيتي، جعلتك سميعاً بصيراً قويّاً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 نّي أولى بحسناتك منك وأنت أولى بسيّئاتك منّي، وذاك أ نّني لا اُسئل عمّا أفعل وهم يسألون</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شرحنا هذا </w:t>
      </w:r>
    </w:p>
    <w:p>
      <w:pPr>
        <w:pStyle w:val="BookText"/>
        <w:rPr/>
      </w:pPr>
      <w:r>
        <w:rPr>
          <w:rFonts w:ascii="Amiri" w:hAnsi="Amiri" w:eastAsia="Amiri" w:cs="Amiri"/>
          <w:color w:val="111111"/>
          <w:sz w:val="28"/>
          <w:sz w:val="28"/>
          <w:szCs w:val="28"/>
          <w:rtl w:val="true"/>
          <w:lang w:bidi="ar-SA"/>
        </w:rPr>
        <w:t xml:space="preserve">الحديث شرحاً وافياً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إذا تأمّلت ما تقدّم منّا ترى أنّ الروايات الشريفة متوافقة المضمون غير متعارضة الحقيقة وإن كان الجاهل يزعم الاختلاف، فلا منافاة بين قول أبي عبدالله علیه السلام في رواية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الخير والشرّ إليه فقد كذب على الله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الخير والشرّ بغير مشيّة الله فقد أخرج الله عن سلطانه</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 وكذا بين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 ليس إليه والخير بيديه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الخيرات والشرور كلّها ممّا أجرى الله تعالى على يدي العباد</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41" w:name="pg15289_220006"/>
    </w:p>
    <w:p>
      <w:pPr>
        <w:pStyle w:val="Heading3"/>
        <w:numPr>
          <w:ilvl w:val="2"/>
          <w:numId w:val="1"/>
        </w:numPr>
        <w:rPr/>
      </w:pPr>
      <w:bookmarkStart w:id="42" w:name="__RefHeading___Toc4628788_2142443653"/>
      <w:bookmarkStart w:id="43" w:name="_Toc15"/>
      <w:bookmarkEnd w:id="41"/>
      <w:bookmarkEnd w:id="42"/>
      <w:r>
        <w:rPr>
          <w:rtl w:val="true"/>
        </w:rPr>
        <w:t>فصل في ذكر بعض الشبهات الواردة وجوابها</w:t>
      </w:r>
      <w:bookmarkEnd w:id="43"/>
    </w:p>
    <w:p>
      <w:pPr>
        <w:pStyle w:val="Heading4"/>
        <w:numPr>
          <w:ilvl w:val="3"/>
          <w:numId w:val="1"/>
        </w:numPr>
        <w:rPr/>
      </w:pPr>
      <w:bookmarkStart w:id="44" w:name="__RefHeading___Toc4628790_2142443653"/>
      <w:bookmarkStart w:id="45" w:name="_Toc16"/>
      <w:bookmarkEnd w:id="44"/>
      <w:r>
        <w:rPr>
          <w:rtl w:val="true"/>
        </w:rPr>
        <w:t>شبهة عدم إرادية الإرادة الإنسانية</w:t>
      </w:r>
      <w:bookmarkEnd w:id="45"/>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الإنسانية إن كانت واردة من الخارج بأسباب وعلل منتهية إلى الإرادة القديمة كانت واجبة التحقّق من غير دخالة العبد في ذلك فيكون مضطرّاً وملجأً في إرادته، ولازمه الاضطرار في فعله؛ لأنّ ما يكون علّته التامّة اضطرارية يكون هو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إرادته بإرادته ننقل الكلام إلى إرادة إرادته، فإمّا أن يتسلسل أو يلزم الاضطرار والجبر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أجاب عنها أساطين الفلسفة وأئمّة الفنّ بما لا يخلو عن التكلّف</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فتصدّى السيّد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الإرادة حالة شوقية إجمالية متأكّدة بحيث إذا ما قيست إلى نفس الفعل وكان هو الملتفت إليه باللحاظ بالذات كانت هي شوقاً وإرادة بالقياس إليه، وإذا ما قيست إلى إرادته والشوق الإجماعي إليه وكان الملتفت إليه باللحاظ بالذات تلك الإرادة والشوق لا نفس الفعل كانت هي شوقاً وإرادة بالقياس إلى الإرادة من غير شوق آخر مستأنف وإرادة اُخرى جديدة، وكذلك الأمر في إرادة الإرادة، وإرادة إرادة الإرادة إلى سائر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كلٌّ من تلك الإرادات المفصّلة </w:t>
      </w:r>
    </w:p>
    <w:p>
      <w:pPr>
        <w:pStyle w:val="BookText"/>
        <w:rPr/>
      </w:pPr>
      <w:r>
        <w:rPr>
          <w:rFonts w:ascii="Amiri" w:hAnsi="Amiri" w:eastAsia="Amiri" w:cs="Amiri"/>
          <w:color w:val="111111"/>
          <w:sz w:val="28"/>
          <w:sz w:val="28"/>
          <w:szCs w:val="28"/>
          <w:rtl w:val="true"/>
          <w:lang w:bidi="ar-SA"/>
        </w:rPr>
        <w:t>يكون بالإرادة والاختيار، وهي بأسرها مضمّنةٌ في تلك الحالة الشوقية الإجماعية المعبّر عنها بإرادة الفعل واختياره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حاول</w:t>
      </w:r>
      <w:r>
        <w:rPr>
          <w:rStyle w:val="FootnoteAnchor"/>
          <w:rtl w:val="true"/>
        </w:rPr>
        <w:footnoteReference w:id="71"/>
      </w:r>
      <w:r>
        <w:rPr>
          <w:rFonts w:ascii="Amiri" w:hAnsi="Amiri" w:eastAsia="Amiri" w:cs="Amiri"/>
          <w:color w:val="111111"/>
          <w:sz w:val="28"/>
          <w:sz w:val="28"/>
          <w:szCs w:val="28"/>
          <w:rtl w:val="true"/>
          <w:lang w:bidi="ar-SA"/>
        </w:rPr>
        <w:t>مقايسة الإرادة في ذلك بالعلم بالشيء تارةً، وبالعلم بذواتنا اُخرى، وبالنيّة في العبادة ثالثةً، وباللزوم ولزوم اللزوم رابعةً، وبالإرادة المتعلّقة</w:t>
      </w:r>
    </w:p>
    <w:p>
      <w:pPr>
        <w:pStyle w:val="BookText"/>
        <w:rPr/>
      </w:pPr>
      <w:r>
        <w:rPr>
          <w:rFonts w:ascii="Amiri" w:hAnsi="Amiri" w:eastAsia="Amiri" w:cs="Amiri"/>
          <w:color w:val="111111"/>
          <w:sz w:val="28"/>
          <w:sz w:val="28"/>
          <w:szCs w:val="28"/>
          <w:rtl w:val="true"/>
          <w:lang w:bidi="ar-SA"/>
        </w:rPr>
        <w:t>بالمسافة القابلة للانقسام إلى غير النهاية خامسةً، ولك قياسها بالإمكان في الممكنات والوجوب في الواجب وضرورة القضايا الضرورية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وفي مقايساته؛ فإنّ الإرادة بما أ نّها صفة موجودة حقيقية تحتاج إلى علّة موجدة؛ إمّا إرادة اُخرى أو شيء من خارج، فيتسلسل أو يلزم الاضطرار والجبر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تحقّق الإرادة نفس ذاتها بالضرورة، كما أنّ العلم بالغير أو بذواتنا ليس معلولاً لنفسه بل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لاحظنا علمنا بصورة، يكون معلوماً بواسطة هذا اللحاظ وتنقطع اللحاظات بتركها، وكذا في اللزومات؛ فإنّ اللزوم أمر اعتباري إذا لوحظ طرفاً يعتبر لزوم آخر بينه وبين الموضوع وتنقطع بانقطاع الاعتبار، وأمّا الإرادة المتعلّقة بالشيء فلا تكون اعتبارية وتابعة للحاظ</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فقياساته مع الفارق خصوصاً بالإرادة المتعلّقة بالمسافة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القياس بالنيّة في العبادة فغير معلوم الوجه؛ فإنّ النيّة فيها لا تلزم أن تكون منويّة وإلاّ فيرد عين الإشكال فيها أيضاً، ولا يدفع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واتّضح بطلان قياسنا بالإمكان والوجوب والضرورات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لا يغني من الجواب عن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وأشكل عليه تلميذه الأكبر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لنا أن نأخذ جميع الإرادات بحيث لا يشذّ عنها شيء ونطلب أنّ علّتها أيّ شيء هي ؟ فإن كانت إرادة اُخرى لزم الجبر في الإرادة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نظير ما يقال في الاستدلال على وجود غنيّ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سلسلة غير متناهية في الوجود يكون كلّ فرد فرد فيها فقيراً ممكناً لنا أن نحيط بعقلنا على السلسلة إجمالاً،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 الغير المتناهية من الفقراء لا يمكن أن تدخل ولا فرد منها في الوجود إلاّ بإفاضة غنيّ بالذات، وإلاّ فالفقير الفاقد للشيء لا يمكن أن يكون معطياً ومغنياً، فكلّ موجود دلّ على الغنيّ بالذات، فسدّ فقر الفقير لا يمكن إلاّ بالغنيّ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المحقّق الداماد</w:t>
      </w:r>
    </w:p>
    <w:p>
      <w:pPr>
        <w:pStyle w:val="BookText"/>
        <w:rPr/>
      </w:pPr>
      <w:r>
        <w:rPr>
          <w:rFonts w:ascii="Amiri" w:hAnsi="Amiri" w:eastAsia="Amiri" w:cs="Amiri"/>
          <w:color w:val="111111"/>
          <w:sz w:val="28"/>
          <w:sz w:val="28"/>
          <w:szCs w:val="28"/>
          <w:rtl w:val="true"/>
          <w:lang w:bidi="ar-SA"/>
        </w:rPr>
        <w:t>كان متنبّهاً على هذا الإشكال في تقريره أصل الشبهة ومع ذلك أجاب 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المحقّق الخراساني رحمه الله علیه عن أصل الشبهة بأنّ الاختيار وإن لم يكن بالاختيار إلاّ أنّ بعض مباديه غالباً يكون بالاختيار؛ للتمكّن من عدمه بالتأمّل فيما يترتّب على ما عزم عليه من تبعة العقوبة واللوم والمذمّة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الاختياري على الفرض ما كان مباديه بالاختيار، فحينئذٍ ننقل الكلام إلى تلك المبادي التي ادّعى أ نّها بالاختيار، هل تكون الإرادة المتعلّقة بها بالإرادة واختيارها بالاختيار فيتسلسل أو يلزم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ذكرنا يظهر الجواب عمّا ذكره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قد تتحقّق لمصلحة في نفسها؛ لأ نّا نرى بالوجدان إمكان أن يقصد الإنسان البقاء في مكان عشرة أيّام ويكون الأثر مترتّباً على القصد لا على البقاء</w:t>
      </w:r>
      <w:r>
        <w:rPr>
          <w:rStyle w:val="FootnoteAnchor"/>
          <w:rtl w:val="true"/>
        </w:rPr>
        <w:footnoteReference w:id="74"/>
      </w:r>
      <w:r>
        <w:rPr>
          <w:rFonts w:ascii="Amiri" w:hAnsi="Amiri" w:eastAsia="Amiri" w:cs="Amiri"/>
          <w:color w:val="111111"/>
          <w:sz w:val="28"/>
          <w:sz w:val="28"/>
          <w:szCs w:val="28"/>
          <w:rtl w:val="true"/>
          <w:lang w:bidi="ar-SA"/>
        </w:rPr>
        <w:t>، فإنّه بذلك لا تنحسم مادّة الإشكال؛ فإنّا ننقل الكلام إلى إرادة الإرادة هل هي إرادية أو لا ؟ فيتسلسل أو عاد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امتناع تعلّق الإرادة بالبقاء من غير مصلحة فيه، وفي المثال لا محيص إلاّ من تعلّق رجحان ولو بالعرض والواسطة بالبقاء وإلاّ فتعلّق الإرادة به بلا ترجيح واصطفاء ممّا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إرادية الفعل بالإرادة لكن إرادية الإرادة بنفسها لا بإرادة اُخرى، كموجودية الوجود ومنوّرية النور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خلط بين الجهات التقييدية والتعليلية؛ فإنّ معنى موجودية الوجود بذاته أ نّه لا يحتاج في صدق المشتقّ عليه إلى حيثية تقييدية وإن احتاج إلى حيثية تعليلية إذا كان ممكناً، وبهذا المعنى لو فرض كونها مرادة بذاتها لا تستغني عن العلّة، والإشكال في أنّ علّتها هل هي إرادة اُخرى منه أو أمر من خارج؟</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وأسدّ ما قيل في المقام هو ما أجاب عنه بعض الأكابر</w:t>
      </w:r>
      <w:r>
        <w:rPr>
          <w:rStyle w:val="FootnoteAnchor"/>
          <w:rtl w:val="true"/>
        </w:rPr>
        <w:footnoteReference w:id="76"/>
      </w:r>
      <w:r>
        <w:rPr>
          <w:rFonts w:ascii="Amiri" w:hAnsi="Amiri" w:eastAsia="Amiri" w:cs="Amiri"/>
          <w:color w:val="111111"/>
          <w:sz w:val="28"/>
          <w:sz w:val="28"/>
          <w:szCs w:val="28"/>
          <w:rtl w:val="true"/>
          <w:lang w:bidi="ar-SA"/>
        </w:rPr>
        <w:t>وإنّي كنت معتمداً عليه سابقاً، وبيانه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بما هي من الصفات الحقيقية </w:t>
      </w:r>
    </w:p>
    <w:p>
      <w:pPr>
        <w:pStyle w:val="BookText"/>
        <w:rPr/>
      </w:pPr>
      <w:r>
        <w:rPr>
          <w:rFonts w:ascii="Amiri" w:hAnsi="Amiri" w:eastAsia="Amiri" w:cs="Amiri"/>
          <w:color w:val="111111"/>
          <w:sz w:val="28"/>
          <w:sz w:val="28"/>
          <w:szCs w:val="28"/>
          <w:rtl w:val="true"/>
          <w:lang w:bidi="ar-SA"/>
        </w:rPr>
        <w:t>ذات الإضافة، وزانها وزان سائر الصفات الكذائية، فكما أنّ المعلوم ما تعلّق به العلم لا ما تعلّق بعلمه العلم، والمحبوب ما تعلّق به الحبّ لا ما تعلّق بحبّه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كذلك المراد ما تعلّق به الإرادة لا ما تعلّق بإرادته الإرادة، والمختار من يكون فعله بإرادته واختياره لا إرادتُه واختيارُه، والقادر من يكون بحيث إذا أراد الفعل صدر عنه وإلاّ فلا، لا من يكون إذا أراد إرادة الفعل فعل، ولو توقّف الفعل الإرادي على كون الإرادة المتعلّقة به متعلّقة للإرادة لزم أن لا يوجد فعل إرادي قطّ حتّى ما صدر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اصطلاح لا يدفع به الإشكال من عدم صحّة العقوبة على الفعل الإلجائي الاضطراري؛ فإنّ مبدأ الفعل وهو الإرادة إذا لم يكن إرادياً اختيارياً يكون الفعل اضطرارياً ومعه لا تصحّ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مقامان؛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الفعل الإرادي من الاضطراري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مناط صحّة العقوبة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فلا إشكال في أنّ مناط إرادية الفعل في جميع الأفعال الإرادية الصادرة من الفاعل واجباً كان أو ممكناً في مقابل الاضطراري الإلجائي هو تعلّق الإرادة به لا بإرادته، والاضطراري كحركة المرتعش ما لا تتعلّق به الإرادة، فهذا تمام مناط الإرادية لا غير، كما أنّ تمام مناط المعلومية هو كون الشيء متعلّقاً للعلم لا مباديه ولا العلم المتعلّق 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فلا ريب في أنّ العقلاء من كلّ ملّة يفرّقون بين الحركة الارتعاشية والإرادية في صحّة العقوبة على الثانية دون الاُولى، وليس ذلك إلاّ لحكمهم كافّة على أنّ الفعل الاختياري صادر عن إرادته واختياره من </w:t>
      </w:r>
      <w:bookmarkStart w:id="46" w:name="pg15289_220011"/>
    </w:p>
    <w:p>
      <w:pPr>
        <w:pStyle w:val="BookText"/>
        <w:rPr/>
      </w:pPr>
      <w:bookmarkEnd w:id="46"/>
      <w:r>
        <w:rPr>
          <w:rFonts w:ascii="Amiri" w:hAnsi="Amiri" w:eastAsia="Amiri" w:cs="Amiri"/>
          <w:color w:val="111111"/>
          <w:sz w:val="28"/>
          <w:sz w:val="28"/>
          <w:szCs w:val="28"/>
          <w:rtl w:val="true"/>
          <w:lang w:bidi="ar-SA"/>
        </w:rPr>
        <w:t>دون إلجاء واضطرار وإجبار، وهذه الشبهات في نظر العقلاء سوفسطائية وفي مقابل البديهة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628792_2142443653"/>
      <w:bookmarkStart w:id="48" w:name="_Toc17"/>
      <w:bookmarkEnd w:id="47"/>
      <w:r>
        <w:rPr>
          <w:rtl w:val="true"/>
        </w:rPr>
        <w:t>تحقيق به يدفع الإشكال</w:t>
      </w:r>
      <w:bookmarkEnd w:id="48"/>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الاختيارية الصادرة من النفس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منها بتوسط الآلات الجرمانية كالكتابة والصياغة والبناء، ففي مثلها تكون النفس فاعلة الحركة أوّلاً وللأثر الحاصل منها ثانياً وبالعرض، فالبنّاء إنّما يحرّك الأحجار والأخشاب من محلّ إلى محلّ ويضعها على نظم خاصّ وتحصل منه هيئة خاصّة بنائية وليست الهيئة والنظم من فعل الإنسان إلاّ بالعرض، وما هو فعله بالآلة هو الحركة القائمة بالعضلات أوّلاً وبتوسّطها بالأجسام، وفي هذا الفعل تكون بين النفس المجرّدة والفعل وسائط ومبادٍ من التصوّر إلى العزم وتحريك العضلات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يصدر منها بلا وسط أو بوسط غير جسماني كبعض التصوّرات التي يكون تحقّقها بفعّالية النفس وإيجادها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جميعها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النفس لأجل الملكة البسيطة الحاصلة لها من ممارسة العلوم خلاّقة للتفاصيل، ومثل اختراع نفس المهندس صورة بدعية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هندسية؛ فإنّ النفس مع كونها فعّالة لها بالعلم والإرادة والاختيار لم تكن تلك المبادي حاصلة بنحو التفصيل كالمبادي للأفعال التي بالآلات الجسمانية؛ ضرورة أنّ خلق الصور في النفس لا يحتاج إلى تصوّرها والتصديق بفائدتها والشوق والعزم وتحريك العضلات، بل لا يمكن توسيط تلك الوسائط بينها وبين </w:t>
      </w:r>
    </w:p>
    <w:p>
      <w:pPr>
        <w:pStyle w:val="BookText"/>
        <w:rPr/>
      </w:pPr>
      <w:r>
        <w:rPr>
          <w:rFonts w:ascii="Amiri" w:hAnsi="Amiri" w:eastAsia="Amiri" w:cs="Amiri"/>
          <w:color w:val="111111"/>
          <w:sz w:val="28"/>
          <w:sz w:val="28"/>
          <w:szCs w:val="28"/>
          <w:rtl w:val="true"/>
          <w:lang w:bidi="ar-SA"/>
        </w:rPr>
        <w:t xml:space="preserve">النفس؛ بداهة عدم إمكان كون التصوّر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للتصوّر بل نفسه حاصل بخلاّقية النفس وهي بالنسبة إليه فاعلة بالعناية بل بالتجلّي؛ لأنّها مجرّدة والمجرّد واجد لفعليات ما هو معلول له في مرتبة ذاته، فخلاّقيته لا تحتاج إلى تصوّر زائد بل الواجدية الذاتية في مرتبة تجرّدها الذاتي الوجودي تكفي للخلاّقية كما أ نّه لا يحتاج إلى إرادة وعزم وقصد زائد على نفسه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العزم والإرادة والتصميم والقصد من أفعال النفس ولم يكن سبيلها سبيل الشوق والمحبّة من الاُمور الانفعالية، فالنفس مبدأ الإرادة والتصميم ولم تكن مبدئيتها بالآلات الجرمانية بل هي موجدة لها بلا وسط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حاله كذلك في صدوره من النفس لا يكون بل لا يمكن أن يكون بينه وبينها إرادة زائدة متعلّقة به، بل هي موجدة له بالعلم والاستشعار الذي في مرتبة ذاتها وبالعزم والإرادة والاختيار الحاصلة في تلك المرتبة؛ لأنّ النفس مبدؤها وفاعل إلهي بالنسبة إليها والفاعل الإلهي واجد لأثره بنحو أعلى وأشرف، فكما أنّ المبدأ للصور العلمية واجد لها في مرتبة ذاته البسيطة بنحو أعلى وأشرف وأكمل فكذا الفاعل للإرادة، لكن لمّا كانت النفس ما دامت متعلّقة بالبدن ومسجونة في الطبيعة غير تامّة التجرّد تجوز عليها التغيّرات والتبدّلات والفاعلية تارةً وعدمها اُخرى، والعزم وعدمه، فلا يجب أن تكون فعّالة بالدوام ولا عالمة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وعازمة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حصول التجرّد التامّ لها تصير مبدأً للصور الملكوتية من غير تخلّف عنها إلاّ بوجه الظهور والبطون ممّا يعرفه الراسخون في العلم</w:t>
      </w:r>
      <w:r>
        <w:rPr>
          <w:rFonts w:eastAsia="Amiri" w:cs="Amiri" w:ascii="Amiri" w:hAnsi="Amiri"/>
          <w:color w:val="111111"/>
          <w:sz w:val="28"/>
          <w:szCs w:val="28"/>
          <w:rtl w:val="true"/>
          <w:lang w:bidi="ar-SA"/>
        </w:rPr>
        <w:t xml:space="preserve">. </w:t>
      </w:r>
      <w:bookmarkStart w:id="49" w:name="pg15289_220013"/>
    </w:p>
    <w:p>
      <w:pPr>
        <w:pStyle w:val="Heading4"/>
        <w:numPr>
          <w:ilvl w:val="3"/>
          <w:numId w:val="1"/>
        </w:numPr>
        <w:rPr/>
      </w:pPr>
      <w:bookmarkStart w:id="50" w:name="__RefHeading___Toc4628794_2142443653"/>
      <w:bookmarkStart w:id="51" w:name="_Toc18"/>
      <w:bookmarkEnd w:id="49"/>
      <w:bookmarkEnd w:id="50"/>
      <w:r>
        <w:rPr>
          <w:rtl w:val="true"/>
        </w:rPr>
        <w:t xml:space="preserve">تنبيه </w:t>
      </w:r>
      <w:r>
        <w:rPr>
          <w:rtl w:val="true"/>
        </w:rPr>
        <w:t xml:space="preserve">: </w:t>
      </w:r>
      <w:r>
        <w:rPr>
          <w:rtl w:val="true"/>
        </w:rPr>
        <w:t>في عدم تعلّق الإرادة بالإرادة</w:t>
      </w:r>
      <w:bookmarkEnd w:id="51"/>
    </w:p>
    <w:p>
      <w:pPr>
        <w:pStyle w:val="BookText"/>
        <w:rPr/>
      </w:pPr>
      <w:r>
        <w:rPr>
          <w:rFonts w:ascii="Amiri" w:hAnsi="Amiri" w:eastAsia="Amiri" w:cs="Amiri"/>
          <w:color w:val="111111"/>
          <w:sz w:val="28"/>
          <w:sz w:val="28"/>
          <w:szCs w:val="28"/>
          <w:rtl w:val="true"/>
          <w:lang w:bidi="ar-SA"/>
        </w:rPr>
        <w:t>إنّ هاهنا نكتة لعلّها أقرب إلى بعض الأفهام لدفع الشبهة، وهي أنّ النفس في الأفعال الخارجية الصادرة منها لمّا كان توجّهها الاستقلالي إليها وتكون المبادي من التصوّر إلى العزم والإرادة منظوراً بها؛ أي بنحو التوسّل إلى الغير وبنعت الآلية لم تكن متصوّرة ولا مرادة ولا مشتاقاً إليها بالذات بل المتصوّر والمراد والمشتاق إليه هو الفعل الخارجي الذي يتوسّل بها إليه، فلا معنى لتعلّق الإرادة بالإرادة ولو فرض إمكانه؛ لعدم كونها متصوّرة ولا مشتاقاً إليها ولا معتقداً فيها النفع، فتدبّر</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628796_2142443653"/>
      <w:bookmarkStart w:id="53" w:name="_Toc19"/>
      <w:bookmarkEnd w:id="52"/>
      <w:r>
        <w:rPr>
          <w:rtl w:val="true"/>
        </w:rPr>
        <w:t xml:space="preserve">شبهة استلزام قاعدة </w:t>
      </w:r>
      <w:r>
        <w:rPr>
          <w:rtl w:val="true"/>
        </w:rPr>
        <w:t>«</w:t>
      </w:r>
      <w:r>
        <w:rPr>
          <w:rtl w:val="true"/>
        </w:rPr>
        <w:t>الشيء ما لم يجب لم يوجد</w:t>
      </w:r>
      <w:r>
        <w:rPr>
          <w:rtl w:val="true"/>
        </w:rPr>
        <w:t xml:space="preserve">» </w:t>
      </w:r>
      <w:r>
        <w:rPr>
          <w:rtl w:val="true"/>
        </w:rPr>
        <w:t>الجبر</w:t>
      </w:r>
      <w:bookmarkEnd w:id="53"/>
    </w:p>
    <w:p>
      <w:pPr>
        <w:pStyle w:val="BookText"/>
        <w:rPr/>
      </w:pPr>
      <w:r>
        <w:rPr>
          <w:rFonts w:ascii="Amiri" w:hAnsi="Amiri" w:eastAsia="Amiri" w:cs="Amiri"/>
          <w:color w:val="111111"/>
          <w:sz w:val="28"/>
          <w:sz w:val="28"/>
          <w:szCs w:val="28"/>
          <w:rtl w:val="true"/>
          <w:lang w:bidi="ar-SA"/>
        </w:rPr>
        <w:t>ومن الإشكالات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 المقرّر في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ما لم يجب لم يوجد</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ووجوب الشيء ضرورة تحقّقه وامتناع لا تحقّقه، فحينئذٍ</w:t>
      </w:r>
    </w:p>
    <w:p>
      <w:pPr>
        <w:pStyle w:val="BookText"/>
        <w:rPr/>
      </w:pPr>
      <w:r>
        <w:rPr>
          <w:rFonts w:ascii="Amiri" w:hAnsi="Amiri" w:eastAsia="Amiri" w:cs="Amiri"/>
          <w:color w:val="111111"/>
          <w:sz w:val="28"/>
          <w:sz w:val="28"/>
          <w:szCs w:val="28"/>
          <w:rtl w:val="true"/>
          <w:lang w:bidi="ar-SA"/>
        </w:rPr>
        <w:t>يكون صدور الفعل عن الفاعل واجب التحقّق، وما كان كذلك يكون الفاعل مضطرّاً في إيجاده ملجأً في فعله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 جمع من المتكلّمين</w:t>
      </w:r>
      <w:r>
        <w:rPr>
          <w:rStyle w:val="FootnoteAnchor"/>
          <w:rtl w:val="true"/>
        </w:rPr>
        <w:footnoteReference w:id="78"/>
      </w:r>
      <w:r>
        <w:rPr>
          <w:rFonts w:ascii="Amiri" w:hAnsi="Amiri" w:eastAsia="Amiri" w:cs="Amiri"/>
          <w:color w:val="111111"/>
          <w:sz w:val="28"/>
          <w:sz w:val="28"/>
          <w:szCs w:val="28"/>
          <w:rtl w:val="true"/>
          <w:lang w:bidi="ar-SA"/>
        </w:rPr>
        <w:t xml:space="preserve">بين ما يصدر عن الفاعل المختار فمنعوا القاعدة لئلاّ ينسدّ باب إثبات الاختيار للواجب، وبين غيره لئلاّ ينسدّ باب إثبات الصانع تعالى، فكأ نّهم بنوا جريان القاعدة العقلية على أهوائهم لا على ما ساق </w:t>
      </w:r>
    </w:p>
    <w:p>
      <w:pPr>
        <w:pStyle w:val="BookText"/>
        <w:rPr/>
      </w:pPr>
      <w:r>
        <w:rPr>
          <w:rFonts w:ascii="Amiri" w:hAnsi="Amiri" w:eastAsia="Amiri" w:cs="Amiri"/>
          <w:color w:val="111111"/>
          <w:sz w:val="28"/>
          <w:sz w:val="28"/>
          <w:szCs w:val="28"/>
          <w:rtl w:val="true"/>
          <w:lang w:bidi="ar-SA"/>
        </w:rPr>
        <w:t>إليه البرهان، فكأنّ النتائج دعتهم إلى قبول البراهين لا هي هدتهم إلى النتائج،</w:t>
      </w:r>
    </w:p>
    <w:p>
      <w:pPr>
        <w:pStyle w:val="BookText"/>
        <w:rPr/>
      </w:pPr>
      <w:r>
        <w:rPr>
          <w:rFonts w:ascii="IRNazanin" w:hAnsi="IRNazanin" w:eastAsia="IRNazanin"/>
          <w:color w:val="111111"/>
          <w:sz w:val="28"/>
          <w:sz w:val="28"/>
          <w:szCs w:val="28"/>
          <w:rtl w:val="true"/>
          <w:lang w:bidi="fa-IR"/>
        </w:rPr>
        <w:t>فانظر ماذا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الأولى والأجدر ترك التعرّض لأقوالهم، لكن لمّا اغترّ بقولهم بعض الأعيان من أهل التحقيق رحمه الله علیه </w:t>
      </w:r>
      <w:r>
        <w:rPr>
          <w:rStyle w:val="FootnoteAnchor"/>
          <w:rtl w:val="true"/>
        </w:rPr>
        <w:footnoteReference w:id="79"/>
      </w:r>
      <w:r>
        <w:rPr>
          <w:rFonts w:ascii="Amiri" w:hAnsi="Amiri" w:eastAsia="Amiri" w:cs="Amiri"/>
          <w:color w:val="111111"/>
          <w:sz w:val="28"/>
          <w:sz w:val="28"/>
          <w:szCs w:val="28"/>
          <w:rtl w:val="true"/>
          <w:lang w:bidi="ar-SA"/>
        </w:rPr>
        <w:t>وتبعه غيره</w:t>
      </w:r>
      <w:r>
        <w:rPr>
          <w:rStyle w:val="FootnoteAnchor"/>
          <w:rtl w:val="true"/>
        </w:rPr>
        <w:footnoteReference w:id="80"/>
      </w:r>
      <w:r>
        <w:rPr>
          <w:rFonts w:ascii="Amiri" w:hAnsi="Amiri" w:eastAsia="Amiri" w:cs="Amiri"/>
          <w:color w:val="111111"/>
          <w:sz w:val="28"/>
          <w:sz w:val="28"/>
          <w:szCs w:val="28"/>
          <w:rtl w:val="true"/>
          <w:lang w:bidi="ar-SA"/>
        </w:rPr>
        <w:t>من غير تدقيق، دعانا ذلك إلى تعرّض إجمالي لمعنى القاعدة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قاعدة تامّة مبرهنة مؤسّسة على الأوّليات كلّية عامّة لجميع الممكنات والحوادث الذاتية والزمانية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 فاعل مختار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مصادمة لاختيار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تامّة عامّة فيتّضح بعد ذكر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يتعقّل ويتصوّر إمّا ضروري التحقّق، أو ضروري اللا تحقّق،</w:t>
      </w:r>
    </w:p>
    <w:p>
      <w:pPr>
        <w:pStyle w:val="BookText"/>
        <w:rPr/>
      </w:pPr>
      <w:r>
        <w:rPr>
          <w:rFonts w:ascii="Amiri" w:hAnsi="Amiri" w:eastAsia="Amiri" w:cs="Amiri"/>
          <w:color w:val="111111"/>
          <w:sz w:val="28"/>
          <w:sz w:val="28"/>
          <w:szCs w:val="28"/>
          <w:rtl w:val="true"/>
          <w:lang w:bidi="ar-SA"/>
        </w:rPr>
        <w:t>أو لا ضروري التحقّق واللا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الواجب، والثاني الممتنع، والثالث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والتقسيم بينها حاصر دائر بين النفي والإثبات، ولا يعقل قسم آخر؛ للزوم اجتماع النقيضين أو ارتفاعهما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التقسيم بحسب مقايسة ذات الشيء ومفهومه، وأمّا بحسب نفس الأمر فكلّ شيء ممكن إمّا واجب التحقّق أو ممتنعه؛ لأنّ علّته التامّة إمّا محقّقة فيجب تحقّقه وإلاّ لم تكن تامّة، أو غير محقّقة فيمتنع وإلاّ ما فرض علّة ليس بعلّة وسيأتي بيانه، ولا ثالث لهما بحسب نفس الأمر، فحينئذٍ كلّ ما خرج عن أحد القسمين دخل في القسم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ممكن بالنظر إلى ذاته وماهيته، نسبة الوجود والعدم إليه على السواء لا يترجّح إحداهما على الاُخرى، ويستحيل ثبوت الأولوية الذاتية لها؛ سواء كانت بالغة حدّ الوجوب كافية في الوجود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فواضحة؛ للزوم انقلاب الممكن بالذات إلى الواجب بالذات، وأمّا الثانية فلأنّ الممكن قبل تحقّقه وبالنظر إلى ذاته وماهيته ليس بشيء، بل هو اعتبار محض واختراع عقلي صرف؛ فإنّ ما ليس بموجود ليسٌ محضٌ لا يمكن أن يثبت له شيء حتّى ذاته وذاتياته، والأولوية خصوصية وجودية تجعل الماهية أقرب إلى التحقّق، وما ليس بموجود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معدوم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فيه ثبوت أمر عدمي له فضلاً عن ثبوتي ولا يتصوّر فيه اقتضاء رأساً، والماهية من حيث هي ليست إلاّ هي بل في حال العدم ليست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لم يكن للممكن اقتضاء ذاتي مطلقاً وتكون نسبة الوجود والعدم إليه على السواء، لا بدّ في تحقّقه ووجوده من علّة مؤثّرة، وهي إمّا أن تسدّ جميع الأعدام الممكنة عليه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 لا يمكن أن يصير موجوداً للزوم الأولوية الذاتية و موجودية المعلول بلا علّة مؤثرة والترجّح بلا مرجّح وهو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لموجوديته ألف شرط فوجد الجميع إلاّ واحد منها لا يمكن أن يصير موجوداً؛ للزوم الخلف، بل مع عدم واحد من شروطه لا يمكن أن يصير أولى بالوجود؛ لأنّه بَعدُ في حال العدم فلا يعقل اتّصافه بصفة وجودية وجهة اقتضائية ولو غيرية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تحقّق جميع ما يحتاج إليه في وجوده وحصول علّته التامّة لا يمكن </w:t>
      </w:r>
    </w:p>
    <w:p>
      <w:pPr>
        <w:pStyle w:val="BookText"/>
        <w:rPr/>
      </w:pPr>
      <w:r>
        <w:rPr>
          <w:rFonts w:ascii="Amiri" w:hAnsi="Amiri" w:eastAsia="Amiri" w:cs="Amiri"/>
          <w:color w:val="111111"/>
          <w:sz w:val="28"/>
          <w:sz w:val="28"/>
          <w:szCs w:val="28"/>
          <w:rtl w:val="true"/>
          <w:lang w:bidi="ar-SA"/>
        </w:rPr>
        <w:t>عدم تحقّقه؛ للزوم الخلف وسلب الشيء عن نفسه، فلا بدّ أن ينضمّ إليها ما يخرج الممكن عن الامتناع الوقوعي وهو بتمامية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من الامتناع، ينسلك في الوجوب؛ لامتناع الواسطة بينهما بحسب متن الواقع؛ لأنّه إمّا بقي بَعدُ على حاله الأوّل ولم تؤثّر العلّة فيه وهذا عين الامتناع، وإمّا أثّرت فيه وسدّت الأعدام الممكنة عليه وهذا عين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الوجوب لمّا لم يكن ذاتياً فلا محالة يكون من قبل العلّة وإيجابه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اعتبر في جانب العلّة وقيس إليها يكون العلّة فاعلاً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الوجوب السابق، وإذا اعتبر في جانب المعلول وقيس إليه يكون المعلول واجباً وهو الوجوب اللاحق، فالفاعل أو العلّة أوجب الشيء فأوجده، والفعل أو المعلول وجب فوجد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 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تامّة مؤسّسة على الأوّليات وعامّة لجميع الماهيات الممكنة ويكون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ممكن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طباع ذاته ذلك سواء كان أثر الجاعل المختار أو لا، ولا يكون موضوع القاعدة المبرهنة ممكناً خاصّاً، وفعل الفاعل المختار ممكن أيضاً يأتي فيه ما ذكر، ولا يعقل تخصيصها إلاّ على أهواء بعض أصحاب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منافاتها لمختارية الفاعل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بمكان من الوضوح بعد فهم مفادها؛ فإنّ مقتضى القاعدة أنّ الممكن ما لم يصر واجباً لم يصر موجوداً، والعلّة التامّة باقتضائها أوجب المعلول فأوجده، فأيّة منافاة بين هذا وبين كون الفاعل مختاراً؛ لأنّ الفاعل المختار بإرادته واختياريته وفعّاليته أوجب الفعل فأوجده، وهذا يؤكّد اختيارية الفاعل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الموجد فاعلاً مختاراً </w:t>
      </w:r>
    </w:p>
    <w:p>
      <w:pPr>
        <w:pStyle w:val="BookText"/>
        <w:rPr/>
      </w:pPr>
      <w:r>
        <w:rPr>
          <w:rFonts w:ascii="Amiri" w:hAnsi="Amiri" w:eastAsia="Amiri" w:cs="Amiri"/>
          <w:color w:val="111111"/>
          <w:sz w:val="28"/>
          <w:sz w:val="28"/>
          <w:szCs w:val="28"/>
          <w:rtl w:val="true"/>
          <w:lang w:bidi="ar-SA"/>
        </w:rPr>
        <w:t xml:space="preserve">يكون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والمتكلّم لعدم استشعاره بموضوع القاعدة وبرهانها ومفادها زعم أنّ الإيجاب والوجوب ينافيان الاختيار مع أنّ الإيجاب بالاختيار لا يعقل أن يصير علّة ومنشأً للاضطرار، والوجوب الإلجائي من قبل العلّة يستحيل أن يؤثّر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الترجيح بلا مرجّح أو عدم جوازه غير مربوط بمفاد القاعدة وصحّتها؛ فإنّه لو سلّمنا جوازه أو منعناه، لا تنهدم بهما القاعدة؛ لأنّ معنى جوازه أنّ الفاعل يجوز أن يختار أحد طرفي الفعل من غير أن يكون فيه ترجيح بل يختار أحد المتساويين من جميع الجهات، فإذا اختار أحدهما أراده وأوجده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فالفاعل بعد اختياره أحد المتساويين بلا مرجّح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لوجوده فموجدٌ، فيكون اختيار الفعل بلا ترجيح أو مع ترجيح مقدّماً على الإرادة، وبعد الاختيار تكون النفس فاعلاً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للإرادة، وبها تكون فاعلاً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لتحريك العضلات، وبتوسّطها لتحريك الأعيان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فامتناع الترجيح بلا مرجّح لا يجعل الفاعل مضطرّاً وموجباً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جوازه لا يجعله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فالفاعل المختار علّة باختياره وإرادته للفعل بعد حصول المقدّمات الاُخر، وموجب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مع كونه مختاراً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نكتة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نبّهنا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تذكارها وهو أنّ العلّة المستقلّة التامّة ما تسدّ بذاتها جميع الأعدام الممكنة على المعلول وبهذا المعنى لم يكن ولا يكون في نظام الوجود ما يستقلّ بالعلّية والتأثير إلاّ ذات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تعالى من سكّان بقعة الإمكان ليس له هذا الشأن؛ لكونهم </w:t>
      </w:r>
      <w:bookmarkStart w:id="54" w:name="pg15289_220018"/>
    </w:p>
    <w:p>
      <w:pPr>
        <w:pStyle w:val="BookText"/>
        <w:rPr/>
      </w:pPr>
      <w:bookmarkEnd w:id="54"/>
      <w:r>
        <w:rPr>
          <w:rFonts w:ascii="Amiri" w:hAnsi="Amiri" w:eastAsia="Amiri" w:cs="Amiri"/>
          <w:color w:val="111111"/>
          <w:sz w:val="28"/>
          <w:sz w:val="28"/>
          <w:szCs w:val="28"/>
          <w:rtl w:val="true"/>
          <w:lang w:bidi="ar-SA"/>
        </w:rPr>
        <w:t xml:space="preserve">فقراء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هُوَ الْغَنِىُّ الْحَمِيدُ</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ولعلّ في توصيف الغنيّ بالحميد في المقام في القرآن الكريم إشارة لطيفة إلى ما أشرنا سابقاً</w:t>
      </w:r>
      <w:r>
        <w:rPr>
          <w:rStyle w:val="FootnoteAnchor"/>
          <w:rtl w:val="true"/>
        </w:rPr>
        <w:footnoteReference w:id="82"/>
      </w:r>
      <w:r>
        <w:rPr>
          <w:rFonts w:ascii="Amiri" w:hAnsi="Amiri" w:eastAsia="Amiri" w:cs="Amiri"/>
          <w:color w:val="111111"/>
          <w:sz w:val="28"/>
          <w:sz w:val="28"/>
          <w:szCs w:val="28"/>
          <w:rtl w:val="true"/>
          <w:lang w:bidi="ar-SA"/>
        </w:rPr>
        <w:t>من أنّ المحامد كلّها من مختصّات ذات الواجب الغنيّ الذي بغناه الذاتي أعطى كمال كلّ ذي كمال وجمال كلّ ذي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فمبادي المحامد والمدائح منه وإليه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وَالاْخِرُ وَالظَّاهِرُ وَالْبَاطِنُ وَهُوَ بِكُلِّ شَىْ‌ءٍ عَلِيمٌ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4628798_2142443653"/>
      <w:bookmarkStart w:id="56" w:name="_Toc20"/>
      <w:bookmarkEnd w:id="55"/>
      <w:r>
        <w:rPr>
          <w:rtl w:val="true"/>
        </w:rPr>
        <w:t>شبهة منافاة الإرادة الأزلية لكون الإنسان مختاراً</w:t>
      </w:r>
      <w:bookmarkEnd w:id="56"/>
    </w:p>
    <w:p>
      <w:pPr>
        <w:pStyle w:val="BookText"/>
        <w:rPr/>
      </w:pPr>
      <w:r>
        <w:rPr>
          <w:rFonts w:ascii="Amiri" w:hAnsi="Amiri" w:eastAsia="Amiri" w:cs="Amiri"/>
          <w:color w:val="111111"/>
          <w:sz w:val="28"/>
          <w:sz w:val="28"/>
          <w:szCs w:val="28"/>
          <w:rtl w:val="true"/>
          <w:lang w:bidi="ar-SA"/>
        </w:rPr>
        <w:t>ومن الإشكالات</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نظام الكيان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بقضّه وقضيضه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إرادة الله تعالى وقضائه، وتنتهي سلسلة الوجود في الغيب والشهود إلى إرادة أزلية واجبة بالذات لا يمكن تخلّف المراد عنها، فيجب صدور ما صدر من العبد بالقضاء السابق الإلهي والإرادة الأزلية، فيكون مضطرّاً في أفعاله في صورة المختار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يرجع مغزى قول من يقول</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تعالى بالنظام الأتمّ مبدأ له؛ فإنّه تعالى فاعل بالعناية والتجلّي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تعلّق علمه مبدأ لمعلوماته وهي تابعة لعلمه لا العكس، كما في العلوم الانفعالية، بل العلم والإرادة والقدرة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متحقّقات بحقيقة واحدة بسيطة، والوجود الصرف صرف </w:t>
      </w:r>
    </w:p>
    <w:p>
      <w:pPr>
        <w:pStyle w:val="BookText"/>
        <w:rPr/>
      </w:pPr>
      <w:r>
        <w:rPr>
          <w:rFonts w:ascii="Amiri" w:hAnsi="Amiri" w:eastAsia="Amiri" w:cs="Amiri"/>
          <w:color w:val="111111"/>
          <w:sz w:val="28"/>
          <w:sz w:val="28"/>
          <w:szCs w:val="28"/>
          <w:rtl w:val="true"/>
          <w:lang w:bidi="ar-SA"/>
        </w:rPr>
        <w:t>كلّ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القدرة فيه تعالى كقدرة الإنسان تستوي نسبتها إلى الفعل والترك؛ لأنّ واجب الوجود بالذات واجب الوجود من جميع الجهات، واستواء النسبة جهة إمكانية يستحيل تحقّقها في ذاته البسيطة الواجبة، بل قدرتها أحدية التعلّق كإرادته، وهما عين علمه بالنظام الأتمّ، فالنظام الكياني تابع لعلمه العنائي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 يدفع ما قد يقال</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تابع للمعلوم ولا يمكن أن يكون علّة له؛ فإنّ ذلك شأن العلوم الانفعالية، لا مثل علمه تعالى الذي هو فعلي وفعل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الجواب عن الشبهة، ما أسلفناه في تحقيق الأمر بين الأمرين</w:t>
      </w:r>
      <w:r>
        <w:rPr>
          <w:rStyle w:val="FootnoteAnchor"/>
          <w:rtl w:val="true"/>
        </w:rPr>
        <w:footnoteReference w:id="87"/>
      </w:r>
      <w:r>
        <w:rPr>
          <w:rFonts w:ascii="Amiri" w:hAnsi="Amiri" w:eastAsia="Amiri" w:cs="Amiri"/>
          <w:color w:val="111111"/>
          <w:sz w:val="28"/>
          <w:sz w:val="28"/>
          <w:szCs w:val="28"/>
          <w:rtl w:val="true"/>
          <w:lang w:bidi="ar-SA"/>
        </w:rPr>
        <w:t>ونزيدك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وإرادته تعلّقا بالنظام الكوني على الترتيب العلّي والمعلولي، ولم يتعلّقا بالعلّة في عرض معلوله وبالمعلول بلا وسط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مضطرّ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خلق الله تعالى هو حقيقة بسيطة روحانية بوحدتها كلّ كمال وجمال وجفّ القلم بما هو كائن، وتمّ القضاء الإلهي بوجوده، ومع ذلك لمّا كان نظام الوجود فانياً في ذاته ذاتاً وصفةً وفعلاً، يكون كلّ يوم هو في شأن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فحقيقة العقل المجرّد والروحانية البسيطة المعبّر عنها بنور نبيّنا صلی الله علیه و آله وسلم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والملك الروحاني</w:t>
      </w:r>
      <w:r>
        <w:rPr>
          <w:rStyle w:val="FootnoteAnchor"/>
          <w:rtl w:val="true"/>
        </w:rPr>
        <w:footnoteReference w:id="89"/>
      </w:r>
      <w:r>
        <w:rPr>
          <w:rFonts w:ascii="Amiri" w:hAnsi="Amiri" w:eastAsia="Amiri" w:cs="Amiri"/>
          <w:color w:val="111111"/>
          <w:sz w:val="28"/>
          <w:sz w:val="28"/>
          <w:szCs w:val="28"/>
          <w:rtl w:val="true"/>
          <w:lang w:bidi="ar-SA"/>
        </w:rPr>
        <w:t>صادر منه تعالى بلا وسط وهي بما أ نّها صرف التعلّق</w:t>
      </w:r>
    </w:p>
    <w:p>
      <w:pPr>
        <w:pStyle w:val="BookText"/>
        <w:rPr/>
      </w:pPr>
      <w:r>
        <w:rPr>
          <w:rFonts w:ascii="Amiri" w:hAnsi="Amiri" w:eastAsia="Amiri" w:cs="Amiri"/>
          <w:color w:val="111111"/>
          <w:sz w:val="28"/>
          <w:sz w:val="28"/>
          <w:szCs w:val="28"/>
          <w:rtl w:val="true"/>
          <w:lang w:bidi="ar-SA"/>
        </w:rPr>
        <w:t xml:space="preserve">والربط ببارئه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تعلّقاً لا يشبه التعلّقات المتصوّرة وربطاً لا</w:t>
      </w:r>
    </w:p>
    <w:p>
      <w:pPr>
        <w:pStyle w:val="BookText"/>
        <w:rPr/>
      </w:pPr>
      <w:r>
        <w:rPr>
          <w:rFonts w:ascii="Amiri" w:hAnsi="Amiri" w:eastAsia="Amiri" w:cs="Amiri"/>
          <w:color w:val="111111"/>
          <w:sz w:val="28"/>
          <w:sz w:val="28"/>
          <w:szCs w:val="28"/>
          <w:rtl w:val="true"/>
          <w:lang w:bidi="ar-SA"/>
        </w:rPr>
        <w:t>يماثل الروابط المعقولة يكون ما صدر منها صدر منه تعالى بنسبة واحدة؛ لعدم بينونة عزلة بينه تعالى وبين شيء؛ لكونه تعالى صرف الوجود من غير ماهية وهي مناط بينونة عزلة، وسائر الموجودات والعلل المعانقة لها لم تكن مع معاليلها بهذه المثابة، فالحقيقة العقلية ظهور مشيّته وإرادته كما أنّ الطبيعة يد الله المبسوطة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خمّرت طينة آدم بيدي أربعين صباحاً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كيفية ربط الموجودات على ترتيب سببي ومسبّبي إليه تعالى، يعرف أ نّها مع كونها ظهوره تعالى تكون ذات آثار خاصّة، فيكون الإنسان مع كونه فاعلاً مختاراً ظلّ الفاعل المختار وفاعليته ظلّ فاعليته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 أنّ تعلّق إرادته تعالى بالنظام الأتمّ لا ينافي كون الإنسان فاعلاً مختاراً، كما أنّ كون علمه العنائي منشأً للنظام الكياني لا ينافيه بل يؤكّده، هذا</w:t>
      </w:r>
      <w:r>
        <w:rPr>
          <w:rFonts w:eastAsia="Amiri" w:cs="Amiri" w:ascii="Amiri" w:hAnsi="Amiri"/>
          <w:color w:val="111111"/>
          <w:sz w:val="28"/>
          <w:szCs w:val="28"/>
          <w:rtl w:val="true"/>
          <w:lang w:bidi="ar-SA"/>
        </w:rPr>
        <w:t xml:space="preserve">. </w:t>
      </w:r>
      <w:bookmarkStart w:id="57" w:name="pg15289_220021"/>
    </w:p>
    <w:p>
      <w:pPr>
        <w:pStyle w:val="Heading4"/>
        <w:numPr>
          <w:ilvl w:val="3"/>
          <w:numId w:val="1"/>
        </w:numPr>
        <w:rPr/>
      </w:pPr>
      <w:bookmarkStart w:id="58" w:name="__RefHeading___Toc4628800_2142443653"/>
      <w:bookmarkStart w:id="59" w:name="_Toc21"/>
      <w:bookmarkEnd w:id="57"/>
      <w:bookmarkEnd w:id="58"/>
      <w:r>
        <w:rPr>
          <w:rtl w:val="true"/>
        </w:rPr>
        <w:t>المطلب الثاني في بيان حقيقة السعادة والشقاوة وتوضيح بعض الاشتباهات الواقعة من بعض المحقّقين</w:t>
      </w:r>
      <w:bookmarkEnd w:id="59"/>
    </w:p>
    <w:p>
      <w:pPr>
        <w:pStyle w:val="BookText"/>
        <w:rPr/>
      </w:pPr>
      <w:r>
        <w:rPr>
          <w:rFonts w:ascii="Amiri" w:hAnsi="Amiri" w:eastAsia="Amiri" w:cs="Amiri"/>
          <w:color w:val="111111"/>
          <w:sz w:val="28"/>
          <w:sz w:val="28"/>
          <w:szCs w:val="28"/>
          <w:rtl w:val="true"/>
          <w:lang w:bidi="ar-SA"/>
        </w:rPr>
        <w:t>ويتمّ ذلك برسم اُمور</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628802_2142443653"/>
      <w:bookmarkStart w:id="61" w:name="_Toc22"/>
      <w:bookmarkEnd w:id="60"/>
      <w:r>
        <w:rPr>
          <w:rtl w:val="true"/>
        </w:rPr>
        <w:t>الأمر الأوّل</w:t>
      </w:r>
      <w:r>
        <w:rPr>
          <w:rtl w:val="true"/>
        </w:rPr>
        <w:t xml:space="preserve">: </w:t>
      </w:r>
      <w:r>
        <w:rPr>
          <w:rtl w:val="true"/>
        </w:rPr>
        <w:t xml:space="preserve">في المراد من الذاتي في قاعدة </w:t>
      </w:r>
      <w:r>
        <w:rPr>
          <w:rtl w:val="true"/>
        </w:rPr>
        <w:t>«</w:t>
      </w:r>
      <w:r>
        <w:rPr>
          <w:rtl w:val="true"/>
        </w:rPr>
        <w:t>الذاتي لا يعلّل</w:t>
      </w:r>
      <w:r>
        <w:rPr>
          <w:rtl w:val="true"/>
        </w:rPr>
        <w:t>»</w:t>
      </w:r>
      <w:bookmarkEnd w:id="61"/>
    </w:p>
    <w:p>
      <w:pPr>
        <w:pStyle w:val="BookText"/>
        <w:rPr/>
      </w:pPr>
      <w:r>
        <w:rPr>
          <w:rFonts w:ascii="Amiri" w:hAnsi="Amiri" w:eastAsia="Amiri" w:cs="Amiri"/>
          <w:color w:val="111111"/>
          <w:sz w:val="28"/>
          <w:sz w:val="28"/>
          <w:szCs w:val="28"/>
          <w:rtl w:val="true"/>
          <w:lang w:bidi="ar-SA"/>
        </w:rPr>
        <w:t>إنّ الذاتي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يعلّل</w:t>
      </w:r>
      <w:r>
        <w:rPr>
          <w:rStyle w:val="FootnoteAnchor"/>
          <w:rtl w:val="true"/>
        </w:rPr>
        <w:footnoteReference w:id="92"/>
      </w:r>
      <w:r>
        <w:rPr>
          <w:rFonts w:ascii="Amiri" w:hAnsi="Amiri" w:eastAsia="Amiri" w:cs="Amiri"/>
          <w:color w:val="111111"/>
          <w:sz w:val="28"/>
          <w:sz w:val="28"/>
          <w:szCs w:val="28"/>
          <w:rtl w:val="true"/>
          <w:lang w:bidi="ar-SA"/>
        </w:rPr>
        <w:t>هو ما اصطلح عليه في باب البرهان وهو أعمّ من الذاتي في باب إيساغوجي؛ لشموله أجزاء الماهية ولوازمها، وفي مقابله العرضي في ذلك الباب وهو أخصّ من عرضي باب إيساغوجي؛ لاختصاصه بالمفارقات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 عدم معلّلية الذاتي ومعلّلية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الافتقار إلى العلّة هو </w:t>
      </w:r>
      <w:bookmarkStart w:id="62" w:name="pg15289_220022"/>
    </w:p>
    <w:p>
      <w:pPr>
        <w:pStyle w:val="BookText"/>
        <w:rPr/>
      </w:pPr>
      <w:bookmarkEnd w:id="62"/>
      <w:r>
        <w:rPr>
          <w:rFonts w:ascii="Amiri" w:hAnsi="Amiri" w:eastAsia="Amiri" w:cs="Amiri"/>
          <w:color w:val="111111"/>
          <w:sz w:val="28"/>
          <w:sz w:val="28"/>
          <w:szCs w:val="28"/>
          <w:rtl w:val="true"/>
          <w:lang w:bidi="ar-SA"/>
        </w:rPr>
        <w:t>الإمكان، كما أنّ مناط الاستغناء عنها هو الوجوب، فأيّ محمول يلاحظ ويقاس إلى موضوعه فلايخلو من إحدى الجهات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والوجوب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نسبته إليه بالإمكان ففي اتّصافه به يحتاج إلى العلّة؛ لأنّ ما يمكن أن يتّصف بشيء وأن لا يتّصف لا يمكن أن يتّصف به بلا علّة؛ للزوم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مرجّح، وهو يرجع إلى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لمّا كان ممكن الوجود واجب الحيوانية ممتنع الحجرية، يكون في وجوده مفتقراً إلى العلّة دون حيوانيته وحجريته؛ لتحقّق مناط الافتقار في الأوّل ومناط الاستغناء وهو الوجوب في الأخيرين إن أرجعنا الامتناع إلى الوجوب، وإلاّ فالامتناع أيضاً مناط عدم المجعولية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والأربعة ممكنة الوجود واجبة الزوجية واللا فردية ممتنعة الفردية، فتعلّل في الأوّل دون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ممكن الوجود والأبيضية والأسودية، فيعلّل فيها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معلّلية الممكن في ذاته ولوازمها لا يخرجه عن الإمكان؛ لأنّ الماهية ولوازمها اعتبارية لا حقيقة لها فهي بلوازمها دون الجعل ولا يمكن تعلّق الجعل بالذات بها كما هو المقرّر في محلّه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4628804_2142443653"/>
      <w:bookmarkStart w:id="64" w:name="_Toc23"/>
      <w:bookmarkEnd w:id="63"/>
      <w:r>
        <w:rPr>
          <w:rtl w:val="true"/>
        </w:rPr>
        <w:t>الأمر الثاني</w:t>
      </w:r>
      <w:r>
        <w:rPr>
          <w:rtl w:val="true"/>
        </w:rPr>
        <w:t xml:space="preserve">: </w:t>
      </w:r>
      <w:r>
        <w:rPr>
          <w:rtl w:val="true"/>
        </w:rPr>
        <w:t>في فقر وجود الممكنات وعوارضه ولوازمه</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الوجود وعوارضه ولوازمه ليست ذاتية لشيء من الماهيات الإمكانية وإلاّ لانقلب الممكن بالذات إلى الواجب بالذات واللا مقتضي بالذات إلى </w:t>
      </w:r>
    </w:p>
    <w:p>
      <w:pPr>
        <w:pStyle w:val="BookText"/>
        <w:rPr/>
      </w:pPr>
      <w:r>
        <w:rPr>
          <w:rFonts w:ascii="Amiri" w:hAnsi="Amiri" w:eastAsia="Amiri" w:cs="Amiri"/>
          <w:color w:val="111111"/>
          <w:sz w:val="28"/>
          <w:sz w:val="28"/>
          <w:szCs w:val="28"/>
          <w:rtl w:val="true"/>
          <w:lang w:bidi="ar-SA"/>
        </w:rPr>
        <w:t>المقتضي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فالماهيات الإمكانية في اتّصافها بالوجود وعوارضه مفتقرة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مراتب الوجود ما كان مستغنياً عن العلّة هو الوجود القيّوم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الوجودات مفتقرة إليه تعالى بل نفس الفقر والربط إليه بلا وسط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فالماهيات الإمكانية في موجوديتها تحتاج إلى حيثية تعليلية وتقييدية؛ لأنّها مجعولة وموجودة بالعرض، والوجودات الإمكانية مستغنية عن التقييدية دون التعليلية؛ لأنّها مجعولات بالذات لا بالعرض ومفتقرات إلى العلّة بذاتها، فنفس ذاتها معلّلة مفتقرة وذاتيتها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w:t>
      </w:r>
    </w:p>
    <w:p>
      <w:pPr>
        <w:pStyle w:val="BookText"/>
        <w:rPr/>
      </w:pPr>
      <w:r>
        <w:rPr>
          <w:rFonts w:ascii="Amiri" w:hAnsi="Amiri" w:eastAsia="Amiri" w:cs="Amiri"/>
          <w:color w:val="111111"/>
          <w:sz w:val="28"/>
          <w:sz w:val="28"/>
          <w:szCs w:val="28"/>
          <w:rtl w:val="true"/>
          <w:lang w:bidi="ar-SA"/>
        </w:rPr>
        <w:t>والتعلّق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شيء متّصفاً بالوجود في نظام التحقّق وكيان التقرّر بلا جهة تعليلية إلاّ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تعالى ذاته الوجوب والوجود، فلم يكن مفتقراً ولا معلّلاً بوجه، والوجودات الإمكانية ذاتها التعلّق والافتقار فلم تكن معلّلة في افتقارها بأن يكون افتقارها لأجل شيء آخر وراء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معلّلة بالذات غير معلّلة في المعلّلية، والماهيات غير معلّلة في ذاتها وذاتياتها معلّلة في تحقّقها، ولوازم الماهيات غير معلّلة في لزومها معلّلة في تحقّقها، ولوازم الوجود معلّلة في تحقّقها، فالمعلول بالذات لازم ذات العلّة التامّة بالذات لزوماً بالعلّية والتأثير، فلزوم المعلول لعلّته عين معلوليته ومعلّليته ولم تكن معلّلة في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بمعلّلية اُخرى غير ذاتها</w:t>
      </w:r>
      <w:r>
        <w:rPr>
          <w:rFonts w:eastAsia="Amiri" w:cs="Amiri" w:ascii="Amiri" w:hAnsi="Amiri"/>
          <w:color w:val="111111"/>
          <w:sz w:val="28"/>
          <w:szCs w:val="28"/>
          <w:rtl w:val="true"/>
          <w:lang w:bidi="ar-SA"/>
        </w:rPr>
        <w:t xml:space="preserve">. </w:t>
      </w:r>
      <w:bookmarkStart w:id="65" w:name="pg15289_220024"/>
    </w:p>
    <w:p>
      <w:pPr>
        <w:pStyle w:val="Heading4"/>
        <w:numPr>
          <w:ilvl w:val="3"/>
          <w:numId w:val="1"/>
        </w:numPr>
        <w:rPr/>
      </w:pPr>
      <w:bookmarkStart w:id="66" w:name="__RefHeading___Toc4628806_2142443653"/>
      <w:bookmarkStart w:id="67" w:name="_Toc24"/>
      <w:bookmarkEnd w:id="65"/>
      <w:bookmarkEnd w:id="66"/>
      <w:r>
        <w:rPr>
          <w:rtl w:val="true"/>
        </w:rPr>
        <w:t>الأمر الثالث</w:t>
      </w:r>
      <w:r>
        <w:rPr>
          <w:rtl w:val="true"/>
        </w:rPr>
        <w:t xml:space="preserve">: </w:t>
      </w:r>
      <w:r>
        <w:rPr>
          <w:rtl w:val="true"/>
        </w:rPr>
        <w:t>في استناد الكمالات إلى الوجود</w:t>
      </w:r>
      <w:bookmarkEnd w:id="67"/>
    </w:p>
    <w:p>
      <w:pPr>
        <w:pStyle w:val="BookText"/>
        <w:rPr/>
      </w:pPr>
      <w:r>
        <w:rPr>
          <w:rFonts w:ascii="Amiri" w:hAnsi="Amiri" w:eastAsia="Amiri" w:cs="Amiri"/>
          <w:color w:val="111111"/>
          <w:sz w:val="28"/>
          <w:sz w:val="28"/>
          <w:szCs w:val="28"/>
          <w:rtl w:val="true"/>
          <w:lang w:bidi="ar-SA"/>
        </w:rPr>
        <w:t>إنّ الماهيات الإمكانية بما أ نّها اُمور اعتبارية لا حقيقة لها، لم تكن ذات أثر واقتضاء بالذات، ولزوم اللوازم لها ليس بمعنى اقتضائها لها، بل بمعنى عدم انفكاكها عنها من غير تأثير وتأثّر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ليس بموجود لم يثبت له ذاته وذاتياته فضلاً عن ثبوت اقتضاء وتأثير وتأثّر له ممّا هو من الحيثيات الوجودية، فالماهيات خلوٌ عن كلّ كمال وجمال وخير وسعادة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فماهية العلم لا تكشف عن الواقع ولم تكن كمالاً، وكذا ماهيات القدرة والحياة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الكمال والخير والجمال والسعادة كلّها في الوجود وبالوجود، وهو مبدأ كلّ خير وكمال وشرف، والعلم بوجوده شرف وشريف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الكمالات والفضائل كلّها ترجع إلى الوجود ومبدأ الوجود، وصرفه مبدأ كلّ كمال وصرفه، والوجودات الخاصّة الإمكانية لها آثار وخواصّ وكمال وشرف بقدر حظّها من الوجود، ولماهياتها آثار وخواصّ وكمال بالعرض وبتبع وجوداتها وهذه المذكورات من الاُصول المبرهنة تركنا براهينها حذراً من التطويل</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4628808_2142443653"/>
      <w:bookmarkStart w:id="69" w:name="_Toc25"/>
      <w:bookmarkEnd w:id="68"/>
      <w:r>
        <w:rPr>
          <w:rtl w:val="true"/>
        </w:rPr>
        <w:t>الأمر الرابع</w:t>
      </w:r>
      <w:r>
        <w:rPr>
          <w:rtl w:val="true"/>
        </w:rPr>
        <w:t xml:space="preserve">: </w:t>
      </w:r>
      <w:r>
        <w:rPr>
          <w:rtl w:val="true"/>
        </w:rPr>
        <w:t>في معنى السعادة والشقاوة</w:t>
      </w:r>
      <w:bookmarkEnd w:id="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السعادة لدى العرف والعقلاء عبارة عن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اللذّة والراحة وحصول وسائل الشهوات والأميال وتحقّق ملائمات النفس بقواها دائماً أو غالباً، والشقاوة في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حصل له موجبات لذّات النفس وكان </w:t>
      </w:r>
    </w:p>
    <w:p>
      <w:pPr>
        <w:pStyle w:val="BookText"/>
        <w:rPr/>
      </w:pPr>
      <w:r>
        <w:rPr>
          <w:rFonts w:ascii="Amiri" w:hAnsi="Amiri" w:eastAsia="Amiri" w:cs="Amiri"/>
          <w:color w:val="111111"/>
          <w:sz w:val="28"/>
          <w:sz w:val="28"/>
          <w:szCs w:val="28"/>
          <w:rtl w:val="true"/>
          <w:lang w:bidi="ar-SA"/>
        </w:rPr>
        <w:t>في روح وراحة بحسب جميع قوى النفس دائماً يكون سعيداً مطلقاً، وبإزائه الشقيّ المطلق، وإلاّ فسعيد وشقيّ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في نظر المؤمنين بعالم الآخرة لذّات الدنيا بحذافيرها ومشتهياتها</w:t>
      </w:r>
    </w:p>
    <w:p>
      <w:pPr>
        <w:pStyle w:val="BookText"/>
        <w:rPr/>
      </w:pPr>
      <w:r>
        <w:rPr>
          <w:rFonts w:ascii="Amiri" w:hAnsi="Amiri" w:eastAsia="Amiri" w:cs="Amiri"/>
          <w:color w:val="111111"/>
          <w:sz w:val="28"/>
          <w:sz w:val="28"/>
          <w:szCs w:val="28"/>
          <w:rtl w:val="true"/>
          <w:lang w:bidi="ar-SA"/>
        </w:rPr>
        <w:t xml:space="preserve">بأجمعها بالقياس إلى لذّات الآخرة والجنّة التي فيها ما تشتهيه الأنفس وتلذّ الأعين دائماً أبداً، تكون شيئاً حقيراً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وكمّية، بل في</w:t>
      </w:r>
    </w:p>
    <w:p>
      <w:pPr>
        <w:pStyle w:val="BookText"/>
        <w:rPr/>
      </w:pPr>
      <w:r>
        <w:rPr>
          <w:rFonts w:ascii="Amiri" w:hAnsi="Amiri" w:eastAsia="Amiri" w:cs="Amiri"/>
          <w:color w:val="111111"/>
          <w:sz w:val="28"/>
          <w:sz w:val="28"/>
          <w:szCs w:val="28"/>
          <w:rtl w:val="true"/>
          <w:lang w:bidi="ar-SA"/>
        </w:rPr>
        <w:t xml:space="preserve">الحقيقة لا نسبة بين المتناهي وغير المتناهي، تكون السعادة لديهم ما يوجب دخول الجنّة، والشقاوة ما يوجب دخول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فَفِى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فَفِى الْجَنَّةِ خَالِدِينَ فِيهَا مَا دَامَتِ السَّمَوَاتُ وَالْأَرْضُ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فمن ختم له بالخير وقدّر له الجنّة فهو سعيد ولو كان في الدنيا في تعب ومرض وشدّة وفقر وفاقة، ومن ختم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 وقدّر له النار فهو شقيّ ولو كان</w:t>
      </w:r>
    </w:p>
    <w:p>
      <w:pPr>
        <w:pStyle w:val="BookText"/>
        <w:rPr/>
      </w:pPr>
      <w:r>
        <w:rPr>
          <w:rFonts w:ascii="Amiri" w:hAnsi="Amiri" w:eastAsia="Amiri" w:cs="Amiri"/>
          <w:color w:val="111111"/>
          <w:sz w:val="28"/>
          <w:sz w:val="28"/>
          <w:szCs w:val="28"/>
          <w:rtl w:val="true"/>
          <w:lang w:bidi="ar-SA"/>
        </w:rPr>
        <w:t>في الدنيا في عيش ولذّة وروح وراحة؛ لعدم النسبة بين لذّات الدنيا والآخرة وعذابهما شدّة وعدّة ومدّة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تطلق السعادة لدى طائفة على الخير المساوق للوجود</w:t>
      </w:r>
      <w:r>
        <w:rPr>
          <w:rStyle w:val="FootnoteAnchor"/>
          <w:rtl w:val="true"/>
        </w:rPr>
        <w:footnoteReference w:id="96"/>
      </w:r>
      <w:r>
        <w:rPr>
          <w:rFonts w:ascii="Amiri" w:hAnsi="Amiri" w:eastAsia="Amiri" w:cs="Amiri"/>
          <w:color w:val="111111"/>
          <w:sz w:val="28"/>
          <w:sz w:val="28"/>
          <w:szCs w:val="28"/>
          <w:rtl w:val="true"/>
          <w:lang w:bidi="ar-SA"/>
        </w:rPr>
        <w:t>، فالوجود خير وسعادة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وتفاوت مراتب السعادات حسب تفاوت كمال الوجود، فالخير المطلق سعادة مطلقة والموجود الكامل سعيد على الإطلاق، وفي مقابله الناقص حسب مراتب نقصه</w:t>
      </w:r>
      <w:r>
        <w:rPr>
          <w:rFonts w:eastAsia="Amiri" w:cs="Amiri" w:ascii="Amiri" w:hAnsi="Amiri"/>
          <w:color w:val="111111"/>
          <w:sz w:val="28"/>
          <w:szCs w:val="28"/>
          <w:rtl w:val="true"/>
          <w:lang w:bidi="ar-SA"/>
        </w:rPr>
        <w:t xml:space="preserve">. </w:t>
      </w:r>
      <w:bookmarkStart w:id="70" w:name="pg15289_220026"/>
    </w:p>
    <w:p>
      <w:pPr>
        <w:pStyle w:val="BookText"/>
        <w:rPr/>
      </w:pPr>
      <w:bookmarkEnd w:id="70"/>
      <w:r>
        <w:rPr>
          <w:rFonts w:ascii="Amiri" w:hAnsi="Amiri" w:eastAsia="Amiri" w:cs="Amiri"/>
          <w:color w:val="111111"/>
          <w:sz w:val="28"/>
          <w:sz w:val="28"/>
          <w:szCs w:val="28"/>
          <w:rtl w:val="true"/>
          <w:lang w:bidi="ar-SA"/>
        </w:rPr>
        <w:t xml:space="preserve">ثمّ إنّ السعادة والشقاوة بالمعنى المتقدّم أمران يحصلان للإنسان حسب عمله وكسبه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هِىَ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628810_2142443653"/>
      <w:bookmarkStart w:id="72" w:name="_Toc26"/>
      <w:bookmarkEnd w:id="71"/>
      <w:r>
        <w:rPr>
          <w:rtl w:val="true"/>
        </w:rPr>
        <w:t>التحقيق</w:t>
      </w:r>
      <w:r>
        <w:rPr>
          <w:rtl w:val="true"/>
        </w:rPr>
        <w:t xml:space="preserve">: </w:t>
      </w:r>
      <w:r>
        <w:rPr>
          <w:rtl w:val="true"/>
        </w:rPr>
        <w:t>كون السعادة والشقاوة غير ذاتيتين</w:t>
      </w:r>
      <w:bookmarkEnd w:id="72"/>
    </w:p>
    <w:p>
      <w:pPr>
        <w:pStyle w:val="BookText"/>
        <w:rPr/>
      </w:pPr>
      <w:r>
        <w:rPr>
          <w:rFonts w:ascii="Amiri" w:hAnsi="Amiri" w:eastAsia="Amiri" w:cs="Amiri"/>
          <w:color w:val="111111"/>
          <w:sz w:val="28"/>
          <w:sz w:val="28"/>
          <w:szCs w:val="28"/>
          <w:rtl w:val="true"/>
          <w:lang w:bidi="ar-SA"/>
        </w:rPr>
        <w:t>إذا عرفت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لك أنّ السعادة والشقاوة ليستا ذاتيتين غير</w:t>
      </w:r>
    </w:p>
    <w:p>
      <w:pPr>
        <w:pStyle w:val="BookText"/>
        <w:rPr/>
      </w:pPr>
      <w:r>
        <w:rPr>
          <w:rFonts w:ascii="Amiri" w:hAnsi="Amiri" w:eastAsia="Amiri" w:cs="Amiri"/>
          <w:color w:val="111111"/>
          <w:sz w:val="28"/>
          <w:sz w:val="28"/>
          <w:szCs w:val="28"/>
          <w:rtl w:val="true"/>
          <w:lang w:bidi="ar-SA"/>
        </w:rPr>
        <w:t>معلّلتين؛ لعدم كونهما جزء ذات الإنسان ولا لازم ماهيته، بل هما من الاُمور الوجودية التي تكون معلّلة بل مكسوبة باختيار العبد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فمبدأ السعادة هو العقائد الحقّة والأخلاق الفاضلة والأعمال الصالحة، ومبدأ الشقاوة مقابلاتها ممّا يكون لها في النفس آثار وصور، ويرى جزاءها وصورها الغيبية في عالم الآخرة على ما هو المقرّر في لسان الشرع والكتب العقلية المعدّة لتفاصيل ذلك</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السعادة والشقاوة لمّا كانتا منتزعتين من الحيثيات الوجودية وهي كما عرفت معلّلة كلّها، لا سبيل إلى القول بأ نّها من الذاتيات الغير المعلّلة، والمحقّق الخراساني رحمه الله علیه قد أخذ هذه القضيّة من محالّها واستعملها في غير محلّها فصار غرضاً للإشكال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73" w:name="pg15289_220027"/>
    </w:p>
    <w:p>
      <w:pPr>
        <w:pStyle w:val="Heading3"/>
        <w:numPr>
          <w:ilvl w:val="2"/>
          <w:numId w:val="1"/>
        </w:numPr>
        <w:rPr/>
      </w:pPr>
      <w:bookmarkStart w:id="74" w:name="__RefHeading___Toc4628812_2142443653"/>
      <w:bookmarkStart w:id="75" w:name="_Toc27"/>
      <w:bookmarkEnd w:id="73"/>
      <w:bookmarkEnd w:id="74"/>
      <w:r>
        <w:rPr>
          <w:rtl w:val="true"/>
        </w:rPr>
        <w:t>المطلب الثالث في شمّة من اختلاف خلق الطينات</w:t>
      </w:r>
      <w:bookmarkEnd w:id="75"/>
    </w:p>
    <w:p>
      <w:pPr>
        <w:pStyle w:val="Heading4"/>
        <w:numPr>
          <w:ilvl w:val="3"/>
          <w:numId w:val="1"/>
        </w:numPr>
        <w:rPr/>
      </w:pPr>
      <w:bookmarkStart w:id="76" w:name="__RefHeading___Toc4628814_2142443653"/>
      <w:bookmarkStart w:id="77" w:name="_Toc28"/>
      <w:bookmarkEnd w:id="76"/>
      <w:r>
        <w:rPr>
          <w:rtl w:val="true"/>
        </w:rPr>
        <w:t>توهّم كون الجبر مقتضى أخبار الطينة</w:t>
      </w:r>
      <w:bookmarkEnd w:id="77"/>
    </w:p>
    <w:p>
      <w:pPr>
        <w:pStyle w:val="BookText"/>
        <w:rPr/>
      </w:pPr>
      <w:r>
        <w:rPr>
          <w:rFonts w:ascii="Amiri" w:hAnsi="Amiri" w:eastAsia="Amiri" w:cs="Amiri"/>
          <w:color w:val="111111"/>
          <w:sz w:val="28"/>
          <w:sz w:val="28"/>
          <w:szCs w:val="28"/>
          <w:rtl w:val="true"/>
          <w:lang w:bidi="ar-SA"/>
        </w:rPr>
        <w:t>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خلق طينة السعيد والشقيّ موجب لاختيار السعيد السعادة والشقيّ الشقاوة كما دلّت عليه الأخبار الكثيرة</w:t>
      </w:r>
      <w:r>
        <w:rPr>
          <w:rStyle w:val="FootnoteAnchor"/>
          <w:rtl w:val="true"/>
        </w:rPr>
        <w:footnoteReference w:id="100"/>
      </w:r>
      <w:r>
        <w:rPr>
          <w:rFonts w:ascii="Amiri" w:hAnsi="Amiri" w:eastAsia="Amiri" w:cs="Amiri"/>
          <w:color w:val="111111"/>
          <w:sz w:val="28"/>
          <w:sz w:val="28"/>
          <w:szCs w:val="28"/>
          <w:rtl w:val="true"/>
          <w:lang w:bidi="ar-SA"/>
        </w:rPr>
        <w:t>، فعادت شبهة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لدفعه بصرف عنان القلم إلى توضيح ذلك بعد بيان مقدّمة وهي</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628816_2142443653"/>
      <w:bookmarkStart w:id="79" w:name="_Toc29"/>
      <w:bookmarkEnd w:id="78"/>
      <w:r>
        <w:rPr>
          <w:rtl w:val="true"/>
        </w:rPr>
        <w:t>موضوع حكم العقلاء في صحّة العقوبة وعدمها</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إشكال في أنّ موضوع حكم العقلاء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أيّة ملّة ونحلة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العقوبة هو المخالفة الاختيارية للقوانين شرعية كانت أو 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من أرباب السياسات، بعد صحّة التكليف بحصول مقدّماته وشرائطه من العقل والتميّز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الحَسَن والقبيح ووصول </w:t>
      </w:r>
      <w:bookmarkStart w:id="80" w:name="pg15289_220028"/>
    </w:p>
    <w:p>
      <w:pPr>
        <w:pStyle w:val="BookText"/>
        <w:rPr/>
      </w:pPr>
      <w:bookmarkEnd w:id="80"/>
      <w:r>
        <w:rPr>
          <w:rFonts w:ascii="Amiri" w:hAnsi="Amiri" w:eastAsia="Amiri" w:cs="Amiri"/>
          <w:color w:val="111111"/>
          <w:sz w:val="28"/>
          <w:sz w:val="28"/>
          <w:szCs w:val="28"/>
          <w:rtl w:val="true"/>
          <w:lang w:bidi="ar-SA"/>
        </w:rPr>
        <w:t>التكليف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المميّز بين الإنسان والحيوان شرّفه بالتكليف وبه يعاقب ويثاب؛ لأنّه بالعقل يحكم بوجوب طاعة مولى الموالي وقبح مخالفته، وبه يعرف المولى وحقّه ودار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خالفه باختياره وإرادته من غير اضطرار وإلجاء، يحكم عقله وعقل كافّة العقلاء بصحّة عقوبته، كما أنّ الأمر كذلك في مخالفة القوانين الجارية في الممالك المتمدّنة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الملاك في صحّة العقوبة فيها هو الملاك في صحّة العقوبة على مخالفة مولى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للناظر في كيفية اختلاف طينة أفراد الإنسان والأخبار الواردة فيه من كون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ملاك صحّة العقوبة في كلّ ملّة ونحلة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عينيه، فإن اختلّ بواسطة خلق الإنسان من طينة علّيين وسجّين، أحد أركان موضوع حكم العقلاء بصحّة العقوبة، حكم بعدم صحّتها وإلاّ فحكم العقل والعقلاء بحاله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628818_2142443653"/>
      <w:bookmarkStart w:id="82" w:name="_Toc30"/>
      <w:bookmarkEnd w:id="81"/>
      <w:r>
        <w:rPr>
          <w:rtl w:val="true"/>
        </w:rPr>
        <w:t>إفاضة الفيض الوجودي بمقدار قابلية الموادّ</w:t>
      </w:r>
      <w:bookmarkEnd w:id="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واجب الوجود بالذات لمّا كان واجباً من جميع الجهات والحيثيات، يمتنع عليه قبض الفيض عن الموضوع القابل، فإنّ قبضه بعد تمامية الاستعداد وعدم نقص في جانب القابل مستلزم لنقص في الفاعل أو جهة إمكان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اللزوم والوجوب كلزوم عدم صدور القبيح وامتناع صدور الظلم عنه اختياري إرادي لا يضرّ بكونه مريداً مختاراً قادراً، فإذا تمّت الاستعدادات في القوابل اُفيضت الفيوضات والوجودات من المبادي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إفاضة الفيض الوجودي بمقدار الاستعداد وقابلية الموادّ؛ </w:t>
      </w:r>
      <w:bookmarkStart w:id="83" w:name="pg15289_220029"/>
    </w:p>
    <w:p>
      <w:pPr>
        <w:pStyle w:val="BookText"/>
        <w:rPr/>
      </w:pPr>
      <w:bookmarkEnd w:id="83"/>
      <w:r>
        <w:rPr>
          <w:rFonts w:ascii="Amiri" w:hAnsi="Amiri" w:eastAsia="Amiri" w:cs="Amiri"/>
          <w:color w:val="111111"/>
          <w:sz w:val="28"/>
          <w:sz w:val="28"/>
          <w:szCs w:val="28"/>
          <w:rtl w:val="true"/>
          <w:lang w:bidi="ar-SA"/>
        </w:rPr>
        <w:t>للتناسب بين المادّة والصورة للتركيب الطبيعي الاتّحادي بينهما لا يمكن قبولها</w:t>
      </w:r>
    </w:p>
    <w:p>
      <w:pPr>
        <w:pStyle w:val="BookText"/>
        <w:rPr/>
      </w:pPr>
      <w:r>
        <w:rPr>
          <w:rFonts w:ascii="Amiri" w:hAnsi="Amiri" w:eastAsia="Amiri" w:cs="Amiri"/>
          <w:color w:val="111111"/>
          <w:sz w:val="28"/>
          <w:sz w:val="28"/>
          <w:szCs w:val="28"/>
          <w:rtl w:val="true"/>
          <w:lang w:bidi="ar-SA"/>
        </w:rPr>
        <w:t>صورة ألطف وأكمل من مقتضى استعدادها كما لا يمكن منعها عمّا استعدّت له كما عرفت</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628820_2142443653"/>
      <w:bookmarkStart w:id="85" w:name="_Toc31"/>
      <w:bookmarkEnd w:id="84"/>
      <w:r>
        <w:rPr>
          <w:rtl w:val="true"/>
        </w:rPr>
        <w:t>منشأ اختلاف النفوس في الميل إلى الخير أو الشرّ</w:t>
      </w:r>
      <w:bookmarkEnd w:id="85"/>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اختلاف نفوس الإنسان في الحنين إلى الخيرات أو الشرور والميل إلى موجبات السعادة أو الشقاوة اُمور كثيرة نذكر 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اختلافها في نفسها، ومنشأ اختلافها اختلاف الإفاضة على الموادّ المستعدّة لها، ومنشأ اختلاف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النطف التي تستعدّ لقبول الصورة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النطف تحصل من الأغذية الخارجية بعد عمل القوى فيها أعمالها فتفرز القوّة المولّدة من فضول الأغذية أجزاءً لتوليد المثل هي في الحيوان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الأغذية مختلفة غاية الاختلاف في اللطافة والكثافة والصفاء والكدورة، فلا محالة تختلف النطف الحاصلة منها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حصلت النطفة من أغذية لطيفة صافية يكون لها استعداد خاصّ لقبول الصورة غير ما للموادّ الكثيفة الكدرة أو المختلطة من اللطيفة والكثيفة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للاختلاط والتمزيج أنواعاً كثيرة لا يحيط بها إلاّ الله تعالى، وقد عرفت آنفاً أنّ الإفاضات</w:t>
      </w:r>
    </w:p>
    <w:p>
      <w:pPr>
        <w:pStyle w:val="BookText"/>
        <w:rPr/>
      </w:pPr>
      <w:r>
        <w:rPr>
          <w:rFonts w:ascii="Amiri" w:hAnsi="Amiri" w:eastAsia="Amiri" w:cs="Amiri"/>
          <w:color w:val="111111"/>
          <w:sz w:val="28"/>
          <w:sz w:val="28"/>
          <w:szCs w:val="28"/>
          <w:rtl w:val="true"/>
          <w:lang w:bidi="ar-SA"/>
        </w:rPr>
        <w:t xml:space="preserve">على الموادّ إنّما هي على مقدار استعداداتها لا تتعدّاها ولا يمكن ذلك كما لا يمكن قصور الإفاضة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شموخ الأصلاب وعدمه، وطهارة الأرحام وعدمها؛ فإنّ لهما دخالة كاملة في اختلاف الاستعدادات والإفاضات،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w:t>
      </w:r>
    </w:p>
    <w:p>
      <w:pPr>
        <w:pStyle w:val="BookText"/>
        <w:rPr/>
      </w:pPr>
      <w:r>
        <w:rPr>
          <w:rFonts w:ascii="Amiri" w:hAnsi="Amiri" w:eastAsia="Amiri" w:cs="Amiri"/>
          <w:color w:val="111111"/>
          <w:sz w:val="28"/>
          <w:sz w:val="28"/>
          <w:szCs w:val="28"/>
          <w:rtl w:val="true"/>
          <w:lang w:bidi="ar-SA"/>
        </w:rPr>
        <w:t xml:space="preserve">ذكر في زيارة سيّدنا أبي عبدالله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 نّك كنت نوراً في الأصلاب الشامخة والأرحام المطهّرة</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فسمّي النطفة لكمال لطافتها وصفائها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آداب النكاح والمقاربة وأوقاتها ومراعات آداب زمان الحمل والرضاع وانتخاب الزوجة والمرضعة إلى غير ذلك ممّا له دخالة كاملة في مزاج بدن الطفل وروحه كما أنّ للمحيط والمربّي والمعلّم والصاحب والمعاشر والعلوم المختلفة إلى غير ذلك ممّا يعسر حصرها ويطول ذكرها تأثيرات عجيبة مشاهدة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بما أ نّه واقع في دار الهيولى من بدو خلقه بل قبله حسب اختلاف الموادّ السابقة إلى زمان انتقاله من هذه النشأة واقع تحت تأثير الكائنات، لكن كلّ ذلك لا يوجب اضطراره وإلجاءه في عمل من أعماله الاختيارية بحيث تعدّ حركاته لدى العقل والعقلاء كحركة المرتعش خارجة عن قدرته واختياره ويكون في أعماله غير مؤاخذ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حصل له جميع أسباب التوفيق من لطافة المادّة وشموخ الأصلاب وطهارة الأرحام إلى آخر ما عدّدناه وغيرها ممّا لم نحصها مع مَن حصل له مقابلاتها في قوّة العقل والتميّز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والاختيار والإرادة وما هو دخيل في صحّة العقوبة لدى العقل والعقلاء على السواء، لا ذلك مضطرّ وملجأ في فعال الخير، ولا ذاك في فعال الشرّ بالضرورة والعيان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موضوع حكم العقلاء في جميع الأعصار </w:t>
      </w:r>
      <w:bookmarkStart w:id="86" w:name="pg15289_220031"/>
    </w:p>
    <w:p>
      <w:pPr>
        <w:pStyle w:val="BookText"/>
        <w:rPr/>
      </w:pPr>
      <w:bookmarkEnd w:id="86"/>
      <w:r>
        <w:rPr>
          <w:rFonts w:ascii="Amiri" w:hAnsi="Amiri" w:eastAsia="Amiri" w:cs="Amiri"/>
          <w:color w:val="111111"/>
          <w:sz w:val="28"/>
          <w:sz w:val="28"/>
          <w:szCs w:val="28"/>
          <w:rtl w:val="true"/>
          <w:lang w:bidi="ar-SA"/>
        </w:rPr>
        <w:t>والأمصار في صحّة العقوبة من صدور الفعل عن علمه وإرادته واختياره بلا اضطرار وجهل وإلجاء، حاصل في كليهما بلا تفاوت في ذلك، فباختلاف الطينات لا يختلّ ركن من أركان صحّة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الطينة</w:t>
      </w:r>
      <w:r>
        <w:rPr>
          <w:rStyle w:val="FootnoteAnchor"/>
          <w:rtl w:val="true"/>
        </w:rPr>
        <w:footnoteReference w:id="102"/>
      </w:r>
      <w:r>
        <w:rPr>
          <w:rFonts w:ascii="Amiri" w:hAnsi="Amiri" w:eastAsia="Amiri" w:cs="Amiri"/>
          <w:color w:val="111111"/>
          <w:sz w:val="28"/>
          <w:sz w:val="28"/>
          <w:szCs w:val="28"/>
          <w:rtl w:val="true"/>
          <w:lang w:bidi="ar-SA"/>
        </w:rPr>
        <w:t>على كثرتها تحوم حول هذه الحقائق أو ما يقرب منها ممّا لا يضرّ بما هو موضوع حكم العقل الصريح وكافّة العقلاء، وما يكون ظاهره الجبر لا بدّ من تأويله أو حمله على التقيّة بعد مخالفته لصريح البرهان وصراح الحقّ والأخبار المتظافرة الناصّة على نفي الجبر والتفويض</w:t>
      </w:r>
      <w:r>
        <w:rPr>
          <w:rStyle w:val="FootnoteAnchor"/>
          <w:rtl w:val="true"/>
        </w:rPr>
        <w:footnoteReference w:id="103"/>
      </w:r>
      <w:r>
        <w:rPr>
          <w:rFonts w:ascii="IRNazanin" w:hAnsi="IRNazanin" w:eastAsia="IRNazanin"/>
          <w:color w:val="111111"/>
          <w:sz w:val="28"/>
          <w:sz w:val="28"/>
          <w:szCs w:val="28"/>
          <w:rtl w:val="true"/>
          <w:lang w:bidi="fa-IR"/>
        </w:rPr>
        <w:t>، بل لا يبعد أن يكون الأمر بين الأمرين من الضروريات من مذهب الأئمّة علیهم السلام الغير المحتاجة إلى البرهان</w:t>
      </w:r>
      <w:r>
        <w:rPr>
          <w:rFonts w:eastAsia="IRNazanin" w:cs="IRNazanin"/>
          <w:color w:val="111111"/>
          <w:sz w:val="28"/>
          <w:szCs w:val="28"/>
          <w:rtl w:val="true"/>
          <w:lang w:bidi="fa-IR"/>
        </w:rPr>
        <w:t>.</w:t>
      </w:r>
    </w:p>
    <w:p>
      <w:pPr>
        <w:pStyle w:val="Heading4"/>
        <w:numPr>
          <w:ilvl w:val="3"/>
          <w:numId w:val="1"/>
        </w:numPr>
        <w:rPr/>
      </w:pPr>
      <w:bookmarkStart w:id="87" w:name="__RefHeading___Toc4628822_2142443653"/>
      <w:bookmarkStart w:id="88" w:name="_Toc32"/>
      <w:bookmarkEnd w:id="87"/>
      <w:r>
        <w:rPr>
          <w:rtl w:val="true"/>
        </w:rPr>
        <w:t>تنبيه</w:t>
      </w:r>
      <w:r>
        <w:rPr>
          <w:rtl w:val="true"/>
        </w:rPr>
        <w:t xml:space="preserve">: </w:t>
      </w:r>
      <w:r>
        <w:rPr>
          <w:rtl w:val="true"/>
        </w:rPr>
        <w:t>حول مفاد بعض الأحاديث</w:t>
      </w:r>
      <w:bookmarkEnd w:id="88"/>
    </w:p>
    <w:p>
      <w:pPr>
        <w:pStyle w:val="BookText"/>
        <w:rPr/>
      </w:pPr>
      <w:r>
        <w:rPr>
          <w:rFonts w:ascii="Amiri" w:hAnsi="Amiri" w:eastAsia="Amiri" w:cs="Amiri"/>
          <w:color w:val="111111"/>
          <w:sz w:val="28"/>
          <w:sz w:val="28"/>
          <w:szCs w:val="28"/>
          <w:rtl w:val="true"/>
          <w:lang w:bidi="ar-SA"/>
        </w:rPr>
        <w:t xml:space="preserve">وممّا ذكرنا ظهر مغزى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فإنّه كناية عن اختلاف نفوس البشر في جواهرها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وكدورة كاختلاف المعادن في الصور النوعية والخاصّية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سعيد في بطن اُمّه، والشقيّ شقيّ في بطن اُمّه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فإنّ من ينتهي أمره إلى الراحة الدائمة الغير المتناهية </w:t>
      </w:r>
    </w:p>
    <w:p>
      <w:pPr>
        <w:pStyle w:val="BookText"/>
        <w:rPr/>
      </w:pPr>
      <w:r>
        <w:rPr>
          <w:rFonts w:ascii="Amiri" w:hAnsi="Amiri" w:eastAsia="Amiri" w:cs="Amiri"/>
          <w:color w:val="111111"/>
          <w:sz w:val="28"/>
          <w:sz w:val="28"/>
          <w:szCs w:val="28"/>
          <w:rtl w:val="true"/>
          <w:lang w:bidi="ar-SA"/>
        </w:rPr>
        <w:t xml:space="preserve">واللذّات الغير المنقطعة والعطاء الغير المجذوذ، فهو سعيد من أوّل أمره وإن كان في أيّام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نسبة بينها وبين الغير المتناهي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 وشدّة، وكذا في جانب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منه ما نبّهنا عليه من اختلاف النفوس في بدو النشو؛ فإنّ النفس المفاضة على المادّة اللطيفة لطيفة نورانية تكون ممّن تحنّ إلى الخيرات وموجبات السعادة، فهي سعيدة خيّرة، وعكس ذلك ما يفاض على المادّة الكثيفة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هذا الحنين والميل لا يخرج النفوس عن الاختيار والإرادة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 ما ذكرناه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الصدوق رحمه الله علیه بسنده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بن جعفر</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معنى قول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اُمّه والسعيد من سعد في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علم الله وهو في بطن اُمّه أ نّه سيعمل عمل الأشقياء، وا لسعيد من علم الله وهو في بطن اُمّه أ نّه سيعمل أعمال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الجنّ والإنس ليعبدوه ولم يخلقهم ليعصوه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فيسّر كلاًّ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استحبّ العمى على الهدى</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علم الله أ نّه سيعمل عمل الأشقياء هو الذي ينتهي أمره إلى الشرّ وإلى </w:t>
      </w:r>
      <w:bookmarkStart w:id="89" w:name="pg15289_220033"/>
    </w:p>
    <w:p>
      <w:pPr>
        <w:pStyle w:val="BookText"/>
        <w:rPr/>
      </w:pPr>
      <w:bookmarkEnd w:id="89"/>
      <w:r>
        <w:rPr>
          <w:rFonts w:ascii="Amiri" w:hAnsi="Amiri" w:eastAsia="Amiri" w:cs="Amiri"/>
          <w:color w:val="111111"/>
          <w:sz w:val="28"/>
          <w:sz w:val="28"/>
          <w:szCs w:val="28"/>
          <w:rtl w:val="true"/>
          <w:lang w:bidi="ar-SA"/>
        </w:rPr>
        <w:t>النار وهو الذي تكوّن طينته من السجّين والنطفة التي كانت مبدأه القابلي نطفة خبيثة صلبة كدرة، وكذا في جانب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ينافيان الاختيار والإرادة كما أشار إليه في ذيل الحديث الشريف</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628824_2142443653"/>
      <w:bookmarkStart w:id="91" w:name="_Toc33"/>
      <w:bookmarkEnd w:id="90"/>
      <w:r>
        <w:rPr>
          <w:rtl w:val="true"/>
        </w:rPr>
        <w:t>خاتمة</w:t>
      </w:r>
      <w:r>
        <w:rPr>
          <w:rtl w:val="true"/>
        </w:rPr>
        <w:t xml:space="preserve">: </w:t>
      </w:r>
      <w:r>
        <w:rPr>
          <w:rtl w:val="true"/>
        </w:rPr>
        <w:t>حول فطرة العشق إلى الكمال والتنفّر عن النقص</w:t>
      </w:r>
      <w:bookmarkEnd w:id="91"/>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وإن أفاض على الموادّ القابلة ما هو اللائق بحالها من غير ضنّة وبخل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تعالى فطر النفوس سعيدها وشقيّها، خيّرها وشريرها على فطرة الله؛ أي العشق بالكمال المطلق، فجبلت النفوس بقضّها وقضيضها إلى الحنين إلى كمال لا نقص فيه وخير لا شرّ فيه ونور لا ظلمة فيه وإلى علم لا جهل فيه وقدرة لا عجز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بفطرته عاشق الكمال المطلق، وتبع هذه الفطرة فطرة اُخرى فيها هي فطرة الانزجار عن النقص؛ أيّ نقص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الكمال المطلق والجمال الصرف والعلم والقدرة وسائر الكمالات على نحو الإطلاق بلا شوب نقص وحدّ، لا توجد إلاّ في الله تعالى، فهو هو المطلق وصرف الوجود وصرف كلّ كمال، فالإنسان عاشق جمال الله تعالى ويحنّ إليه وإن كان من الغافلين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الروايات فسّرت الفطرة بفطرة المعرفة وفطرة التوحيد</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w:t>
      </w:r>
    </w:p>
    <w:p>
      <w:pPr>
        <w:pStyle w:val="BookText"/>
        <w:rPr/>
      </w:pPr>
      <w:r>
        <w:rPr>
          <w:rFonts w:ascii="Amiri" w:hAnsi="Amiri" w:eastAsia="Amiri" w:cs="Amiri"/>
          <w:color w:val="111111"/>
          <w:sz w:val="28"/>
          <w:sz w:val="28"/>
          <w:szCs w:val="28"/>
          <w:rtl w:val="true"/>
          <w:lang w:bidi="ar-SA"/>
        </w:rPr>
        <w:t>تَطْمَئِنُّ الْقُلُوبُ</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وإليه المرجع والمآب والمصير وهو تعالى غاية الغايات</w:t>
      </w:r>
    </w:p>
    <w:p>
      <w:pPr>
        <w:pStyle w:val="BookText"/>
        <w:rPr/>
      </w:pPr>
      <w:r>
        <w:rPr>
          <w:rFonts w:ascii="Amiri" w:hAnsi="Amiri" w:eastAsia="Amiri" w:cs="Amiri"/>
          <w:color w:val="111111"/>
          <w:sz w:val="28"/>
          <w:sz w:val="28"/>
          <w:szCs w:val="28"/>
          <w:rtl w:val="true"/>
          <w:lang w:bidi="ar-SA"/>
        </w:rPr>
        <w:t>ونهاية المآرب، فهو تعالى بلطفه وعنايته فطر الناس على هاتين الفطرتين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الأصلية هي فطرة العشق بالكمال المطلق، والفطرة التبعية هي فطرة الانزجار عن النقص؛ لتكونا براق سيره ورفرف معراجه إلى الله تعالى، وهما جناحان بهما يطير إلى وكره وهو فناء الله وجنابه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أحكام الفطرة في بعض الرسائل والكتب</w:t>
      </w:r>
      <w:r>
        <w:rPr>
          <w:rStyle w:val="FootnoteAnchor"/>
          <w:rtl w:val="true"/>
        </w:rPr>
        <w:footnoteReference w:id="110"/>
      </w:r>
      <w:r>
        <w:rPr>
          <w:rFonts w:ascii="Amiri" w:hAnsi="Amiri" w:eastAsia="Amiri" w:cs="Amiri"/>
          <w:color w:val="111111"/>
          <w:sz w:val="28"/>
          <w:sz w:val="28"/>
          <w:szCs w:val="28"/>
          <w:rtl w:val="true"/>
          <w:lang w:bidi="ar-SA"/>
        </w:rPr>
        <w:t xml:space="preserve">سيّما ما كتبنا سابقاً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جنود العقل والجهل</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ولقد جفّ قلمي في خلال شرحه ولم يشملني إلى الآن التوفيق منه تعالى لإتمامه وابتلاني الله تعالى وله الحمد والشكر بالدخول في أحكام الكثرة وإليه المشتكى وعليه المعوّل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تعالى لم يترك الإنسان بفطرته؛ لعلمه تعالى بأ نّه سيحجب عن الفطرة المخمورة بابتلائه بالقوى الحيوانية الشهوية والغضبية والقوّة الوهمية الشيطانية، وهذه القوى معه منذ فطره؛ لاحتياجه إليها في عيشه وبقاءه شخصاً ونوعاً، وفي رقاه وسيره وسلوكه إلى الله تعالى، لكنّ الحنين الجبلّي إليها حجبه عن فطرته ومنعه عن سيره، فبعث الله تعالى رسلاً مبشّرين ومنذرين </w:t>
      </w:r>
    </w:p>
    <w:p>
      <w:pPr>
        <w:pStyle w:val="BookText"/>
        <w:rPr/>
      </w:pPr>
      <w:r>
        <w:rPr>
          <w:rFonts w:ascii="Amiri" w:hAnsi="Amiri" w:eastAsia="Amiri" w:cs="Amiri"/>
          <w:color w:val="111111"/>
          <w:sz w:val="28"/>
          <w:sz w:val="28"/>
          <w:szCs w:val="28"/>
          <w:rtl w:val="true"/>
          <w:lang w:bidi="ar-SA"/>
        </w:rPr>
        <w:t>تكون أحكامهم على طبق مقتضى الفطرة لرفع الحجب عنها وإعانتها في سيره وسلوكه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مقتضى الفطرة الأصلية ابتداءً أو مع الواسطة كالدعوة إلى الله ومعارفه وأسماءه وصفاته، وإلى فضائل النفس وكمالاتها وكالصلاة التي هي معراج المؤمن إلى الله تعالى والحجّ الذي هو الوفود إليه تعالى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مقتضى الفطرة التابعة كالزجر عن الكفر والشرك وعبادة الأوثان والتوجّه إلى غيره وعن الأخلاق الذميمة والأفعال القبيحة ممّا تمنع النفس عن الوصول إلى الله والأمر بالتقوى والصوم الذي هو تقوى النفس ويكون لله وهو جزاؤه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أحكام الله تعالى مطابق لمقتضى الفطرة؛ أي مربوط برفع حجبها وإحياء 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الأصلي والمقصد الأسنى هو المعرفة والوصول إلى باب الله تعالى، كلّ ذلك من عناياته تعالى على عباده؛ لتخلّصهم عن سجن الطبيعة وإرجاعهم إلى مأوى المقرّبين ومقرّ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فالتكاليف ألطاف إلهية وأدوية ربّانية لعلاج الأرواح المريضة والقلوب العليلة، والأنبياء علیهم السلام أطبّاء النفوس ومربّي الأرواح ومخرجها من الظلمات إلى النور ومن النقص إلى الكمال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البرازخ والمواقف في القيامة من عنايات الله تعالى على العباد؛ لئلاّ ينتهي أمرهم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يخرجهم من مستشفىً إلى آخر؛ لشفاء </w:t>
      </w:r>
    </w:p>
    <w:p>
      <w:pPr>
        <w:pStyle w:val="BookText"/>
        <w:rPr/>
      </w:pPr>
      <w:r>
        <w:rPr>
          <w:rFonts w:ascii="Amiri" w:hAnsi="Amiri" w:eastAsia="Amiri" w:cs="Amiri"/>
          <w:color w:val="111111"/>
          <w:sz w:val="28"/>
          <w:sz w:val="28"/>
          <w:szCs w:val="28"/>
          <w:rtl w:val="true"/>
          <w:lang w:bidi="ar-SA"/>
        </w:rPr>
        <w:t>عللهم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تشف بتلك الأدوية فآخر الدواء الكيّ، فلا بدّ من دخول</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للتصفية مع الإمكان، وإلاّ فللقرار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بالنسبة إلى أهل العصيان من المؤمنين لطف وعناية وطريق إلى جوار الله، وبالنسبة إلى الكفّار وأصحاب النار جزاء وغاية، فهم أصحاب النار ومأويهم النار وهم ناريّون لهَبيّون مصيرهم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وَالاْءِنْسِ</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مسألة الجبر والقدر حسبما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الفراغ عن تبييضه يوم الخميس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لخمس بقين من شهر الله المبارك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همدان</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5289_220038"/>
      <w:bookmarkStart w:id="93" w:name="pg15289_220038"/>
      <w:bookmarkEnd w:id="93"/>
    </w:p>
    <w:p>
      <w:pPr>
        <w:pStyle w:val="Heading3"/>
        <w:numPr>
          <w:ilvl w:val="2"/>
          <w:numId w:val="1"/>
        </w:numPr>
        <w:rPr/>
      </w:pPr>
      <w:bookmarkStart w:id="94" w:name="pg15289_220038"/>
      <w:bookmarkStart w:id="95" w:name="__RefHeading___Toc4628826_2142443653"/>
      <w:bookmarkStart w:id="96" w:name="_Toc34"/>
      <w:bookmarkEnd w:id="94"/>
      <w:bookmarkEnd w:id="95"/>
      <w:r>
        <w:rPr>
          <w:rtl w:val="true"/>
        </w:rPr>
        <w:t>الفهارس العامّة</w:t>
      </w:r>
      <w:bookmarkEnd w:id="96"/>
    </w:p>
    <w:p>
      <w:pPr>
        <w:pStyle w:val="Heading4"/>
        <w:numPr>
          <w:ilvl w:val="3"/>
          <w:numId w:val="1"/>
        </w:numPr>
        <w:rPr/>
      </w:pPr>
      <w:bookmarkStart w:id="97" w:name="__RefHeading___Toc4628828_2142443653"/>
      <w:bookmarkStart w:id="98" w:name="_Toc35"/>
      <w:bookmarkEnd w:id="97"/>
      <w:r>
        <w:rPr>
          <w:rtl w:val="true"/>
        </w:rPr>
        <w:t>اشارة</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289_220040"/>
      <w:bookmarkStart w:id="100" w:name="pg15289_220040"/>
      <w:bookmarkEnd w:id="100"/>
    </w:p>
    <w:p>
      <w:pPr>
        <w:pStyle w:val="Heading4"/>
        <w:numPr>
          <w:ilvl w:val="3"/>
          <w:numId w:val="1"/>
        </w:numPr>
        <w:rPr/>
      </w:pPr>
      <w:bookmarkStart w:id="101" w:name="pg15289_220040"/>
      <w:bookmarkStart w:id="102" w:name="__RefHeading___Toc4628830_2142443653"/>
      <w:bookmarkStart w:id="103" w:name="_Toc36"/>
      <w:bookmarkEnd w:id="101"/>
      <w:bookmarkEnd w:id="102"/>
      <w:r>
        <w:rPr/>
        <w:t>1</w:t>
      </w:r>
      <w:r>
        <w:rPr>
          <w:rtl w:val="true"/>
        </w:rPr>
        <w:t xml:space="preserve"> - </w:t>
      </w:r>
      <w:r>
        <w:rPr>
          <w:rtl w:val="true"/>
        </w:rPr>
        <w:t>فهرس الآيات الكريمة</w:t>
      </w:r>
      <w:bookmarkEnd w:id="103"/>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w:t>
      </w:r>
    </w:p>
    <w:p>
      <w:pPr>
        <w:pStyle w:val="BookText"/>
        <w:rPr/>
      </w:pPr>
      <w:r>
        <w:rPr>
          <w:rFonts w:ascii="Amiri" w:hAnsi="Amiri" w:eastAsia="Amiri" w:cs="Amiri"/>
          <w:color w:val="111111"/>
          <w:sz w:val="28"/>
          <w:sz w:val="28"/>
          <w:szCs w:val="28"/>
          <w:rtl w:val="true"/>
          <w:lang w:bidi="ar-SA"/>
        </w:rPr>
        <w:t>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أَيْدِيهِمْ وَلُعِنُوا بِمَا قَالُوا بَلْ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يَدَاهُ مَبْسُوطَتَانِ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w:t>
      </w:r>
    </w:p>
    <w:p>
      <w:pPr>
        <w:pStyle w:val="BookText"/>
        <w:rPr/>
      </w:pPr>
      <w:r>
        <w:rPr>
          <w:rFonts w:ascii="Amiri" w:hAnsi="Amiri" w:eastAsia="Amiri" w:cs="Amiri"/>
          <w:color w:val="111111"/>
          <w:sz w:val="28"/>
          <w:sz w:val="28"/>
          <w:szCs w:val="28"/>
          <w:rtl w:val="true"/>
          <w:lang w:bidi="ar-SA"/>
        </w:rPr>
        <w:t>وَالاْءِنْسِ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يَتَوَفَّى الَّذِينَ كَفَرُوا</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فَفِى النَّارِ لَهُمْ فِيهَا</w:t>
      </w:r>
    </w:p>
    <w:p>
      <w:pPr>
        <w:pStyle w:val="BookText"/>
        <w:rPr/>
      </w:pPr>
      <w:r>
        <w:rPr>
          <w:rFonts w:ascii="Amiri" w:hAnsi="Amiri" w:eastAsia="Amiri" w:cs="Amiri"/>
          <w:color w:val="111111"/>
          <w:sz w:val="28"/>
          <w:sz w:val="28"/>
          <w:szCs w:val="28"/>
          <w:rtl w:val="true"/>
          <w:lang w:bidi="ar-SA"/>
        </w:rPr>
        <w:t xml:space="preserve">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w:t>
      </w:r>
    </w:p>
    <w:p>
      <w:pPr>
        <w:pStyle w:val="BookText"/>
        <w:rPr/>
      </w:pPr>
      <w:r>
        <w:rPr>
          <w:rFonts w:ascii="Amiri" w:hAnsi="Amiri" w:eastAsia="Amiri" w:cs="Amiri"/>
          <w:color w:val="111111"/>
          <w:sz w:val="28"/>
          <w:sz w:val="28"/>
          <w:szCs w:val="28"/>
          <w:rtl w:val="true"/>
          <w:lang w:bidi="ar-SA"/>
        </w:rPr>
        <w:t>دَامَتِ السَّمَوَاتُ وَالْأَرْضُ إِلاَّ مَا شَاءَ</w:t>
      </w:r>
    </w:p>
    <w:p>
      <w:pPr>
        <w:pStyle w:val="BookText"/>
        <w:rPr/>
      </w:pPr>
      <w:r>
        <w:rPr>
          <w:rFonts w:ascii="Amiri" w:hAnsi="Amiri" w:eastAsia="Amiri" w:cs="Amiri"/>
          <w:color w:val="111111"/>
          <w:sz w:val="28"/>
          <w:sz w:val="28"/>
          <w:szCs w:val="28"/>
          <w:rtl w:val="true"/>
          <w:lang w:bidi="ar-SA"/>
        </w:rPr>
        <w:t xml:space="preserve">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الَّذِينَ سُعِدُوا فَفِى الْجَنَّةِ خَالِدِينَ</w:t>
      </w:r>
    </w:p>
    <w:p>
      <w:pPr>
        <w:pStyle w:val="BookText"/>
        <w:rPr/>
      </w:pPr>
      <w:r>
        <w:rPr>
          <w:rFonts w:ascii="Amiri" w:hAnsi="Amiri" w:eastAsia="Amiri" w:cs="Amiri"/>
          <w:color w:val="111111"/>
          <w:sz w:val="28"/>
          <w:sz w:val="28"/>
          <w:szCs w:val="28"/>
          <w:rtl w:val="true"/>
          <w:lang w:bidi="ar-SA"/>
        </w:rPr>
        <w:t>فِيهَا مَا دَامَتِ السَّمَوَاتُ وَالْأَرْضُ إِلاَّ</w:t>
      </w:r>
    </w:p>
    <w:p>
      <w:pPr>
        <w:pStyle w:val="BookText"/>
        <w:rPr/>
      </w:pPr>
      <w:r>
        <w:rPr>
          <w:rFonts w:ascii="Amiri" w:hAnsi="Amiri" w:eastAsia="Amiri" w:cs="Amiri"/>
          <w:color w:val="111111"/>
          <w:sz w:val="28"/>
          <w:sz w:val="28"/>
          <w:szCs w:val="28"/>
          <w:rtl w:val="true"/>
          <w:lang w:bidi="ar-SA"/>
        </w:rPr>
        <w:t>مَا شَاءَ رَبُّكَ عَطَاءً غَيْرَ مَجْذُوذٍ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 فِرْعَوْنُ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وَأَضَلَّهُمُ السَّامِرِىُّ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w:t>
      </w:r>
    </w:p>
    <w:p>
      <w:pPr>
        <w:pStyle w:val="BookText"/>
        <w:rPr/>
      </w:pPr>
      <w:r>
        <w:rPr>
          <w:rFonts w:ascii="Amiri" w:hAnsi="Amiri" w:eastAsia="Amiri" w:cs="Amiri"/>
          <w:color w:val="111111"/>
          <w:sz w:val="28"/>
          <w:sz w:val="28"/>
          <w:szCs w:val="28"/>
          <w:rtl w:val="true"/>
          <w:lang w:bidi="ar-SA"/>
        </w:rPr>
        <w:t>يَخْلُقُوا ذُبَاباً وَلَوِ اجْتَمَعُوا لَهُ وَإِنْ</w:t>
      </w:r>
    </w:p>
    <w:p>
      <w:pPr>
        <w:pStyle w:val="BookText"/>
        <w:rPr/>
      </w:pPr>
      <w:r>
        <w:rPr>
          <w:rFonts w:ascii="Amiri" w:hAnsi="Amiri" w:eastAsia="Amiri" w:cs="Amiri"/>
          <w:color w:val="111111"/>
          <w:sz w:val="28"/>
          <w:sz w:val="28"/>
          <w:szCs w:val="28"/>
          <w:rtl w:val="true"/>
          <w:lang w:bidi="ar-SA"/>
        </w:rPr>
        <w:t>يَسْلُبْهُمُ الذُّبَابُ شَيْئاً لاَ يَسْتَنقِذُوهُ</w:t>
      </w:r>
    </w:p>
    <w:p>
      <w:pPr>
        <w:pStyle w:val="BookText"/>
        <w:rPr/>
      </w:pPr>
      <w:r>
        <w:rPr>
          <w:rFonts w:ascii="Amiri" w:hAnsi="Amiri" w:eastAsia="Amiri" w:cs="Amiri"/>
          <w:color w:val="111111"/>
          <w:sz w:val="28"/>
          <w:sz w:val="28"/>
          <w:szCs w:val="28"/>
          <w:rtl w:val="true"/>
          <w:lang w:bidi="ar-SA"/>
        </w:rPr>
        <w:t xml:space="preserve">مِنْهُ 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قَدَرُوا الله حَقَّ قَدْرِهِ إِنَّ الله لَقَوِىٌّ</w:t>
      </w:r>
    </w:p>
    <w:p>
      <w:pPr>
        <w:pStyle w:val="BookText"/>
        <w:rPr/>
      </w:pP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w:t>
      </w:r>
    </w:p>
    <w:p>
      <w:pPr>
        <w:pStyle w:val="BookText"/>
        <w:rPr/>
      </w:pPr>
      <w:r>
        <w:rPr>
          <w:rFonts w:ascii="Amiri" w:hAnsi="Amiri" w:eastAsia="Amiri" w:cs="Amiri"/>
          <w:color w:val="111111"/>
          <w:sz w:val="28"/>
          <w:sz w:val="28"/>
          <w:szCs w:val="28"/>
          <w:rtl w:val="true"/>
          <w:lang w:bidi="ar-SA"/>
        </w:rPr>
        <w:t>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p>
    <w:p>
      <w:pPr>
        <w:pStyle w:val="BookText"/>
        <w:rPr/>
      </w:pPr>
      <w:r>
        <w:rPr>
          <w:rFonts w:ascii="Amiri" w:hAnsi="Amiri" w:eastAsia="Amiri" w:cs="Amiri"/>
          <w:color w:val="111111"/>
          <w:sz w:val="28"/>
          <w:sz w:val="28"/>
          <w:szCs w:val="28"/>
          <w:rtl w:val="true"/>
          <w:lang w:bidi="ar-SA"/>
        </w:rPr>
        <w:t>لِتَكُونَ مِنَ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عَدُوٌّ مُضِلٌّ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الَّذِى وُكِّلَ</w:t>
      </w:r>
    </w:p>
    <w:p>
      <w:pPr>
        <w:pStyle w:val="BookText"/>
        <w:rPr/>
      </w:pP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هُوَ الْغَنِىُّ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وَالاْءِنْسَ إِلاَّ</w:t>
      </w:r>
    </w:p>
    <w:p>
      <w:pPr>
        <w:pStyle w:val="BookText"/>
        <w:rPr/>
      </w:pP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وَحْىٌ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p>
    <w:p>
      <w:pPr>
        <w:pStyle w:val="BookText"/>
        <w:rPr/>
      </w:pPr>
      <w:r>
        <w:rPr>
          <w:rFonts w:ascii="Amiri" w:hAnsi="Amiri" w:eastAsia="Amiri" w:cs="Amiri"/>
          <w:color w:val="111111"/>
          <w:sz w:val="28"/>
          <w:sz w:val="28"/>
          <w:szCs w:val="28"/>
          <w:rtl w:val="true"/>
          <w:lang w:bidi="ar-SA"/>
        </w:rPr>
        <w:t xml:space="preserve">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الْفُؤَادُ مَا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لَقُرءَانٌ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w:t>
      </w:r>
    </w:p>
    <w:p>
      <w:pPr>
        <w:pStyle w:val="BookText"/>
        <w:rPr/>
      </w:pPr>
      <w:r>
        <w:rPr>
          <w:rFonts w:ascii="Amiri" w:hAnsi="Amiri" w:eastAsia="Amiri" w:cs="Amiri"/>
          <w:color w:val="111111"/>
          <w:sz w:val="28"/>
          <w:sz w:val="28"/>
          <w:szCs w:val="28"/>
          <w:rtl w:val="true"/>
          <w:lang w:bidi="ar-SA"/>
        </w:rPr>
        <w:t xml:space="preserve">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وَالاْخِرُ وَالظَّاهِرُ وَالْبَاطِنُ</w:t>
      </w:r>
    </w:p>
    <w:p>
      <w:pPr>
        <w:pStyle w:val="BookText"/>
        <w:rPr/>
      </w:pPr>
      <w:r>
        <w:rPr>
          <w:rFonts w:ascii="Amiri" w:hAnsi="Amiri" w:eastAsia="Amiri" w:cs="Amiri"/>
          <w:color w:val="111111"/>
          <w:sz w:val="28"/>
          <w:sz w:val="28"/>
          <w:szCs w:val="28"/>
          <w:rtl w:val="true"/>
          <w:lang w:bidi="ar-SA"/>
        </w:rPr>
        <w:t>وَهُوَ بِكُلِّ شَىْ‌ءٍ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تَشَآؤُونَ إِلاَّ أَنْ يَشَآءَ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الْحَيَوةَ</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هِىَ الْمَأْ 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خَافَ مَقَامَ رَبِّهِ وَنَهَى النَّفْسَ</w:t>
      </w:r>
    </w:p>
    <w:p>
      <w:pPr>
        <w:pStyle w:val="BookText"/>
        <w:rPr/>
      </w:pPr>
      <w:r>
        <w:rPr>
          <w:rFonts w:ascii="Amiri" w:hAnsi="Amiri" w:eastAsia="Amiri" w:cs="Amiri"/>
          <w:color w:val="111111"/>
          <w:sz w:val="28"/>
          <w:sz w:val="28"/>
          <w:szCs w:val="28"/>
          <w:rtl w:val="true"/>
          <w:lang w:bidi="ar-SA"/>
        </w:rPr>
        <w:t xml:space="preserve">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5289_220046"/>
      <w:bookmarkStart w:id="105" w:name="pg15289_220046"/>
      <w:bookmarkEnd w:id="105"/>
    </w:p>
    <w:p>
      <w:pPr>
        <w:pStyle w:val="Heading4"/>
        <w:numPr>
          <w:ilvl w:val="3"/>
          <w:numId w:val="1"/>
        </w:numPr>
        <w:rPr/>
      </w:pPr>
      <w:bookmarkStart w:id="106" w:name="pg15289_220046"/>
      <w:bookmarkStart w:id="107" w:name="__RefHeading___Toc4628832_2142443653"/>
      <w:bookmarkStart w:id="108" w:name="_Toc37"/>
      <w:bookmarkEnd w:id="106"/>
      <w:bookmarkEnd w:id="107"/>
      <w:r>
        <w:rPr/>
        <w:t>2</w:t>
      </w:r>
      <w:r>
        <w:rPr>
          <w:rtl w:val="true"/>
        </w:rPr>
        <w:t xml:space="preserve"> - </w:t>
      </w:r>
      <w:r>
        <w:rPr>
          <w:rtl w:val="true"/>
        </w:rPr>
        <w:t>فهرس الأحاديث الشريفة</w:t>
      </w:r>
      <w:bookmarkEnd w:id="108"/>
    </w:p>
    <w:p>
      <w:pPr>
        <w:pStyle w:val="BookText"/>
        <w:rPr/>
      </w:pPr>
      <w:r>
        <w:rPr>
          <w:rFonts w:ascii="Amiri" w:hAnsi="Amiri" w:eastAsia="Amiri" w:cs="Amiri"/>
          <w:color w:val="111111"/>
          <w:sz w:val="28"/>
          <w:sz w:val="28"/>
          <w:szCs w:val="28"/>
          <w:rtl w:val="true"/>
          <w:lang w:bidi="ar-SA"/>
        </w:rPr>
        <w:t xml:space="preserve">أشهدُ أ نّك كنت نوراً في الأصلاب الشامخة والأرحام المطهّرة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اعملوا فكلّ ميسّر لما خلق 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الجنّ والإنس ليعبدوه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خمّرت طينة آدم بيدي أربعين صباحاً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السعيد سعيد في بطن اُمّه، والشقيّ شقيّ في بطن اُمّه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الشقيّ من شقي في بطن اُمّه والسعيد من سعد في بطن اُمّه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الشقيّ من علم الله وهو في بطن اُمّه أ نّه سيعمل عمل الأشقياء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بمشيّتي كنت أنت الذي تشاء لنفسك ما تشاء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كُنتُ كنزاً مخفيّاً فأحببتُ أن اُعرف فخلقتُ الخلقَ لِكي اُعرف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 زعم أنّ الخير والشرّ إليه فقد كذب على الله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من زعم أنّ الخير والشرّ بغير مشيّة الله فقد أخرج الله عن سلطانه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lang w:bidi="ar-SA"/>
        </w:rPr>
        <w:t>54</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والسعيد من علم الله وهو في بطن اُمّه أ نّه سيعمل أعمال السعداء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5289_220048"/>
      <w:bookmarkStart w:id="110" w:name="pg15289_220048"/>
      <w:bookmarkEnd w:id="110"/>
    </w:p>
    <w:p>
      <w:pPr>
        <w:pStyle w:val="Heading4"/>
        <w:numPr>
          <w:ilvl w:val="3"/>
          <w:numId w:val="1"/>
        </w:numPr>
        <w:rPr/>
      </w:pPr>
      <w:bookmarkStart w:id="111" w:name="pg15289_220048"/>
      <w:bookmarkStart w:id="112" w:name="__RefHeading___Toc4628834_2142443653"/>
      <w:bookmarkStart w:id="113" w:name="_Toc38"/>
      <w:bookmarkEnd w:id="111"/>
      <w:bookmarkEnd w:id="112"/>
      <w:r>
        <w:rPr/>
        <w:t>3</w:t>
      </w:r>
      <w:r>
        <w:rPr>
          <w:rtl w:val="true"/>
        </w:rPr>
        <w:t xml:space="preserve"> - </w:t>
      </w:r>
      <w:r>
        <w:rPr>
          <w:rtl w:val="true"/>
        </w:rPr>
        <w:t>فهرس أسماء المعصومين علیهم السلام</w:t>
      </w:r>
      <w:bookmarkEnd w:id="113"/>
    </w:p>
    <w:p>
      <w:pPr>
        <w:pStyle w:val="BookText"/>
        <w:rPr/>
      </w:pPr>
      <w:r>
        <w:rPr>
          <w:rFonts w:ascii="IRNazanin" w:hAnsi="IRNazanin" w:eastAsia="IRNazanin"/>
          <w:color w:val="111111"/>
          <w:sz w:val="28"/>
          <w:sz w:val="28"/>
          <w:szCs w:val="28"/>
          <w:rtl w:val="true"/>
          <w:lang w:bidi="fa-IR"/>
        </w:rPr>
        <w:t xml:space="preserve">رسول الله، نبيّنا،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أبو عبدالله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علیه السلام ، الإمام الثالث</w:t>
      </w:r>
    </w:p>
    <w:p>
      <w:pPr>
        <w:pStyle w:val="BookText"/>
        <w:rPr/>
      </w:pPr>
      <w:r>
        <w:rPr>
          <w:rFonts w:ascii="IRNazanin" w:hAnsi="IRNazanin" w:eastAsia="IRNazanin"/>
          <w:color w:val="111111"/>
          <w:sz w:val="28"/>
          <w:sz w:val="28"/>
          <w:szCs w:val="28"/>
          <w:rtl w:val="true"/>
          <w:lang w:bidi="fa-IR"/>
        </w:rPr>
        <w:t xml:space="preserve">الحسين بن علي علیه السلام ، الإمام الثالث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أبو الحسن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 الإمام السابع</w:t>
      </w:r>
    </w:p>
    <w:p>
      <w:p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خضر، النبي </w:t>
      </w:r>
      <w:r>
        <w:rPr>
          <w:rFonts w:eastAsia="Amiri" w:cs="Amiri" w:ascii="Amiri" w:hAnsi="Amiri"/>
          <w:color w:val="111111"/>
          <w:sz w:val="28"/>
          <w:szCs w:val="28"/>
          <w:lang w:bidi="ar-SA"/>
        </w:rPr>
        <w:t>25</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5289_220050"/>
      <w:bookmarkStart w:id="115" w:name="pg15289_220050"/>
      <w:bookmarkEnd w:id="115"/>
    </w:p>
    <w:p>
      <w:pPr>
        <w:pStyle w:val="Heading4"/>
        <w:numPr>
          <w:ilvl w:val="3"/>
          <w:numId w:val="1"/>
        </w:numPr>
        <w:rPr/>
      </w:pPr>
      <w:bookmarkStart w:id="116" w:name="pg15289_220050"/>
      <w:bookmarkStart w:id="117" w:name="__RefHeading___Toc4628836_2142443653"/>
      <w:bookmarkStart w:id="118" w:name="_Toc39"/>
      <w:bookmarkEnd w:id="116"/>
      <w:bookmarkEnd w:id="117"/>
      <w:r>
        <w:rPr/>
        <w:t>4</w:t>
      </w:r>
      <w:r>
        <w:rPr>
          <w:rtl w:val="true"/>
        </w:rPr>
        <w:t xml:space="preserve"> - </w:t>
      </w:r>
      <w:r>
        <w:rPr>
          <w:rtl w:val="true"/>
        </w:rPr>
        <w:t>فهرس الأعلام</w:t>
      </w:r>
      <w:bookmarkEnd w:id="118"/>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أحمد بن محمّد</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الداماد، مير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الميرداماد، محمّد باقر بن محمّد</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محمّد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19" w:name="pg15289_220051"/>
    </w:p>
    <w:p>
      <w:pPr>
        <w:pStyle w:val="BookText"/>
        <w:rPr/>
      </w:pPr>
      <w:bookmarkEnd w:id="119"/>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p>
    <w:p>
      <w:pPr>
        <w:pStyle w:val="BookText"/>
        <w:rPr/>
      </w:pPr>
      <w:r>
        <w:rPr>
          <w:rFonts w:ascii="Amiri" w:hAnsi="Amiri" w:eastAsia="Amiri" w:cs="Amiri"/>
          <w:color w:val="111111"/>
          <w:sz w:val="28"/>
          <w:sz w:val="28"/>
          <w:szCs w:val="28"/>
          <w:rtl w:val="true"/>
          <w:lang w:bidi="ar-SA"/>
        </w:rPr>
        <w:t xml:space="preserve">الميرداماد، محمّد باقر بن محمّد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Heading4"/>
        <w:numPr>
          <w:ilvl w:val="3"/>
          <w:numId w:val="1"/>
        </w:numPr>
        <w:rPr/>
      </w:pPr>
      <w:bookmarkStart w:id="120" w:name="__RefHeading___Toc4628838_2142443653"/>
      <w:bookmarkStart w:id="121" w:name="_Toc40"/>
      <w:bookmarkEnd w:id="120"/>
      <w:r>
        <w:rPr/>
        <w:t>5</w:t>
      </w:r>
      <w:r>
        <w:rPr>
          <w:rtl w:val="true"/>
        </w:rPr>
        <w:t xml:space="preserve"> - </w:t>
      </w:r>
      <w:r>
        <w:rPr>
          <w:rtl w:val="true"/>
        </w:rPr>
        <w:t>فهرس الكتب الواردة في المتن</w:t>
      </w:r>
      <w:bookmarkEnd w:id="121"/>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الأربعين 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الإيقاظات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شرح حديث جنود العقل والجهل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21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22" w:name="pg15289_220052"/>
    </w:p>
    <w:p>
      <w:pPr>
        <w:pStyle w:val="Heading4"/>
        <w:numPr>
          <w:ilvl w:val="3"/>
          <w:numId w:val="1"/>
        </w:numPr>
        <w:rPr/>
      </w:pPr>
      <w:bookmarkStart w:id="123" w:name="__RefHeading___Toc4628840_2142443653"/>
      <w:bookmarkStart w:id="124" w:name="_Toc41"/>
      <w:bookmarkEnd w:id="122"/>
      <w:bookmarkEnd w:id="123"/>
      <w:r>
        <w:rPr/>
        <w:t>6</w:t>
      </w:r>
      <w:r>
        <w:rPr>
          <w:rtl w:val="true"/>
        </w:rPr>
        <w:t xml:space="preserve"> - </w:t>
      </w:r>
      <w:r>
        <w:rPr>
          <w:rtl w:val="true"/>
        </w:rPr>
        <w:t>فهرس مصادر التحقيق</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الصلاة،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ستارة،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الفضائل محمّد بن الشيخ حسين الجبعي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قم، 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 مع الشرح للمحقّق نصير الدين الطوسي وشرح الشرح للعلاّمة قطب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إعداد عدّة من العلماء،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الأفكار في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بهمنيار بن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 و تصحيح استاد شهيد مرتضى مطهري، چاپ دوم، تهران، مؤسسه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الأسرار ومنبع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هنري كربن، الطبعة الثانية، طهران، انتشارات علمى و فرهنگى،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المصطفوي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الكريم الحائري اليزدي، تعليق آية الله الشيخ محمّد علي الأراكي والمؤلّف، تحقيق الشيخ محمّد المؤمن القمّي، الطبعة الخامسة، جزءان </w:t>
      </w:r>
    </w:p>
    <w:p>
      <w:pPr>
        <w:pStyle w:val="BookText"/>
        <w:rPr/>
      </w:pPr>
      <w:r>
        <w:rPr>
          <w:rFonts w:ascii="Amiri" w:hAnsi="Amiri" w:eastAsia="Amiri" w:cs="Amiri"/>
          <w:color w:val="111111"/>
          <w:sz w:val="28"/>
          <w:sz w:val="28"/>
          <w:szCs w:val="28"/>
          <w:rtl w:val="true"/>
          <w:lang w:bidi="ar-SA"/>
        </w:rPr>
        <w:t xml:space="preserve">في مجلّد واحد، قم،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 في شرح أحاديث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شمس الدين محمّد الحسيني الأسترآبادي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غلامحسين قيصريه‌ها ونعمة الله الجليلي، الطبعة الاُولى، قم، دار الحديث للطباعة والنشر،</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الحسن عبد الجبّار الأسدآبادي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الإمام أحمد بن الحسين بن أبي هاشم، الطبعة الاُولى، بيروت، انتشارات دار الإحياء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بن عبدالله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الرحمان عميرة،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الشريف الرضيّ،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وتحقيق حسن حسن‌زاده الآملي ومسعود الطالبي،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نشر ناب،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محمّد بدرالدين النسعاني،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محمّد بن محمّد مفيد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الدكتور نجفقلي حبيبي،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مؤسّسة الطباعة والنشر،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w:t>
      </w:r>
    </w:p>
    <w:p>
      <w:pPr>
        <w:pStyle w:val="BookText"/>
        <w:rPr/>
      </w:pP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جنود عقل و جهل،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عدّة من الأساتذة،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الملقّب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قم، انتشارات بيدار،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الطبعة الاُولى، قم، 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السيّد مهديّ الحسيني اللاجوردي، الطبعة الثانية، منشورات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علي الحاتمي الطائي المعروف بابن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شمس الدين محمّد الحسيني الأسترآبادي المعروف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مهديّ المحقّق، الطبعة الثانية، طهران،</w:t>
      </w:r>
    </w:p>
    <w:p>
      <w:pPr>
        <w:pStyle w:val="BookText"/>
        <w:rPr/>
      </w:pPr>
      <w:r>
        <w:rPr>
          <w:rFonts w:ascii="IRNazanin" w:hAnsi="IRNazanin" w:eastAsia="IRNazanin"/>
          <w:color w:val="111111"/>
          <w:sz w:val="28"/>
          <w:sz w:val="28"/>
          <w:szCs w:val="28"/>
          <w:rtl w:val="true"/>
          <w:lang w:bidi="fa-IR"/>
        </w:rPr>
        <w:t xml:space="preserve">انتشارات و چاپ دانشگاه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الخامسة،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تحقيق الشيخ حسن حسن زاده الآملي،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النشر الإسلامي، قم،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مكنونة من علوم أهل الحكمة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الملقّب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عزيزالله العطاردي، الطبعة الثانية، طهران، انتشارات فراهاني،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بكري حيّاني وصفوة السقا، الطبعة الثالثة،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عبدالرزاق فيّاض لاهيجي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الاُولى، طهران، سازمان چاپ و انتشارات وزارت فرهنگ و ارشاد اسلامى،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مكتبة بيدار،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w:t>
      </w:r>
    </w:p>
    <w:p>
      <w:pPr>
        <w:pStyle w:val="BookText"/>
        <w:rPr/>
      </w:pPr>
      <w:r>
        <w:rPr>
          <w:rFonts w:ascii="Amiri" w:hAnsi="Amiri" w:eastAsia="Amiri" w:cs="Amiri"/>
          <w:color w:val="111111"/>
          <w:sz w:val="28"/>
          <w:sz w:val="28"/>
          <w:szCs w:val="28"/>
          <w:rtl w:val="true"/>
          <w:lang w:bidi="ar-SA"/>
        </w:rPr>
        <w:t xml:space="preserve">جلال الدين الآشتياني، طهران، انجمن فلسفه ايران،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إسحاق الفيّاض، الطبعة الثالثة،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دار الهادي للمطبوعات،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المحصول في علم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بن الحسين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 الموجود وعلي محمّد معوض، الطبعة الثانية،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المكتبة العصرية،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مرصاد العباد من المبدء إلى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أبو بكر بن محمّد بن شاهاور بن انوشروان رازي معروف به دايه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دكتر محمّد امين رياحى، چاپ دوم، طهران، شركت انتشارات علمى و فرهنگى،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 وسلاح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حسين الأعلمي، الطبعة الاُولى، بيروت، مؤسّسة الأعلمي للمطبوعات،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مصنّفات 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عبدالله نوراني،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طهران، انجمن آثار و مفاخر فرهنگى،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العاليه من 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أحمد حجازي السقّا، الطبعة الاُولى،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الكتب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أبواب التوحيد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الحسن عبد الجبّار الأسدآبادي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إشراف الدكتور طه حسين، الطبعة الاُولى،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عثر منها حتّى الآن على أربعة عشر جزءاً وطبعت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عبد الكريم بن أبي بكر أحمد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تخريج محمّد بن فتح الله بدران، الطبعة الثانية، جزءان في مجلّد واحد، القاهرة، مكتبة الانجلو المصرية،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قم،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بيروت، 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حسينعلي المنتظري، الطبعة الاُولى، قم، نشر تفكّر،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مؤسّسة آل البيت علیهم السلام لإحياء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عين الله الحسيني الاُرموي، الطبعة الرابعة، قم، دار الهجرة،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5289_220060"/>
      <w:bookmarkStart w:id="126" w:name="pg15289_220060"/>
      <w:bookmarkEnd w:id="126"/>
    </w:p>
    <w:p>
      <w:pPr>
        <w:pStyle w:val="Heading4"/>
        <w:numPr>
          <w:ilvl w:val="3"/>
          <w:numId w:val="1"/>
        </w:numPr>
        <w:rPr/>
      </w:pPr>
      <w:bookmarkStart w:id="127" w:name="pg15289_220060"/>
      <w:bookmarkStart w:id="128" w:name="__RefHeading___Toc4628842_2142443653"/>
      <w:bookmarkStart w:id="129" w:name="_Toc42"/>
      <w:bookmarkEnd w:id="127"/>
      <w:bookmarkEnd w:id="128"/>
      <w:r>
        <w:rPr/>
        <w:t>7</w:t>
      </w:r>
      <w:r>
        <w:rPr>
          <w:rtl w:val="true"/>
        </w:rPr>
        <w:t xml:space="preserve"> - </w:t>
      </w:r>
      <w:r>
        <w:rPr>
          <w:rtl w:val="true"/>
        </w:rPr>
        <w:t>فهرس الموضوعات</w:t>
      </w:r>
      <w:bookmarkEnd w:id="129"/>
    </w:p>
    <w:p>
      <w:pPr>
        <w:pStyle w:val="BookText"/>
        <w:rPr/>
      </w:pPr>
      <w:r>
        <w:rPr>
          <w:rFonts w:ascii="IRNazanin" w:hAnsi="IRNazanin" w:eastAsia="IRNazanin"/>
          <w:color w:val="111111"/>
          <w:sz w:val="28"/>
          <w:sz w:val="28"/>
          <w:szCs w:val="28"/>
          <w:rtl w:val="true"/>
          <w:lang w:bidi="fa-IR"/>
        </w:rPr>
        <w:t>الطلب</w:t>
      </w:r>
    </w:p>
    <w:p>
      <w:pPr>
        <w:pStyle w:val="BookText"/>
        <w:rPr/>
      </w:pPr>
      <w:r>
        <w:rPr>
          <w:rFonts w:ascii="Amiri" w:hAnsi="Amiri" w:eastAsia="Amiri" w:cs="Amiri"/>
          <w:color w:val="111111"/>
          <w:sz w:val="28"/>
          <w:sz w:val="28"/>
          <w:szCs w:val="28"/>
          <w:rtl w:val="true"/>
          <w:lang w:bidi="ar-SA"/>
        </w:rPr>
        <w:t>والإرادة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المهمّ ممّا استدلّ به الأشعري على مطلوبه</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بالأوامر الامتحانية على اختلاف الطلب والإرادة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بتكليف العصاة على اختلاف الطلب والإرادة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الجبر والتفويض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مذهبي التفويض والجبر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المذهب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شرك التفويضي وكفر الجبري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استناد الأفعال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تمثيل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تمثيل أقرب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تأييدات نقلية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الشبهات الواردة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شبهة عدم إرادية الإرادة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تحقيق به يدفع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تعلّق الإرادة بالإرادة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شبهة استلزام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شبهة منافاة الإرادة الأزلية لكون الإنسان مختاراً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السعادة والشقاوة</w:t>
      </w:r>
    </w:p>
    <w:p>
      <w:pPr>
        <w:pStyle w:val="BookText"/>
        <w:rPr/>
      </w:pPr>
      <w:r>
        <w:rPr>
          <w:rFonts w:ascii="Amiri" w:hAnsi="Amiri" w:eastAsia="Amiri" w:cs="Amiri"/>
          <w:color w:val="111111"/>
          <w:sz w:val="28"/>
          <w:sz w:val="28"/>
          <w:szCs w:val="28"/>
          <w:rtl w:val="true"/>
          <w:lang w:bidi="ar-SA"/>
        </w:rPr>
        <w:t>ويتمّ ذلك برسم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الذاتي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 لا يعلّل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 وجود الممكنات وعوارضه ولوازمه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استناد الكمالات إلى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السعادة والشقاوة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السعادة والشقاوة غير ذاتيتين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شمّة من اختلاف خلق الطينات</w:t>
      </w:r>
    </w:p>
    <w:p>
      <w:pPr>
        <w:pStyle w:val="BookText"/>
        <w:rPr/>
      </w:pPr>
      <w:r>
        <w:rPr>
          <w:rFonts w:ascii="Amiri" w:hAnsi="Amiri" w:eastAsia="Amiri" w:cs="Amiri"/>
          <w:color w:val="111111"/>
          <w:sz w:val="28"/>
          <w:sz w:val="28"/>
          <w:szCs w:val="28"/>
          <w:rtl w:val="true"/>
          <w:lang w:bidi="ar-SA"/>
        </w:rPr>
        <w:t xml:space="preserve">توهّم كون الجبر مقتضى أخبار الطينة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موضوع حكم العقلاء في صحّة العقوبة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إفاضة الفيض الوجودي بمقدار قابلية الموادّ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منشأ اختلاف النفوس في الميل إلى الخير أو الشرّ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مفاد بعض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فطرة العشق إلى الكمال والتنفّر عن النقص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30" w:name="pg15293_220063"/>
    </w:p>
    <w:p>
      <w:pPr>
        <w:pStyle w:val="Heading2"/>
        <w:numPr>
          <w:ilvl w:val="1"/>
          <w:numId w:val="1"/>
        </w:numPr>
        <w:rPr/>
      </w:pPr>
      <w:bookmarkStart w:id="131" w:name="__RefHeading___Toc4628844_2142443653"/>
      <w:bookmarkStart w:id="132" w:name="_Toc43"/>
      <w:bookmarkEnd w:id="130"/>
      <w:bookmarkEnd w:id="131"/>
      <w:r>
        <w:rPr>
          <w:rtl w:val="true"/>
        </w:rPr>
        <w:t>الفصل الخامس في اقتضاء الأمر بالشيء للنهي عن ضدّه</w:t>
      </w:r>
      <w:bookmarkEnd w:id="132"/>
    </w:p>
    <w:p>
      <w:pPr>
        <w:pStyle w:val="Heading3"/>
        <w:numPr>
          <w:ilvl w:val="2"/>
          <w:numId w:val="1"/>
        </w:numPr>
        <w:rPr/>
      </w:pPr>
      <w:bookmarkStart w:id="133" w:name="__RefHeading___Toc4628846_2142443653"/>
      <w:bookmarkStart w:id="134" w:name="_Toc44"/>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هل الأمر بالشيء يقتضي النهي عن ضدّه أم لا ؟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الحال يستدعي رسم اُمور</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628848_2142443653"/>
      <w:bookmarkStart w:id="136" w:name="_Toc45"/>
      <w:bookmarkEnd w:id="135"/>
      <w:r>
        <w:rPr>
          <w:rtl w:val="true"/>
        </w:rPr>
        <w:t>الأمر الأوّل</w:t>
      </w:r>
      <w:r>
        <w:rPr>
          <w:rtl w:val="true"/>
        </w:rPr>
        <w:t xml:space="preserve">: </w:t>
      </w:r>
      <w:r>
        <w:rPr>
          <w:rtl w:val="true"/>
        </w:rPr>
        <w:t>في اُصولية المسألة</w:t>
      </w:r>
      <w:bookmarkEnd w:id="136"/>
    </w:p>
    <w:p>
      <w:pPr>
        <w:pStyle w:val="BookText"/>
        <w:rPr/>
      </w:pPr>
      <w:r>
        <w:rPr>
          <w:rFonts w:ascii="Amiri" w:hAnsi="Amiri" w:eastAsia="Amiri" w:cs="Amiri"/>
          <w:color w:val="111111"/>
          <w:sz w:val="28"/>
          <w:sz w:val="28"/>
          <w:szCs w:val="28"/>
          <w:rtl w:val="true"/>
          <w:lang w:bidi="ar-SA"/>
        </w:rPr>
        <w:t>جمع بعض الأعاظم بين كون المسألة اُصولية وأ نّها من المسائل العقلية الغير</w:t>
      </w:r>
    </w:p>
    <w:p>
      <w:pPr>
        <w:pStyle w:val="BookText"/>
        <w:rPr/>
      </w:pPr>
      <w:r>
        <w:rPr>
          <w:rFonts w:ascii="Amiri" w:hAnsi="Amiri" w:eastAsia="Amiri" w:cs="Amiri"/>
          <w:color w:val="111111"/>
          <w:sz w:val="28"/>
          <w:sz w:val="28"/>
          <w:szCs w:val="28"/>
          <w:rtl w:val="true"/>
          <w:lang w:bidi="ar-SA"/>
        </w:rPr>
        <w:t xml:space="preserve">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البحث فيها عن الملازمات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تعميم الاقتضاء في العنوان إلى كونه على نحو العينية، أو التضمّن، أو الالتزام بالمعنى الأخصّ،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التعميم بأنّ لكلٍّ وجهاً بل قائلاً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التهافت لو قلنا بأنّ المسائل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الاُصولية؛ لأنّ في الجمع بين الاُصولية والتعميم كذلك تهافتاً؛ لأنّ التعميم لأجل إدخال تمام المذاهب والوجوه في العنوان، والقول بالعينية </w:t>
      </w:r>
      <w:bookmarkStart w:id="137" w:name="pg15293_220064"/>
    </w:p>
    <w:p>
      <w:pPr>
        <w:pStyle w:val="BookText"/>
        <w:rPr/>
      </w:pPr>
      <w:bookmarkEnd w:id="137"/>
      <w:r>
        <w:rPr>
          <w:rFonts w:ascii="Amiri" w:hAnsi="Amiri" w:eastAsia="Amiri" w:cs="Amiri"/>
          <w:color w:val="111111"/>
          <w:sz w:val="28"/>
          <w:sz w:val="28"/>
          <w:szCs w:val="28"/>
          <w:rtl w:val="true"/>
          <w:lang w:bidi="ar-SA"/>
        </w:rPr>
        <w:t>والتضمّن على بعض الوجوه والآراء يرجع إلى الدلالة اللغوية الوضعية، بل الأمر كذلك مع الدلالة الالتزامية بناءً على المشهور من كونها لفظية</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كون المسألة لغوية لا ينافي الاُصولية مع اختلاف الجهة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المشتقّ وبعض المباحث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كدلالة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الاُصولية، لم يرد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الجمع بين كون المسألة عقلية وبين ذلك التعميم تهافت؛ لأنّ التعميم لأجل إدخال مذهب القائل بإحدى الدلالات اللفظية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628850_2142443653"/>
      <w:bookmarkStart w:id="139" w:name="_Toc46"/>
      <w:bookmarkEnd w:id="138"/>
      <w:r>
        <w:rPr>
          <w:rtl w:val="true"/>
        </w:rPr>
        <w:t xml:space="preserve">الأمر الثاني </w:t>
      </w:r>
      <w:r>
        <w:rPr>
          <w:rtl w:val="true"/>
        </w:rPr>
        <w:t xml:space="preserve">: </w:t>
      </w:r>
      <w:r>
        <w:rPr>
          <w:rtl w:val="true"/>
        </w:rPr>
        <w:t>في معنى الاقتضاء في عنوان المسألة</w:t>
      </w:r>
      <w:bookmarkEnd w:id="139"/>
    </w:p>
    <w:p>
      <w:pPr>
        <w:pStyle w:val="BookText"/>
        <w:rPr/>
      </w:pPr>
      <w:r>
        <w:rPr>
          <w:rFonts w:ascii="Amiri" w:hAnsi="Amiri" w:eastAsia="Amiri" w:cs="Amiri"/>
          <w:color w:val="111111"/>
          <w:sz w:val="28"/>
          <w:sz w:val="28"/>
          <w:szCs w:val="28"/>
          <w:rtl w:val="true"/>
          <w:lang w:bidi="ar-SA"/>
        </w:rPr>
        <w:t>الاقتضاء في عنوان البحث ليس بمعناه الحقيقي في المقام على أيّ حال، ولا جامع بين المعاني التي ذكروها في مقام التعميم</w:t>
      </w:r>
      <w:r>
        <w:rPr>
          <w:rStyle w:val="FootnoteAnchor"/>
          <w:rtl w:val="true"/>
        </w:rPr>
        <w:footnoteReference w:id="115"/>
      </w:r>
      <w:r>
        <w:rPr>
          <w:rFonts w:ascii="Amiri" w:hAnsi="Amiri" w:eastAsia="Amiri" w:cs="Amiri"/>
          <w:color w:val="111111"/>
          <w:sz w:val="28"/>
          <w:sz w:val="28"/>
          <w:szCs w:val="28"/>
          <w:rtl w:val="true"/>
          <w:lang w:bidi="ar-SA"/>
        </w:rPr>
        <w:t>حتّى يكون مستعملاً فيه، مضافاً إلى أنّ الاقتضاء بمعنى العينية ممّا لا محصّل له رأساً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إسقاطُ بعض المذاهب والوجوه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البطلان، كالقول بالعينية والتضمّن، وجعلُ المسألة اُصولية عقلية، ومعه يمكن إبقاء الاقتضاء وإرادة الاستلزام منه ولو بنحو من المسامحة، أو تبديله بالاستلزام، </w:t>
      </w:r>
      <w:bookmarkStart w:id="140" w:name="pg15293_220065"/>
    </w:p>
    <w:p>
      <w:pPr>
        <w:pStyle w:val="BookText"/>
        <w:rPr/>
      </w:pPr>
      <w:bookmarkEnd w:id="140"/>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بالشيء مستلزم للنهي عن ضدّه ؟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إرادة الشيء مستلزمة لإرادة ترك ضدّه ؟</w:t>
      </w:r>
    </w:p>
    <w:p>
      <w:pPr>
        <w:pStyle w:val="Heading3"/>
        <w:numPr>
          <w:ilvl w:val="2"/>
          <w:numId w:val="1"/>
        </w:numPr>
        <w:rPr/>
      </w:pPr>
      <w:bookmarkStart w:id="141" w:name="__RefHeading___Toc4628852_2142443653"/>
      <w:bookmarkStart w:id="142" w:name="_Toc47"/>
      <w:bookmarkEnd w:id="141"/>
      <w:r>
        <w:rPr>
          <w:rtl w:val="true"/>
        </w:rPr>
        <w:t xml:space="preserve">الأمر الثالث </w:t>
      </w:r>
      <w:r>
        <w:rPr>
          <w:rtl w:val="true"/>
        </w:rPr>
        <w:t xml:space="preserve">: </w:t>
      </w:r>
      <w:r>
        <w:rPr>
          <w:rtl w:val="true"/>
        </w:rPr>
        <w:t>في الاستدلال على القول بالاقتضاء في الضدّ الخاصّ</w:t>
      </w:r>
      <w:bookmarkEnd w:id="142"/>
    </w:p>
    <w:p>
      <w:pPr>
        <w:pStyle w:val="Heading4"/>
        <w:numPr>
          <w:ilvl w:val="3"/>
          <w:numId w:val="1"/>
        </w:numPr>
        <w:rPr/>
      </w:pPr>
      <w:bookmarkStart w:id="143" w:name="__RefHeading___Toc4628854_2142443653"/>
      <w:bookmarkStart w:id="144" w:name="_Toc48"/>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إنّ الأقوال في المسألة كثيرة، لكن ما يعتدّ به من بينها هو القول بالاقتضاء في الضدّ الخاصّ، والأولى صرف الكلام إليه،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عليه بوجهين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628856_2142443653"/>
      <w:bookmarkStart w:id="146" w:name="_Toc49"/>
      <w:bookmarkEnd w:id="145"/>
      <w:r>
        <w:rPr>
          <w:rtl w:val="true"/>
        </w:rPr>
        <w:t>الوجه الأوّل</w:t>
      </w:r>
      <w:r>
        <w:rPr>
          <w:rtl w:val="true"/>
        </w:rPr>
        <w:t xml:space="preserve">: - </w:t>
      </w:r>
      <w:r>
        <w:rPr>
          <w:rtl w:val="true"/>
        </w:rPr>
        <w:t xml:space="preserve">وهو العمدة </w:t>
      </w:r>
      <w:r>
        <w:rPr>
          <w:rtl w:val="true"/>
        </w:rPr>
        <w:t xml:space="preserve">- </w:t>
      </w:r>
      <w:r>
        <w:rPr>
          <w:rtl w:val="true"/>
        </w:rPr>
        <w:t>من جهة المقدّمية</w:t>
      </w:r>
      <w:bookmarkEnd w:id="146"/>
    </w:p>
    <w:p>
      <w:pPr>
        <w:pStyle w:val="BookText"/>
        <w:rPr/>
      </w:pPr>
      <w:r>
        <w:rPr>
          <w:rFonts w:ascii="Amiri" w:hAnsi="Amiri" w:eastAsia="Amiri" w:cs="Amiri"/>
          <w:color w:val="111111"/>
          <w:sz w:val="28"/>
          <w:sz w:val="28"/>
          <w:szCs w:val="28"/>
          <w:rtl w:val="true"/>
          <w:lang w:bidi="ar-SA"/>
        </w:rPr>
        <w:t>وهي تتمّ بإثبات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ترك الضدّ لفعل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اقتضاء الأمر بالشيء للنهي عن ضدّه العامّ؛ أي نقيضه، فإنّه المراد بالضدّ العامّ، وجودياً كان أو عدمياً، ولا مشاحّة في الاصطلاح بعد 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تمامية واحد منها لا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لإثبات المقدّمية بأنّ الضدّين متمانعان، وعدم المانع من المقدّمات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 بوجوه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التمانع لا يقتضي تقدّم ترك أحدهما على الآخر، وحيث لا منافاة </w:t>
      </w:r>
    </w:p>
    <w:p>
      <w:pPr>
        <w:pStyle w:val="BookText"/>
        <w:rPr/>
      </w:pPr>
      <w:r>
        <w:rPr>
          <w:rFonts w:ascii="Amiri" w:hAnsi="Amiri" w:eastAsia="Amiri" w:cs="Amiri"/>
          <w:color w:val="111111"/>
          <w:sz w:val="28"/>
          <w:sz w:val="28"/>
          <w:szCs w:val="28"/>
          <w:rtl w:val="true"/>
          <w:lang w:bidi="ar-SA"/>
        </w:rPr>
        <w:t xml:space="preserve">بين أحد العينين ونقيض الآخر وبديله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بينهما كمال الملاءمة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w:t>
      </w:r>
    </w:p>
    <w:p>
      <w:pPr>
        <w:pStyle w:val="BookText"/>
        <w:rPr/>
      </w:pPr>
      <w:r>
        <w:rPr>
          <w:rFonts w:ascii="Amiri" w:hAnsi="Amiri" w:eastAsia="Amiri" w:cs="Amiri"/>
          <w:color w:val="111111"/>
          <w:sz w:val="28"/>
          <w:sz w:val="28"/>
          <w:szCs w:val="28"/>
          <w:rtl w:val="true"/>
          <w:lang w:bidi="ar-SA"/>
        </w:rPr>
        <w:t>العينين مع نقيض الآخر في رتبة واحدة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كمال الملاءمة لا يوجب اتّحاد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نقيض أحد العينين يحمل على عين الآخر بالحمل الشائع ولو عرضياً، وهو يقتضي الاتّحاد، ولا يعقل أن يكون المتّحدان مختلفين في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صدق أحد النقيضين على 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السواد لا يصدق على البياض، وإلاّ اجتمع الضدّان، ومع عدم صدقه لا بدّ وأن يصدق عليه نقيضه، وإلاّ ارتفع النقيضان، والصدق يقتضي الاتّحاد، وهو ينافي التقدّم والتأخّر رتبةً، فثبت اتّحادهما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صدق البياض على السواد عدم صدقه عليه على أن يكون السلب تحصيلياً، لا صدق عدمه عليه بنحو الإيجاب العدولي أو الموجبة السالبة المحمول، فالبياض إذا لم يصدق عليه أ نّه سواد صدق عليه أ نّه ليس بسواد بالسلب التحصيلي، وهو نقيض الإيجاب، لا صدق عدم السواد؛ لأنّ نقيض صدق الشيء عدم صدقه، لا صدق عدمه حتّى يلزم اتّحادهما في الوجود ولو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توهّم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البياض لاسواد أو عدم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فاسد إن اُريد أنّ الأمر العدمي والباطل المحض ثابت وصادق على شيء ومتّحد معه؛ لأ نّها أوصاف وجودية لا يمكن ثبوتها للعدم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للأعدام المضافة حظّاً من الوجود</w:t>
      </w:r>
      <w:r>
        <w:rPr>
          <w:rStyle w:val="FootnoteAnchor"/>
          <w:rtl w:val="true"/>
        </w:rPr>
        <w:footnoteReference w:id="118"/>
      </w:r>
      <w:r>
        <w:rPr>
          <w:rFonts w:ascii="Amiri" w:hAnsi="Amiri" w:eastAsia="Amiri" w:cs="Amiri"/>
          <w:color w:val="111111"/>
          <w:sz w:val="28"/>
          <w:sz w:val="28"/>
          <w:szCs w:val="28"/>
          <w:rtl w:val="true"/>
          <w:lang w:bidi="ar-SA"/>
        </w:rPr>
        <w:t xml:space="preserve">، كلام مسامحي </w:t>
      </w:r>
    </w:p>
    <w:p>
      <w:pPr>
        <w:pStyle w:val="BookText"/>
        <w:rPr/>
      </w:pPr>
      <w:r>
        <w:rPr>
          <w:rFonts w:ascii="Amiri" w:hAnsi="Amiri" w:eastAsia="Amiri" w:cs="Amiri"/>
          <w:color w:val="111111"/>
          <w:sz w:val="28"/>
          <w:sz w:val="28"/>
          <w:szCs w:val="28"/>
          <w:rtl w:val="true"/>
          <w:lang w:bidi="ar-SA"/>
        </w:rPr>
        <w:t xml:space="preserve">لا يعوّل عليه؛ فإنّ حيثية العدم لا يمكن أن تكون ذات حظّ من الوجود، بل الإضافات الواقعة بينها وبين غيرها إنّما هي في الذهن، وفي وعائه تكون الأعدام المطلقة أيضاً موجودة بالحمل الشائع وإن كانت أعداماً بالحمل الأوّلي، فلا حقيقة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يتّصف بوصف وجودي أو اعتباري أو عدمي، فالعدم لا يثبت له العدم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شيء لشيء فرع ثبوت المثبت له لا الثابت</w:t>
      </w:r>
      <w:r>
        <w:rPr>
          <w:rStyle w:val="FootnoteAnchor"/>
          <w:rtl w:val="true"/>
        </w:rPr>
        <w:footnoteReference w:id="119"/>
      </w:r>
      <w:r>
        <w:rPr>
          <w:rFonts w:ascii="Amiri" w:hAnsi="Amiri" w:eastAsia="Amiri" w:cs="Amiri"/>
          <w:color w:val="111111"/>
          <w:sz w:val="28"/>
          <w:sz w:val="28"/>
          <w:szCs w:val="28"/>
          <w:rtl w:val="true"/>
          <w:lang w:bidi="ar-SA"/>
        </w:rPr>
        <w:t xml:space="preserve">، ليس المراد منه أنّ الجهات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تثبت لشيء؛ بحيث يكون التصادق والاتّحاد بينهما كاتّحاد شيء مع شيء، وإلاّ يلزم كذب قاعدة الفرعية أيضاً؛ لأنّ ثبوت الثابت بهذا النحو إثبات صفة ثبوتية له، فيلزم 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ثابت للوجود وصادق عليه، وهو فرع ثبوت المثبت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للعدم حيثية، والقضايا الصادقة في باب الأعدام لا بدّ وأن ترجع إلى السالبات المحصّلات، وإن كانت بحسب الظاهر موجبات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وجوه عدم تقدّم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وحدة الرتبة بين ترك الضدّ ووجود ضدّه أيضاً</w:t>
      </w:r>
      <w:r>
        <w:rPr>
          <w:rStyle w:val="FootnoteAnchor"/>
          <w:rtl w:val="true"/>
        </w:rPr>
        <w:footnoteReference w:id="120"/>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النقيضين في رتبة واحدة، والضدّين كذلك، ولازم ذلك كون أحد الضدّين مع نقيض الآخر في رتبة واحدة؛ لأنّ ما يتّحد رتبةً مع أحد المتّحدين كذلك يتّحد مع الآخر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النقيضين في رتبة واحدة فلأنّ نقيض الشيء بديله، فنقيض شيء في زمان أو رتبة، عدمه الذي في ذلك الزمان وتلك الرتبة، وإلاّ يلزم اجتماع </w:t>
      </w:r>
    </w:p>
    <w:p>
      <w:pPr>
        <w:pStyle w:val="BookText"/>
        <w:rPr/>
      </w:pPr>
      <w:r>
        <w:rPr>
          <w:rFonts w:ascii="Amiri" w:hAnsi="Amiri" w:eastAsia="Amiri" w:cs="Amiri"/>
          <w:color w:val="111111"/>
          <w:sz w:val="28"/>
          <w:sz w:val="28"/>
          <w:szCs w:val="28"/>
          <w:rtl w:val="true"/>
          <w:lang w:bidi="ar-SA"/>
        </w:rPr>
        <w:t>النقيضين، فالمعلول معدوم في رتبة العلّة وموجود في رتبة متأخّرة، فنقيض الوجود في رتبة العلّة العدمُ في رتبتها، وبهذا البيان يلزم أن يكون الضدّان في 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المقدّمة الثالثة فمرّ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النقيضين في رتبة واحدة؛ لأنّ نقيض كلّ شيء رفعه، فنقيض البياض في المرتبة رفعه على أن يكون القيد للمسلوب لا للسلب، فإذا لم يصدق كون المعلول في رتبة علّته، صدق عدم كونه في رتبتها بنحو السلب التحصيلي مفاد الهلية المركّبة أو بنحو السلب المحمولي للمقيّد على أن يكون القيد للمسلوب وإن كذب كون عدمه في رتبتها، فنقيض كون المعلول في رتبة العلّة عدم كونه في رتبتها، لا كون العدم في رتبتها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كون الضدّين في رتبة واحدة فهو أوضح فساداً؛ لأ نّهما يمتنع اجتماعهما في الوجود الخارجي، ولا ربط للرتبة العقلية في ذلك، فلو فرض أنّ البياض والسواد مختلفا الرتبة عقلاً، كان اجتماعهما الوجودي في موضوع واحد محالاً، فهل ترى إمكان علّية سواد لبياض في الموضوع الذي هو فيه ؟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كون النقيضين والضدّين في رتبة واحدة، فلإنكار لزوم كون أحد العينين في رتبة نقيض الآخر مجال واسع؛ لعدم البرهان على أنّ الرتب العقلية حكمها حكم الزمان في الخارج، بل البرهان على خلافه؛ لأنّ للرتب العقلية ملاكات خاصّة ربّما يكون الملاك موجوداً في الشيء دون متّحده في الرتبة؛ ألا ترى أنّ ما مع علّة شيء لا يكون مقدّماً عليه رتبةً؛ لفقدان ملاك التقدّم فيه، وهو كون وجوب الشيء من وجوبه، ووجوده من وجوده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توقّف وجود الضدّ على عدم ضدّه لزم الدور؛ لأنّ التوقّف لأجل التمانع من الطرفين، فعدم أحد الضدّين أيضاً متوقّف على وجود الآخر توقّف العدم على وجود مانعه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التمانع إذا اقتضى توقّف وجود أحد الضدّين على عدم الآخر توقّف الشيء على عدم المانع،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وجود الضدّ الآخر على عدم ضدّه أيضاً، لا توقّف عدمه على وجوده؛ لأنّ العدم ليس بشيء حتّى يتوقّف تحقّقه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مطلقاً باطل فيهما؛ لأنّ العدم ليس بشيء بل باطل محض، فلا يمكن أن يكون دخيلاً في تحقّق شيء أو متأ ثّراً من شيء، فما لا شيئية له يسلب عنه بالسلب التحصيلي جميع الاُمور الثبوتية، ولا شكّ أنّ التوقّف من طرف الموقوف والموقوف عليه ثبوتي، وثبوته له فرع ثبوت المثبت له، بل ثبوت كلّ شيء لشيء فرع ثبوته، فما لا شيئية له لا تقدّم له ولا تأخّر ولا مقارنة، فكلّ الحيثيات مسلوبة عنه سلباً تحصيلياً، لا بمعنى سلب شيء عن شيء، بل السلب عنه من قبيل الإخبار عن المعدوم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يخبر عنه؛ لأجل التوسّل بالعناوين المتحصّلة في الذهن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بعض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الضدّ من مصحّحات قابلية المحلّ لقبول الضدّ؛ لعدم قابلية الأبيض للسواد ولا الأسود للبياض، وأنّ القابليات والاستعدادات والإضافات وأعدام الملكات وإن كان لا مطابق لها في الخارج، لكنّها من الاُمور الانتزاعية وحيثيات وشؤون لاُمور خارجية، وثبوت شيء </w:t>
      </w:r>
    </w:p>
    <w:p>
      <w:pPr>
        <w:pStyle w:val="BookText"/>
        <w:rPr/>
      </w:pPr>
      <w:r>
        <w:rPr>
          <w:rFonts w:ascii="Amiri" w:hAnsi="Amiri" w:eastAsia="Amiri" w:cs="Amiri"/>
          <w:color w:val="111111"/>
          <w:sz w:val="28"/>
          <w:sz w:val="28"/>
          <w:szCs w:val="28"/>
          <w:rtl w:val="true"/>
          <w:lang w:bidi="ar-SA"/>
        </w:rPr>
        <w:t>لشيء لا يقتضي أزيد من ثبوت المثبت له بنحو يناسب ثبوت الثابت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ما لا يخفى؛ لأنّ قابلية المحلّ من شؤونه في وجوده من غير دخالة عدم شيء فيها، فالجسم قابل للسواد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موصوفاً بالبياض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قابليته له على عدمه، وعدم قبوله في حال اتّصافه به لأجل التمانع بين الوجودين لا لتوقّف القابلية على عدم الضدّ؛ ضرورة أنّ العدم واللا شيء لا يمكن أن يكون مؤثّراً في تصحيح القابلية، بل لا يكون شأن الاُمور الخارجية ولا منتزعاً منها، فما اشتهر بينهم من أنّ للأعدام المضافة حظّاً من الوجود</w:t>
      </w:r>
      <w:r>
        <w:rPr>
          <w:rStyle w:val="FootnoteAnchor"/>
          <w:rtl w:val="true"/>
        </w:rPr>
        <w:footnoteReference w:id="123"/>
      </w:r>
      <w:r>
        <w:rPr>
          <w:rFonts w:ascii="Amiri" w:hAnsi="Amiri" w:eastAsia="Amiri" w:cs="Amiri"/>
          <w:color w:val="111111"/>
          <w:sz w:val="28"/>
          <w:sz w:val="28"/>
          <w:szCs w:val="28"/>
          <w:rtl w:val="true"/>
          <w:lang w:bidi="ar-SA"/>
        </w:rPr>
        <w:t>، كلام مسامحي؛ لأنّ العدم لا يمكن أن يكون مضافاً ولا مضافاً إليه، والإضافة بينه وبين الوجود إنّما هي في ظرف الذهن بين عنوان العدم والوجود، لا بين العدم حقيقةً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المعروف في لسان أهل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من أجزاء العلّة</w:t>
      </w:r>
      <w:r>
        <w:rPr>
          <w:rStyle w:val="FootnoteAnchor"/>
          <w:rtl w:val="true"/>
        </w:rPr>
        <w:footnoteReference w:id="124"/>
      </w:r>
      <w:r>
        <w:rPr>
          <w:rFonts w:ascii="Amiri" w:hAnsi="Amiri" w:eastAsia="Amiri" w:cs="Amiri"/>
          <w:color w:val="111111"/>
          <w:sz w:val="28"/>
          <w:sz w:val="28"/>
          <w:szCs w:val="28"/>
          <w:rtl w:val="true"/>
          <w:lang w:bidi="ar-SA"/>
        </w:rPr>
        <w:t>، فليس مرادهم منه أنّ العدم حقيقةً علّة وله جزئية لشيء، بل من قبيل التسامح في التعبير بعد وضوح المطلب لديهم، فعبّروا عن مزاحمة المقتضيات والتمانع بين الوجودات بأنّ عدم المانع كذلك، وإلاّ فلا شبهة في أ نّه لا يتّصف بالجزئية، ولا يصير علّة ولا جزءها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كلام المحشّي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التسوية بين القابليات والاستعدادات والإضافات وأعدام الملكات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في محلّه، كيف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والقابليات </w:t>
      </w:r>
    </w:p>
    <w:p>
      <w:pPr>
        <w:pStyle w:val="BookText"/>
        <w:rPr/>
      </w:pPr>
      <w:r>
        <w:rPr>
          <w:rFonts w:ascii="Amiri" w:hAnsi="Amiri" w:eastAsia="Amiri" w:cs="Amiri"/>
          <w:color w:val="111111"/>
          <w:sz w:val="28"/>
          <w:sz w:val="28"/>
          <w:szCs w:val="28"/>
          <w:rtl w:val="true"/>
          <w:lang w:bidi="ar-SA"/>
        </w:rPr>
        <w:t>والاستعدادات بل والإضافات لها نحو وجود؛ بخلاف أعدام الملكات؛ فإنّ لملكاتها نحو تحقّق، لا لحيثية الأعدام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تقدّم الترك على فعل الضدّ، وكذا فعل الضدّ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أوّل الاُمور المتقدّمة، وقد مرّ بطلان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اقتضاء الأمر بالشيء للنهي عن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بقاء البحث على ظاهره فواضح؛ لأنّ البعث لا يكون عين الزجر ولا متضمّناً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النهي عن النقيض لازماً للأمر، كما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تصوّر الوجوب والإلزام يكفي في تصوّر النهي عن الترك والحرمة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اُريد الانتقال التصوّري، فمع ممنوعيته لا يفيد، وإن اُريد اللزوم الواقعي؛ بأن يدّعى أنّ المولى إذا أمر بشيء فلازمه أن ينهى عن نقيضه، فهو واضح الفساد؛ ضرورة أنّ الصادر من المولى ليس إلاّ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بقاء البحث على ظاهره؛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المتعلّقة بشيء مستلزمة للإرادة المتعلّقة بترك تركه، فإن اُريد العينية والتضمّن فهو أيضاً واضح الفساد؛ ضرورة أنّ ترك الترك ليس عين الشيء بالحمل الأوّلي، ولا جزءه المقوّم له، وانطباقه عليه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الاستلزام بالمعنى الذي قيل في باب المقدّمة</w:t>
      </w:r>
      <w:r>
        <w:rPr>
          <w:rStyle w:val="FootnoteAnchor"/>
          <w:rtl w:val="true"/>
        </w:rPr>
        <w:footnoteReference w:id="126"/>
      </w:r>
      <w:r>
        <w:rPr>
          <w:rFonts w:ascii="Amiri" w:hAnsi="Amiri" w:eastAsia="Amiri" w:cs="Amiri"/>
          <w:color w:val="111111"/>
          <w:sz w:val="28"/>
          <w:sz w:val="28"/>
          <w:szCs w:val="28"/>
          <w:rtl w:val="true"/>
          <w:lang w:bidi="ar-SA"/>
        </w:rPr>
        <w:t xml:space="preserve">بأ نّه إذا تعلّقت إرادة </w:t>
      </w:r>
      <w:bookmarkStart w:id="147" w:name="pg15293_220072"/>
    </w:p>
    <w:p>
      <w:pPr>
        <w:pStyle w:val="BookText"/>
        <w:rPr/>
      </w:pPr>
      <w:bookmarkEnd w:id="147"/>
      <w:r>
        <w:rPr>
          <w:rFonts w:ascii="Amiri" w:hAnsi="Amiri" w:eastAsia="Amiri" w:cs="Amiri"/>
          <w:color w:val="111111"/>
          <w:sz w:val="28"/>
          <w:sz w:val="28"/>
          <w:szCs w:val="28"/>
          <w:rtl w:val="true"/>
          <w:lang w:bidi="ar-SA"/>
        </w:rPr>
        <w:t>تشريعية بشيء، فمع الالتفات إلى تركه تتعلّق إرادة تشريعية بتركه، فهو وإن كان</w:t>
      </w:r>
    </w:p>
    <w:p>
      <w:pPr>
        <w:pStyle w:val="BookText"/>
        <w:rPr/>
      </w:pPr>
      <w:r>
        <w:rPr>
          <w:rFonts w:ascii="Amiri" w:hAnsi="Amiri" w:eastAsia="Amiri" w:cs="Amiri"/>
          <w:color w:val="111111"/>
          <w:sz w:val="28"/>
          <w:sz w:val="28"/>
          <w:szCs w:val="28"/>
          <w:rtl w:val="true"/>
          <w:lang w:bidi="ar-SA"/>
        </w:rPr>
        <w:t>أسلم من غيره، لكنّه أيضاً غير تامّ؛ لأ نّه بعد تعلّق الإرادة التشريعية الإلزامية</w:t>
      </w:r>
    </w:p>
    <w:p>
      <w:pPr>
        <w:pStyle w:val="BookText"/>
        <w:rPr/>
      </w:pPr>
      <w:r>
        <w:rPr>
          <w:rFonts w:ascii="Amiri" w:hAnsi="Amiri" w:eastAsia="Amiri" w:cs="Amiri"/>
          <w:color w:val="111111"/>
          <w:sz w:val="28"/>
          <w:sz w:val="28"/>
          <w:szCs w:val="28"/>
          <w:rtl w:val="true"/>
          <w:lang w:bidi="ar-SA"/>
        </w:rPr>
        <w:t>بشيء، لا معنى لتعلّق إرادة اُخرى بترك تركه؛ لعدم تحقّق مبادئ الإرادة وغايتها؛ فإنّ غايتها التوصّل إلى المبعوث إليه، ومع إرادة الفعل والبعث إليه لأجله لا معنى لبعث إلزامي آخر لأجله، فلا غاية للإرادة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ذكروا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تعلّقها بها قهري</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 لكنّ المبنى فاسد، كما مرّ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اقتضاء الأمر بالشيء للنهي عن ضدّه الخاصّ من ناحية المقدّمية، واتّضح ضمناً عدم اقتضائه للنهي عن ضدّه العامّ أيضاً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628858_2142443653"/>
      <w:bookmarkStart w:id="149" w:name="_Toc50"/>
      <w:bookmarkEnd w:id="148"/>
      <w:r>
        <w:rPr>
          <w:rtl w:val="true"/>
        </w:rPr>
        <w:t>الوجه الثاني</w:t>
      </w:r>
      <w:r>
        <w:rPr>
          <w:rtl w:val="true"/>
        </w:rPr>
        <w:t xml:space="preserve">: </w:t>
      </w:r>
      <w:r>
        <w:rPr>
          <w:rtl w:val="true"/>
        </w:rPr>
        <w:t>من جهة الاستلزام</w:t>
      </w:r>
      <w:bookmarkEnd w:id="149"/>
    </w:p>
    <w:p>
      <w:pPr>
        <w:pStyle w:val="BookText"/>
        <w:rPr/>
      </w:pPr>
      <w:r>
        <w:rPr>
          <w:rFonts w:ascii="Amiri" w:hAnsi="Amiri" w:eastAsia="Amiri" w:cs="Amiri"/>
          <w:color w:val="111111"/>
          <w:sz w:val="28"/>
          <w:sz w:val="28"/>
          <w:szCs w:val="28"/>
          <w:rtl w:val="true"/>
          <w:lang w:bidi="ar-SA"/>
        </w:rPr>
        <w:t>وهو أيضاً يبتني على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كلّ من العينين مع عدم ضدّه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المتلازمين محكومان بحكم واحد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مقتضٍ للنهي عن ضدّه العامّ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الضدّ لا يصدق مع ضدّه؛ لبطلان اجتماعهما، فإذا لم يصدق هو، لا بدّ من صدق نقيضه؛ لبطلان ارتفاع النقيضين، ولمّا لم يمكن </w:t>
      </w:r>
    </w:p>
    <w:p>
      <w:pPr>
        <w:pStyle w:val="BookText"/>
        <w:rPr/>
      </w:pPr>
      <w:r>
        <w:rPr>
          <w:rFonts w:ascii="Amiri" w:hAnsi="Amiri" w:eastAsia="Amiri" w:cs="Amiri"/>
          <w:color w:val="111111"/>
          <w:sz w:val="28"/>
          <w:sz w:val="28"/>
          <w:szCs w:val="28"/>
          <w:rtl w:val="true"/>
          <w:lang w:bidi="ar-SA"/>
        </w:rPr>
        <w:t>الصدق الذاتي بين الوجود والعدم، فلا بدّ وأن يكون عرضياً بنحو التلازم في الصدق،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صدق إحدى العينين على الاُخرى، عدم صدقها عليها على نعت السلب التحصيلي، لا الإيجاب العدولي، وإلاّ لزم ارتفاع النقيضين؛ ضرورة كذب الإيجاب العدولي أيضاً؛ للزوم كون العدم صادقاً على الوجود ومتلازماً معه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 نّه لا شيئية له حتّى يكون ملازماً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التلازم في الوجود يقتضي عروض الوجود للمتلازمين، فيلزم اجتماع النقيضين، فالغلط ناشٍ من عدم اعتبار الحيثيات وتقديم الحمل على السلب وعدم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السوالب المحصّلة والموجبات المعدولة، وكم له من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المتلازم مع وجوب ملازمه إن لم يكن واجباً، فلا بدّ وأن يكون محكوماً بحكم آخر؛ لعدم خلوّ الواقعة عن حكم، والجامع بين ما عدا الوجوب هو جواز الترك، ومع جوازه يلزم إمّا خروج الواجب عن كونه واجباً، وإمّا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ليس من الوقائع؛ فإنّه بطلان محض لا يمكن أن يكون بما هو محكوماً بحكم، وما ترى من نسبة الحكم إلى بعض الأعدام لا بدّ من إرجاعه إلى مقابلاته، كوجوب تروك الإحرام وتروك المفطرات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دليل على عدم خلوّ الواقعة عن الحكم، بل الدليل على خلافه؛ فإنّ الواقعة لو لم يكن لها اقتضاء أصلاً، ولم يكن لجعل الإباحة أيضاً </w:t>
      </w:r>
    </w:p>
    <w:p>
      <w:pPr>
        <w:pStyle w:val="BookText"/>
        <w:rPr/>
      </w:pPr>
      <w:r>
        <w:rPr>
          <w:rFonts w:ascii="Amiri" w:hAnsi="Amiri" w:eastAsia="Amiri" w:cs="Amiri"/>
          <w:color w:val="111111"/>
          <w:sz w:val="28"/>
          <w:sz w:val="28"/>
          <w:szCs w:val="28"/>
          <w:rtl w:val="true"/>
          <w:lang w:bidi="ar-SA"/>
        </w:rPr>
        <w:t>مصلحة، فلا بدّ وأن لا تكون محكومة بحكم، والإباحة العقلية غير الشرعية المدّعاة، ومع خلوّها عن الجواز الشرعي لا يلزم المحذور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 نّه لو سلّم فلزوم ما ذكر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الجواب عن الثالثة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ربّما يفرّق بين الضدّين اللذين لا ثالث لهما وبين غيرهما؛ بدعوى الاقتضاء فيهما عرفاً؛ لأنّ عدم السكون هو الحركة في الخارج عرفاً وإن لم يكن كذلك عقلاً، ويكون الأمر بأحدهما عين الأمر بالآخر، ولا يرى العرف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تسكن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المدّعى أنّ العرف لا يفرّق بين الحركة وعدم السكون؛ بحيث يكون في نظره الحركة حيثيةً عدميةً، أو حيثية العدم عين حيثية الوجود، ولم يفرّق بين الأمر والنهي، ويكون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ظاهر البطلان، مع أ نّه غير 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أ نّه لا يفرّق بينهما نتيجةً فالعقل أيضاً كذلك، ولكن لا ربط له بما نحن فيه؛ لعدم لزوم ذلك اقتضاء الأمر بالحركة لنهي متعلّق بالسكون لا عرفاً ولا عقلاً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ذكرنا من الدليلين وابتناء أوّلهما على ثلاث مقدّمات، إنّما هو بناءً على وجوب المقدّمة المطلقة، وأمّا بناءً على وجوب الموصلة، فلا بدّ من مقدّمة اُخرى في الدليل الأوّل، وهو لزوم كون المتلازمين محكومين بحكم </w:t>
      </w:r>
      <w:bookmarkStart w:id="150" w:name="pg15293_220075"/>
    </w:p>
    <w:p>
      <w:pPr>
        <w:pStyle w:val="BookText"/>
        <w:rPr/>
      </w:pPr>
      <w:bookmarkEnd w:id="150"/>
      <w:r>
        <w:rPr>
          <w:rFonts w:ascii="Amiri" w:hAnsi="Amiri" w:eastAsia="Amiri" w:cs="Amiri"/>
          <w:color w:val="111111"/>
          <w:sz w:val="28"/>
          <w:sz w:val="28"/>
          <w:szCs w:val="28"/>
          <w:rtl w:val="true"/>
          <w:lang w:bidi="ar-SA"/>
        </w:rPr>
        <w:t>واحد؛ لما عرفت في باب المقدّمة</w:t>
      </w:r>
      <w:r>
        <w:rPr>
          <w:rStyle w:val="FootnoteAnchor"/>
          <w:rtl w:val="true"/>
        </w:rPr>
        <w:footnoteReference w:id="131"/>
      </w:r>
      <w:r>
        <w:rPr>
          <w:rFonts w:ascii="Amiri" w:hAnsi="Amiri" w:eastAsia="Amiri" w:cs="Amiri"/>
          <w:color w:val="111111"/>
          <w:sz w:val="28"/>
          <w:sz w:val="28"/>
          <w:szCs w:val="28"/>
          <w:rtl w:val="true"/>
          <w:lang w:bidi="ar-SA"/>
        </w:rPr>
        <w:t>من أنّ نقيض الترك الموصل هو ترك هذا الترك المقيّد، فإذا وجب الترك الموصل يحرم تركه بمقتضى المقدّمة الثالثة، ولا يلزم حرمة الفعل إلاّ مع تمامية دليل الاستلزام؛ لأنّ ترك الترك المقيّد ملازم</w:t>
      </w:r>
    </w:p>
    <w:p>
      <w:pPr>
        <w:pStyle w:val="BookText"/>
        <w:rPr/>
      </w:pPr>
      <w:r>
        <w:rPr>
          <w:rFonts w:ascii="Amiri" w:hAnsi="Amiri" w:eastAsia="Amiri" w:cs="Amiri"/>
          <w:color w:val="111111"/>
          <w:sz w:val="28"/>
          <w:sz w:val="28"/>
          <w:szCs w:val="28"/>
          <w:rtl w:val="true"/>
          <w:lang w:bidi="ar-SA"/>
        </w:rPr>
        <w:t>للوجود، فحينئذٍ لا يتمّ الدليل الأوّل إلاّ بضمّ الثاني إليه، وهو موجب لسقوط أحدهما، فلا يكون في الباب دليلان مستقلاّن</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628860_2142443653"/>
      <w:bookmarkStart w:id="152" w:name="_Toc51"/>
      <w:bookmarkEnd w:id="151"/>
      <w:r>
        <w:rPr>
          <w:rtl w:val="true"/>
        </w:rPr>
        <w:t>الأمر الرابع في ثمرة المسألة</w:t>
      </w:r>
      <w:bookmarkEnd w:id="152"/>
    </w:p>
    <w:p>
      <w:pPr>
        <w:pStyle w:val="Heading4"/>
        <w:numPr>
          <w:ilvl w:val="3"/>
          <w:numId w:val="1"/>
        </w:numPr>
        <w:rPr/>
      </w:pPr>
      <w:bookmarkStart w:id="153" w:name="__RefHeading___Toc4628862_2142443653"/>
      <w:bookmarkStart w:id="154" w:name="_Toc52"/>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تظهر الثمرة في أنّ نتيجة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النهي عن الضدّ بناءً على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أنّ النهي في العبادات يقتضي الفساد، تنتج فساده إذا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إنكارها؛ فإنّ اقتضاء النهي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كشفه عن مفسدة في المتعلّق، أو لأجل أنّ الإتيان بمتعلّق النهي مخالفة للمولى ومبعّد عن ساحته، فلا يمكن أن يقع مقرِّباً، والنهي فيما نحن فيه لا يكشف عن المفسدة، بل العقل يحكم بتحقّق المصلحة الملزمة في الضدّ المزاحم؛ لعدم المزاحمة بين المقتضيات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النهي الاستلزامي الذي يكون من جهة ملازمة شيء للمأمور به بالأمر المقدّمي، لا يكون موجباً للبعد عن ساحة المولى، فلا يوجب الفساد، فالثمرة ساقطة</w:t>
      </w:r>
      <w:r>
        <w:rPr>
          <w:rFonts w:eastAsia="Amiri" w:cs="Amiri" w:ascii="Amiri" w:hAnsi="Amiri"/>
          <w:color w:val="111111"/>
          <w:sz w:val="28"/>
          <w:szCs w:val="28"/>
          <w:rtl w:val="true"/>
          <w:lang w:bidi="ar-SA"/>
        </w:rPr>
        <w:t xml:space="preserve">. </w:t>
      </w:r>
      <w:bookmarkStart w:id="155" w:name="pg15293_220076"/>
    </w:p>
    <w:p>
      <w:pPr>
        <w:pStyle w:val="Heading4"/>
        <w:numPr>
          <w:ilvl w:val="3"/>
          <w:numId w:val="1"/>
        </w:numPr>
        <w:rPr/>
      </w:pPr>
      <w:bookmarkStart w:id="156" w:name="__RefHeading___Toc4628864_2142443653"/>
      <w:bookmarkStart w:id="157" w:name="_Toc53"/>
      <w:bookmarkEnd w:id="155"/>
      <w:bookmarkEnd w:id="156"/>
      <w:r>
        <w:rPr>
          <w:rtl w:val="true"/>
        </w:rPr>
        <w:t>مقالة الشيخ البهائي في إنكار الثمرة بعدم الأمر بالمهمّ وما اُجيب عنها</w:t>
      </w:r>
      <w:bookmarkEnd w:id="157"/>
    </w:p>
    <w:p>
      <w:pPr>
        <w:pStyle w:val="Heading5"/>
        <w:numPr>
          <w:ilvl w:val="4"/>
          <w:numId w:val="1"/>
        </w:numPr>
        <w:rPr/>
      </w:pPr>
      <w:bookmarkStart w:id="158" w:name="__RefHeading___Toc4628866_2142443653"/>
      <w:bookmarkStart w:id="159" w:name="_Toc54"/>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وأمّا الشيخ البهائي فأنكرها بدعوى كفاية عدم الأمر للفساد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الرجحان والمحبوبية الذاتية في صحّة العبادة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4628868_2142443653"/>
      <w:bookmarkStart w:id="161" w:name="_Toc55"/>
      <w:bookmarkEnd w:id="160"/>
      <w:r>
        <w:rPr>
          <w:rtl w:val="true"/>
        </w:rPr>
        <w:t>تصوير المحقّق الثاني الأمر بالمهمّ بالأمر المتعلّق بنفس الطبيعة</w:t>
      </w:r>
      <w:bookmarkEnd w:id="161"/>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صحيح في المضيّقين، وأمّا إذا كان أحدهما موسّعاً فتظهر الثمرة؛ لإمكان الأمر بالموسّع والمضيّق،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اقتضى الأمر بالشيء النهي عن الضدّ لا يمكن أن يقع مصداق الموسّع صحيحاً؛ وإلاّ يقع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متعلّقة بالطبائع، والخصوصيات الشخصية كلّها خارجة عن متعلّقها؛ لعدم دخالتها في الغرض، وما هو كذلك لا يمكن أن يؤخذ في المتعلّق ولا يمكن سراية النهي إليه، وما هو مضادّ للمأمور به هو المصداق لا الطبيعة، وما هو المأمور به هي الطبيعة لا المصداق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غير فرق بين الأفراد العرضية والطولية، ولا بين صيرورة الوقت </w:t>
      </w:r>
      <w:bookmarkStart w:id="162" w:name="pg15293_220077"/>
    </w:p>
    <w:p>
      <w:pPr>
        <w:pStyle w:val="BookText"/>
        <w:rPr/>
      </w:pPr>
      <w:bookmarkEnd w:id="162"/>
      <w:r>
        <w:rPr>
          <w:rFonts w:ascii="Amiri" w:hAnsi="Amiri" w:eastAsia="Amiri" w:cs="Amiri"/>
          <w:color w:val="111111"/>
          <w:sz w:val="28"/>
          <w:sz w:val="28"/>
          <w:szCs w:val="28"/>
          <w:rtl w:val="true"/>
          <w:lang w:bidi="ar-SA"/>
        </w:rPr>
        <w:t>مضيّقاً أو لا؛ فإنّ الأمر لا يتجافى عن متعلّقه بصيرورة الوقت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آخر الوقت ومع انحصار الفرد يحكم العقل بإيجادها فوراً وفي ضمنه من غير تغيير في ناحية الأمر، فيمكن قصد الأمر المتعلِّق بالطبيعة مع الإتيان بالفرد المنحصر وفي الوقت المضيّق ولو زاحم الضدّ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استحالة الأمر بالضدّين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بالمحال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مع تضييق الوقت، أو انحصار الفرد، أو كون الأفراد طولية؛ فإنّ معنى تعلّق الأمر بالطبيعة هو البعث إلى إيجادها، والأمر وإن تعلّق بنفس الماهية، لكنّ البعث إليها هو البعث إلى إيجادها، فمع ضيق الوقت إن كان البعث إلى إيجادها فعلياً وكذلك إلى ضدّ مصداقها، ينتهي الأمر إلى التكليف بالمحال؛ لأنّ إيجاد الطبيعة وضدّ المصداق ممّا لا يمكن في الوقت المضيّق، وكذا الحال مع انحصار المصداق، بل مع كون الأفراد طولية؛ فإنّ فعلية الأمر بالطبيعة في وقت يكون فردها مبتلى بالضدّ الواجب لازمها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سيأتي تحقيق الحال بما يدفع الإشكال، فانتظر</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4628870_2142443653"/>
      <w:bookmarkStart w:id="164" w:name="_Toc56"/>
      <w:bookmarkEnd w:id="163"/>
      <w:r>
        <w:rPr>
          <w:rtl w:val="true"/>
        </w:rPr>
        <w:t>التحقيق في تصوير الأمر بالمهمّ بلا تشبّث بالترتّب</w:t>
      </w:r>
      <w:bookmarkEnd w:id="164"/>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سلكناه في هذا المضمار، وهو تصوير الأمر بالأهمّ والمهمّ في عرض واحد بلا تشبّث بالترتّب، وهو يبتني على مقدّمات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سيأتي في محلّه أنّ الأوامر متعلّقة بالطبائع، وأنّ الخصوصيات الفردية مطلقاً خارجة عن المتعلّق وإن كانت متّحدة معها خارجاً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بعد تمامية مقدّماته يباين العموم في أنّ الحكم فيه لم يتعلّق إلاّ بنفس الماهية أو الموضوع من غير دخالة فرد أو حال أو قيد فيه، وليس الحكم متعلِّقاً بالأفراد والحالات والطوارئ،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أفرادها أو حالاتها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للحكم؛ فإنّ الطبيعة لا يمكن أن تكون حاكية ومرآة للأفراد والخصوصيات وإن كانت متّحدة معها خارجاً، وهذا بخلاف العموم؛ فإنّ أداته وضعت لاستغراق أفراد المدخول، فيتعلّق الحكم فيه بالأفراد المحكيّة بعنوان الكلّ والجميع، وسيأتي في محلّه توضيح الحال فيه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التزاحمات الواقعة بين الأدلّة بالعرض لأجل عدم قدرة المكلّف على الجمع بين امتثالها، كالتزاحم بين وجوب إزالة النجاسة عن المسجد ووجوب الصلاة، حيث تكون متأخّرة عن تعلّق الحكم بموضوعاتها وعن ابتلاء المكلّف بالواقعة، لم تكن ملحوظة في الأدلّة، ولا تكون الأدلّة متعرّضة لها، فضلاً عن التعرّض لعلاجها،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لا يكون ناظراً إلى حالات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المقدّمة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يكون ناظراً إلى حالاته مع موضوع آخر ومزاحمته معه، فضلاً عن أن يكون ناظراً إلى علاج المزاحمة، فاشتراط المهمّ بعصيان الأهمّ الذي هو من مقدّمات الترتّب، لا يمكن أن يكون مفاد الأدلّة إن كان المراد شرطاً شرعياً مأخوذاً في الأدلّة، ولا يكون بنحو الكشف عن الاشتراط؛ لما سيأتي من عدم </w:t>
      </w:r>
    </w:p>
    <w:p>
      <w:pPr>
        <w:pStyle w:val="BookText"/>
        <w:rPr/>
      </w:pPr>
      <w:r>
        <w:rPr>
          <w:rFonts w:ascii="IRNazanin" w:hAnsi="IRNazanin" w:eastAsia="IRNazanin"/>
          <w:color w:val="111111"/>
          <w:sz w:val="28"/>
          <w:sz w:val="28"/>
          <w:szCs w:val="28"/>
          <w:rtl w:val="true"/>
          <w:lang w:bidi="fa-IR"/>
        </w:rPr>
        <w:t>لزومه بل عدم صحّته</w:t>
      </w:r>
      <w:r>
        <w:rPr>
          <w:rStyle w:val="FootnoteAnchor"/>
          <w:rtl w:val="true"/>
        </w:rPr>
        <w:footnoteReference w:id="137"/>
      </w:r>
      <w:r>
        <w:rPr>
          <w:rFonts w:ascii="Amiri" w:hAnsi="Amiri" w:eastAsia="Amiri" w:cs="Amiri"/>
          <w:color w:val="111111"/>
          <w:sz w:val="28"/>
          <w:sz w:val="28"/>
          <w:szCs w:val="28"/>
          <w:rtl w:val="true"/>
          <w:lang w:bidi="ar-SA"/>
        </w:rPr>
        <w:t>، وسيأتي حال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القانونية المترتّبة على موضوعاتها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الإنشائية، وهي التي اُنشئت على الموضوعات ولم تبق على ما هي عليه في مقام الإجراء، كالأحكام الكلّية قبل ورود المقيّدات والمخصّصات ومع قطع النظر عنهما، أو لم يأنِ وقت إجرائها، كالأحكام التي بقيت مخزونة لدى وليّ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وقت إجرائها زمان ظهوره؛ 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الفعلية، وهي التي آنَ وقت إجرائها، وبلغ موقع عملها بعد تمامية قيودها ومخصّصاتها،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بهذا العموم حكم إنشائي، والذي بقي بعد ورود المُخصّصات عليه بلسان الكتاب والسنّة هو الحكم الفعلي، ونجاسة بعض الطوائف المنتحلة للإسلام وكفرهم حكمان إنشائيان في زماننا، وإذا بلغ وقت إجرائهما يصيران 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الفعلية والشأنية بما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بالنسبة إلى الجاهل والغافل والساهي والعاجز يكون شأنياً، وبالنسبة إلى مقابليهم يصير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لهما وجه معقول؛ لأنّ الاشتراط الشرعي في بعضها غير معقول، مع عدم الدليل عليه في جميعها، والتصرّف العقلي غير معقول، كما سيتّضح 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المضبوطة في الكتاب والسنّة لا يعقل فيها غير هاتين </w:t>
      </w:r>
    </w:p>
    <w:p>
      <w:pPr>
        <w:pStyle w:val="BookText"/>
        <w:rPr/>
      </w:pPr>
      <w:r>
        <w:rPr>
          <w:rFonts w:ascii="Amiri" w:hAnsi="Amiri" w:eastAsia="Amiri" w:cs="Amiri"/>
          <w:color w:val="111111"/>
          <w:sz w:val="28"/>
          <w:sz w:val="28"/>
          <w:szCs w:val="28"/>
          <w:rtl w:val="true"/>
          <w:lang w:bidi="ar-SA"/>
        </w:rPr>
        <w:t>المرتبتين،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إلى آخره لا يختلف بالنسبة إلى الجاهل والعالم، ولا معنى للفعلية والشأنية في هذا الحكم المجعول المنضبط، وكذا لا يعقل تغيير 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الصادع بالشرع؛ لامتناع تغيّرها، كما هو معلوم لدى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الاقتضاء والتنجّز فليسا من مراتب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وأمّا الثاني فلأ نّه حكم عقلي غير مربوط بمراتب الأحكام المجعولة، ومعنى تنجّزه قطع عذر المكلّف في المخالفة، وعدمه كونه معذوراً فيها، من غير تغيير وتبديل في الحكم ولا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الكلّية القانونية تفترق عن الأحكام الجزئية من جهات، صار الخلط بينهما منشأً لاشتباهات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بعدم منجّزية العلم الإجمالي إذا كان بعض الأطراف خارجاً عن محلّ الابتلاء؛ بتوهّم أنّ الخطاب بالنسبة إليه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الاستهجان ليس في الخطابات الكلّية المتوجّهة إلى عامّة المكلّفين، فراجع</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الخطاب لا يعقل أن يتوجّه إلى العاجز والغافل والساهي؛ ضرورة أنّ الخطاب للانبعاث، ولا يعقل انبعاث العاجز ومثله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من موارد الخلط بين الحكم الكلّي والجزئي؛ فإنّ الخطاب الشخصي إلى العاجز ومثله لغو ممتنع صدوره من الملتفت، وهذا بخلاف </w:t>
      </w:r>
    </w:p>
    <w:p>
      <w:pPr>
        <w:pStyle w:val="BookText"/>
        <w:rPr/>
      </w:pPr>
      <w:r>
        <w:rPr>
          <w:rFonts w:ascii="Amiri" w:hAnsi="Amiri" w:eastAsia="Amiri" w:cs="Amiri"/>
          <w:color w:val="111111"/>
          <w:sz w:val="28"/>
          <w:sz w:val="28"/>
          <w:szCs w:val="28"/>
          <w:rtl w:val="true"/>
          <w:lang w:bidi="ar-SA"/>
        </w:rPr>
        <w:t>الخطابات الكلّية المتوجّهة إلى العناوين الكلّية، كالناس والمؤمنين، فإنّ مثل تلك الخطابات تصحّ من غير استهجان إذا كان فيهم من ينبعث عنها، ولا يلزم أن تكون باعثة أو ممكنة البعث بالنسبة إلى جميعها في رفع الاستهجان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الخطاب الشخصي إلى من كان عاصياً، أو الكلّي إلى عنوان العصاة، مستهجن غير ممكن الصدور من العاقل الملتفت، ولكنّ الخطاب العمومي غير مستهجن بل واقع؛ لأنّ الضرورة قائمة على أنّ الخطابات والأوامر الإلهية شاملة للعصاة؛ وأنّ المحقّقين على أ نّها شاملة للكفّار أيضاً، مع أنّ الخطاب الخصوصي إلى الكفّار المعلومي الطغيان من أقبح المستهجنات، بل غير ممكن لغرض الانبعاث، فلو كان حكم الخطاب العامّ كالجزئي فلا بدّ من الالتزام بتقييد الخطابات بغيرهم،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الجاهل والغافل والنائم وغيرهم ممّا لا يعقل تخصيصهم بالحكم، ولا يمكن توجّه الخطاب الخصوصي إليهم، وإذا صحّ في مورد فليصحّ فيما هو مشترك معه في المناط، فيصحّ الخطاب العمومي لعامّة الناس من غير تقييد بالقادر، فيعمّ جميعهم، وإن كان العاجز والجاهل والناسي والغافل وأمثالهم معذورين في مخالفته، فمخالفة الحكم الفعلي قد تكون لعذر كما ذكر، وقد لا تكون كذلك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الخطابات العامّة لا ينحلّ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خطابات بعدد نفوس المكلّفين؛ بحيث يكون لكلٍّ منهم خطاب متوجّه إليه بالخصوص، بل يكون الخطاب العمومي خطاباً واحداً يخاطب به العموم، وبه يفترق عن الخطاب الخصوصي في كثير من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الإرادة التشريعية ليست إرادة إتيان المكلّف وانبعاثه نحو العمل، وإلاّ يلزم في الإرادة الإلهية عدم انفكاكها عنه وعدم إمكان العصيان، بل هي عبارة عن إرادة التقنين والجعل على نحو العموم، وفي مثله يراعى الصحّة العقلائية بملاحظة الجعل العمومي القانوني، ومعلوم أ نّه لا تتوقّف صحّته على صحّة الانبعاث بالنسبة إلى كلّ الأفراد، كما يظهر بالتأمّل في القوانين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غير مقيّدة بالقدرة، لا شرعاً ولا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شرعاً فظاهر؛ فإنّه ليس في الأدلّة ما يوجب التقييد بالقدرة العقلية، ولو فُرض التقييد الشرعي للزم الالتزام بجواز إيجاد المكلّف العذر لنفسه، ولا أظنّ التزامهم به، وللزم جريان البراءة عند الشكّ في القدرة، ولا يلتزمون به، وليس ذلك إلاّ لعدم تقييد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عدم كشف التقييد الشرعي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التقييد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تصرّفه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يرجع إلى محصّل، بل تصرّف العقل في إرادة المولى أو جعله، ممّا لا معنى معقول له، والتقييد والتصرّف لا يمكن إلاّ للجاعل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للعقل الحكم في مقام الإطاعة والعصيان، وأنّ مخالفة الحكم في أيّ مورد توجب استحقاق العقوبة، وفي أيّ مورد لا توجب؛ لمعذورية العبد، وليس للعقل إلاّ الحكم بأنّ الجاهل والعاجز ونظيرهما معذورون في ترك الواجب أو إتيان الحرام، من غير تصرّف في الدليل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بكلّ من الضدّين أمر بالمقدور الممكن، والذي </w:t>
      </w:r>
    </w:p>
    <w:p>
      <w:pPr>
        <w:pStyle w:val="BookText"/>
        <w:rPr/>
      </w:pPr>
      <w:r>
        <w:rPr>
          <w:rFonts w:ascii="Amiri" w:hAnsi="Amiri" w:eastAsia="Amiri" w:cs="Amiri"/>
          <w:color w:val="111111"/>
          <w:sz w:val="28"/>
          <w:sz w:val="28"/>
          <w:szCs w:val="28"/>
          <w:rtl w:val="true"/>
          <w:lang w:bidi="ar-SA"/>
        </w:rPr>
        <w:t>يكون غير مقدور هو جمع المكلّف بين الإتيان بمتعلّقهما، وهو غير متعلّق للتكليف، فإذا أمر المولى بإزالة النجاسة عن المسجد وأمر بالصلاة، لا يكون له إلاّ أمر بهذه وأمر بتلك، ومجموع الأمرين ليس موجوداً على حدة، والأمر بالجمع أو المجموع غير صادر من المولى، وقد تقدّم</w:t>
      </w:r>
      <w:r>
        <w:rPr>
          <w:rStyle w:val="FootnoteAnchor"/>
          <w:rtl w:val="true"/>
        </w:rPr>
        <w:footnoteReference w:id="141"/>
      </w:r>
      <w:r>
        <w:rPr>
          <w:rFonts w:ascii="Amiri" w:hAnsi="Amiri" w:eastAsia="Amiri" w:cs="Amiri"/>
          <w:color w:val="111111"/>
          <w:sz w:val="28"/>
          <w:sz w:val="28"/>
          <w:szCs w:val="28"/>
          <w:rtl w:val="true"/>
          <w:lang w:bidi="ar-SA"/>
        </w:rPr>
        <w:t>أنّ الأمر لا يتعلّق إلاّ بنفس الطبائع، من غير نظر إلى الخصوصيات والحالات الطارئة وجهات التزاحم وعلاجه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متعلّقي التكليفين قد يكونان متساويين في الجهة والمصلحة، وقد يكون أحدهما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حكم العقل بالتخيير؛ بمعنى أنّ العقل يرى أنّ المكلّف مخيّر في إتيان أيّهما شاء، فإذا اشتغل بأحدهما يكون في مخالفة الأمر الآخر معذوراً عقلاً، من غير أن يكون تقييد واشتراط في التكليف والمكلّف به، ومع عدم اشتغاله بذلك لا يكون معذوراً في ترك واحد منهما؛ فإنّه قادر على إتيان كلّ واحد منهما، فتركه يكون بلا عذر؛ فإنّ العذر عدم القدرة، والفرض أ نّه قادر على كلّ منهما، وإنّما يصير عاجزاً عن عذر إذا اشتغل بإتيان أحدهما، ومعه معذور في ترك الآخر، وأمّا مع عدم اشتغاله به فلا يكون معذوراً في ترك شيء منهما، والجمع لا يكون مكلّفاً به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قادر عليه، وهذا واضح بعد التأمّل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أحدهما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اشتغل بإتيان الأهمّ فهو معذور في ترك المهمّ؛ لعدم القدرة عليه مع اشتغاله بضدّه بحكم العقل، وإن اشتغل بالمهمّ فقد أتى </w:t>
      </w:r>
    </w:p>
    <w:p>
      <w:pPr>
        <w:pStyle w:val="BookText"/>
        <w:rPr/>
      </w:pPr>
      <w:r>
        <w:rPr>
          <w:rFonts w:ascii="Amiri" w:hAnsi="Amiri" w:eastAsia="Amiri" w:cs="Amiri"/>
          <w:color w:val="111111"/>
          <w:sz w:val="28"/>
          <w:sz w:val="28"/>
          <w:szCs w:val="28"/>
          <w:rtl w:val="true"/>
          <w:lang w:bidi="ar-SA"/>
        </w:rPr>
        <w:t>بالمأمور به الفعلي، لكن لا يكون معذوراً في ترك الأهمّ، فيثاب بإتيان المهمّ ويعاقب بترك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ممّا ذكرنا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الأهمّ والمهمّ كالمتساويين في الأهمّية؛ كلّ منهما مأمور به في عرض الآخر، والأمران العرضيان فعليان متعلّقان بعنوانين كلّيين من غير تعرّض لهما لحال التزاحم وعجز المكلّف، والمطاردة التي تحصل في مقام الإتيان لا توجب تقييد الأمرين أو أحدهما أو اشتراطهما أو اشتراط أحدهما بحال عصيان الآخر لا شرعاً ولا عقلاً، بل تلك المطاردة لا توجب عقلاً إلاّ المعذورية العقلية عن ترك أحد التكليفين حال الاشتغال بالآخر، وعن ترك المهمّ حال اشتغاله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عدم الأمر بضدّه في التكاليف الكلّية القانونية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ادّعى شيخنا البهائي</w:t>
      </w:r>
      <w:r>
        <w:rPr>
          <w:rStyle w:val="FootnoteAnchor"/>
          <w:rtl w:val="true"/>
        </w:rPr>
        <w:footnoteReference w:id="142"/>
      </w:r>
      <w:r>
        <w:rPr>
          <w:rFonts w:ascii="Amiri" w:hAnsi="Amiri" w:eastAsia="Amiri" w:cs="Amiri"/>
          <w:color w:val="111111"/>
          <w:sz w:val="28"/>
          <w:sz w:val="28"/>
          <w:szCs w:val="28"/>
          <w:rtl w:val="true"/>
          <w:lang w:bidi="ar-SA"/>
        </w:rPr>
        <w:t>ليس على ما ينبغي، كما أنّ ما أجابوا عنه بنحو الترتّب وتصوير الأمر بالمهمّ مشروطاً بعصيان الأهمّ ممّا لا أساس له، كما سيتّضح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مع ترك الأهمّ والمهمّ يستحقّ عقابين؛ لما تقدّم تفصيله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تأمّلت فيما تقدّم تأمّلاً صادقاً، وتدبّرت فيه تدبّراً أكيداً، يسهل لك التصديق بما ذكرنا، والله وليّ الأمر</w:t>
      </w:r>
      <w:r>
        <w:rPr>
          <w:rFonts w:eastAsia="Amiri" w:cs="Amiri" w:ascii="Amiri" w:hAnsi="Amiri"/>
          <w:color w:val="111111"/>
          <w:sz w:val="28"/>
          <w:szCs w:val="28"/>
          <w:rtl w:val="true"/>
          <w:lang w:bidi="ar-SA"/>
        </w:rPr>
        <w:t xml:space="preserve">. </w:t>
      </w:r>
      <w:bookmarkStart w:id="165" w:name="pg15293_220085"/>
    </w:p>
    <w:p>
      <w:pPr>
        <w:pStyle w:val="Heading5"/>
        <w:numPr>
          <w:ilvl w:val="4"/>
          <w:numId w:val="1"/>
        </w:numPr>
        <w:rPr/>
      </w:pPr>
      <w:bookmarkStart w:id="166" w:name="__RefHeading___Toc4628872_2142443653"/>
      <w:bookmarkStart w:id="167" w:name="_Toc57"/>
      <w:bookmarkEnd w:id="165"/>
      <w:bookmarkEnd w:id="166"/>
      <w:r>
        <w:rPr>
          <w:rtl w:val="true"/>
        </w:rPr>
        <w:t>تصوير المحقّق النائيني الأمر بالمهمّ بنحو الترتّب</w:t>
      </w:r>
      <w:bookmarkEnd w:id="167"/>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الأمر بالمهمّ بنحو الترتّب؛ ولقد تصدّى الأعاظم لبيانه وتوضيحه، وبالغوا في الفحص والتحقيق حوله بتقديم مقدّمات كثيرة، ونحن نتعرّض لبعضها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 ما في الباب، وهو ما عن السيّد المجدّد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وشيّد أركانه سيّد أساتيذنا المحقّق الفشاركي رحمه الله علیه </w:t>
      </w:r>
      <w:r>
        <w:rPr>
          <w:rStyle w:val="FootnoteAnchor"/>
          <w:rtl w:val="true"/>
        </w:rPr>
        <w:footnoteReference w:id="144"/>
      </w:r>
      <w:r>
        <w:rPr>
          <w:rFonts w:ascii="IRNazanin" w:hAnsi="IRNazanin" w:eastAsia="IRNazanin"/>
          <w:color w:val="111111"/>
          <w:sz w:val="28"/>
          <w:sz w:val="28"/>
          <w:szCs w:val="28"/>
          <w:rtl w:val="true"/>
          <w:lang w:bidi="fa-IR"/>
        </w:rPr>
        <w:t xml:space="preserve">، وبالغ في تنقيحه وتثبيته بعض أعاظم العصر رحمه الله علیه </w:t>
      </w:r>
      <w:r>
        <w:rPr>
          <w:rStyle w:val="FootnoteAnchor"/>
          <w:rtl w:val="true"/>
        </w:rPr>
        <w:footnoteReference w:id="145"/>
      </w:r>
      <w:r>
        <w:rPr>
          <w:rFonts w:ascii="Amiri" w:hAnsi="Amiri" w:eastAsia="Amiri" w:cs="Amiri"/>
          <w:color w:val="111111"/>
          <w:sz w:val="28"/>
          <w:sz w:val="28"/>
          <w:szCs w:val="28"/>
          <w:rtl w:val="true"/>
          <w:lang w:bidi="ar-SA"/>
        </w:rPr>
        <w:t>، ونحن نذكر خلاصة مقدّماته وبعض محالّ الأنظار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إنّما ينشأ من إيجاب الجمع بين الضدّين المستلزم للتكليف بما لا يطاق، ولا بدّ من سقوط ما هو موجب لذلك لا غير، فإذا كان الخطابان طوليين لا يلزم منه ذلك، فيقع الكلام في أنّ الموجب لذلك هو نفس الخطابين حتّى يسقطا، أو إطلاقهما حتّى يسقط إطلاق خطاب المهمّ فقط مشروطاً بعصيان الأهمّ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الشيخ الأنصاري مع إنكاره الترتّب</w:t>
      </w:r>
      <w:r>
        <w:rPr>
          <w:rStyle w:val="FootnoteAnchor"/>
          <w:rtl w:val="true"/>
        </w:rPr>
        <w:footnoteReference w:id="146"/>
      </w:r>
      <w:r>
        <w:rPr>
          <w:rFonts w:ascii="Amiri" w:hAnsi="Amiri" w:eastAsia="Amiri" w:cs="Amiri"/>
          <w:color w:val="111111"/>
          <w:sz w:val="28"/>
          <w:sz w:val="28"/>
          <w:szCs w:val="28"/>
          <w:rtl w:val="true"/>
          <w:lang w:bidi="ar-SA"/>
        </w:rPr>
        <w:t xml:space="preserve">ذهب 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يلزم منه الالتزام بخطابين مترتِّب كلّ منهما على </w:t>
      </w:r>
    </w:p>
    <w:p>
      <w:pPr>
        <w:pStyle w:val="BookText"/>
        <w:rPr/>
      </w:pPr>
      <w:r>
        <w:rPr>
          <w:rFonts w:ascii="IRNazanin" w:hAnsi="IRNazanin" w:eastAsia="IRNazanin"/>
          <w:color w:val="111111"/>
          <w:sz w:val="28"/>
          <w:sz w:val="28"/>
          <w:szCs w:val="28"/>
          <w:rtl w:val="true"/>
          <w:lang w:bidi="fa-IR"/>
        </w:rPr>
        <w:t>عدم امتثال الآخر</w:t>
      </w:r>
      <w:r>
        <w:rPr>
          <w:rStyle w:val="FootnoteAnchor"/>
          <w:rtl w:val="true"/>
        </w:rPr>
        <w:footnoteReference w:id="147"/>
      </w:r>
      <w:r>
        <w:rPr>
          <w:rFonts w:ascii="Amiri" w:hAnsi="Amiri" w:eastAsia="Amiri" w:cs="Amiri"/>
          <w:color w:val="111111"/>
          <w:sz w:val="28"/>
          <w:sz w:val="28"/>
          <w:szCs w:val="28"/>
          <w:rtl w:val="true"/>
          <w:lang w:bidi="ar-SA"/>
        </w:rPr>
        <w:t xml:space="preserve">، فليت شعري لو امتنع ترتّب أحد الخطابين على عدم امتثال الآخر، فهل ضمّ ترتّب إلى مثله يوجب ارتفاع المحذور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الاشتباه من الأساطين غير عزيز</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المقدّمة بصدد بيان محطّ البحث، ولا إشكال فيها من هذه الجهة، إلاّ أنّ الاعتراض على الشيخ الأعظم من أغرب الاُمور، ناشٍ من عدم التأمّل في كلامه، ونحن نذكره لكي يتأمّل فيه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 بعد إيراد شبهة في وجوب الأخذ بأحد المتعارضين بناءً على السببية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بوجوب الأخذ بأحد المتعارضين في الجملة وعدم تساقطهما، ليس لأجل شمول اللفظ لأحدهما على البدل من حيث هذا المفهوم المنتزع؛ لأنّ ذلك غير ممكن، كما تقدّم وجهه في بيان الشبهة، لكن لمّا كان امتثال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كسائر التكاليف الشرعية والعرفية مشروطاً بالقدرة، والمفروض أنّ كلاًّ منهما مقدور في حال ترك الآخر وغير مقدور مع إيجاد الآخر، فكلّ منهما مع ترك الآخر مقدور يحرم تركه ويتعيّن فعله، ومع إيجاد الآخر يجوز تركه ولا يعاقب عليه، فوجوب الأخذ بأحدهما نتيجة أدلّة وجوب الامتثال والعمل بكلّ منهما بعد تقييد وجوب الامتثال بالقدرة، وهذا ممّا يحكم به بديهة العقل</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إلى آخره،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وأنت إذا تأمّلت فيه تجد أنّ مقصوده أنّ العقل يتصرّف في مقام الامتثال، بلا تصرّف في نفس الأدلّة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تحقيقه منّا، وأنّ التقييد العقلي إنّما هو في وجوب الامتثال، وهو حكم عقلي ليس للشارع تصرّف فيه وتعبّد بالنسبة إليه، وهو أجنبيّ عن الترتّب المتقوّم باشتراط التكليف بعصيان الآخر، فضلاً عن الترتّبين ممّا تحكم بديهة العقل بامتناعهما؛ للزوم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الترتّب يتقوّم باشتراط الأمر بعصيان الآخر، وما ذكره الشيخ لو فرض أنّ نظره التصرّف في الأدلّة، يكون التصرّف بتقييد كلٍّ من الدليلين بعدم إتيان متعلّق الآخر، لا بعصيانه، وفرق بيّن بينهما؛ لأنّ الثاني مناط الترتّب، والأوّل نتيجته التخيير، والعجب من الخلط بينهما، إلاّ أنّ الاشتباه من الأساطين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المشروط لا يخرج إلى المطلق بعد حصول شرطه؛ لأنّ شرائط التكليف كلّها ترجع إلى قيود الموضوع، والحكم المجعول على موضوعه لا ينقلب عمّا هو عليه، ولا يخرج الموضوع عن كونه موضوعاً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القضايا الشرعية على نهج القضايا الحقيقية لا الخارجية، فالقائل بالانقلاب قوله مساوق للقول بأنّ الموضوع بعد وجوده ينسلخ عن موضوعيته، ولا يبعد أن يكون ذلك من جهة خلط موضوع الحكم بداعي الجعل وعلّة التشريع؛ بتوهّم أنّ شرط التكليف خارج عن موضوعه، بل هو من قبيل </w:t>
      </w:r>
    </w:p>
    <w:p>
      <w:pPr>
        <w:pStyle w:val="BookText"/>
        <w:rPr/>
      </w:pPr>
      <w:r>
        <w:rPr>
          <w:rFonts w:ascii="Amiri" w:hAnsi="Amiri" w:eastAsia="Amiri" w:cs="Amiri"/>
          <w:color w:val="111111"/>
          <w:sz w:val="28"/>
          <w:sz w:val="28"/>
          <w:szCs w:val="28"/>
          <w:rtl w:val="true"/>
          <w:lang w:bidi="ar-SA"/>
        </w:rPr>
        <w:t>الداعي لجعل الحكم على موضوعه، فبعد وجوده يتعلّق الحكم بموضوعه، ولا يبقى للاشتراط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شرط الحكم من قبيل دواعي الجعل، يبتني على أن تكون القضايا المتكفّلة لبيان الأحكام الشرعية من قبيل الإخبار عن إنشاء تكاليف عديدة، يتعلّق كلّ واحد منها بمكلّف خاصّ عند تحقّق شرطه، وهذا الخلط وقع في جملة من المباحث، منها ما نحن فيه؛ فإنّه توهّم فيه أ نّه بعد عصيان الأمر بالأهمّ يكون الأمر بالمهمّ مطلقاً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خروج الواجب المشروط إلى المطلق حقّ لا يحتاج إلى تبعيد المسافة وإرجاع شرائط الحكم إلى الموضوع، من غير فرق بين حقيقيات القضايا أو خارجياتها؛ لأنّ صيرورة الحكم المشروط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بتبدّل الإرادة إلى إرادة اُخرى، وذلك مستحيل؛ لامتناع تغيّر إرادته تعالى، بل يمتنع تبدّل إرادة إلى اُخرى مطلقاً؛ فإنّها بسيطة، والبسائط لا يمكن أن يدخلها 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بأن تتعلّق إرادة جديدة بالحكم رأساً، وهو أيضاً مستحيل؛ لامتناع تجدّد الأحوال فيه تعالى، مع أ نّه خروج عن فرض صيرورة المشروط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بأن تتبدّل إرادة التشريع باُخرى، وذلك أيضاً مستحيل؛ لما ذكر، ولانتهاء أمد التشريع بتحقّقه، فلا تبقى إرادة تشريعية حتّى تتبدّل لو فرض جواز هذه الاُمور في حقّه تعالى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بتبدّل الحكم المنشأ على نحو المشروط إلى الإطلاق، وهو مستحيل أيضاً؛ لأنّ ما شرّع لا ينقلب عمّا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بإنشاء حكم آخر مطلق بعد حصول الشرط، وهو خلاف المفروض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 الحكم المجعول عمّا هو عليه ممّا لا معنى معقول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تحقّق الشرط لم يأنِ آنُ امتثاله، وبعده يصير وقته ويصير حجّة على العبد مع كونه مشروطاً، فعدم صيرورة المشروط مطلقاً لا يتوقّف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رجوع جميع شرائط التكليف إلى الموضوع 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بعد اختلاف الواجب المشروط والمطلق ثبوتاً، كما ذكرنا في محلّه</w:t>
      </w:r>
      <w:r>
        <w:rPr>
          <w:rStyle w:val="FootnoteAnchor"/>
          <w:rtl w:val="true"/>
        </w:rPr>
        <w:footnoteReference w:id="152"/>
      </w:r>
      <w:r>
        <w:rPr>
          <w:rFonts w:ascii="Amiri" w:hAnsi="Amiri" w:eastAsia="Amiri" w:cs="Amiri"/>
          <w:color w:val="111111"/>
          <w:sz w:val="28"/>
          <w:sz w:val="28"/>
          <w:szCs w:val="28"/>
          <w:rtl w:val="true"/>
          <w:lang w:bidi="ar-SA"/>
        </w:rPr>
        <w:t>، وبعد كون الواجب المشروط من الاعتبارات المعتبرة لدى العقلاء، بل لايجوز الإرجاع بعد كونه معتبراً عقلاً ولدى العقلاء واختلاف الآثار بينهما في الأحكام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ذلك كون السبب أو الشرط أمراً تكوينياً مؤثّراً في المسبّب والمشروط تكويناً وخروج زمام أمرهما من يد الشارع، واضح الفساد؛ لأنّ جعل السببية والشرطية تشريعاً لشيء لا يوجب انقلاب التشريع إلى التكوين ولا خروج الأمر عن يد الجاعل،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قلنا بجعل السببية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بجعل الحكم مترتّباً على شيء،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لرفع اليد عن ظواهر الأدلّة من غير دليل واضح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توهّم الخلط بين موضوع الحكم وبين داعي الجعل وعلّة التشريع؛ بتوهّم أنّ شرط التكليف من قبيل الداعي لجعل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البطلان؛ لأنّ شرط التكليف غير قيود الموضوع وغير دواعي الجعل، بل هو رحمه الله علیه </w:t>
      </w:r>
    </w:p>
    <w:p>
      <w:pPr>
        <w:pStyle w:val="BookText"/>
        <w:rPr/>
      </w:pPr>
      <w:r>
        <w:rPr>
          <w:rFonts w:ascii="Amiri" w:hAnsi="Amiri" w:eastAsia="Amiri" w:cs="Amiri"/>
          <w:color w:val="111111"/>
          <w:sz w:val="28"/>
          <w:sz w:val="28"/>
          <w:szCs w:val="28"/>
          <w:rtl w:val="true"/>
          <w:lang w:bidi="ar-SA"/>
        </w:rPr>
        <w:t xml:space="preserve">خلط بين شرائط المجعول ودواعي الجعل، مع أ نّهما مفترقان؛ لأنّ دواعي الجعل هي غايات جعل الأحكام، وضعية كانت أو تكليفية، مطلقة أو مشروطة، وشرائط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الحكم معلّقاً عليه ومنوطاً به، وهي غير مربوطة بقيود الموضوع ودواعي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أتعب نفسه به في هذه المقدّمة غير تامّ في نفسه، وغير محتاج إليه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القضايا حقيقيةً لا خارجية أجنبيّ عن المطلب، كما أنّ القول بالانقلاب لا يساوق انسلاخ الموضوع عن موضوعيته، وإرجاع الشرائط كلّها إلى قيود الموضوع إنكار للواجب المشروط، والتفصيل يوجب الملال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أهمّ المقدّمات وعليها يدور رحى الترتّب، وإن ظنّ المستدلّ أ نّها غير مهمّة، وهي أنّ الواجب المضيّق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اُخذ فيه الشيء شرطاً للتكليف بلحاظ حال الانقضاء، كالقصاص والحدود، فإنّ القصاص مترتّب على مضيّ القتل وانقضائه ولو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اُخذ فيه الشيء شرطاً بلحاظ حال وجوده، فيثبت التكليف مقارناً لوجود الشرط، ولا يتوقّف ثبوته على انقضائه، بل يتّحد زمان وجود الشرط وزمان التكليف وزمان الامتثال كأغلب الواجبات المضيّقة كالصوم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مثله يستحيل تخلّف التكليف عن الشرط ولو آناً ما؛ لما عرفت من رجوع كلّ شرط إلى الموضوع، ونسبة الموضوع إلى الحكم نسبة العلّة إلى المعلول، فلازم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موضوعية ما فرض موضوعاً للحكم، أو تخلّف الحكم عن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يستحيل تخلّف زمان الامتثال عن التكليف؛ لأنّ التكليف يقتضي الامتثال، فنسبة اقتضاء التكليف للحركة كنسبة اقتضاء حركة اليد لحركة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المقام والعلل التكوينية هو دخل العلم والإرادة في الامتثال، دون العلل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البرهان هو أن لا يتخلّف التكليف عن الشرط ولا الامتثال عن التكليف زماناً، بل يتقارنان في الزمان وإن كان بينهما تقدّم وتأخّر رتبي</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في الإشكال والجواب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دفع بعض الإشكالات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يتوقّف صحّة الخطاب الترتّبي على صحّة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مبنيّ على مبنى فاسد، وهو لزوم تأخّر زمان الامتثال عن الأمر، وقد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المهمّ لو كان مشروطاً بنفس عصيان الأهمّ لزم خروج المقام عن الترتّب، ولو كان مشروطاً بعنوان انتزاعي؛ أي كون المكلّف ممّن يعصي، لزم الأمر بالجمع بين الضدّين، وهو محال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نّا نختار الشقّ الأوّل، وتوهّم استلزامه تأخّر طلب المهمّ عن عصيان الأمر بالأهمّ زماناً إنّما يتمّ على القول بلزوم تأخّر الخطاب عن شرطه، وأمّا على ما حقّقناه من مقارنة الخطاب لوجود شرطه، فلا بدّ من فعلية خطاب المهمّ في زمان عصيان خطاب الأهمّ بلا تقدّم وتأخّر بينهما خارجاً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نختار الشقّ الثاني، ولا يلزم منه طلب الجمع بين الضدّين؛ بداهة أنّ عنوان المتعقّب بالمعصية إنّما ينتزع من المكلّف بلحاظ تحقّق عصيانه في ظرفه المتأخّر، فإذا فرض وجود المعصية في ظرفها وكون التعقّب بها شرطاً لخطاب المهمّ، يكون الحال فيه بعينه الحال في فرض كون نفس العصيان شرطاً لطلب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تحقّق امتثال طلب الأهمّ في ظرفه هادم لشرط خطاب المهمّ، فكيف يمكن أن يكون المهمّ مطلوباً في ظرف وجود الأهمّ؛ ليرجع الأمر إلى طلب الجمع بين الضدّين</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تأخّر الحكم عن شرطه زماناً متين، سواء رجعت الشرائط إلى قيود الموضوع أو لا، ولو سلّمنا المقدّمة الثانية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إمكان تخلّف البعث عن اقتضاء الانبعاث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وأنكرنا الواجب التعليقي،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المقدّمتان؛ لأنّ كلّ شرط إنّما يتقدّم على مشروطه رتبةً في ظرف تحقّقه، لا حال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الشرط يتقدّم على المشروط تقدّماً رتبياً، فقبل وجود الشرط لا يمكن تحقّق المشروط بالضرورة، فحينئذٍ يلاحظ؛ فإن كان الشرط أمراً زمانياً فلا بدّ من تحقّقه في زمانه حتّى يتحقّق بعده مشروطه بلا تخلّل آنٍ بينهما، وكذا لو كان غير زماني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فرضنا واجبين مضيّقين أحدهما أهمّ، كإنقاذ الابن في أوّل الزوال وإنقاذ </w:t>
      </w:r>
    </w:p>
    <w:p>
      <w:pPr>
        <w:pStyle w:val="BookText"/>
        <w:rPr/>
      </w:pPr>
      <w:r>
        <w:rPr>
          <w:rFonts w:ascii="Amiri" w:hAnsi="Amiri" w:eastAsia="Amiri" w:cs="Amiri"/>
          <w:color w:val="111111"/>
          <w:sz w:val="28"/>
          <w:sz w:val="28"/>
          <w:szCs w:val="28"/>
          <w:rtl w:val="true"/>
          <w:lang w:bidi="ar-SA"/>
        </w:rPr>
        <w:t>العمّ في أوّله، ويكون ظرف إنقاذ كلّ منهما ساعة بلا نقيصة ولا زيادة، فمع أمر</w:t>
      </w:r>
    </w:p>
    <w:p>
      <w:pPr>
        <w:pStyle w:val="BookText"/>
        <w:rPr/>
      </w:pPr>
      <w:r>
        <w:rPr>
          <w:rFonts w:ascii="Amiri" w:hAnsi="Amiri" w:eastAsia="Amiri" w:cs="Amiri"/>
          <w:color w:val="111111"/>
          <w:sz w:val="28"/>
          <w:sz w:val="28"/>
          <w:szCs w:val="28"/>
          <w:rtl w:val="true"/>
          <w:lang w:bidi="ar-SA"/>
        </w:rPr>
        <w:t xml:space="preserve">المولى بإنقاذ الابن مطلقاً لا يعقل تعلّق أمره بإنقاذ العمّ مشروطاً بعصيان أمر الأهمّ؛ لأنّ العصيان عبارة عن ترك المأمور به بلا عذر في مقدار من الوقت يفوت به الإتيان به، ولا محالة يكون ذلك في زمان، ولا يعقل أن يكون الترك في غير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للمعصية؛ لعدم محقّقية الفوت به، ففوت الأهمّ المحقّق لشرط المهمّ لا يتحقّق إلاّ بمضيّ زمان لا يتمكّن المكلّف من إطاعة أمره، ومضيّ هذا الزمان كما أ نّه محقّق لفوت الأهمّ، محقّق لفوت المهمّ أيضاً، فلا يُعقل تعلّق الأمر بالمهمّ في ظرف فوته، ولو فرض الإتيان به قبل عصيان الأهمّ يكون بلا أمر، وهو خلاف مقصود القائل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خلط المحقّق المتقدّم بين عدم تخلّف الشرط عن التكليف والتكليف عن اقتضاء البعث، وبين لزوم كون الشرط بوجوده مقدّماً على المشروط، وظنّ أنّ التقدّم الرتبي يدفع الإشكال؛ غفلةً عن أنّ العصيان ما لم يتحقّق لا يعقل تعلّق الأمر بالمهمّ؛ لامتناع تحقّق المشروط قبل شرطه، وبتحقّقه يفوت وقت الأهمّ والمهمّ في المضيّقين، ولو فرض زمان إطاعة المهمّ بعد زمان عصيان الأهمّ يخرج عن فرض الترتّب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 نّه تنبّه للإشكال، وأجاب بما هو أجنبيّ عن دفعه، وتخيّل أنّ التأخّر الرتبي يدفعه، مع أ نّه لا يدفع إلاّ بصيرورة العصيان غير زماني، وأنت خبير بأن لا معنى للعصيان الرتبي؛ لأنّ ترك المأمور به بمقدار يفوت به ذلك من الاُمور الزمانية، لا الرتب العقلية، مع أ نّه لا يعقل بقاء التكليف على فعليته مع عصيانه، وأنّ كونه رتبياً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يصحّح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الإشكال يهدم أساس الترتّب، سواء في مضيّقين، أو مضيّق وموسّع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ما ذكرنا؛ لأ نّه إذا فرض كون أحدهما موسّعاً، لكن يكون أوّل زمانه أوّل الزوال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إتيان المضيّق، لا يعقل تعلّق الأمر بالموسّع أوّل الزوال مشروطاً بعصيان المضيّق؛ لما عرفت من أنّ العصيان ترك المأمور به في مقدار من الزمان يفوت به الأهمّ، فلا بدّ من تعلّق الأمر بالموسّع بعد مضيّ زمان يتحقّق به العصيان، وهو هدم أساس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لو فرض أنّ العصيان آنيّ الوجود؛ لأ نّه قبل مضيّ هذا الآن لا يتحقّق شرط المهمّ، فيكون ظرف تحقّق أمر الأهمّ فقط، وبتحقّقه سقط أمر الأهمّ بحصول العصيان ومضيّ أمد اقتضائه، ولا يعقل بقاؤه على فعليته بعد عصيانه ومضيّ وقته، فتفويت متعلّق الأهمّ في رتبة متقدّمة أو آنٍ متقدّم على تعلّق أمر المهمّ، وسقوط أمر الأهمّ وثبوت أمر المهمّ في رتبة واحدة أو آنٍ واحد، فأين اجتماعهما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اجتماعهما مستلزم لتقدّم المشروط على شرطه، أو بقاء فعلية الأمر بعد عصيانه ومضيّ وقته، وهما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العصيان بوجوده الخارجي شرطاً، كما أصرّ عليه المستدلّ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العنوان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شرطاً، فلا إشكال في لزوم مفسدة طلب الجمع؛ لأنّ العنوان الانتزاعي ثابت للمكلّف من أوّل الأمر، ففي أوّل زمان ظرف الامتثال يكون أمر المهمّ فعلياً لحصول شرطه، ولا يكون أمر الأهمّ ساقطاً؛ لعدم الامتثال والعصيان وعدم مضيّ وقته، فلا محالة يتوجّه </w:t>
      </w:r>
    </w:p>
    <w:p>
      <w:pPr>
        <w:pStyle w:val="BookText"/>
        <w:rPr/>
      </w:pPr>
      <w:r>
        <w:rPr>
          <w:rFonts w:ascii="Amiri" w:hAnsi="Amiri" w:eastAsia="Amiri" w:cs="Amiri"/>
          <w:color w:val="111111"/>
          <w:sz w:val="28"/>
          <w:sz w:val="28"/>
          <w:szCs w:val="28"/>
          <w:rtl w:val="true"/>
          <w:lang w:bidi="ar-SA"/>
        </w:rPr>
        <w:t>إلى المكلّف أمران فعليان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فيأمره بإنقاذ العمّ في أوّل الزوال،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آخر، فيأمره بإنقاذ الابن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أخذ العنوان الانتزاعي من العاصي بلحاظ ظرف العصيان لا يدفع التضادّ؛ لأنّ ملاك دفع التضادّ بين الأمر المشروط بالعصيان وأمر الأهمّ ليس إلاّ عدم اجتماعهما في آنٍ واحد، لا كونهما في رتبتين، كما تخيّل المستدلّ، وسيأتي فساده في المقدّمة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عدّها أهمّ المقدّمات وأنّ عليها يبتني أساس الترتّب، وسيتّضح عدم دخالتها في دفع الإشكال، ومحصّلها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انحفاظ كلّ خطاب بالنسبة إلى ما يتصوّر من التقادير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انحفاظه بالإطلاق والتقييد اللحاظيين؛ وذلك بالنسبة إلى كلّ تقدير يمكن لحاظه عند الخطاب، وهي التقادير المتصوّرة في المتعلّق مع قطع النظر عن الخطاب، كقيام زيد وقعوده؛ حيث يكون الأمر بالصلاة محفوظاً عنده بالإطلاق اللحاظي، وكالوقت؛ حيث يكون الأمر محفوظاً معه بالتقييد اللحاظي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الانحفاظ بنتيجة الإطلاق والتقييد، كالتقادير التي تلحق المتعلّق بعد تعلّق الخطاب به، كالجهل والعلم بالخطاب، فلا يمكن فيها الإطلاق والتقييد اللحاظيان، بل لا بدّ إمّا من نتيجة الإطلاق، كما في العلم والجهل بالحكم بعد قيام الضرورة والأدلّة على اشتراك العالم والجاهل بالأحكام وامتناع الإهمال الثبوتي، وإمّا أن يكون الملاك محفوظاً في تقدير خاصّ، فلا بدّ من نتيجة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انحفاظ الخطاب لا بالإطلاق والتقييد اللحاظيين ولا بنتيجة الإطلاق والتقييد، وذلك في التقدير الذي يقتضيه نفس الخطاب، وهو الفعل والترك؛ حيث يكون انحفاظ الخطاب في حالتي الفعل والترك بنفسه، لا بإطلاقه لحاظاً أو نتيجة؛ إذ لا يعقل الإطلاق والتقييد بالنسبة إليهما، بل يؤخذ المتعلّق معرّى عن حيثيتهما؛ لأ نّه مع التقييد بالفعل يلزم طلب الحاصل، وبالترك طلب الجمع بين النقيضين، ومع الإطلاق كلا المحذورين، فليس في الخطاب بالنسبة إليهما إطلاق وتقييد مطلقاً، ولكن مع ذلك يكون الخطاب محفوظاً بالاقتضاء الذاتي في كلتا الحالتين ما لم يتحقّق العصيان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القسم والسابقين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تلك التقادير السابقة إلى الخطاب نسبة العلّة إلى المعلول؛ لمكان رجوعها إلى قيود الموضوع، وهي تتقدّم على الحكم تقدّم العلّة على المعلول، والإطلاق أيضاً يجري مجرى العلّة؛ من حيث إنّ الإطلاق والتقييد في رتبة واحدة، فالإطلاق في رتبة علّة الحكم، وهذا بخلاف تقديري فعل المتعلّق وتركه، فإنّ التقدير معلول الخطاب؛ لأنّ الخطاب يقتضي فعل المتعلّق وطرد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 التقادير السابقة يكون متعرّضاً لبيان أمر آخر غير تلك التقادير، غايته أ نّه تعرّض لذلك الأمر عند وجودها، وهذا بخلاف تقديري الفعل والترك، فإنّ الخطاب بنفسه متكفّل لبيان هذا التقدير؛ حيث إنّه يقتضي فعل المتعلّق وعدم تركه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يترتّب على ما ذكرناه طولية الخطابين؛ وذلك لأنّ </w:t>
      </w:r>
    </w:p>
    <w:p>
      <w:pPr>
        <w:pStyle w:val="BookText"/>
        <w:rPr/>
      </w:pPr>
      <w:r>
        <w:rPr>
          <w:rFonts w:ascii="Amiri" w:hAnsi="Amiri" w:eastAsia="Amiri" w:cs="Amiri"/>
          <w:color w:val="111111"/>
          <w:sz w:val="28"/>
          <w:sz w:val="28"/>
          <w:szCs w:val="28"/>
          <w:rtl w:val="true"/>
          <w:lang w:bidi="ar-SA"/>
        </w:rPr>
        <w:t>خطاب الأهمّ يكون متعرّضاً لموضوع خطاب المهمّ ومقتضياً لهدمه ورفعه تشريعاً؛ لأنّ موضوع خطاب المهمّ هو عصيان خطاب الأهمّ، فالأهمّ يقتضي طرد موضوع المهمّ، والمهمّ لا يتعرّض لموضوعه، وليس بينهما مطاردة، وليسا في رتبة واحدة، بل خطاب الأهمّ مقدّم على خطاب المهمّ برتبتين أو ثلاث، ومع هذا الاختلاف في الرتبة لا يعقل عرضيتهما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المقدّمة مواقع للنظر، نذكر 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الفرق بين الإطلاق والتقييد اللحاظيين وما هو نتيجتهما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الثاني لا يمكن فيه الإطلاق والتقييد، ولا بدّ لإثبات نتيجة الإطلاق من التشبّث بدليل آخر، ولا يمكن التمسّك بالإطلاق لإثبات الحكم للجاهل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فمنظور فيه؛ لأنّ معنى الإطلاق ليس إلاّ جعل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أو موضوعاً للحكم من غير تقييدها بقيد،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 فعل اختياري للمتكلّم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كونها تمام الموضوع، وهذا ليس من الدلالات اللفظية، ولا يتقوّم باللحاظ وبإمكانه في هذا اللفظ الصادر منه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المظاهر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يقيّدها بشيء، يحكم العقلاء بأنّ تمام الموضوع للوجوب على المظاهر عتق الرقبة من غير دخالة شيء فيه، وأنّ الظهار سبب لوجوب العتق من غير قيد، فموضوع احتجاج العقلاء هو أخذ شيء بلا قيد موضوعاً أو متعلَّقاً أو سبباً وهكذا، مع إمكان بيان القيد ولو بدليل آخر، فلو سلّم عدم إمكان تقييد الموضوع أو غيره بما يتأخّر عن الحكم في </w:t>
      </w:r>
    </w:p>
    <w:p>
      <w:pPr>
        <w:pStyle w:val="BookText"/>
        <w:rPr/>
      </w:pPr>
      <w:r>
        <w:rPr>
          <w:rFonts w:ascii="Amiri" w:hAnsi="Amiri" w:eastAsia="Amiri" w:cs="Amiri"/>
          <w:color w:val="111111"/>
          <w:sz w:val="28"/>
          <w:sz w:val="28"/>
          <w:szCs w:val="28"/>
          <w:rtl w:val="true"/>
          <w:lang w:bidi="ar-SA"/>
        </w:rPr>
        <w:t>هذا الكلام لم يضرّ بجواز التمسّك بالإطلاق بعد إمكان بيان القيد بدليل آخر،</w:t>
      </w:r>
    </w:p>
    <w:p>
      <w:pPr>
        <w:pStyle w:val="BookText"/>
        <w:rPr/>
      </w:pPr>
      <w:r>
        <w:rPr>
          <w:rFonts w:ascii="Amiri" w:hAnsi="Amiri" w:eastAsia="Amiri" w:cs="Amiri"/>
          <w:color w:val="111111"/>
          <w:sz w:val="28"/>
          <w:sz w:val="28"/>
          <w:szCs w:val="28"/>
          <w:rtl w:val="true"/>
          <w:lang w:bidi="ar-SA"/>
        </w:rPr>
        <w:t>فالتمسّك بإطلاق الأدلّة لإثبات الأحكام للعالم والجاهل ممّا لا ينبغي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 في بيان الفرق بين ما يمكن التقييد في اللفظ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p>
    <w:p>
      <w:pPr>
        <w:pStyle w:val="BookText"/>
        <w:rPr/>
      </w:pPr>
      <w:r>
        <w:rPr>
          <w:rFonts w:ascii="Amiri" w:hAnsi="Amiri" w:eastAsia="Amiri" w:cs="Amiri"/>
          <w:color w:val="111111"/>
          <w:sz w:val="28"/>
          <w:sz w:val="28"/>
          <w:szCs w:val="28"/>
          <w:rtl w:val="true"/>
          <w:lang w:bidi="ar-SA"/>
        </w:rPr>
        <w:t xml:space="preserve">الأوّل إطلاق لفظي والآخر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لا يرجع إلى محصّل؛ ضرورة أنّ الإطلاق ليس من المفاهيم الدالّ عليها اللفظ، فليس الإطلاق في كلا القسمين إلاّ 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بالمطلوب؛ لجواز التمسّك بالإطلاق الحالي لرفع احتمال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منع عدم إمكان التقييد في مثل الجهل والعلم بالخطاب؛ فإنّ التقييد غالباً يكون بلحاظ مستقلّ ونظر مستأنف،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إفادة التقييد بنفس الرقبة، بل بقيد المؤمنة، وهو منظور إليه استقلالاً، ولا إشكال في إمكان النظر المستأنف إلى الحكم المجعول في الكلام وتقييده بقيد الجهل والعلم، ولا 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معلومة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التقييد ولا جوازه، وقد فرغنا من جواز أخذ ما يأتي من قبل الأمر في متعلّقه في باب التعبّدي والتوصّلي</w:t>
      </w:r>
      <w:r>
        <w:rPr>
          <w:rStyle w:val="FootnoteAnchor"/>
          <w:rtl w:val="true"/>
        </w:rPr>
        <w:footnoteReference w:id="156"/>
      </w:r>
      <w:r>
        <w:rPr>
          <w:rFonts w:ascii="Amiri" w:hAnsi="Amiri" w:eastAsia="Amiri" w:cs="Amiri"/>
          <w:color w:val="111111"/>
          <w:sz w:val="28"/>
          <w:sz w:val="28"/>
          <w:szCs w:val="28"/>
          <w:rtl w:val="true"/>
          <w:lang w:bidi="ar-SA"/>
        </w:rPr>
        <w:t>، فهذا التقسيم ممّا لا يترتّب عليه أثر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فيما لا يمكن التقييد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الإتيان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التمسّك بالإطلاق والاحتجاج العقلائي، لا من باب أنّ الإطلاق لا يمكن، كما زعم المستدلّ أنّ الإطلاق مستلزم لطلب الحاصل وطلب الجمع بين النقيضين؛ </w:t>
      </w:r>
    </w:p>
    <w:p>
      <w:pPr>
        <w:pStyle w:val="BookText"/>
        <w:rPr/>
      </w:pPr>
      <w:r>
        <w:rPr>
          <w:rFonts w:ascii="Amiri" w:hAnsi="Amiri" w:eastAsia="Amiri" w:cs="Amiri"/>
          <w:color w:val="111111"/>
          <w:sz w:val="28"/>
          <w:sz w:val="28"/>
          <w:szCs w:val="28"/>
          <w:rtl w:val="true"/>
          <w:lang w:bidi="ar-SA"/>
        </w:rPr>
        <w:t>ضرورة بطلان ما ذكر؛ لأنّ الإطلاق ليس الجمع بين التقييدين حتّى يلزم ما ذكر، بل هو عبارة عن عدم التقييد بقيد، أمكن تقييده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تكرّر في كلامهم من أنّ الإطلاق عدم التقييد فيما من شأنه التقييد، فهو صحيح في محلّه؛ لأنّ موضوع كلامهم في باب المطلق والمقيّد هو الإطلاق الذي يحتجّ به على المتكلّم والمخاطب، وقد عرفت أنّ موضوع الاحتجاج إنّما هو قسم من الإطلاقات؛ أي ما يمكن تقييده، وليس المقصود أنّ ما لا يمكن تقييده ليس إطلاقاً، بل هو أيضاً إطلاق ويتقابل مع التقييد تقابل الإيجاب والسلب، لا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الإطلاق في القسم الثالث شيء من المحذورات المتوهّمة إلاّ أن يرجع الإطلاق إلى التقييدات،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الدافع لطلب الجمع ليس كون أمر الأهمّ والمهمّ في رتبتين، بل الدافع هو سقوط أمر الأهمّ بعصيانه ومضيّ وقته، وعدم ثبوت أمر المهمّ إلاّ بعد سقوط الأهمّ أو مساوقاً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نفس ترتّب الأمرين دافعاً لذلك لوجب الدفع مع الاشتراط بإطاعة الأهمّ؛ فإنّها متأخّرة عن أمره، ولو جعلت شرطاً تصير مقدّمة على أمر المهمّ تقدّم الموضوع على حكمه، مع أنّ ذلك يقتضي الجمع على مبناه، فيكشف ذلك عن أنّ مناط دفع طلب الضدّين أمر آخر غير نفس الترتّب، وهو ما ذكرنا، وسيأتي مزيد بيان له</w:t>
      </w:r>
      <w:r>
        <w:rPr>
          <w:rStyle w:val="FootnoteAnchor"/>
          <w:rtl w:val="true"/>
        </w:rPr>
        <w:footnoteReference w:id="157"/>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العصيان لا يكون متأخّراً رتبةً عن الأمر؛ لعدم ملاك التأخّر الرتبي فيه؛ فإنّه إمّا من ناحية العلّية والمعلولية، أو كون شيء جزءاً للعلّة أو جزءاً للماهية أو شرطاً للتأثير أو التأ ثّر، وكلّها مفقود بالنسبة إلى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إطاعة كلّ أمر متأخّرة عن الأمر رتبة؛ لأ نّها عبارة عن الانبعاث عن البعث، ولا إشكال في تأخّر الانبعاث عن البعث رتبةً تأخّر المعلول عن علّته أو عن جزئها، والعصيان عبارة عن ترك الامتثال بلا عذر، وهو مصداق نقيض الإطاعة، والماهية ومصداقها ليسا في رتبتين؛ لمكان اتّحادهما الذاتي، فالعصيان في رتبة نقيض الإطاعة، ونقيض الإطاعة في رتبتها؛ لأنّ النقيضين في رتبة واحدة، وما مع المتأخّر رتبةً متأخّر كذلك، فينتج أنّ العصيان متأخّر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النهي عن ضدّه العامّ، فالأمر بالأهمّ دافع للعصيان وعلّة لرفعه، وعلّة الشيء مقدّمة عليه، والعصيان ورفعه في رتبة واحدة؛ لكونهما نقيضين، وما مع المعلول مؤخّر عن العلّة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النقيضين في رتبة واحدة ممنوع، مرّ الكلام فيه</w:t>
      </w:r>
      <w:r>
        <w:rPr>
          <w:rStyle w:val="FootnoteAnchor"/>
          <w:rtl w:val="true"/>
        </w:rPr>
        <w:footnoteReference w:id="158"/>
      </w:r>
      <w:r>
        <w:rPr>
          <w:rFonts w:ascii="Amiri" w:hAnsi="Amiri" w:eastAsia="Amiri" w:cs="Amiri"/>
          <w:color w:val="111111"/>
          <w:sz w:val="28"/>
          <w:sz w:val="28"/>
          <w:szCs w:val="28"/>
          <w:rtl w:val="true"/>
          <w:lang w:bidi="ar-SA"/>
        </w:rPr>
        <w:t>، وكون ما مع المتأخّر متأخّراً رتبةً ممنوع أيضاً؛ لأنّ مناط التأخّر الرتبي هو ما قدّمناه، ومع فقدانه لا وجه للتأخّر، وقياس التأخّر الرتبي الذي يدركه العقل لأجل بعض المناطات بالتأخّر الزماني الخارجي،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الجواب عن الشبهتين، وقد أغمضنا عن بعض الشبهات الواردة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العصيان يتأخّر عن الأمر زماناً لو اُغمض عن الإشكال الآتي، وهو غير التأخّر الرتبي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العصيان عبارة عن ترك المأمور به بلا عذر، وهو معنىً عدمي لا يمكن أن يتّصف بحيثية وجودية مطلقاً، وقد تكرّر منّا</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الصادقة التي موضوعاتها اُمور عدمية لا بدّ وأن تكون من السالبة المحصّلة أو ترجع إليها، والموجبات مطلقاً لا تصدق في الأعدام إلاّ بتأوّل وفي بعض القضايا الغير المعتبرة،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فالعصيان بما أ نّه عدمي لا يمكن أن يتأخّر عن شيء أو يتقدّم، ولا يمكن أن يكون موضوعاً لحكم ولا شرطاً لشيء أو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ينهدم أساس الترتّب؛ لأ نّه مبنيّ على التقدّم والتأخّر الرتبيين،</w:t>
      </w:r>
    </w:p>
    <w:p>
      <w:pPr>
        <w:pStyle w:val="BookText"/>
        <w:rPr/>
      </w:pPr>
      <w:r>
        <w:rPr>
          <w:rFonts w:ascii="Amiri" w:hAnsi="Amiri" w:eastAsia="Amiri" w:cs="Amiri"/>
          <w:color w:val="111111"/>
          <w:sz w:val="28"/>
          <w:sz w:val="28"/>
          <w:szCs w:val="28"/>
          <w:rtl w:val="true"/>
          <w:lang w:bidi="ar-SA"/>
        </w:rPr>
        <w:t xml:space="preserve">وهما بين الأمر وإطاعته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بينه وبين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يجعل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بالمأمور به بلا عذر، لكن مع ذلك لا يكون التقدّم رتبياً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للحكم إمّا غير قابل للوضع والرفع التشريعيين كالعقل والبلوغ، أو قابل لهما، والثاني إمّا قابل للدفع والرفع أو قابل للدفع فقط، وعلى التقديرين إمّا أن يكون قابلاً للرفع الاختياري للمكلّف أيضاً أو لا، والرفع التشريعي إمّا أن يكون بنفس التكليف أو بامتثاله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البحث في الأهمّ والمهمّ هو هذا الأخير، وهو ما إذا كان امتثال التكليف رافعاً لموضوع الآخر حيث يتحقّق اجتماع كلّ من الخطابين في </w:t>
      </w:r>
    </w:p>
    <w:p>
      <w:pPr>
        <w:pStyle w:val="BookText"/>
        <w:rPr/>
      </w:pPr>
      <w:r>
        <w:rPr>
          <w:rFonts w:ascii="Amiri" w:hAnsi="Amiri" w:eastAsia="Amiri" w:cs="Amiri"/>
          <w:color w:val="111111"/>
          <w:sz w:val="28"/>
          <w:sz w:val="28"/>
          <w:szCs w:val="28"/>
          <w:rtl w:val="true"/>
          <w:lang w:bidi="ar-SA"/>
        </w:rPr>
        <w:t xml:space="preserve">الفعلية؛ لأ نّه ما لم يتحقّق امتثال أحد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فرضنا أ نّه رافع لموضوع الآخر بامتثاله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الخطاب الآخر، فيجتمع الخطابان في الزمان والفعلية بتحقّق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مثل هذين الخطابين لا يوجب إيجاب الجمع، ولا بدّ أوّلاً من معرفة معنى الجمع وما يوجب إيجابه،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الجمع فهو عبارة عن اجتماع كلّ منهما في زمان امتثال الآخر؛ بحيث يكون ظرف امتثالهما واحداً، وأمّا الذي يوجب الجمع فهو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تقييد كلّ من المتعلّقين أو أحدهما بحال إتيان الآخر، وإمّا إطلاق كلّ من الخطابين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عدم إيجاب الجمع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اقتضيا إيجاب الجمع والحال هذه للزم المحال في طرف المطلوب؛ لأنّ مطلوبية المهمّ إنّما تكون في ظرف عصيان الأهمّ، فلو فرض وقوعه على صفة المطلوبية في ظرف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إيجاب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الجمع بين النقيضين؛ إذ يلزم أن لا يكون مطلوباً قبل العصيان ومطلوباً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يلزم المحال في طرف الطلب؛ لأنّ خطاب الأهمّ يكون من علل عدم خطاب المهمّ؛ لاقتضائه رفع موضوعه، فلو اجتمع الخطابان في رتبة لزم اجتماع الشيء مع علّة عدمه، أو خروج العلّة عن العلّية، أو خروج العدم عن كونه عدماً، وكلّ ذلك خلف محال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البرهان المنطقي أيضاً يقتضي عدم إيجاب الجمع؛ فإنّ الخطاب الترتّبي بمنزلة المنفصلة المانعة الجمع في النسبة الطلبية في جانب المهمّ </w:t>
      </w:r>
    </w:p>
    <w:p>
      <w:pPr>
        <w:pStyle w:val="BookText"/>
        <w:rPr/>
      </w:pPr>
      <w:r>
        <w:rPr>
          <w:rFonts w:ascii="Amiri" w:hAnsi="Amiri" w:eastAsia="Amiri" w:cs="Amiri"/>
          <w:color w:val="111111"/>
          <w:sz w:val="28"/>
          <w:sz w:val="28"/>
          <w:szCs w:val="28"/>
          <w:rtl w:val="true"/>
          <w:lang w:bidi="ar-SA"/>
        </w:rPr>
        <w:t>والنسبة التلبّسية في جانب الأهمّ، فصورة القضيّة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الشخص</w:t>
      </w:r>
    </w:p>
    <w:p>
      <w:pPr>
        <w:pStyle w:val="BookText"/>
        <w:rPr/>
      </w:pPr>
      <w:r>
        <w:rPr>
          <w:rFonts w:ascii="Amiri" w:hAnsi="Amiri" w:eastAsia="Amiri" w:cs="Amiri"/>
          <w:color w:val="111111"/>
          <w:sz w:val="28"/>
          <w:sz w:val="28"/>
          <w:szCs w:val="28"/>
          <w:rtl w:val="true"/>
          <w:lang w:bidi="ar-SA"/>
        </w:rPr>
        <w:t>فاعلاً للأهمّ، وإمّا أن يجب عليه المهمّ، ومعه كيف يعقل إيجاب الجمع</w:t>
      </w:r>
      <w:r>
        <w:rPr>
          <w:rStyle w:val="FootnoteAnchor"/>
          <w:rtl w:val="true"/>
        </w:rPr>
        <w:footnoteReference w:id="1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عن الإشكال ببعض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عدم اقتضاء هذين الخطابين الجمع، ممّا لا إشكال فيه، إنّما الكلام في مناط عدم الاقتضاء، فلا بدّ من استقصاء العناوين التي يتصوّر أخذها شرطاً لخطاب المهمّ أو موضوعاً له؛ حتّى يتّضح موارد اقتضاء الجمع وعدم اقتضائه والمناط فيهما،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إمّا أن يكون العصيان الخارجي، أو التلبّس بالعصيان والأخذ والشروع فيه، كما تشبّث به المستدلّ في خلال كلامه، أو العنوان الانتزاعي من العاصي،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يتعقّبه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العناوين إمّا يكون ظرف تحقّقها أو انتزاعها ظرف تحقّق العصيان، أو ظرف الشروع فيه، أو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العصيان الخارجي أو ما يساوقه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الخروج عن بحث الترتّب وإن لم يلزم إيجاب الجمع؛ وذلك لأ نّه ما دام عدم تحقّق العصيان لا يكون أمر المهمّ فعلياً، وبتحقّق العصيان يسقط أمر الأهمّ بخروج متعلّقه عن إمكان الإتيان به؛ إذ مع إمكانه لا يتحقّق العصيان، ومع عدم إمكانه لا يعقل بقاء الأمر الفعلي، من غير فرق بين كون العصيان زمانيّ التحقّق أو آنيّه، ففي الثاني أيضاً قبل تحقّق الآن ظرف أمر الأهمّ فقط، وبتحقّقه يتحقّق العصيان، ويسقط أمر الأهمّ، ويثبت أمر المهمّ، فأين اجتماعهما ؟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فلازم اجتماعهما في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تخلّف المشروط عن شرطه بتقدّمه عليه إن </w:t>
      </w:r>
    </w:p>
    <w:p>
      <w:pPr>
        <w:pStyle w:val="BookText"/>
        <w:rPr/>
      </w:pPr>
      <w:r>
        <w:rPr>
          <w:rFonts w:ascii="Amiri" w:hAnsi="Amiri" w:eastAsia="Amiri" w:cs="Amiri"/>
          <w:color w:val="111111"/>
          <w:sz w:val="28"/>
          <w:sz w:val="28"/>
          <w:szCs w:val="28"/>
          <w:rtl w:val="true"/>
          <w:lang w:bidi="ar-SA"/>
        </w:rPr>
        <w:t>تعلّق أمر المهمّ قبل تحقّق المعصية، أو بقاء أمر الأهمّ مع تحقّق المعصية وعجز المكلّف عن الإتيان به، وهما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كون العصيان في الرتبة العقلية فواضح الفساد؛ لأنّ العصيان ترك المأمور به بلا عذر خارجاً، ولا ربط له بالرتبة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وارد أيضاً على جعل الشرط ما يكون مساوقاً للعصيان خارجاً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جُعل الشرط التلبّس بالعصيان بمعنى الأخذ والشروع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 العصيان فيما نحن فيه ليس من الاُمور الممتدّة أو المركّبة ممّا يتصوّر فيه</w:t>
      </w:r>
    </w:p>
    <w:p>
      <w:pPr>
        <w:pStyle w:val="BookText"/>
        <w:rPr/>
      </w:pPr>
      <w:r>
        <w:rPr>
          <w:rFonts w:ascii="Amiri" w:hAnsi="Amiri" w:eastAsia="Amiri" w:cs="Amiri"/>
          <w:color w:val="111111"/>
          <w:sz w:val="28"/>
          <w:sz w:val="28"/>
          <w:szCs w:val="28"/>
          <w:rtl w:val="true"/>
          <w:lang w:bidi="ar-SA"/>
        </w:rPr>
        <w:t xml:space="preserve">الأخذ والشروع، بل إذا ترك المأمور به إلى حدّ سلب القدرة ينتزع منه العصيان في حين سلب القدرة، ولا ينتزع قبله، فتحقّق العصيان آنيّ وإن كان محتاجاً في بعض الأحيان إلى مضيّ زمان حتّى تسلب القدرة، فالعصيان بنفسه لا يكون متدرّج الوجود حتّى يأتي فيه الشروع والختم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الشروع فيه إمّا مُحقِّق العصيان، أو لا، ولا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القسم الأوّل بعينه، ويرد عليه ما تقدّم، والثاني يأتي حكمه في القسم الآتي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جعل الشرط أمراً انتزاعياً من العصيان الخارجي فلازمه طلب الجمع؛ لأنّ الأمر الانتزاعي متحقّق قبل وقت امتثال الأهمّ وقبل عصيانه، فأمر المهمّ صار فعلياً باعثاً نحو المأمور به، وأمر الأهمّ لم يسقط وبقي على باعثيته قبل تحقّق العصيان، فهذا باعث نحو إنقاذ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الزوال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وذاك إلى إنقاذ الأب كذلك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عاصياً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والمكلّف الذي يكون عاصياً فيما بعد مبعوث فعلاً نحو ذاك وذلك، وغير قادر على ذلك، ومجرّد اختلاف العنوانين وطولية موضوع الأمرين لا يدفع طلب الجمع؛ ألا ترى أنّ عنوان المطيع أيضاً مؤخّر عن الأمر، فلو جعل شرطاً يكون مقدّماً على أمر المهمّ، فيصير أمر الأهمّ مقدّماً عليه برتبتين، ومع ذلك لا يدفع ذلك طلب جمع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التقدّم الرتبي ليس مناطاً لدفع التضادّ، والعصيان إذا جعل</w:t>
      </w:r>
    </w:p>
    <w:p>
      <w:pPr>
        <w:pStyle w:val="BookText"/>
        <w:rPr/>
      </w:pPr>
      <w:r>
        <w:rPr>
          <w:rFonts w:ascii="Amiri" w:hAnsi="Amiri" w:eastAsia="Amiri" w:cs="Amiri"/>
          <w:color w:val="111111"/>
          <w:sz w:val="28"/>
          <w:sz w:val="28"/>
          <w:szCs w:val="28"/>
          <w:rtl w:val="true"/>
          <w:lang w:bidi="ar-SA"/>
        </w:rPr>
        <w:t xml:space="preserve">شرطاً مع عدم تأخّره عن أمر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به التضادّ؛ لا للتقدّم، بل لعدم جمع الأمرين الفعليين؛ لما عرفت من أنّ ثبوت أمر المهمّ مساوق لسقوط أمر الأهمّ، وهذا هو تمام المناط لرفع التضادّ وطلب الجمع، وهو هدم أساس الترتّب، وكذا يتّضح حال سائر العناوين المساوقة لهذا الأمر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يدفع به التضادّ وطلب الجمع خارج عن أساس الترتّب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المكلّف لو جمع بين الأهمّ والمهمّ لم يقعا على صفة المطلوبية، وهذا آية عدم الأمر بالجمع</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يعصي يمتنع عليه الجمع بينهما؛ للزوم اجتماع النقيضين، وإلاّ فلو فرض جواز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العاصي مع كونه عاصياً أتى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كلّ منهما على صفة المطلوبية؛ لأنّ الذي يعصي مع كونه عاصياً في ظرفه مطلوب منه الإتيان بالأهمّ؛ لعدم سقوط أمره بالضرورة ما لم يتحقّق العصيان خارجاً، والفرض أنّ شرط المهمّ حاصل أيضاً، فيكون مطلوباً</w:t>
      </w:r>
      <w:r>
        <w:rPr>
          <w:rFonts w:eastAsia="Amiri" w:cs="Amiri" w:ascii="Amiri" w:hAnsi="Amiri"/>
          <w:color w:val="111111"/>
          <w:sz w:val="28"/>
          <w:szCs w:val="28"/>
          <w:rtl w:val="true"/>
          <w:lang w:bidi="ar-SA"/>
        </w:rPr>
        <w:t xml:space="preserve">. </w:t>
      </w:r>
      <w:bookmarkStart w:id="168" w:name="pg15293_220106"/>
    </w:p>
    <w:p>
      <w:pPr>
        <w:pStyle w:val="Heading5"/>
        <w:numPr>
          <w:ilvl w:val="4"/>
          <w:numId w:val="1"/>
        </w:numPr>
        <w:rPr/>
      </w:pPr>
      <w:bookmarkStart w:id="169" w:name="__RefHeading___Toc4628874_2142443653"/>
      <w:bookmarkStart w:id="170" w:name="_Toc58"/>
      <w:bookmarkEnd w:id="168"/>
      <w:bookmarkEnd w:id="169"/>
      <w:r>
        <w:rPr>
          <w:rtl w:val="true"/>
        </w:rPr>
        <w:t>تمسّك المحقّق النائيني ببعض الفروع الفقهية على الترتّب</w:t>
      </w:r>
      <w:bookmarkEnd w:id="170"/>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إمكان الشيء وقوعه، وقد وقع في الشرعيات ما لا محيص عن الالتزام به، مع أ نّها من الخطاب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فرض حرمة الإقامة على المسافر من أوّل الفجر إلى الزوال، فلو فرض أ نّه عصى هذا الخطاب وأقام، فلا إشكال في وجوب الصوم عليه، فيكون في الآن الأوّل الحقيقي من الفجر قد توجّه إليه كلّ من حرمة الإقامة ووجوب الصوم، لكن مترتّباً؛ يعني أنّ وجوب الصوم يكون مترتّباً على عصيان حرمة الإقامة، ففي حال الإقامة يجب عليه الصوم مع حرمة الإقامة بالخطاب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وجوب الإقامة على المسافر من أوّل الزوال، فيكون وجوب القصر عليه مترتّباً على عصيان وجوب الإقامة؛ حيث إنّه لو عصى ولم يقصد الإقامة توجّه إليه خطاب القصر، وكذا لو فرض حرمة الإقامة؛ فإنّ وجوب التمام مترتّب على عصيان حرمة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المترتّب على عصيان خطاب أداء الدين إذا لم يكن الدين من عام الربح، إلى غير ذلك</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الخطابات التي فرض ترتّبها على عصيان خطابات اُخر تكون فعليتها بعد تحقّق العصيان، وبتحقّق العصيان خارجاً تسقط تلك الخطابات، فلا يمكن اجتماع الخطابين الفعليين في حال من الأحوال، </w:t>
      </w:r>
    </w:p>
    <w:p>
      <w:pPr>
        <w:pStyle w:val="BookText"/>
        <w:rPr/>
      </w:pPr>
      <w:r>
        <w:rPr>
          <w:rFonts w:ascii="Amiri" w:hAnsi="Amiri" w:eastAsia="Amiri" w:cs="Amiri"/>
          <w:color w:val="111111"/>
          <w:sz w:val="28"/>
          <w:sz w:val="28"/>
          <w:szCs w:val="28"/>
          <w:rtl w:val="true"/>
          <w:lang w:bidi="ar-SA"/>
        </w:rPr>
        <w:t>فلا يعقل تعلّق خطاب الصوم المترتّب على عصيان الإقامة إلى الزوال في الأوّل</w:t>
      </w:r>
    </w:p>
    <w:p>
      <w:pPr>
        <w:pStyle w:val="BookText"/>
        <w:rPr/>
      </w:pPr>
      <w:r>
        <w:rPr>
          <w:rFonts w:ascii="Amiri" w:hAnsi="Amiri" w:eastAsia="Amiri" w:cs="Amiri"/>
          <w:color w:val="111111"/>
          <w:sz w:val="28"/>
          <w:sz w:val="28"/>
          <w:szCs w:val="28"/>
          <w:rtl w:val="true"/>
          <w:lang w:bidi="ar-SA"/>
        </w:rPr>
        <w:t>الحقيقي من الفجر؛ فإنّ أوّل الفجر لم يكن ظرف العصيان، ومع عدم تحقّقه لا يعقل فعلية المشروط به، وكذا الحال في سائر الفروع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الصوم والإتمام والقصر لم يترتّب على عصيان حرمة الإقامة أو وجوبها، بل مترتّب على عزم الإقامة وعدمه، ومع عزمها لا يعقل إيجاب الخروج وإيجاب الصوم عليه؛ للزوم طلب الضدّين، وكذا الأمر بالصلاة فعلاً تماماً والخروج أمر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خطابات الصوم وإتمام الصلاة وقصرها لم تكن مترتّبة على عصيان حرمة الإقامة أو وجوبها، بل على عزم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نفسها فرضاً، وليس شيء منهما متأخّراً عن تلك الخطابات؛ فإنّ المتأخّر عن الأمر أو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عصيانهما، دون ذات الإقامة أو عزمها؛ لعدم ملاك التأخّر فيهما، فالعصيان لا ينتزع من نفس الإقامة بما هي، بل من حيثية زائدة عليها، وهي كونها مصداقاً عرضياً لمخالفة المأمور به أو المنهيّ عنه، وهذه الحيثية متأخّرة عن الأمر والنهي، لا ذات الإقامة بما هي أو عزمها بما هو، فالنقوض كلّها أجنبيّة عن باب الترتّب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وجوب الخمس فلم يكن مترتّباً على عصيان وجوب الدين في آية أو رواية، بل الخمس إنّما يتعلّق بالغنيمة أو الفائدة الزائدة عن مؤونة السنة، ومع أداء الدين لم تبق فائدة حتّى يتعلّق بها الخمس، من غير أن يكون </w:t>
      </w:r>
      <w:bookmarkStart w:id="171" w:name="pg15293_220108"/>
    </w:p>
    <w:p>
      <w:pPr>
        <w:pStyle w:val="BookText"/>
        <w:rPr/>
      </w:pPr>
      <w:bookmarkEnd w:id="171"/>
      <w:r>
        <w:rPr>
          <w:rFonts w:ascii="Amiri" w:hAnsi="Amiri" w:eastAsia="Amiri" w:cs="Amiri"/>
          <w:color w:val="111111"/>
          <w:sz w:val="28"/>
          <w:sz w:val="28"/>
          <w:szCs w:val="28"/>
          <w:rtl w:val="true"/>
          <w:lang w:bidi="ar-SA"/>
        </w:rPr>
        <w:t>خطابه مترتّباً على عصيان خطاب آخر، فإيفاء الدين رافع لموضوع الخمس، لا أنّ خطابه مترتّب على عصيانه</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4628876_2142443653"/>
      <w:bookmarkStart w:id="173" w:name="_Toc59"/>
      <w:bookmarkEnd w:id="172"/>
      <w:r>
        <w:rPr>
          <w:rtl w:val="true"/>
        </w:rPr>
        <w:t>تقرير الذي أورده المحقّق الأصفهاني لتصحيح الترتّب</w:t>
      </w:r>
      <w:bookmarkEnd w:id="173"/>
    </w:p>
    <w:p>
      <w:pPr>
        <w:pStyle w:val="BookText"/>
        <w:rPr/>
      </w:pPr>
      <w:r>
        <w:rPr>
          <w:rFonts w:ascii="Amiri" w:hAnsi="Amiri" w:eastAsia="Amiri" w:cs="Amiri"/>
          <w:color w:val="111111"/>
          <w:sz w:val="28"/>
          <w:sz w:val="28"/>
          <w:szCs w:val="28"/>
          <w:rtl w:val="true"/>
          <w:lang w:bidi="ar-SA"/>
        </w:rPr>
        <w:t>وممّا ذكرنا من الإيراد على الترتّب يظهر النظر في تقرير آخر لعدم المطاردة بين الأمرين،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اقتضاء كلّ أمر لطاعة نفسه في رتبة سابقة على طاعته، وهي مرتبة أثره؛ فإنّ كلّ علّة منعزلة عن التأثير في رتبة أثرها، وإنّما اقتضاؤها في مرتبة ذاتها، ولمّا كان العصيان نقيض الطاعة فيجب أن يكون في رتبتها، فيلزم تأخّره عن الأمر، فإذا اُنيط أمر بعصيان هذا الأمر فلا تعقل المزاحمة بينهما؛ إذ في رتبة تأثير أمر الأهمّ لا وجود لأمر المهمّ، وفي رتبة الأمر بالمهمّ لا يكون اقتضاء للأمر بالأهمّ، فلا يقتضي مثل هذين الأمرين إلقاء المكلّف فيما لا يطاق</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الإناطة بالعصيان وإن ترفع التضادّ والمزاحمة بينهما، لكن لا لمناط التقدّم الرتبي، بل لسقوط فعلية الأمر بالأهمّ لأجل العصيان وعدم فعلية أمر المهمّ إلاّ بعد العصيان، فلا يجتمع الأمران في حين من الأحيان، وهذا هدم أساس الترتّب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ورود ما يرد على التقرير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تأخّر العصيان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أيضاً</w:t>
      </w:r>
      <w:r>
        <w:rPr>
          <w:rFonts w:eastAsia="Amiri" w:cs="Amiri" w:ascii="Amiri" w:hAnsi="Amiri"/>
          <w:color w:val="111111"/>
          <w:sz w:val="28"/>
          <w:szCs w:val="28"/>
          <w:rtl w:val="true"/>
          <w:lang w:bidi="ar-SA"/>
        </w:rPr>
        <w:t xml:space="preserve">. </w:t>
      </w:r>
      <w:bookmarkStart w:id="174" w:name="pg15293_220109"/>
    </w:p>
    <w:p>
      <w:pPr>
        <w:pStyle w:val="Heading5"/>
        <w:numPr>
          <w:ilvl w:val="4"/>
          <w:numId w:val="1"/>
        </w:numPr>
        <w:rPr/>
      </w:pPr>
      <w:bookmarkStart w:id="175" w:name="__RefHeading___Toc4628878_2142443653"/>
      <w:bookmarkStart w:id="176" w:name="_Toc60"/>
      <w:bookmarkEnd w:id="174"/>
      <w:bookmarkEnd w:id="175"/>
      <w:r>
        <w:rPr>
          <w:rtl w:val="true"/>
        </w:rPr>
        <w:t>تقرير المحقّق العراقي لتصحيح الترتّب</w:t>
      </w:r>
      <w:bookmarkEnd w:id="176"/>
    </w:p>
    <w:p>
      <w:pPr>
        <w:pStyle w:val="BookText"/>
        <w:rPr/>
      </w:pPr>
      <w:r>
        <w:rPr>
          <w:rFonts w:ascii="IRNazanin" w:hAnsi="IRNazanin" w:eastAsia="IRNazanin"/>
          <w:color w:val="111111"/>
          <w:sz w:val="28"/>
          <w:sz w:val="28"/>
          <w:szCs w:val="28"/>
          <w:rtl w:val="true"/>
          <w:lang w:bidi="fa-IR"/>
        </w:rPr>
        <w:t>وقد قرّر عدم المطاردة بعض مدقّقي العصر رحمه الله علیه بعد الإشارة إلى الترتّب وتصديقه بأ نّه في غاية المتانة والنظر فيه بأنّ ذلك لا يقتضي طولية الأمر واشتراط أحدهما بعصيان الآخر قائلاً بأ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حكم العقل بالتخيير في صورة تساوي المصلحتين، وليس مرجع التخيير إلى اشتراط وجوب كلّ بعصيان الآخر؛ للزوم تأخّر كلّ عن الآخر رتبةً، وليس مرجعه أيضاً إلى اشتراط كلّ أمر بعدم وجود غيره؛ إذ في مثل ذلك وإن لم يلزم المحذور المتقدّم ولا محذور إيجاب الضدّين بنحو المطاردة في ظرف عدم الضدّين؛ إذ لازم الاشتراط أن لا يقتضي كلّ أمرٍ إيجاد مقتضاه حال وجود الآخر، ولم يخرج الطلب المشروط عن كونه مشروطاً، لكن مع ذلك لا داعي على تقييد الطلب وإناطته بعد إمكان توجّه الطلب الناقص إلى سائر الجهات، الملازم لتحقّق الجهة الملازمة لعدم الآخر من باب الاتّفاق، فيرجع ما ذكرنا إلى أنّ كلّ طلب في ظرف المزاحمة يقتضي المنع عن بعض أنحاء التروك، قبال الطلب التامّ المقتضي لجميع أنحائه، مع اشتراكهما في إطلاق الطلب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بالنحو المزبور إذا لم يكن بينهما مطاردة لنقص فيهما، كذلك لم يكن بينهما مطاردة لو فرض نقص الطلب من طرف واحد ولو لم يشترط الناقص بعصيان التامّ؛ إذ مقتضى الطلب الناقص حفظ سائر الجهات في ظرف انسداد الباب الملازم لوجود الضدّ، فكيف يقتضي الطلب </w:t>
      </w:r>
    </w:p>
    <w:p>
      <w:pPr>
        <w:pStyle w:val="BookText"/>
        <w:rPr/>
      </w:pPr>
      <w:r>
        <w:rPr>
          <w:rFonts w:ascii="Amiri" w:hAnsi="Amiri" w:eastAsia="Amiri" w:cs="Amiri"/>
          <w:color w:val="111111"/>
          <w:sz w:val="28"/>
          <w:sz w:val="28"/>
          <w:szCs w:val="28"/>
          <w:rtl w:val="true"/>
          <w:lang w:bidi="ar-SA"/>
        </w:rPr>
        <w:t>التامّ طرد هذا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نتيجة طرده منع انسداد تلك الجهة، وفي ظرفه لا اقتضاء للطلب الناقص، فأين المطاردة من طرف واحد، فضلاً عن الطرفين ؟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يرد عليه ما يرد على الوجهين المتقدّمين؛ لاشتراكه معهما في نقطة الضعف وإن فارقهما في جهة اُخرى،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قبل تحقّق إطاعة الطلب التامّ وعصيانه لا شبهة في اقتضائه البعث نحو متعلّقه فعلاً؛ لعدم سقوطه بهما، فطلب الناقص هل يؤخذ على نحو يكون في هذا الحين باعثاً نحو متعلّقه أو لا ؟</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طلب الجمع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محطّ البحث ويكون باعثية المهمّ بعد سقوط أمر الأهمّ، وأمّا قبله فلمّا لم تكن الجهة الملازمة لعدم الآخر من باب الاتّفاق متحقّقة لم يكن أمر المهمّ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الناقص المتوجّه إلى سائر الجهات، الملازم لتحقّق</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الملازمة لعدم الآخر من باب الاتّفاق، قبلَ تحقّق هذه الجهة الملازمة لعدم الآخر لم يكن باعثاً فعلاً، وأمر الأهمّ في هذا الحال باعث فقط، وإذا تحقّقت الجهة الملازمة لعدم الآخر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العصيان متحقّقاً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أمر الأهمّ عن الفعلية، وصار أمر المهمّ فعلياً، وعدم المطاردة بهذا المعنى لا إشكال فيه، لكنّه خارج عن محطّ البحث وهادم لأساس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اُخذ النقصان لا من هذه الجهة بل من الجهة الملازمة لكون الآخر معدوماً في محلّه؛ أي بعنوان انتزاعي،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المطاردة، فرفع المطاردة مرهون بتحقّق العصيان خارجاً، وهو ملازم لسقوط أمر الأهمّ، وهادم لأساس الترتّب، وكذا لأساس ما أفاد ذلك المحقّق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عين الوجه الأوّل وجهاً وإيراداً، ومفترق عنه بجهات، منها كون الأوّل مشتملاً على التطويل المملّ، وهو على التقصير المخلّ</w:t>
      </w:r>
      <w:r>
        <w:rPr>
          <w:rFonts w:eastAsia="Amiri" w:cs="Amiri" w:ascii="Amiri" w:hAnsi="Amiri"/>
          <w:color w:val="111111"/>
          <w:sz w:val="28"/>
          <w:szCs w:val="28"/>
          <w:rtl w:val="true"/>
          <w:lang w:bidi="ar-SA"/>
        </w:rPr>
        <w:t xml:space="preserve">. </w:t>
      </w:r>
      <w:bookmarkStart w:id="177" w:name="pg15293_220112"/>
    </w:p>
    <w:p>
      <w:pPr>
        <w:pStyle w:val="Heading2"/>
        <w:numPr>
          <w:ilvl w:val="1"/>
          <w:numId w:val="1"/>
        </w:numPr>
        <w:rPr/>
      </w:pPr>
      <w:bookmarkStart w:id="178" w:name="__RefHeading___Toc4628880_2142443653"/>
      <w:bookmarkStart w:id="179" w:name="_Toc61"/>
      <w:bookmarkEnd w:id="177"/>
      <w:bookmarkEnd w:id="178"/>
      <w:r>
        <w:rPr>
          <w:rtl w:val="true"/>
        </w:rPr>
        <w:t>الفصل السادس في جواز الأمر مع العلم بانتفاء الشرط</w:t>
      </w:r>
      <w:bookmarkEnd w:id="179"/>
    </w:p>
    <w:p>
      <w:pPr>
        <w:pStyle w:val="BookText"/>
        <w:rPr/>
      </w:pPr>
      <w:r>
        <w:rPr>
          <w:rFonts w:ascii="Amiri" w:hAnsi="Amiri" w:eastAsia="Amiri" w:cs="Amiri"/>
          <w:color w:val="111111"/>
          <w:sz w:val="28"/>
          <w:sz w:val="28"/>
          <w:szCs w:val="28"/>
          <w:rtl w:val="true"/>
          <w:lang w:bidi="ar-SA"/>
        </w:rPr>
        <w:t>هل يجوز أمر الآمر مع علمه بانتفاء شرطه ؟</w:t>
      </w:r>
    </w:p>
    <w:p>
      <w:pPr>
        <w:pStyle w:val="BookText"/>
        <w:rPr/>
      </w:pPr>
      <w:r>
        <w:rPr>
          <w:rFonts w:ascii="Amiri" w:hAnsi="Amiri" w:eastAsia="Amiri" w:cs="Amiri"/>
          <w:color w:val="111111"/>
          <w:sz w:val="28"/>
          <w:sz w:val="28"/>
          <w:szCs w:val="28"/>
          <w:rtl w:val="true"/>
          <w:lang w:bidi="ar-SA"/>
        </w:rPr>
        <w:t xml:space="preserve">في تقرير محطّ البحث احتمالات، بعضها مناف لعنوان البحث، كاحتمال كون الجواز بمعنى الإمكان الذاتي؛ لأنّ علم الآمر غير ممكن الدخل في الإمكان الذاتي وامتناعه، وبعضها معلوم العدم، كاحتمالٍ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 وتبعه المحقّق الخراساني رحمه الله علیه </w:t>
      </w:r>
      <w:r>
        <w:rPr>
          <w:rStyle w:val="FootnoteAnchor"/>
          <w:rtl w:val="true"/>
        </w:rPr>
        <w:footnoteReference w:id="167"/>
      </w:r>
      <w:r>
        <w:rPr>
          <w:rFonts w:ascii="Amiri" w:hAnsi="Amiri" w:eastAsia="Amiri" w:cs="Amiri"/>
          <w:color w:val="111111"/>
          <w:sz w:val="28"/>
          <w:sz w:val="28"/>
          <w:szCs w:val="28"/>
          <w:rtl w:val="true"/>
          <w:lang w:bidi="ar-SA"/>
        </w:rPr>
        <w:t>وجعله وجه التصالح بين الفريقين؛ ضرورة أنّ أدلّتهما</w:t>
      </w:r>
    </w:p>
    <w:p>
      <w:pPr>
        <w:pStyle w:val="BookText"/>
        <w:rPr/>
      </w:pPr>
      <w:r>
        <w:rPr>
          <w:rFonts w:ascii="Amiri" w:hAnsi="Amiri" w:eastAsia="Amiri" w:cs="Amiri"/>
          <w:color w:val="111111"/>
          <w:sz w:val="28"/>
          <w:sz w:val="28"/>
          <w:szCs w:val="28"/>
          <w:rtl w:val="true"/>
          <w:lang w:bidi="ar-SA"/>
        </w:rPr>
        <w:t>تنافي ذلك التصالح، وإن كان بعضها لا يخلو من مناسبة لما ذكر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هذا البحث من تتمّة بحث الطلب والإرادة؛ فإنّ الإمامية</w:t>
      </w:r>
      <w:r>
        <w:rPr>
          <w:rStyle w:val="FootnoteAnchor"/>
          <w:rtl w:val="true"/>
        </w:rPr>
        <w:footnoteReference w:id="168"/>
      </w:r>
      <w:r>
        <w:rPr>
          <w:rFonts w:ascii="Amiri" w:hAnsi="Amiri" w:eastAsia="Amiri" w:cs="Amiri"/>
          <w:color w:val="111111"/>
          <w:sz w:val="28"/>
          <w:sz w:val="28"/>
          <w:szCs w:val="28"/>
          <w:rtl w:val="true"/>
          <w:lang w:bidi="ar-SA"/>
        </w:rPr>
        <w:t xml:space="preserve">لمّا اختاروا بطلان الكلام النفسي وجعلوا الإرادة مبدأ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إلى امتناع توجّه الإرادة إلى ما لا يمكن تحقّقه؛ إمّا لفقدان شرط </w:t>
      </w:r>
    </w:p>
    <w:p>
      <w:pPr>
        <w:pStyle w:val="BookText"/>
        <w:rPr/>
      </w:pPr>
      <w:r>
        <w:rPr>
          <w:rFonts w:ascii="Amiri" w:hAnsi="Amiri" w:eastAsia="Amiri" w:cs="Amiri"/>
          <w:color w:val="111111"/>
          <w:sz w:val="28"/>
          <w:sz w:val="28"/>
          <w:szCs w:val="28"/>
          <w:rtl w:val="true"/>
          <w:lang w:bidi="ar-SA"/>
        </w:rPr>
        <w:t>المأمور به أو لعدم قدرة المكلّف</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والأشاعرة</w:t>
      </w:r>
      <w:r>
        <w:rPr>
          <w:rStyle w:val="FootnoteAnchor"/>
          <w:rtl w:val="true"/>
        </w:rPr>
        <w:footnoteReference w:id="170"/>
      </w:r>
      <w:r>
        <w:rPr>
          <w:rFonts w:ascii="Amiri" w:hAnsi="Amiri" w:eastAsia="Amiri" w:cs="Amiri"/>
          <w:color w:val="111111"/>
          <w:sz w:val="28"/>
          <w:sz w:val="28"/>
          <w:szCs w:val="28"/>
          <w:rtl w:val="true"/>
          <w:lang w:bidi="ar-SA"/>
        </w:rPr>
        <w:t>لمّا جعلوا الطلب غير الإرادة ولم يجعلوها من مبادئه جوّزوا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يطلب المولى شيئاً ولا يريده، وقد ينهى عنه وهو يريده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البحث قد يقع في الأوامر الشخصية، كأمره تعالى للخليل علیه السلام وقد يقع</w:t>
      </w:r>
    </w:p>
    <w:p>
      <w:pPr>
        <w:pStyle w:val="BookText"/>
        <w:rPr/>
      </w:pPr>
      <w:r>
        <w:rPr>
          <w:rFonts w:ascii="Amiri" w:hAnsi="Amiri" w:eastAsia="Amiri" w:cs="Amiri"/>
          <w:color w:val="111111"/>
          <w:sz w:val="28"/>
          <w:sz w:val="28"/>
          <w:szCs w:val="28"/>
          <w:rtl w:val="true"/>
          <w:lang w:bidi="ar-SA"/>
        </w:rPr>
        <w:t>في الأوامر الكلّية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امتناع توجّه البعث لغرض الانبعاث إلى من علم الآمر فقدان شرط التكليف فيه، بل لا يمكن ذلك بالنسبة إلى من يعلم أ نّه لا ينبعث ولو عصياناً بل إلى من يعلم أ نّه آتٍ بنفسه بمتعلّق الطلب ولا يكون الطلب مؤثّراً فيه بوجه؛ ضرورة أنّ البعث لغرض الانبعاث إنّما يمكن فيما يحتمل أو يعلم تأثيره فيه، ومع العلم بعدم التأثير لا يمكن البعث لغرض الانبعاث، وكذا الحال في الزجر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امتناع إرادة البعث لغاية الانبعاث في هذه الموارد واحد، وهو عدم تحقّق مبادئ الإرادة، من غير فرق بين امتناع الانبعاث ذاتاً أو وقوعاً أو إمكانه مع العلم بعدم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الإرادة الشخصية المتوجّهة إلى أشخاص معيّنين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الإرادة التشريعية القانونية فغايتها ليست انبعاث كلّ واحد واحد، بل </w:t>
      </w:r>
    </w:p>
    <w:p>
      <w:pPr>
        <w:pStyle w:val="BookText"/>
        <w:rPr/>
      </w:pPr>
      <w:r>
        <w:rPr>
          <w:rFonts w:ascii="Amiri" w:hAnsi="Amiri" w:eastAsia="Amiri" w:cs="Amiri"/>
          <w:color w:val="111111"/>
          <w:sz w:val="28"/>
          <w:sz w:val="28"/>
          <w:szCs w:val="28"/>
          <w:rtl w:val="true"/>
          <w:lang w:bidi="ar-SA"/>
        </w:rPr>
        <w:t xml:space="preserve">الغاية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تصير مبدأ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هذا التشريع بما أ نّه تشريع قانوني</w:t>
      </w:r>
    </w:p>
    <w:p>
      <w:pPr>
        <w:pStyle w:val="BookText"/>
        <w:rPr/>
      </w:pPr>
      <w:r>
        <w:rPr>
          <w:rFonts w:ascii="Amiri" w:hAnsi="Amiri" w:eastAsia="Amiri" w:cs="Amiri"/>
          <w:color w:val="111111"/>
          <w:sz w:val="28"/>
          <w:sz w:val="28"/>
          <w:szCs w:val="28"/>
          <w:rtl w:val="true"/>
          <w:lang w:bidi="ar-SA"/>
        </w:rPr>
        <w:t xml:space="preserve">لا يكون بلا أثر، فإذا احتمل أو علم تأثيره في أشخاص مختلطة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الأعصار والأمصار، تتحقّق الإرادة التشريعية على نعت التقنين، ولا يلزم فيها احتمال التأثير في كلّ واحد؛ لأنّ التشريع القانوني ليس تشريعات مستقلّة بالنسبة إلى كلّ مكلّف؛ حتّى يكون بالنسبة إلى كلّ واحد بعثاً لغرض الانبعاث، بل تشريع واحد متوجّه إلى عنوان منطبق على المكلّفين، وغرض هذا التشريع القانوني لا بدّ وأن يلحظ بالنسبة إليه، لا إلى كلّ واحد مستقلاًّ، وإلاّ لزم عدم تكليف العصاة والكفّار، بل والذي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متعلّق النهي بإرادته بلا تأثير لتكليف المولى فيه، وهذا ممّا لا يمكن الالتزام به، وقد عرفت أنّ مناط الامتناع في البعث الشخصي في العاجز والقادر العاصي واحد، فإذن ما لا يجوز أمر الآمر مع العلم بانتفاء الشرط فيه هو الأوامر الشخصية المتوجّهة إلى أشخاص معيّنين، وأمّا الأوامر الكلّية القانونية المتوجّهة إلى عامّة المكلّفين، فلا تجوز مع فقد عامّتهم للشرط، وأمّا مع كون الفاقد والواجد مختلطاً وموجوداً في كلّ عصر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تقييد التكليف بعنوان الواجد مثلاً، وإلاّ يلزم تقييده بعنوان غير العاصي وغير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النائم، وهكذا، وهو كما ترى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الخطاب العامّ خطابات مستقلّة لكلّ منها غاية مستقلّة، فتدبّر</w:t>
      </w:r>
      <w:r>
        <w:rPr>
          <w:rFonts w:eastAsia="Amiri" w:cs="Amiri" w:ascii="Amiri" w:hAnsi="Amiri"/>
          <w:color w:val="111111"/>
          <w:sz w:val="28"/>
          <w:szCs w:val="28"/>
          <w:rtl w:val="true"/>
          <w:lang w:bidi="ar-SA"/>
        </w:rPr>
        <w:t xml:space="preserve">. </w:t>
      </w:r>
      <w:bookmarkStart w:id="180" w:name="pg15293_220115"/>
    </w:p>
    <w:p>
      <w:pPr>
        <w:pStyle w:val="Heading2"/>
        <w:numPr>
          <w:ilvl w:val="1"/>
          <w:numId w:val="1"/>
        </w:numPr>
        <w:rPr/>
      </w:pPr>
      <w:bookmarkStart w:id="181" w:name="__RefHeading___Toc4628882_2142443653"/>
      <w:bookmarkStart w:id="182" w:name="_Toc62"/>
      <w:bookmarkEnd w:id="180"/>
      <w:bookmarkEnd w:id="181"/>
      <w:r>
        <w:rPr>
          <w:rtl w:val="true"/>
        </w:rPr>
        <w:t>الفصل السابع في متعلّق الأوامر والنواهي</w:t>
      </w:r>
      <w:bookmarkEnd w:id="182"/>
    </w:p>
    <w:p>
      <w:pPr>
        <w:pStyle w:val="Heading3"/>
        <w:numPr>
          <w:ilvl w:val="2"/>
          <w:numId w:val="1"/>
        </w:numPr>
        <w:rPr/>
      </w:pPr>
      <w:bookmarkStart w:id="183" w:name="__RefHeading___Toc4628884_2142443653"/>
      <w:bookmarkStart w:id="184" w:name="_Toc63"/>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هل الأوامر والنواهي تتعلّق بالطبائع أو الأفراد ؟</w:t>
      </w:r>
    </w:p>
    <w:p>
      <w:pPr>
        <w:pStyle w:val="Heading3"/>
        <w:numPr>
          <w:ilvl w:val="2"/>
          <w:numId w:val="1"/>
        </w:numPr>
        <w:rPr/>
      </w:pPr>
      <w:bookmarkStart w:id="185" w:name="__RefHeading___Toc4628886_2142443653"/>
      <w:bookmarkStart w:id="186" w:name="_Toc64"/>
      <w:bookmarkEnd w:id="185"/>
      <w:r>
        <w:rPr>
          <w:rtl w:val="true"/>
        </w:rPr>
        <w:t>تحرير محلّ النزاع</w:t>
      </w:r>
      <w:bookmarkEnd w:id="186"/>
    </w:p>
    <w:p>
      <w:pPr>
        <w:pStyle w:val="BookText"/>
        <w:rPr/>
      </w:pPr>
      <w:r>
        <w:rPr>
          <w:rFonts w:ascii="Amiri" w:hAnsi="Amiri" w:eastAsia="Amiri" w:cs="Amiri"/>
          <w:color w:val="111111"/>
          <w:sz w:val="28"/>
          <w:sz w:val="28"/>
          <w:szCs w:val="28"/>
          <w:rtl w:val="true"/>
          <w:lang w:bidi="ar-SA"/>
        </w:rPr>
        <w:t>لا تخلو كلمات القوم في تحرير محلّ النزاع من اضطراب، فيظهر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عقلية صرفة أو مبنيّة عليها، وأنّ الإرادة والاشتياق والطلب لا يمكن أن تتعلّق بما لا يكون منشأً للآثار، فعلى القول بأصالة الوجود لا بدّ من تعلّقها به، وعلى القول بأصالة الماهية لا بدّ أن تتعلّق بها، أو أ نّها مبنيّة على</w:t>
      </w:r>
    </w:p>
    <w:p>
      <w:pPr>
        <w:pStyle w:val="BookText"/>
        <w:rPr/>
      </w:pPr>
      <w:r>
        <w:rPr>
          <w:rFonts w:ascii="Amiri" w:hAnsi="Amiri" w:eastAsia="Amiri" w:cs="Amiri"/>
          <w:color w:val="111111"/>
          <w:sz w:val="28"/>
          <w:sz w:val="28"/>
          <w:szCs w:val="28"/>
          <w:rtl w:val="true"/>
          <w:lang w:bidi="ar-SA"/>
        </w:rPr>
        <w:t>وجود الطبيعي وعدمه، فعلى الأوّل تتعلّق بها، وعلى الثاني بالفرد؛ لامتناع تعلّقها بما لا وجود 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أ نّها تتعلّق بالطبائع أو بالوجود الخارجي؛ حيث أبطل الثاني بأ نّه طلب الحاصل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مسألة لغوية؛ حيث تشبّث بالتبادر في إثبات تعلّقها بالطبائع</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سراية الإرادة للخصوصيات اللاحقة للطبيعة في الخارج وعدمها</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محطّ البحث ليس في تعلّقها بالكلّي الطبيعي أو أفراده ممّا هو المصطلح في المنطق؛ فإنّ الماهيات الاعتبارية المخترعة كالصلاة والحجّ ليست من الكلّيات الطبيعية، ولا مصاديقها مصاديق الكلّي الطبيعي؛ فإنّ الماهيات المخترعة وكذا أفرادها ليست موجودة في الخارج؛ لأنّ المركّب الاختراعي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تحت مقولة واحدة، ولا يكون لمجموع اُمور وجود حتّى يكون مصداقاً لماهية وكلّي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 المسألة أجنبيّة عن أصالة الوجود والماهية، بل المراد من الطبيعي هاهنا هو العنوان الكلّي، سواء كان من الطبائع الأصيلة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البحث بصيغة الأمر والنهي، بل الكلام في متعلّق الطلب بأيّ دالّ كان؛ ولو بالجملة الإخبارية في مقام الإنشاء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يبعد أن يكون محطّ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إذا تعلّق بماهية بالمعنى المتقدّم، هل يسري إلى الأفراد والمصاديق المتصوّرة بنحو الإجمال منها؛ بحيث تكون الطبيعة وسيلة إلى تعلّقه بالمصاديق الملحوظة بنحو الإجمال، لا بما هي ملحوظة ومتصوّرة بل بنفس ذاتها، كما في الوضع العامّ والموضوع له الخاصّ، </w:t>
      </w:r>
      <w:bookmarkStart w:id="187" w:name="pg15293_220117"/>
    </w:p>
    <w:p>
      <w:pPr>
        <w:pStyle w:val="BookText"/>
        <w:rPr/>
      </w:pPr>
      <w:bookmarkEnd w:id="187"/>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فردها ومصداقها، لا الفرد الخارجي ولا الذهني، بل ذاته المتصوّرة إجمالاً؛ فإنّ الأفراد قابلة للتصوّر إجمالاً قبل وجودها، كما أنّ الطبيعة قابلة له قبله، وما ذكرنا نزاع معقول</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628888_2142443653"/>
      <w:bookmarkStart w:id="189" w:name="_Toc65"/>
      <w:bookmarkEnd w:id="188"/>
      <w:r>
        <w:rPr>
          <w:rtl w:val="true"/>
        </w:rPr>
        <w:t>مقتضى التحقيق</w:t>
      </w:r>
      <w:r>
        <w:rPr>
          <w:rtl w:val="true"/>
        </w:rPr>
        <w:t xml:space="preserve">: </w:t>
      </w:r>
      <w:r>
        <w:rPr>
          <w:rtl w:val="true"/>
        </w:rPr>
        <w:t>تعلّق الأوامر والنواهي بالطبائع</w:t>
      </w:r>
      <w:bookmarkEnd w:id="189"/>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والنواهي مطلقاً متعلّقة بالطبائع؛ بمعنى أنّ الآمر قبل تعلّق أمره بشيء يتصوّره بكلّ ما هو دخيل في غرضه، ويبعث المكلّف نحوه ليوجده في الخارج؛ ضرورة أنّ البعث الحقيقي لا يمكن أن يتعلّق بما هو أوسع أو أضيق ممّا هو دخيل في الغرض؛ للزوم تعلّق الإرادة والشوق بغير المقصود أو به مع الزيادة جزافاً، فإذا لم تكن للخصوصيات الفردية دخالة في غرض الآمر لا يمكن أن يبعث نحوها؛ لأنّ البعث تابع للإرادة التشريعية التابعة للمصالح، وتعلّقها بما هو غير دخيل في تحصيلها ممتنع، كتعلّقها ابتداءً بأمر بلا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تعلّقها تبعاً بما هو من ملازمات المراد باطل؛ لأ نّه مع خروجه عن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ليس في استلزام إرادة لإرادة اُخرى كباب المقدّمة، بل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فرغنا عن بطلانه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طبيعة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تكون مرآةً لشيء من الخصوصيات الفردية اللاحقة لها في الخارج، ومجرّد اتّحادها معها خارجاً لا يوجب الكشف والدلالة، فلا يكون نفس تصوّر الماهية كافياً في تصوّر الخصوصيات، فلا بدّ للآمر من تصوّرها مستقلاًّ بصورة أو صور غير صورة الطبيعي ولو بالانتقال من الطبيعي إليها، ثمّ تتعلّق الإرادة بها مستقلاًّ غير الإرادة </w:t>
      </w:r>
      <w:bookmarkStart w:id="190" w:name="pg15293_220118"/>
    </w:p>
    <w:p>
      <w:pPr>
        <w:pStyle w:val="BookText"/>
        <w:rPr/>
      </w:pPr>
      <w:bookmarkEnd w:id="190"/>
      <w:r>
        <w:rPr>
          <w:rFonts w:ascii="Amiri" w:hAnsi="Amiri" w:eastAsia="Amiri" w:cs="Amiri"/>
          <w:color w:val="111111"/>
          <w:sz w:val="28"/>
          <w:sz w:val="28"/>
          <w:szCs w:val="28"/>
          <w:rtl w:val="true"/>
          <w:lang w:bidi="ar-SA"/>
        </w:rPr>
        <w:t>المتعلّقة بنفس الطبيعة، وهذه الإرادة جزاف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تصوّر الأفراد غير تصوّر الطبيعة؛ ضرورة أنّ تصوّر الخاصّ الجزئي من شؤون القوى النازلة للنفس، وتعقّل الطبيعة من شؤون العاقلة بعد تجريد الخصوصيات، فربّما يتصوّر الأفراد مع الغفلة عن نفس الطبيعة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فالآمر إذا أراد توجيه الأمر إلى الطبيعة لا بدّ من لحاظها في نفسها، وإذا أراد الأمر بالأفراد لا بدّ من 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بعنوان إجمالي، وهو مباين</w:t>
      </w:r>
    </w:p>
    <w:p>
      <w:pPr>
        <w:pStyle w:val="BookText"/>
        <w:rPr/>
      </w:pPr>
      <w:r>
        <w:rPr>
          <w:rFonts w:ascii="Amiri" w:hAnsi="Amiri" w:eastAsia="Amiri" w:cs="Amiri"/>
          <w:color w:val="111111"/>
          <w:sz w:val="28"/>
          <w:sz w:val="28"/>
          <w:szCs w:val="28"/>
          <w:rtl w:val="true"/>
          <w:lang w:bidi="ar-SA"/>
        </w:rPr>
        <w:t>لعنوان الطبيعة في العقل، وإمّا تفصيلاً مع الإمكان، وهو أيضاً غير لحاظ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كون الطبيعة ذات مصلحة ولو بوجودها الخارجي فلا بدّ للآمر من تصوّرها وتصوّر البعث إليها وإرادته، ففي هذا اللحاظ لا تكون الأفراد ملحوظة لا إجمالاً ولا تفصيلاً، ولا تكون ملازمة بين اللحاظين، وصرف اتّحاد الخصوصيات الخارجية مع الطبيعة خارجاً لا يوجب الملازمة العقلية، فلا بدّ لتعلّق الأمر بها من لحاظ مستأنف وإرادة مستأنفة جزافاً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628890_2142443653"/>
      <w:bookmarkStart w:id="192" w:name="_Toc66"/>
      <w:bookmarkEnd w:id="191"/>
      <w:r>
        <w:rPr>
          <w:rtl w:val="true"/>
        </w:rPr>
        <w:t>المراد من البعث نحو المأموربه</w:t>
      </w:r>
      <w:bookmarkEnd w:id="1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البعث نحو المأمور به، سواء كان بصيغة الأمر أو بدالّ آخر وكذا الزجر في النهي، هل هو عبارة عن طلب الوجود في الأمر، وطلب تركه أو الزجر عنه في النهي؛ بمعنى وضع الهيئة لطلب الإيجاد أو الوجود مثلاً، أو استعمالها فيه ؟ </w:t>
      </w:r>
      <w:bookmarkStart w:id="193" w:name="pg15293_220119"/>
    </w:p>
    <w:p>
      <w:pPr>
        <w:pStyle w:val="BookText"/>
        <w:rPr/>
      </w:pPr>
      <w:bookmarkEnd w:id="193"/>
      <w:r>
        <w:rPr>
          <w:rFonts w:ascii="Amiri" w:hAnsi="Amiri" w:eastAsia="Amiri" w:cs="Amiri"/>
          <w:color w:val="111111"/>
          <w:sz w:val="28"/>
          <w:sz w:val="28"/>
          <w:szCs w:val="28"/>
          <w:rtl w:val="true"/>
          <w:lang w:bidi="ar-SA"/>
        </w:rPr>
        <w:t>أو أنّ البعث يتعلّق بوجود الطبيعة؛ بمعنى أنّ الهيئة موضوعة لنفس البعث، ولمّا كان البعث إلى الطبيعة لا معنى له، قُدّر الوجود ؟</w:t>
      </w:r>
    </w:p>
    <w:p>
      <w:pPr>
        <w:pStyle w:val="BookText"/>
        <w:rPr/>
      </w:pPr>
      <w:r>
        <w:rPr>
          <w:rFonts w:ascii="Amiri" w:hAnsi="Amiri" w:eastAsia="Amiri" w:cs="Amiri"/>
          <w:color w:val="111111"/>
          <w:sz w:val="28"/>
          <w:sz w:val="28"/>
          <w:szCs w:val="28"/>
          <w:rtl w:val="true"/>
          <w:lang w:bidi="ar-SA"/>
        </w:rPr>
        <w:t>أو لا ذا ولا ذاك، بل البعث إلى الطبيعة لازمه العقلي أو العرفي تحصيلها في</w:t>
      </w:r>
    </w:p>
    <w:p>
      <w:pPr>
        <w:pStyle w:val="BookText"/>
        <w:rPr/>
      </w:pPr>
      <w:r>
        <w:rPr>
          <w:rFonts w:ascii="Amiri" w:hAnsi="Amiri" w:eastAsia="Amiri" w:cs="Amiri"/>
          <w:color w:val="111111"/>
          <w:sz w:val="28"/>
          <w:sz w:val="28"/>
          <w:szCs w:val="28"/>
          <w:rtl w:val="true"/>
          <w:lang w:bidi="ar-SA"/>
        </w:rPr>
        <w:t>الخارج،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البعث إلى الطبيعة، ولكن الطبيعة لا تكون طبيعة حقيقة وبالحمل الشائع إلاّ بوجودها الخارجي، فنفس الطبيعة ليست بشيء، وفي الوجود الذهني ليست هي هي حقيقة، فيكون البعث المتعلّق بنفس الطبيعة بعثاً إلى تحصيلها، وهو لا يكون إلاّ بإيجادها خارجاً عقلاً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إطاعة التحريك نحو الطبيعة والانبعاث عن البعث إليها بإيجادها وتحصيلها خارجاً؟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هو الأخير؛ لأنّ الهيئة لم توضع إلاّ لإيقاع البعث نحو المادّة بحكم التبادر، والمادّة هي الطبيعة، والمتفاهم عرفاً من الأمر هو طلب المأمور به؛ أي البعث نحو المادّة؛ ولهذا لا يفهم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وجود الصلاة، بل يفهم منه البعث إلى الإيجاد</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628892_2142443653"/>
      <w:bookmarkStart w:id="195" w:name="_Toc67"/>
      <w:bookmarkEnd w:id="194"/>
      <w:r>
        <w:rPr>
          <w:rtl w:val="true"/>
        </w:rPr>
        <w:t>تنبيه</w:t>
      </w:r>
      <w:r>
        <w:rPr>
          <w:rtl w:val="true"/>
        </w:rPr>
        <w:t xml:space="preserve">: </w:t>
      </w:r>
      <w:r>
        <w:rPr>
          <w:rtl w:val="true"/>
        </w:rPr>
        <w:t>في تعلّق الأمر بنفس الماهية</w:t>
      </w:r>
      <w:bookmarkEnd w:id="195"/>
    </w:p>
    <w:p>
      <w:pPr>
        <w:pStyle w:val="BookText"/>
        <w:rPr/>
      </w:pPr>
      <w:r>
        <w:rPr>
          <w:rFonts w:ascii="Amiri" w:hAnsi="Amiri" w:eastAsia="Amiri" w:cs="Amiri"/>
          <w:color w:val="111111"/>
          <w:sz w:val="28"/>
          <w:sz w:val="28"/>
          <w:szCs w:val="28"/>
          <w:rtl w:val="true"/>
          <w:lang w:bidi="ar-SA"/>
        </w:rPr>
        <w:t>هل يتعلّق الأمر بنفس الماهية، أو بما هي ملحوظة مرآةً للخارج باللحاظ التصوّري وإن كان اللاحظ يقطع بخلافه بالنظر التصديقي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محطّ البحث في تعلّق الأمر بالطبيعة هو الطبيعة على النحو الثاني، وأمّا نفس الطبيعة فلا يعقل تعلّق الأمر بها؛ لأ نّها من حيث هي ليست إلاّ هي؛ لا تكون مطلوبة ولا مأموراً بها، فلا بدّ أن تؤخذ الطبيعة بما هي مرآة </w:t>
      </w:r>
    </w:p>
    <w:p>
      <w:pPr>
        <w:pStyle w:val="BookText"/>
        <w:rPr/>
      </w:pPr>
      <w:r>
        <w:rPr>
          <w:rFonts w:ascii="Amiri" w:hAnsi="Amiri" w:eastAsia="Amiri" w:cs="Amiri"/>
          <w:color w:val="111111"/>
          <w:sz w:val="28"/>
          <w:sz w:val="28"/>
          <w:szCs w:val="28"/>
          <w:rtl w:val="true"/>
          <w:lang w:bidi="ar-SA"/>
        </w:rPr>
        <w:t>للخارج باللحاظ التصوّري؛ حتّى يمكن تعلّق الأمر بها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ناشٍ من الغفلة عن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من حيث هي ليست إلاّ هي</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ولهذا زعم أنّ الماهية لا يمكن أن يتعلّق بها أمر أو يلحقها شيء آخر، مع أنّ الأمر ليس كذلك، بل معنى هذا أنّ الأشياء كلّها منتفية عن مرتبة ذات الماهية، ولم يكن شيء عيناً لها ولا جزءاً مقوّماً، وأنّ كلّ ما ذكر يلحق بها وخارج عن ذاتها وذاتياتها، وهذا لا ينافي لحوق شيء بها، فالماهية وإن كانت من حيث هي ليست إلاّ هي؛ أي في مرتبة ذاتها لا تكون إلاّ نفس ذاتها، لكن تلحقها الوحدة والكثرة والوجود وغيرها من خارج ذاتها، وكلّ ما يلحقها ليس ذاتاً ولا ذاتياً لها؛ أي ذاتي باب إيساغوجي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إنّما يتعلّق بنفس الماهية من غير لحاظها متّحدة مع الخارج، بل لمّا</w:t>
      </w:r>
    </w:p>
    <w:p>
      <w:pPr>
        <w:pStyle w:val="BookText"/>
        <w:rPr/>
      </w:pPr>
      <w:r>
        <w:rPr>
          <w:rFonts w:ascii="Amiri" w:hAnsi="Amiri" w:eastAsia="Amiri" w:cs="Amiri"/>
          <w:color w:val="111111"/>
          <w:sz w:val="28"/>
          <w:sz w:val="28"/>
          <w:szCs w:val="28"/>
          <w:rtl w:val="true"/>
          <w:lang w:bidi="ar-SA"/>
        </w:rPr>
        <w:t xml:space="preserve">رأى المولى أنّ الماهية في الخارج منشأ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توجّه نوعاً إلى كون الآثار لوجودها أو لنفسها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موجودة، يبعث المأمور إلى إيجادها وصيرورتها خارجية، فالمولى يرى أ نّها معدومة، ويريد بالأمر إخراجها من المعدومية إلى الموجودية بوسيلة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فلحاظ الاتّحاد التصوّري مع القطع بالخلاف تصديقاً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لا محصّل له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شيئاً، ومع الغفلة عن القطع بالخلاف منافٍ لتعلّق الأمر وتحريك المأمور نحو الإيجاد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التكلّف ناشٍ من توهّم عدم إمكان تعلّق الأمر بالماهية؛ </w:t>
      </w:r>
      <w:bookmarkStart w:id="196" w:name="pg15293_220121"/>
    </w:p>
    <w:p>
      <w:pPr>
        <w:pStyle w:val="BookText"/>
        <w:rPr/>
      </w:pPr>
      <w:bookmarkEnd w:id="196"/>
      <w:r>
        <w:rPr>
          <w:rFonts w:ascii="Amiri" w:hAnsi="Amiri" w:eastAsia="Amiri" w:cs="Amiri"/>
          <w:color w:val="111111"/>
          <w:sz w:val="28"/>
          <w:sz w:val="28"/>
          <w:szCs w:val="28"/>
          <w:rtl w:val="true"/>
          <w:lang w:bidi="ar-SA"/>
        </w:rPr>
        <w:t>لتخيّل منافاة ذلك لما اشتهر بينهم من القول المتقدّم، مع أ نّه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الذي يساعد عليه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متعلّق بنفس الماهية في حين توجّه الآمر إلى معدوميتها، ويريد بالأمر سدّ باب إعدامها، وإخراجها إلى الوجود بوسيلة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مرآتية الماهية للأفراد غير معقولة، كما مرّ مراراً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628894_2142443653"/>
      <w:bookmarkStart w:id="198" w:name="_Toc68"/>
      <w:bookmarkEnd w:id="197"/>
      <w:r>
        <w:rPr>
          <w:rtl w:val="true"/>
        </w:rPr>
        <w:t xml:space="preserve">نقد وتحصيل </w:t>
      </w:r>
      <w:r>
        <w:rPr>
          <w:rtl w:val="true"/>
        </w:rPr>
        <w:t xml:space="preserve">: </w:t>
      </w:r>
      <w:r>
        <w:rPr>
          <w:rtl w:val="true"/>
        </w:rPr>
        <w:t>في سراية الأمر من العنوان إلى الأفراد والحصص</w:t>
      </w:r>
      <w:bookmarkEnd w:id="198"/>
    </w:p>
    <w:p>
      <w:pPr>
        <w:pStyle w:val="BookText"/>
        <w:rPr/>
      </w:pPr>
      <w:r>
        <w:rPr>
          <w:rFonts w:ascii="Amiri" w:hAnsi="Amiri" w:eastAsia="Amiri" w:cs="Amiri"/>
          <w:color w:val="111111"/>
          <w:sz w:val="28"/>
          <w:sz w:val="28"/>
          <w:szCs w:val="28"/>
          <w:rtl w:val="true"/>
          <w:lang w:bidi="ar-SA"/>
        </w:rPr>
        <w:t xml:space="preserve">قد استأنف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بنائه على تعلّق الأمر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تعلّق الأمر بعنوان على نحو صرف الوجود، فهل يسري إلى أفراده تبادلاً، فتكون الأفراد بخصوصياتها تحت الطلب، أم لا ؟</w:t>
      </w:r>
    </w:p>
    <w:p>
      <w:pPr>
        <w:pStyle w:val="BookText"/>
        <w:rPr/>
      </w:pPr>
      <w:r>
        <w:rPr>
          <w:rFonts w:ascii="Amiri" w:hAnsi="Amiri" w:eastAsia="Amiri" w:cs="Amiri"/>
          <w:color w:val="111111"/>
          <w:sz w:val="28"/>
          <w:sz w:val="28"/>
          <w:szCs w:val="28"/>
          <w:rtl w:val="true"/>
          <w:lang w:bidi="ar-SA"/>
        </w:rPr>
        <w:t>وعلى الثاني فهل يسري إلى الحصص المقارنة للأفراد كما في الطبيعة السارية، أم لا، بل الطلب يقف على نفس الطبيعة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المراد يحتاج إلى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الطبيعي حسب أفراده يتحصّص وكلّ فرد منه مشتمل على حصّة منه مغايرة للحصّة الاُخرى باعتبار محدوديتها بالمشخّصات الفردية، ولا ينافي ذلك اتّحاد تلك الحصص بحسب الذات، وهذا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الطبيعي إلى أفراده نسبة الآباء إلى الأولاد، وإنّ مع كلّ فرد أباً من الطبيعي غير الآخر، ويكون الآباء مع اختلافها بحسب المرتبة متّحدة ذاتاً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يقتضي وقوف الطلب على نفس الطبيعة، وأقام عليه دليلين،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عدم سراية الطلب إلى الحصص إنّما هو بالقياس إلى الحيثية التي تمتاز بها الحصص الفردية بعضها عن البعض الآخر المشترك معه في الجنس والفصل القريبين، وأمّا بالنسبة إلى الحيثية الاُخرى التي بها تشترك تلك الحصص وتمتاز بها عن أفراد النوع الآخر المشاركة لها في الجنس القريب، وهي الحيثية التي بها قوام نوعيتها، فلا بأس بدعوى السراية إليها، بل لعلّه لا محيص عنها؛ من جهة أنّ الحصص بالقياس إلى تلك الحيثية واشتمالها على مقوّمها العالي ليست إلاّ عين الطبيعي، ونتيجة ذلك كون التخيير بين الحصص شرعياً لا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تعلّق بالعناوين والصور الذهنية، لا المعنونات الخارجية، فيستحيل سرايته إلى الحصص الفردية؛ حيث إنّها تباين الطبيعي ذهناً، وإن كان كلّ من الحصص والطبيعي ملحوظاً بنحو المرآتية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هو تعلّق الطلب بالطبيعي بما هو مرآة للخارج، ولا ريب في أنّ وجود الطبيعي في الخارج لا يمتاز عن وجود الحصص، بل هو الجهة المشتركة الجامعة بين الحصص، والمرئي بالطبيعي الملحوظ مرآةً للخارج ليس إلاّ تلك الجهة الجامعة بين الحصص، وهذا مرادنا من سراية الطلب من الطبيعي إلى حصصه، بل التعبير بها مسامحي؛ إذ بالنظر الدقّي يكون الطلب المتعلّق بالطبيعي الملحوظ مرآةً متوجّهاً إلى الجهة الجامعة بين الحصص، فمتعلّق الطلب في الحقيقة هي تلك الجهة الجامعة بعينها</w:t>
      </w:r>
      <w:r>
        <w:rPr>
          <w:rStyle w:val="FootnoteAnchor"/>
          <w:rtl w:val="true"/>
        </w:rPr>
        <w:footnoteReference w:id="179"/>
      </w:r>
      <w:r>
        <w:rPr>
          <w:rFonts w:ascii="IRNazanin" w:hAnsi="IRNazanin" w:eastAsia="IRNazanin"/>
          <w:color w:val="111111"/>
          <w:sz w:val="28"/>
          <w:sz w:val="28"/>
          <w:szCs w:val="28"/>
          <w:rtl w:val="true"/>
          <w:lang w:bidi="fa-IR"/>
        </w:rPr>
        <w:t>، انتهى بطوله</w:t>
      </w:r>
      <w:r>
        <w:rPr>
          <w:rFonts w:eastAsia="IRNazanin" w:cs="IRNazanin"/>
          <w:color w:val="111111"/>
          <w:sz w:val="28"/>
          <w:szCs w:val="28"/>
          <w:rtl w:val="true"/>
          <w:lang w:bidi="fa-IR"/>
        </w:rPr>
        <w:t xml:space="preserve">. </w:t>
      </w:r>
      <w:bookmarkStart w:id="199" w:name="pg15293_220123"/>
    </w:p>
    <w:p>
      <w:pPr>
        <w:pStyle w:val="BookText"/>
        <w:rPr/>
      </w:pPr>
      <w:bookmarkEnd w:id="199"/>
      <w:r>
        <w:rPr>
          <w:rFonts w:ascii="Amiri" w:hAnsi="Amiri" w:eastAsia="Amiri" w:cs="Amiri"/>
          <w:color w:val="111111"/>
          <w:sz w:val="28"/>
          <w:sz w:val="28"/>
          <w:szCs w:val="28"/>
          <w:rtl w:val="true"/>
          <w:lang w:bidi="ar-SA"/>
        </w:rPr>
        <w:t>الظاهر أ نّه أشار في تحقيق الكلّي الطبيعي إلى ما اشتهر بين تلامذته نقلاً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الحصص بالنسبة إلى الأفراد كالآباء والأولاد، والطبيعي هو أب الآباء، وهو الجهة المشتركة بين الحصص، ويكون الطبيعي مرآةً لهذه الجهة المشتركة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أنّ المراد بقول بعض أهل فنّ المعقول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الطبيعي بالنسبة إلى الأفراد</w:t>
      </w:r>
    </w:p>
    <w:p>
      <w:pPr>
        <w:pStyle w:val="BookText"/>
        <w:rPr/>
      </w:pPr>
      <w:r>
        <w:rPr>
          <w:rFonts w:ascii="Amiri" w:hAnsi="Amiri" w:eastAsia="Amiri" w:cs="Amiri"/>
          <w:color w:val="111111"/>
          <w:sz w:val="28"/>
          <w:sz w:val="28"/>
          <w:szCs w:val="28"/>
          <w:rtl w:val="true"/>
          <w:lang w:bidi="ar-SA"/>
        </w:rPr>
        <w:t>كالآباء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حصصه، وافترض آباءً هي الحصص، وأب الآباء وهو القدر المشترك بينها الذي يكون الطبيعي مرآةً له، غفلةً عن أنّ 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نسبة الطبيعي إلى الأفراد نسبة الآباء إلى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عن الأب الواحد الذي التزم به الرجل الهمداني الذي صادف الشيخ الرئيس، ففي الحقيقة جمع هذا المحقّق بين الالتزام بمقالة الرجل الهمداني وبين ما ذكر جواباً له؛ غفلةً عن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ذلك منشأً لاشتباه كثير منهم في كثير من المباحث، فلا بأس بالإشارة الإجمالية إلى مراد الرجل الهمداني، ومراد القوم في مقابله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628896_2142443653"/>
      <w:bookmarkStart w:id="201" w:name="_Toc69"/>
      <w:bookmarkEnd w:id="200"/>
      <w:r>
        <w:rPr>
          <w:rtl w:val="true"/>
        </w:rPr>
        <w:t>تحقيق</w:t>
      </w:r>
      <w:r>
        <w:rPr>
          <w:rtl w:val="true"/>
        </w:rPr>
        <w:t xml:space="preserve">: </w:t>
      </w:r>
      <w:r>
        <w:rPr>
          <w:rtl w:val="true"/>
        </w:rPr>
        <w:t>في الكلّي الطبيعي</w:t>
      </w:r>
      <w:bookmarkEnd w:id="20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الرجل أنّ معنى وجود الطبيعي في الأعيان هو أنّ ذاتاً واحدة بعينها مقارنة لكلّ واحد من المقارنات المختلفة موجودة بنعت الوحدة في الخارج، وأنّ ما به الاشتراك الذاتي بين الأفراد متحقّق خارجاً بما هو الجهة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 نّه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الأشخاص تشترك في حقيقة واحدة هي الطبيعي،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الطبيعي 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القوم </w:t>
      </w:r>
    </w:p>
    <w:p>
      <w:pPr>
        <w:pStyle w:val="BookText"/>
        <w:rPr/>
      </w:pPr>
      <w:r>
        <w:rPr>
          <w:rFonts w:ascii="Amiri" w:hAnsi="Amiri" w:eastAsia="Amiri" w:cs="Amiri"/>
          <w:color w:val="111111"/>
          <w:sz w:val="28"/>
          <w:sz w:val="28"/>
          <w:szCs w:val="28"/>
          <w:rtl w:val="true"/>
          <w:lang w:bidi="ar-SA"/>
        </w:rPr>
        <w:t>هو موجودية الجهة المشتركة بما هي كذلك في الخارج،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 من عقل الإنسان أن يظنّ أنّ هذا موضع خلاف بين الحكماء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يستدلّ</w:t>
      </w:r>
      <w:r>
        <w:rPr>
          <w:rStyle w:val="FootnoteAnchor"/>
          <w:rtl w:val="true"/>
        </w:rPr>
        <w:footnoteReference w:id="181"/>
      </w:r>
      <w:r>
        <w:rPr>
          <w:rFonts w:ascii="Amiri" w:hAnsi="Amiri" w:eastAsia="Amiri" w:cs="Amiri"/>
          <w:color w:val="111111"/>
          <w:sz w:val="28"/>
          <w:sz w:val="28"/>
          <w:szCs w:val="28"/>
          <w:rtl w:val="true"/>
          <w:lang w:bidi="ar-SA"/>
        </w:rPr>
        <w:t>لما توهّمه الرجل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الطبيعي معنىً واحد منتزع من الخارج، ولا يمكن أن يكون الكثير بما هو كثير منشأً لانتزاع الواحد، فلا بدّ من جهة اشتراك خارجي بنعت الوحدة؛ حتّى يكون الطبيعي مرآةً لها ومنتزعاً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العلل المختلفة إذا فرض اجتماعها على معلول واحد، لا بدّ فيها من جهة وحدة خارجية مُؤثّرة في الواحد بمقتضى قاعدة لزوم صدور الواحد عن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يمثّل لذلك بأمثلة جزئية، كتأثير بندقتين في قتل شخص، وتأثير قوى أشخاص في رفع حجر، وتأثير النار والشمس في حرارة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هوساتهم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كون الطبيعي كأب واحد بالنسبة إلى الأبناء؛ أي يكون بنعت الوحدة والاشتراك موجوداً في الخارج</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مقابله قول المحقّقين</w:t>
      </w:r>
      <w:r>
        <w:rPr>
          <w:rStyle w:val="FootnoteAnchor"/>
          <w:rtl w:val="true"/>
        </w:rPr>
        <w:footnoteReference w:id="182"/>
      </w:r>
      <w:r>
        <w:rPr>
          <w:rFonts w:ascii="Amiri" w:hAnsi="Amiri" w:eastAsia="Amiri" w:cs="Amiri"/>
          <w:color w:val="111111"/>
          <w:sz w:val="28"/>
          <w:sz w:val="28"/>
          <w:szCs w:val="28"/>
          <w:rtl w:val="true"/>
          <w:lang w:bidi="ar-SA"/>
        </w:rPr>
        <w:t xml:space="preserve">، وهو أنّ الطبيعي موجود في الخارج لا بنعت الوحدة والنوعية واشتراك الكثرة فيه، بل من حيث طبيعته وماهيته، وأنّ العموم والاشتراك لاحق له في موطن الذهن، والجهة المشتركة ليس لها موطن إلاّ </w:t>
      </w:r>
    </w:p>
    <w:p>
      <w:pPr>
        <w:pStyle w:val="BookText"/>
        <w:rPr/>
      </w:pPr>
      <w:r>
        <w:rPr>
          <w:rFonts w:ascii="Amiri" w:hAnsi="Amiri" w:eastAsia="Amiri" w:cs="Amiri"/>
          <w:color w:val="111111"/>
          <w:sz w:val="28"/>
          <w:sz w:val="28"/>
          <w:szCs w:val="28"/>
          <w:rtl w:val="true"/>
          <w:lang w:bidi="ar-SA"/>
        </w:rPr>
        <w:t xml:space="preserve">العقل، والخارج موطن الكثرة، والطبيعي موجود في الخارج بوجودات متكثّرة، وهي متكثّرة حسب تكثّر الأفراد والوجودات، لا بمعنى تحصّصه بحصص؛ فإنّه لا محصّل له، بل بمعنى أنّ كلّ فرد متّحد في الخارج مع الطبيعي بتمام ذاته؛ لأنّ ذاته غير مرهونة بالوحدة والكثرة، فهو مع الكثير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الواحد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فزيد إنسان لا حصّة منه، وعمرو إنسان آخر لا حصّة اُخرى منه، وهكذا، وإلاّ لزم كون زيد بعض الإنسان لا الإنسان، وعمرو كذلك، وهو ضروري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وجدت الجهة المشتركة في الخارج لزم أن تكون موجودة بنعت الوحدة؛ لأنّ الوجود مساوق للوحدة، فلزم إمّا وحدة جميع الأفراد وجوداً وماهية، أو كون الواحد كثيراً وكون كلّ فرد موجوداً بوجودين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بحيثية الجهة المشتركة، فيكون كلّ الأفراد واحداً في الوجود الخارجي من هذه الحيثية، وثانيهما وجوده بالحيثية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المميّزة 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الإنسان غير موجود بنعت الوحدة والاشتراك بل بنعت الكثرة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من أنّ الطبيعي مع الأفراد كالآباء مع الأولاد، لا الأب مع الأبناء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الفاضل الاُصولي لمّا لم يصل إلى مغزى مرامهم، جمع بين الآباء والأب، فجعل للأفراد أباً وجدّاً هو أب الآباء، ولهذا تراه صرّح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الطبيعي في الخارج هو الجهة المشتركة، وأنّ المرئي بالطبيعي الملحوظ مرآةً للخارج ليس إلاّ تلك الجهة الجامعة بين الحصص</w:t>
      </w:r>
      <w:r>
        <w:rPr>
          <w:rStyle w:val="FootnoteAnchor"/>
          <w:rtl w:val="true"/>
        </w:rPr>
        <w:footnoteReference w:id="183"/>
      </w:r>
      <w:r>
        <w:rPr>
          <w:rFonts w:ascii="Amiri" w:hAnsi="Amiri" w:eastAsia="Amiri" w:cs="Amiri"/>
          <w:color w:val="111111"/>
          <w:sz w:val="28"/>
          <w:sz w:val="28"/>
          <w:szCs w:val="28"/>
          <w:rtl w:val="true"/>
          <w:lang w:bidi="ar-SA"/>
        </w:rPr>
        <w:t xml:space="preserve">، وهذا بعينه </w:t>
      </w:r>
    </w:p>
    <w:p>
      <w:pPr>
        <w:pStyle w:val="BookText"/>
        <w:rPr/>
      </w:pPr>
      <w:r>
        <w:rPr>
          <w:rFonts w:ascii="Amiri" w:hAnsi="Amiri" w:eastAsia="Amiri" w:cs="Amiri"/>
          <w:color w:val="111111"/>
          <w:sz w:val="28"/>
          <w:sz w:val="28"/>
          <w:szCs w:val="28"/>
          <w:rtl w:val="true"/>
          <w:lang w:bidi="ar-SA"/>
        </w:rPr>
        <w:t>قول الرجل الهمداني الذي أفرد شيخ المشّائين رسالة لردّه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نصّ الشيخ بأنّ الإنسانية الموجودة كثيرة بالعدد وليست ذاتاً واحدة، وكذلك الحيوانية، لا كثرة باعتبار إضافات مختلفة، بل ذات الإنسانية المقارنة لخواصّ زيد هي غير ذات الإنسانية المقارنة لخواصّ عمرو، فهما إنسانيتان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إنسانية قارنت خواصّ زيد، وإنسانية قارنت خواصّ عمرو، لا غيرية باعتبار المقارنة حتّى تكون حيوانية واحدة تقارن المتقابلات من الفصول</w:t>
      </w:r>
      <w:r>
        <w:rPr>
          <w:rStyle w:val="FootnoteAnchor"/>
          <w:rtl w:val="true"/>
        </w:rPr>
        <w:footnoteReference w:id="1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ناصّة على خلاف ما زعم هذا المحقّق، مع أنّ البرهان قائم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أيّدنا به قول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انتزاع الواحد عن الواحد، فبعد الغضّ عن أنّ الطبيعي ليس من الانتزاعيات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الماهيات المتأصّلة الموجودة في الخارج تبعاً للوجود تحقّقاً وتكثّراً، وأنّ معنى موجوديتها موجوديتها ذاتاً تبعاً للوجود، لا موجودية منشأ انتزاعها، وأنّ كثرة الوجود منشأ تكثّرها خارجاً؛ لأ نّها بذاتها لا كثيرة ولا واحدة، فالكثرة تعرضها خارجاً؛ بمعنى صيرورة ذاتها كثيرة بتبع الوجود خارجاً، والوحدة تعرضها في العقل عند تجريدها عن كافّة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الانتزاع هاهنا ليس إلاّ عبارة عن إدراك النفس من كلّ فرد بعد تجريده عن المميّزات ما تدرك من فرد آخر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جرّدت النفس 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 منه معنى الإنسان؛ أي طبيعيّه </w:t>
      </w:r>
    </w:p>
    <w:p>
      <w:pPr>
        <w:pStyle w:val="BookText"/>
        <w:rPr/>
      </w:pPr>
      <w:r>
        <w:rPr>
          <w:rFonts w:ascii="Amiri" w:hAnsi="Amiri" w:eastAsia="Amiri" w:cs="Amiri"/>
          <w:color w:val="111111"/>
          <w:sz w:val="28"/>
          <w:sz w:val="28"/>
          <w:szCs w:val="28"/>
          <w:rtl w:val="true"/>
          <w:lang w:bidi="ar-SA"/>
        </w:rPr>
        <w:t xml:space="preserve">من غير اتّصافه بنعت الوحدة المشتركة النوعية، وكذا إذا جرّدت 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 منه ما تنال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تفاوت، وبعد لحاظ كونه مشتركاً بين الأفراد تحكم بأ نّه الجهة المشتركة، فالوحدة تعرضه في العقل عند التحليل والتجزئة، لا في الخارج ولا في حاقّ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تأثير الواحد في الواحد ففي غاية السقوط، منشؤه مقايسة الفاعل الإلهي البسيط بالفواعل الطبيعية، مع عدم التأمّل فيها أيضاً؛ ضرورة أنّ العلّة البسيطة الإلهية يكون معلولها عين التعلّق بها، ويكون بتمام هويته وحقيقته ربطاً محضاً بعلّته، لا يمكن أن يكون له حيثية غير مرتبطة بها، وإلاّ لزم الاستغناء الذاتي وهو ينافي الإمكان، وفي مثله لا يمكن أن يجتمع عليه علّتان حتّى يبحث في كيفيته، ولا يعقل تفويض الفاعل الإلهي أثره إلى غيره، أو تعلّق المعلول بالذات بغير علّته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ربط المعلول البسيط تارةً بهذه العلّة واُخرى بهذه وثالثة بالجامع بينهما؛ للزوم الانقلاب الذاتي في البسيط</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الفواعل الطبيعية فهي بالنظر إلى شخص الأثر الخاصّ بها كذلك؛ فإنّ شخص الحرارة القائمة بشعاع الشمس لا يمكن أن يكون متعلّقاً بالنار وبالعكس، فإذا اجتمعت الشمس والنار على التأثير في ماء واحد يكون كلّ منهما مؤثّراً فيه بقدر أثره الخاصّ به؛ فإنّ الماء غير بسيط، بل مركّب ذو امتداد يتأ ثّر من هذه وهذه، ولا إشكال في تأ ثّر مثل هذا الواحد الطبيعي القابل للتجزئة والتركيب بعلّتين، فأثر كلّ علّة غير أثر الاُخرى، وتأ ثّر الماء بكلّ غير تأ ثّره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في اجتماع أشخاص على رفع الحجر؛ فإنّ كلّ واحد يؤثّر </w:t>
      </w:r>
    </w:p>
    <w:p>
      <w:pPr>
        <w:pStyle w:val="BookText"/>
        <w:rPr/>
      </w:pPr>
      <w:r>
        <w:rPr>
          <w:rFonts w:ascii="Amiri" w:hAnsi="Amiri" w:eastAsia="Amiri" w:cs="Amiri"/>
          <w:color w:val="111111"/>
          <w:sz w:val="28"/>
          <w:sz w:val="28"/>
          <w:szCs w:val="28"/>
          <w:rtl w:val="true"/>
          <w:lang w:bidi="ar-SA"/>
        </w:rPr>
        <w:t xml:space="preserve">فيه أثراً خاصّاً به، حتّى يحدث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القواسر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يغلب</w:t>
      </w:r>
    </w:p>
    <w:p>
      <w:pPr>
        <w:pStyle w:val="BookText"/>
        <w:rPr/>
      </w:pPr>
      <w:r>
        <w:rPr>
          <w:rFonts w:ascii="Amiri" w:hAnsi="Amiri" w:eastAsia="Amiri" w:cs="Amiri"/>
          <w:color w:val="111111"/>
          <w:sz w:val="28"/>
          <w:sz w:val="28"/>
          <w:szCs w:val="28"/>
          <w:rtl w:val="true"/>
          <w:lang w:bidi="ar-SA"/>
        </w:rPr>
        <w:t>على ثقله الطبيعي أو جاذبة الأرض، وهذا واضح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لك الخلل فيما زعمه رحمه الله علیه من البناء على هذا المبنى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ترى في خلال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الحيثية التي تشترك بها هذه الحصص، وتمتاز عن أفراد النوع الآخر، هي الحيثية التي بها قوام نوعيتها، وهي متّحدة مع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الطبيعي لا يمكن أن يتحصّص بنفس ذاته، بل التحصّص يحصل عن تقيّده بقيود عقلية، مثل الإنسان الأبيض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لحوق شيء للطبيعي، فحينئذٍ لا يمكن أن تكون الحصص نفس الطبيعي في اللحاظ العقلي، والاتّحاد الخارجي كما يكون بين الحصص والطبيعي يكون بين الأفراد والطبيعي، والاتّحاد الخارجي لا يوجب سراية الأمر، وما به الامتياز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حصص نوع مع حصص نوع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بالفصل المقوّم فقط، بل به وبالتقيّدات الحاصلة من القيود اللاحقة المحصّلة للحصص، والامتياز بالفصل المقوّم فقط إنّما يكون بين نوع ونوع آخر، لا حصصهما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المتعلّق بالطبيعي لا يمكن أن يسري إلى الأفراد، ولا إلى الحصص التي تخيّلت للطبيعي</w:t>
      </w:r>
      <w:r>
        <w:rPr>
          <w:rFonts w:eastAsia="Amiri" w:cs="Amiri" w:ascii="Amiri" w:hAnsi="Amiri"/>
          <w:color w:val="111111"/>
          <w:sz w:val="28"/>
          <w:szCs w:val="28"/>
          <w:rtl w:val="true"/>
          <w:lang w:bidi="ar-SA"/>
        </w:rPr>
        <w:t xml:space="preserve">. </w:t>
      </w:r>
      <w:bookmarkStart w:id="202" w:name="pg15293_220129"/>
    </w:p>
    <w:p>
      <w:pPr>
        <w:pStyle w:val="Heading2"/>
        <w:numPr>
          <w:ilvl w:val="1"/>
          <w:numId w:val="1"/>
        </w:numPr>
        <w:rPr/>
      </w:pPr>
      <w:bookmarkStart w:id="203" w:name="__RefHeading___Toc4628898_2142443653"/>
      <w:bookmarkStart w:id="204" w:name="_Toc70"/>
      <w:bookmarkEnd w:id="202"/>
      <w:bookmarkEnd w:id="203"/>
      <w:r>
        <w:rPr>
          <w:rtl w:val="true"/>
        </w:rPr>
        <w:t>الفصل الثامن في بقاء الجواز بعد نسخ الوجوب</w:t>
      </w:r>
      <w:bookmarkEnd w:id="204"/>
    </w:p>
    <w:p>
      <w:pPr>
        <w:pStyle w:val="Heading3"/>
        <w:numPr>
          <w:ilvl w:val="2"/>
          <w:numId w:val="1"/>
        </w:numPr>
        <w:rPr/>
      </w:pPr>
      <w:bookmarkStart w:id="205" w:name="__RefHeading___Toc4628900_2142443653"/>
      <w:bookmarkStart w:id="206" w:name="_Toc71"/>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إذا نسخ الوجوب فهل يبقى الجواز ؟ والكلام يقع في مقامات</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4628902_2142443653"/>
      <w:bookmarkStart w:id="208" w:name="_Toc72"/>
      <w:bookmarkEnd w:id="207"/>
      <w:r>
        <w:rPr>
          <w:rtl w:val="true"/>
        </w:rPr>
        <w:t>المقام الأوّل</w:t>
      </w:r>
      <w:r>
        <w:rPr>
          <w:rtl w:val="true"/>
        </w:rPr>
        <w:t xml:space="preserve">: </w:t>
      </w:r>
      <w:r>
        <w:rPr>
          <w:rtl w:val="true"/>
        </w:rPr>
        <w:t>في إمكان بقائه عقلاً</w:t>
      </w:r>
      <w:bookmarkEnd w:id="208"/>
    </w:p>
    <w:p>
      <w:pPr>
        <w:pStyle w:val="BookText"/>
        <w:rPr/>
      </w:pPr>
      <w:r>
        <w:rPr>
          <w:rFonts w:ascii="Amiri" w:hAnsi="Amiri" w:eastAsia="Amiri" w:cs="Amiri"/>
          <w:color w:val="111111"/>
          <w:sz w:val="28"/>
          <w:sz w:val="28"/>
          <w:szCs w:val="28"/>
          <w:rtl w:val="true"/>
          <w:lang w:bidi="ar-SA"/>
        </w:rPr>
        <w:t>قد يقال بإمكانه؛ بدعوى أنّ الوجوب وإن كان بسيطاً، إلاّ أ نّه يتضمّن مراتب عديدة،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الجواز، والرجحان، والإلزام، فيمكن أن يرتفع بعض المراتب ويبقى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الوجوب حقيقة ذات تشكيك فلا حاجة في إثبات مرتبة بعد ارتفاع الاُخرى إلى دليل على الفصل؛ فإنّه بعد ذهاب مرتبة منه يتحدّد قهراً بالاُخرى، نظير الحمرة الشديدة التي تزول مرتبة منها فتبقى مرتبة اُخرى</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أمر انتزاعي من البعث الناشئ من الإرادة الحتمية، والاُمور الانتزاعية ليست ذات مراتب حتّى يأتي فيها ما ذكر، والتفاوت </w:t>
      </w:r>
    </w:p>
    <w:p>
      <w:pPr>
        <w:pStyle w:val="BookText"/>
        <w:rPr/>
      </w:pPr>
      <w:r>
        <w:rPr>
          <w:rFonts w:ascii="Amiri" w:hAnsi="Amiri" w:eastAsia="Amiri" w:cs="Amiri"/>
          <w:color w:val="111111"/>
          <w:sz w:val="28"/>
          <w:sz w:val="28"/>
          <w:szCs w:val="28"/>
          <w:rtl w:val="true"/>
          <w:lang w:bidi="ar-SA"/>
        </w:rPr>
        <w:t>بين البعث الإلزامي والاستحبابي ليس في نفس البعث، بل في منشئه الذي هو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الوجوب هو الإرادة المظهرة</w:t>
      </w:r>
      <w:r>
        <w:rPr>
          <w:rStyle w:val="FootnoteAnchor"/>
          <w:rtl w:val="true"/>
        </w:rPr>
        <w:footnoteReference w:id="187"/>
      </w:r>
      <w:r>
        <w:rPr>
          <w:rFonts w:ascii="Amiri" w:hAnsi="Amiri" w:eastAsia="Amiri" w:cs="Amiri"/>
          <w:color w:val="111111"/>
          <w:sz w:val="28"/>
          <w:sz w:val="28"/>
          <w:szCs w:val="28"/>
          <w:rtl w:val="true"/>
          <w:lang w:bidi="ar-SA"/>
        </w:rPr>
        <w:t>، فباعتبار الإرادة يكون ذا مراتب، لكنّ المبنى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بسيطاً وذا مراتب لم يلزم منه إمكان ذهاب مرتبة وبقاء الاُخرى؛ لأنّ معنى كون البسائط ذات مراتب ليس أنّ كلّ مرتبة منها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ذات تشكيك</w:t>
      </w:r>
      <w:r>
        <w:rPr>
          <w:rStyle w:val="FootnoteAnchor"/>
          <w:rtl w:val="true"/>
        </w:rPr>
        <w:footnoteReference w:id="188"/>
      </w:r>
      <w:r>
        <w:rPr>
          <w:rFonts w:ascii="Amiri" w:hAnsi="Amiri" w:eastAsia="Amiri" w:cs="Amiri"/>
          <w:color w:val="111111"/>
          <w:sz w:val="28"/>
          <w:sz w:val="28"/>
          <w:szCs w:val="28"/>
          <w:rtl w:val="true"/>
          <w:lang w:bidi="ar-SA"/>
        </w:rPr>
        <w:t xml:space="preserve">، وليس لازمه أنّ الوجود الواجبي أيضاً ذو مراتب، والوجود العقلي كذلك، بل المراد أنّ نفس الحقيقة تصدق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مرتبة بسيطة كاملة منها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المراتب الاُخر دونه صدقاً مشكّكاً، لا أنّ كلّ هوية ذات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في المقام ذا مراتب معناه أنّ مرتبة منه الوجوب، ومرتبة منه الوجوب الأكيد، واُخرى آكد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ومفهوم الوجوب يصدق عليها صدقاً مشكّكاً، لا أنّ كلّ وجوب ذو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ينتزع من الوجوب الجواز بالمعنى الأعمّ والرجحان بمعناه، لا بمعنى وجودهما في ضمنه، بل بمعنى أنّ طبيعي الجواز والرجحان موجود بعين وجود الوجوب، فالوجوب هو الجواز والرجحان، ومع ذهابه يذهبان بعين ذهابه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المنظور من الوجوب ومراتبه هو الإرادة المظهرة، فهي </w:t>
      </w:r>
      <w:bookmarkStart w:id="209" w:name="pg15293_220131"/>
    </w:p>
    <w:p>
      <w:pPr>
        <w:pStyle w:val="BookText"/>
        <w:rPr/>
      </w:pPr>
      <w:bookmarkEnd w:id="209"/>
      <w:r>
        <w:rPr>
          <w:rFonts w:ascii="Amiri" w:hAnsi="Amiri" w:eastAsia="Amiri" w:cs="Amiri"/>
          <w:color w:val="111111"/>
          <w:sz w:val="28"/>
          <w:sz w:val="28"/>
          <w:szCs w:val="28"/>
          <w:rtl w:val="true"/>
          <w:lang w:bidi="ar-SA"/>
        </w:rPr>
        <w:t>في الحيوان والإنسان وإن يتطرّق إليها الشدّة والضعف؛ لكونها من شؤون المادّة،</w:t>
      </w:r>
    </w:p>
    <w:p>
      <w:pPr>
        <w:pStyle w:val="BookText"/>
        <w:rPr/>
      </w:pPr>
      <w:r>
        <w:rPr>
          <w:rFonts w:ascii="Amiri" w:hAnsi="Amiri" w:eastAsia="Amiri" w:cs="Amiri"/>
          <w:color w:val="111111"/>
          <w:sz w:val="28"/>
          <w:sz w:val="28"/>
          <w:szCs w:val="28"/>
          <w:rtl w:val="true"/>
          <w:lang w:bidi="ar-SA"/>
        </w:rPr>
        <w:t>لكن لا يمكن ذلك في المبادئ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بقاء الجواز أو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رفع الوجوب</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628904_2142443653"/>
      <w:bookmarkStart w:id="211" w:name="_Toc73"/>
      <w:bookmarkEnd w:id="210"/>
      <w:r>
        <w:rPr>
          <w:rtl w:val="true"/>
        </w:rPr>
        <w:t>المقام الثاني</w:t>
      </w:r>
      <w:r>
        <w:rPr>
          <w:rtl w:val="true"/>
        </w:rPr>
        <w:t xml:space="preserve">: </w:t>
      </w:r>
      <w:r>
        <w:rPr>
          <w:rtl w:val="true"/>
        </w:rPr>
        <w:t>في مقتضى الأدلّة إثباتاً بعد فرض إمكانه</w:t>
      </w:r>
      <w:bookmarkEnd w:id="211"/>
    </w:p>
    <w:p>
      <w:pPr>
        <w:pStyle w:val="BookText"/>
        <w:rPr/>
      </w:pPr>
      <w:r>
        <w:rPr>
          <w:rFonts w:ascii="Amiri" w:hAnsi="Amiri" w:eastAsia="Amiri" w:cs="Amiri"/>
          <w:color w:val="111111"/>
          <w:sz w:val="28"/>
          <w:sz w:val="28"/>
          <w:szCs w:val="28"/>
          <w:rtl w:val="true"/>
          <w:lang w:bidi="ar-SA"/>
        </w:rPr>
        <w:t>والحقّ عدم دلالة شيء من الناسخ والمنسوخ عليه؛ لأنّ دليل الوجوب ليس له ظهورات حتّى يبقى بعضها مع سقوط بعض، بل البعث الإلزامي لا يكون له ظهور إلاّ في نفس البعث، ويفهم الإلزام من أمر آخر، كحكم العقلاء بكونه تمام الموضوع لوجوب الطاعة، إلاّ أن يقوم دليل على الترخيص، ولو فرض ظهوره في الوجوب وضعاً لا يكون له إلاّ ظهور واحد، فمع قيام الدليل على النسخ لا يبقى ظهور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الإلزامي كما يكشف عن الإرادة الإلزامية يكشف عن الرجحان الفعلي وعن أصل الجواز، فإذا سقطت كاشفيته بالنسبة إلى الإلزام بقيت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لا يكشف إلاّ عن الإرادة الحتمية، لكن العقل يحكم بأنّ الرجحان والجواز بمعناهما الأعمّ موجودان بوجوده، ومع سقوط كشفه عن الإرادة الحتمية لا يبقى منكشف ولا كاشف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كون المنكشف متعدّداً لكنّه طولي لا عرضي؛ لأنّ الطلب الإلزامي يكشف عن الإرادة الحتمية، وهي تكشف عن الرجحان والجواز، ومع الطولية لا يمكن بقاء الكاشفية</w:t>
      </w:r>
      <w:r>
        <w:rPr>
          <w:rFonts w:eastAsia="Amiri" w:cs="Amiri" w:ascii="Amiri" w:hAnsi="Amiri"/>
          <w:color w:val="111111"/>
          <w:sz w:val="28"/>
          <w:szCs w:val="28"/>
          <w:rtl w:val="true"/>
          <w:lang w:bidi="ar-SA"/>
        </w:rPr>
        <w:t xml:space="preserve">. </w:t>
      </w:r>
      <w:bookmarkStart w:id="212" w:name="pg15293_220132"/>
    </w:p>
    <w:p>
      <w:pPr>
        <w:pStyle w:val="BookText"/>
        <w:rPr/>
      </w:pPr>
      <w:bookmarkEnd w:id="212"/>
      <w:r>
        <w:rPr>
          <w:rFonts w:ascii="Amiri" w:hAnsi="Amiri" w:eastAsia="Amiri" w:cs="Amiri"/>
          <w:color w:val="111111"/>
          <w:sz w:val="28"/>
          <w:sz w:val="28"/>
          <w:szCs w:val="28"/>
          <w:rtl w:val="true"/>
          <w:lang w:bidi="ar-SA"/>
        </w:rPr>
        <w:t>بل لو فرض العرضية لم يمكن ذلك أيضاً؛ لأ نّه مع سقوط الكاشف لا مجال للكشف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المقام كواشف فبسقوط أحدها لا يسقط الآخر، لكنّه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سقط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 المتيقّن من دليل النسخ رفع خصوص الإلزام، وفيما عداه يؤخذ بدليل المنسوخ، نظير ما إذا ورد دليل ظاهر في الوجوب ودليل آخر على عدمه، فيجمع بينهما، ويؤخذ بظهور دليل الوجوب في مطلق الرجحان ويرفع اليد عن ظهوره في الإلزام، فليكن المقام كذلك</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الجمع بين الأمر الظاهر في الوجوب والنصّ المرخّص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الأمر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أخذاً ببعض مراتب الظهور وترك بعض مراتبه، بل هو تحكيم النصّ على الظاهر وحمله على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فرضنا ظهور الأمر في الوجوب، وإلاّ فالكلام فيه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نحن فيه، فبعد العلم بأنّ الأمر للوجوب، والعلم برفع الوجوب، فلا مجال لبقاء الاستحباب، إلاّ إذا فرض مراتب للظهور، وهو بمكان من الفساد، فالقياس مع الفارق، والمقيس عليه ليس كما توهّم</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628906_2142443653"/>
      <w:bookmarkStart w:id="214" w:name="_Toc74"/>
      <w:bookmarkEnd w:id="213"/>
      <w:r>
        <w:rPr>
          <w:rtl w:val="true"/>
        </w:rPr>
        <w:t>المقام الثالث</w:t>
      </w:r>
      <w:r>
        <w:rPr>
          <w:rtl w:val="true"/>
        </w:rPr>
        <w:t xml:space="preserve">: </w:t>
      </w:r>
      <w:r>
        <w:rPr>
          <w:rtl w:val="true"/>
        </w:rPr>
        <w:t>في استصحاب الجواز عند الشكّ في بقائه</w:t>
      </w:r>
      <w:bookmarkEnd w:id="21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 الشكّ في بقاء الجواز هل يمكن استصحابه ؟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طبيعي الجواز كان موجوداً بوجود الوجوب، ومع رفعه نشكّ في بقاء أصل الجواز مع مصداق آخر، فيستصحب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عدم جريانه هنا ولو سلّمنا جريانه في القسم الثالث من الكلّي؛ لأنّ من شرائط جريانه أن يكون المستصحب موضوعاً ذا أثر شرعي، أو حكماً مجعولاً كنفس الوجوب والاستحباب، والمقام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الوجوب والجواز بالمعنى الأخصّ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مجعولاً وحكماً شرعياً، بل الجعل إنّما تعلّق بكلّ منها، والعقل ينتزع من الجعل المتعلِّق بها الجواز بالمعنى الأعمّ، وهذا الأمر الانتزاعي ليس حكماً شرعياً ومجعولاً شرعاً، فلا مجال لاستصحابه</w:t>
      </w:r>
      <w:r>
        <w:rPr>
          <w:rFonts w:eastAsia="Amiri" w:cs="Amiri" w:ascii="Amiri" w:hAnsi="Amiri"/>
          <w:color w:val="111111"/>
          <w:sz w:val="28"/>
          <w:szCs w:val="28"/>
          <w:rtl w:val="true"/>
          <w:lang w:bidi="ar-SA"/>
        </w:rPr>
        <w:t xml:space="preserve">. </w:t>
      </w:r>
      <w:bookmarkStart w:id="215" w:name="pg15293_220134"/>
    </w:p>
    <w:p>
      <w:pPr>
        <w:pStyle w:val="Heading2"/>
        <w:numPr>
          <w:ilvl w:val="1"/>
          <w:numId w:val="1"/>
        </w:numPr>
        <w:rPr/>
      </w:pPr>
      <w:bookmarkStart w:id="216" w:name="__RefHeading___Toc4628908_2142443653"/>
      <w:bookmarkStart w:id="217" w:name="_Toc75"/>
      <w:bookmarkEnd w:id="215"/>
      <w:bookmarkEnd w:id="216"/>
      <w:r>
        <w:rPr>
          <w:rtl w:val="true"/>
        </w:rPr>
        <w:t>الفصل التاسع في الواجب التخييري</w:t>
      </w:r>
      <w:bookmarkEnd w:id="217"/>
    </w:p>
    <w:p>
      <w:pPr>
        <w:pStyle w:val="Heading3"/>
        <w:numPr>
          <w:ilvl w:val="2"/>
          <w:numId w:val="1"/>
        </w:numPr>
        <w:rPr/>
      </w:pPr>
      <w:bookmarkStart w:id="218" w:name="__RefHeading___Toc4628910_2142443653"/>
      <w:bookmarkStart w:id="219" w:name="_Toc76"/>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لا إشكال في وقوع ما هو بظاهره الواجب التخييري في الشرع والعرف، إنّما الكلام في إمكانه ثبوتاً حتّى يؤخذ بظاهر الأدلّة، أو عدمه حتّى يترك ظاهرها ويوجّه بنحو، كالالتزام بتعلّق التكليف بالجامع تعييناً وأنّ التخيير عقلي، أو تعلّقه بالجامع الانتزاعي،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مايمكن أن يقال في وجه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التكوينية لا يمكن أن تتعلّق بما هو مردّد واقعاً، فكذلك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للتشخّص والتعيّن الواقعي، والتردّد النفس الأمري مضادّ للموجودية، فلا يمكن أن يكون وجود متردّداً واقعاً بين شيئين ترديداً بحسب نفس الأمر، سواء كان وجوداً خارجياً أو ذهنياً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تكوينية أو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الحقيقية ذات الإضافة، ولا يمكن تحقّقها بلا إضافة إلى شيء، فلا بدّ من مضاف إليه موجود، فلا يعقل أن تكون الإرادة بحسب نفس الأمر مردّدة التعلّق، </w:t>
      </w:r>
    </w:p>
    <w:p>
      <w:pPr>
        <w:pStyle w:val="BookText"/>
        <w:rPr/>
      </w:pPr>
      <w:r>
        <w:rPr>
          <w:rFonts w:ascii="Amiri" w:hAnsi="Amiri" w:eastAsia="Amiri" w:cs="Amiri"/>
          <w:color w:val="111111"/>
          <w:sz w:val="28"/>
          <w:sz w:val="28"/>
          <w:szCs w:val="28"/>
          <w:rtl w:val="true"/>
          <w:lang w:bidi="ar-SA"/>
        </w:rPr>
        <w:t>ولا متعلّقها كذلك؛ للزوم أن يكون الموجود متردّداً واقعاً، وهو يرجع إلى التردّد</w:t>
      </w:r>
    </w:p>
    <w:p>
      <w:pPr>
        <w:pStyle w:val="BookText"/>
        <w:rPr/>
      </w:pPr>
      <w:r>
        <w:rPr>
          <w:rFonts w:ascii="Amiri" w:hAnsi="Amiri" w:eastAsia="Amiri" w:cs="Amiri"/>
          <w:color w:val="111111"/>
          <w:sz w:val="28"/>
          <w:sz w:val="28"/>
          <w:szCs w:val="28"/>
          <w:rtl w:val="true"/>
          <w:lang w:bidi="ar-SA"/>
        </w:rPr>
        <w:t>فيما هو بذاته متعيّن متشخّص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البعث؛ فإنّه يقع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إلى شيء هو المبعوث إليه، فيكون لكلّ من آلة البعث ومتعلّقها وجود ذهناً أو خارجاً ممّا لا يمكن أن يتطرّق إليه الترديد الواقعي، فالواجب التخييري لازمه التردّد الواقعي في الإرادة التشريعية ومتعلّقها وفي البعث اللازم منه التردّد في آلته ومتعلّقه، وكلّ ذلك محال؛ لاستلزامه الإبهام الواقعي في المتشخّصات والمتعيّنات الواقعية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لزوم ما ذكر من الإبهام والتردّد الواقعي في شيء من المذكورات؛ لأنّ المولى إذا رأى أنّ في شيئين أو أشياء مصلحة ملزمة وافية كلٌّ منها بغرضه؛ بحيث يكون كلّ من الطرفين أو الأطراف محصّله، ولم يكن جامع بينها قابل لتعلّق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لزوم الجامع على مبنى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يتوسّل لتحصيل غرضه بهذا النحو بإرادة بعث متعلّق بهذا وإرادة بعث آخر متعلّق بذاك، مع تخلّل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معناها بينهما؛ لإفهام أنّ كلّ واحد منهما محصّل لغرضه، ولا يلزم الجمع بينهما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فهاهنا إرادة متعلّقة بمراد، وبعث متعلّق بمبعوث إليه، كلّها معيّنات مشخّصات لا إبهام في شيءٍ منها، وإرادة اُخرى متعلّقة بمراد آخر، وبعث آخر إلى مبعوث إليه آخر، كلّها معيّنات مشخَّصات، وبتخلّل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يرادفها </w:t>
      </w:r>
    </w:p>
    <w:p>
      <w:pPr>
        <w:pStyle w:val="BookText"/>
        <w:rPr/>
      </w:pPr>
      <w:r>
        <w:rPr>
          <w:rFonts w:ascii="Amiri" w:hAnsi="Amiri" w:eastAsia="Amiri" w:cs="Amiri"/>
          <w:color w:val="111111"/>
          <w:sz w:val="28"/>
          <w:sz w:val="28"/>
          <w:szCs w:val="28"/>
          <w:rtl w:val="true"/>
          <w:lang w:bidi="ar-SA"/>
        </w:rPr>
        <w:t>يرشد المأمور إلى ما هو مراده، وهو إتيان المأمور بهذا أو ذاك، وبالضرورة ليس في شيء من الإرادة والمراد وغيرهما إبهام بحسب الواقع 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راجعت وجدانك في أوامرك التخييرية ترى أنّ الواقع هو ما ذكرنا، فلا تكون الإرادة في الواجب التعييني والتخييري سنخين، ولا البعث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بينهما بحسب الثبوت هو كون الواجب التعييني بنفسه محصّلاً للغرض ليس إلاّ، بخلاف التخييري، ويكون البعث في التعييني متعلّقاً بشيء بلا تعلّقه بشيء آخر، وفي التخييري يكون بعثان متعلّقان بشيئين مع تخلّلهما بما يفيد معنى التخيير في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كلّ من الطرفين في التخييري محصّلاً لغرض غير الآخر، لكن يكون حصول كلّ غرض هادماً لموضوع الآخر، فيتوسّل المولى إلى حصول غرضه بما ذكر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تقسيم الواجب إلى التعييني والتخييري كتقسيمه إلى النفسي والغيري، إنّما هو بلحاظ البعث المنتزع منه الوجوب، فحديث الأغراض والمصالح الواقعية ومحصّلها ولزوم صدور الواحد عن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محطّ التقسيم، فكما أنّ تقسيمه إلى النفسي والغيري لا ينافي كون الواجبات لمصالح واقعية كما تقدّم</w:t>
      </w:r>
      <w:r>
        <w:rPr>
          <w:rStyle w:val="FootnoteAnchor"/>
          <w:rtl w:val="true"/>
        </w:rPr>
        <w:footnoteReference w:id="191"/>
      </w:r>
      <w:r>
        <w:rPr>
          <w:rFonts w:ascii="Amiri" w:hAnsi="Amiri" w:eastAsia="Amiri" w:cs="Amiri"/>
          <w:color w:val="111111"/>
          <w:sz w:val="28"/>
          <w:sz w:val="28"/>
          <w:szCs w:val="28"/>
          <w:rtl w:val="true"/>
          <w:lang w:bidi="ar-SA"/>
        </w:rPr>
        <w:t>، كذلك كون الجامع مؤثّراً في تحصيل الغرض الواحد لا ينافي تقسيمه إلى التعييني والتخييري، فتدبّر</w:t>
      </w:r>
      <w:r>
        <w:rPr>
          <w:rFonts w:eastAsia="Amiri" w:cs="Amiri" w:ascii="Amiri" w:hAnsi="Amiri"/>
          <w:color w:val="111111"/>
          <w:sz w:val="28"/>
          <w:szCs w:val="28"/>
          <w:rtl w:val="true"/>
          <w:lang w:bidi="ar-SA"/>
        </w:rPr>
        <w:t xml:space="preserve">. </w:t>
      </w:r>
      <w:bookmarkStart w:id="220" w:name="pg15293_220137"/>
    </w:p>
    <w:p>
      <w:pPr>
        <w:pStyle w:val="Heading3"/>
        <w:numPr>
          <w:ilvl w:val="2"/>
          <w:numId w:val="1"/>
        </w:numPr>
        <w:rPr/>
      </w:pPr>
      <w:bookmarkStart w:id="221" w:name="__RefHeading___Toc4628912_2142443653"/>
      <w:bookmarkStart w:id="222" w:name="_Toc77"/>
      <w:bookmarkEnd w:id="220"/>
      <w:bookmarkEnd w:id="221"/>
      <w:r>
        <w:rPr>
          <w:rtl w:val="true"/>
        </w:rPr>
        <w:t xml:space="preserve">تنبيه </w:t>
      </w:r>
      <w:r>
        <w:rPr>
          <w:rtl w:val="true"/>
        </w:rPr>
        <w:t xml:space="preserve">: </w:t>
      </w:r>
      <w:r>
        <w:rPr>
          <w:rtl w:val="true"/>
        </w:rPr>
        <w:t>في التخيير بين الأقلّ والأكثر</w:t>
      </w:r>
      <w:bookmarkEnd w:id="222"/>
    </w:p>
    <w:p>
      <w:pPr>
        <w:pStyle w:val="Heading4"/>
        <w:numPr>
          <w:ilvl w:val="3"/>
          <w:numId w:val="1"/>
        </w:numPr>
        <w:rPr/>
      </w:pPr>
      <w:bookmarkStart w:id="223" w:name="__RefHeading___Toc4628914_2142443653"/>
      <w:bookmarkStart w:id="224" w:name="_Toc78"/>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هل يمكن التخيير بين الأقلّ والأكثر أم لا ؟</w:t>
      </w:r>
    </w:p>
    <w:p>
      <w:pPr>
        <w:pStyle w:val="BookText"/>
        <w:rPr/>
      </w:pPr>
      <w:r>
        <w:rPr>
          <w:rFonts w:ascii="Amiri" w:hAnsi="Amiri" w:eastAsia="Amiri" w:cs="Amiri"/>
          <w:color w:val="111111"/>
          <w:sz w:val="28"/>
          <w:sz w:val="28"/>
          <w:szCs w:val="28"/>
          <w:rtl w:val="true"/>
          <w:lang w:bidi="ar-SA"/>
        </w:rPr>
        <w:t>محطّ البحث والإشكال إنّما هو في الأقلّ الذي اُخذ لا بشرط، وأمّا المأخوذ بشرط لا فهو من قبيل المتباين مع الأكثر، ولا إشكال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التدريجيات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الدفعيات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الزائد يجوز تركه لا إلى بدل، وهو ينافي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يكون من قبيل إلزام ما لا يلزم، وإيجابه بلا ملاك، وهو محال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والأكثر قد يكونان من التدريجيات، وقد يكونان من الدفعيات، وعلى أيّ تقدير قد يكون كلّ منهما محصّلاً لغرض واحد وقد يكون كلّ محصّلاً لغرض غير الآخر، وعلى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بين الغرضين مزاحمة بحسب الوجود وقد لا تكون</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4628916_2142443653"/>
      <w:bookmarkStart w:id="226" w:name="_Toc79"/>
      <w:bookmarkEnd w:id="225"/>
      <w:r>
        <w:rPr>
          <w:rtl w:val="true"/>
        </w:rPr>
        <w:t>التخيير بين الأقلّ والأكثر في التدريجيات</w:t>
      </w:r>
      <w:bookmarkEnd w:id="2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امتناع التخيير بينهما في التدريجيات؛ لأنّ الأقلّ يتحقّق دائماً قبل الأكثر فيستند إليه الأثر ويسقط الوجوب بوجوده، ولا يعقل إيجاب الأكثر الذي لا يمكن امتثاله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ممكن إذا كان الأقلّ والأكثر تحت طبيعة واحدة تكون بحسب الوجود مشكّكة، ويكون ما به الاشتراك بين الأفراد عين ما به الامتياز، كالخطّ القصير والطويل؛ لأنّ تعيّن الخطّ لفردية الطبيعة إنّما يكون إذا صار محدوداً، وأمّا مادام الاستمرار التدريجي فلا يتعيّن للفردية، بل كأ نّه مبهم قابل لكلّ تعيّن، فمحصّل الغرض إذا كان فرداً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يصير القصير فرداً لها إلاّ إذا</w:t>
      </w:r>
    </w:p>
    <w:p>
      <w:pPr>
        <w:pStyle w:val="BookText"/>
        <w:rPr/>
      </w:pPr>
      <w:r>
        <w:rPr>
          <w:rFonts w:ascii="Amiri" w:hAnsi="Amiri" w:eastAsia="Amiri" w:cs="Amiri"/>
          <w:color w:val="111111"/>
          <w:sz w:val="28"/>
          <w:sz w:val="28"/>
          <w:szCs w:val="28"/>
          <w:rtl w:val="true"/>
          <w:lang w:bidi="ar-SA"/>
        </w:rPr>
        <w:t>صار محدوداً، فالفردان وإن تفاوتا بالأقلّية والأكثرية، لكن صيرورتهما فردين لها ومحصّلين للغرض لا تمكن إلاّ بتحقّق الفردية، وهي متقوّمة بالمحدودية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يمكن فيما إذا كانا محصّلين لعنوان آخر يكون ذلك العنوان محصّلاً للغرض،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الحاضر والمسافر مع كونهما مختلفتين بالأقلّية والأكثرية، لكن يكون كلّ منهما محصّلاً 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كالتخشّع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العنوان محصّلاً للغرض، ففي مثله يجوز التخيير بينهما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ما قرّره بعض سادة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خلط نشأ من الخلط بين اللابشرطية والبشرط لائية؛ لأنّ الخطّ الذي لا يتعيّن بالمصداقية للطبيعة هو الخطّ المحدود بحدّ القِصر الذي هو بشرط لا، وأمّا نفس طبيعة الخطّ بمقدار الذراع مثلاً بلا شرط بالمحدودية وغيرها، فلا إشكال في تحقّقها إذا وصل الخطّ المتدرّج إلى مقدار الذراع وإن لم يتوقّف عند ذلك الحدّ؛ ضرورة أنّ الخطّ الموجود في الخارج لا يمكن أن لا تصدق عليه طبيعة الخطّ، وإذا</w:t>
      </w:r>
      <w:bookmarkStart w:id="227" w:name="pg15293_220139"/>
    </w:p>
    <w:p>
      <w:pPr>
        <w:pStyle w:val="BookText"/>
        <w:rPr/>
      </w:pPr>
      <w:bookmarkEnd w:id="227"/>
      <w:r>
        <w:rPr>
          <w:rFonts w:ascii="Amiri" w:hAnsi="Amiri" w:eastAsia="Amiri" w:cs="Amiri"/>
          <w:color w:val="111111"/>
          <w:sz w:val="28"/>
          <w:sz w:val="28"/>
          <w:szCs w:val="28"/>
          <w:rtl w:val="true"/>
          <w:lang w:bidi="ar-SA"/>
        </w:rPr>
        <w:t>وصل إلى ذراع لا يمكن عدم موجودية الذراع اللا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الموجود يصدق عليه طبيعة الذراع من الخطّ وإن لم يصدق عليه الخطّ المحدود، ومورد الكلام هو الأوّل؛ أي اللا بشرط المتحقّق مع المحدود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يصير الفرد القصير فرداً لها إلاّ مع محدوديته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أنّ</w:t>
      </w:r>
    </w:p>
    <w:p>
      <w:pPr>
        <w:pStyle w:val="BookText"/>
        <w:rPr/>
      </w:pPr>
      <w:r>
        <w:rPr>
          <w:rFonts w:ascii="Amiri" w:hAnsi="Amiri" w:eastAsia="Amiri" w:cs="Amiri"/>
          <w:color w:val="111111"/>
          <w:sz w:val="28"/>
          <w:sz w:val="28"/>
          <w:szCs w:val="28"/>
          <w:rtl w:val="true"/>
          <w:lang w:bidi="ar-SA"/>
        </w:rPr>
        <w:t>اللا بشرط لا يتحقّق، فهو مدفوع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المحدود بالقصر لا يتحقّق، فهو خارج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 النظر في الفرض الثاني؛ لأنّ الأقلّ اللا بشرط إذا وجد يكون محصّلاً للعنوان الذي هو محصّل للغرض، فلا يبقى مجال لتحصيل الأكثر ذلك العنوان المحصِّل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التدريجيات</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4628918_2142443653"/>
      <w:bookmarkStart w:id="229" w:name="_Toc80"/>
      <w:bookmarkEnd w:id="228"/>
      <w:r>
        <w:rPr>
          <w:rtl w:val="true"/>
        </w:rPr>
        <w:t>التخيير بين الأقلّ والأكثر في الدفعيات</w:t>
      </w:r>
      <w:bookmarkEnd w:id="229"/>
    </w:p>
    <w:p>
      <w:pPr>
        <w:pStyle w:val="BookText"/>
        <w:rPr/>
      </w:pPr>
      <w:r>
        <w:rPr>
          <w:rFonts w:ascii="Amiri" w:hAnsi="Amiri" w:eastAsia="Amiri" w:cs="Amiri"/>
          <w:color w:val="111111"/>
          <w:sz w:val="28"/>
          <w:sz w:val="28"/>
          <w:szCs w:val="28"/>
          <w:rtl w:val="true"/>
          <w:lang w:bidi="ar-SA"/>
        </w:rPr>
        <w:t>وأمّا الدفعيات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هنا غرض واحد يحصل بكلّ منهما، فلا يعقل التخيير بينهما أيضاً؛ لأنّ الغرض إذا حصل بنفس ذراع من الخطّ بلا شرط، كان التكليف بالزيادة بلا ملاك، فتعلّق الإرادة والبعث بها لغو ممتنع، ومجرّد وحدة وجود الأقلّ بلا شرط مع الأكثر خارجاً لا يدفع الامتناع بعد كون محطّ تعلّق الأمر هو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تجريد طبيعة المطلوب عن غيره من اللواحق الزائدة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لكلّ منهما غرض غير 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بين الغرضين تدافع في </w:t>
      </w:r>
    </w:p>
    <w:p>
      <w:pPr>
        <w:pStyle w:val="BookText"/>
        <w:rPr/>
      </w:pPr>
      <w:r>
        <w:rPr>
          <w:rFonts w:ascii="Amiri" w:hAnsi="Amiri" w:eastAsia="Amiri" w:cs="Amiri"/>
          <w:color w:val="111111"/>
          <w:sz w:val="28"/>
          <w:sz w:val="28"/>
          <w:szCs w:val="28"/>
          <w:rtl w:val="true"/>
          <w:lang w:bidi="ar-SA"/>
        </w:rPr>
        <w:t>الوجود لا يمكن اجتماعهما أو يكون اجتماعهما مبغوضاً للآمر، فلا يعقل التخيير أيضاً؛ لأنّ الأقلّ بلا شرط موجود مع الأكثر، فإذا وجدا دفعةً لا يمكن وجود أثريهما للتزاحم، أو يكون اجتماعهما مبغوضاً، فلا يعقل تعلّق الأمر بشيء لأجل غرض لا يمكن تحصيله أو يكون مبغوضاً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الغرضان قابلين للاجتماع، ولا يكون اجتماعهما مبغوضاً وإن لم يكن مراداً أيضاً، فالتخيير بينهما جائز؛ لأنّ الأقلّ مشتمل على غرض مطلوب، والأكثر على غرض آخر مطلوب، فإذا وجد متعلّق الغرضين كان للمولى أن يختار منهما ما يشاء</w:t>
      </w:r>
      <w:r>
        <w:rPr>
          <w:rFonts w:eastAsia="Amiri" w:cs="Amiri" w:ascii="Amiri" w:hAnsi="Amiri"/>
          <w:color w:val="111111"/>
          <w:sz w:val="28"/>
          <w:szCs w:val="28"/>
          <w:rtl w:val="true"/>
          <w:lang w:bidi="ar-SA"/>
        </w:rPr>
        <w:t xml:space="preserve">. </w:t>
      </w:r>
      <w:bookmarkStart w:id="230" w:name="pg15293_220141"/>
    </w:p>
    <w:p>
      <w:pPr>
        <w:pStyle w:val="Heading2"/>
        <w:numPr>
          <w:ilvl w:val="1"/>
          <w:numId w:val="1"/>
        </w:numPr>
        <w:rPr/>
      </w:pPr>
      <w:bookmarkStart w:id="231" w:name="__RefHeading___Toc4628920_2142443653"/>
      <w:bookmarkStart w:id="232" w:name="_Toc81"/>
      <w:bookmarkEnd w:id="230"/>
      <w:bookmarkEnd w:id="231"/>
      <w:r>
        <w:rPr>
          <w:rtl w:val="true"/>
        </w:rPr>
        <w:t>الفصل العاشر في الواجب العيني والكفائي</w:t>
      </w:r>
      <w:bookmarkEnd w:id="232"/>
    </w:p>
    <w:p>
      <w:pPr>
        <w:pStyle w:val="BookText"/>
        <w:rPr/>
      </w:pPr>
      <w:r>
        <w:rPr>
          <w:rFonts w:ascii="Amiri" w:hAnsi="Amiri" w:eastAsia="Amiri" w:cs="Amiri"/>
          <w:color w:val="111111"/>
          <w:sz w:val="28"/>
          <w:sz w:val="28"/>
          <w:szCs w:val="28"/>
          <w:rtl w:val="true"/>
          <w:lang w:bidi="ar-SA"/>
        </w:rPr>
        <w:t>ينقسم الواجب إلى عيني وكفائي، وهذا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بينهما إلاّ في المكلّف به؛ فإنّ الكفائي متعلّقه نفس الطبيعة، والعيني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بمباشرة كلّ مكلّف بالخصوص</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في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العيني كلّ الآحاد مستغرقاً، وفي الكفائي صرف وجود المكلّف</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للكفائي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له إلاّ فرد واحد، كقتل المرتدّ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المطلوب فيه فرداً من الطبيعة،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صرف 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الفرد الآخر مبغوضاً، أو لا يكون مبغوضاً ولا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يكون المكلّف جميع المكلّفين في الصورة الاُولى؛ فإنّ التكليف المطلق لهم في عرض واحد بالنسبة إلى ما لا يمكن فيه كثرة التحقّق لغرض انبعاثهم، ممّا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الثانية والثالثة؛ فإنّ انبعاثهم وإن كان ممكناً، لكن مع مبغوضية الزائد من الفرد الواحد أو عدم مطلوبيته، لا يمكن بعثهم إليه؛ لأدائه إلى البعث إلى المبغوض في الاُولى، وإلى غير المطلوب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بعثهم إليه بنحو الإطلاق هو اجتماعهم في إيجاد الصرف، وكون المتخلّف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بصرف وجود المكلّف غير جائز في بعض الصور، فلا بدّ من القول بتعلّق التكليف فيه بفرد من المكلّفين بشرط لا في بعض الصور، ولا بشرط في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الفرد الغير المعيّن لا وجود له</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لو قيّد بعنوان غير المعيّن، وأمّا عنوان فرد من المكلّفين فممّا له وجود في الخارج؛ فإنّ كلّ واحد منهم مصداقه، ومع ذلك لا يلزم بعث الجميع في عرض واحد؛ حتّى يلزم المحذور المتقدّم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التكليف بالفرد المردّد بنحو التخيير، كالتخيير في المكلّف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المردّد لا وجود له ولا يجوز البعث التخييري</w:t>
      </w:r>
      <w:r>
        <w:rPr>
          <w:rStyle w:val="FootnoteAnchor"/>
          <w:rtl w:val="true"/>
        </w:rPr>
        <w:footnoteReference w:id="197"/>
      </w:r>
      <w:r>
        <w:rPr>
          <w:rFonts w:ascii="Amiri" w:hAnsi="Amiri" w:eastAsia="Amiri" w:cs="Amiri"/>
          <w:color w:val="111111"/>
          <w:sz w:val="28"/>
          <w:sz w:val="28"/>
          <w:szCs w:val="28"/>
          <w:rtl w:val="true"/>
          <w:lang w:bidi="ar-SA"/>
        </w:rPr>
        <w:t>، لا يصغى إليه؛ ضرورة صحّة التكليف التخييري بين الفردين فصاعداً، ولم يكن عنوان الترديد قيداً؛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 والإشكال العقلي في الواجب التخييري مرّ دفعه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في بعض الصور أن يكون المكلّف به صرف الوجود، وكذا المكلّف، ولازمه عصيان الجميع مع الترك، وإطاعتهم مع إتيانهم عرضاً، والسقوط عن الغير مع إتيان البعض</w:t>
      </w:r>
      <w:r>
        <w:rPr>
          <w:rFonts w:eastAsia="Amiri" w:cs="Amiri" w:ascii="Amiri" w:hAnsi="Amiri"/>
          <w:color w:val="111111"/>
          <w:sz w:val="28"/>
          <w:szCs w:val="28"/>
          <w:rtl w:val="true"/>
          <w:lang w:bidi="ar-SA"/>
        </w:rPr>
        <w:t xml:space="preserve">. </w:t>
      </w:r>
      <w:bookmarkStart w:id="233" w:name="pg15293_220144"/>
    </w:p>
    <w:p>
      <w:pPr>
        <w:pStyle w:val="Heading2"/>
        <w:numPr>
          <w:ilvl w:val="1"/>
          <w:numId w:val="1"/>
        </w:numPr>
        <w:rPr/>
      </w:pPr>
      <w:bookmarkStart w:id="234" w:name="__RefHeading___Toc4628922_2142443653"/>
      <w:bookmarkStart w:id="235" w:name="_Toc82"/>
      <w:bookmarkEnd w:id="233"/>
      <w:bookmarkEnd w:id="234"/>
      <w:r>
        <w:rPr>
          <w:rtl w:val="true"/>
        </w:rPr>
        <w:t>الفصل الحادي عشر في الواجب المطلق والموقّت</w:t>
      </w:r>
      <w:bookmarkEnd w:id="235"/>
    </w:p>
    <w:p>
      <w:pPr>
        <w:pStyle w:val="Heading3"/>
        <w:numPr>
          <w:ilvl w:val="2"/>
          <w:numId w:val="1"/>
        </w:numPr>
        <w:rPr/>
      </w:pPr>
      <w:bookmarkStart w:id="236" w:name="__RefHeading___Toc4628924_2142443653"/>
      <w:bookmarkStart w:id="237" w:name="_Toc83"/>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وينقسم الواجب إلى المطلق والموقّت؛ لأنّ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غير دخيل في المتعلّق ويكون المأمور به نفس الطبيعة، وإمّا دخيل، وهو يتصوّر على وجهين؛ فإنّ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يحصل من وقوع الطبيعة في الزمان مطلقاً، أو في زمان معيّن، فالأوّل منهما لا يكون موقّتاً وإن كان للزمان دخالة في حصول الغرض، لكن لا يلزم بل لا يجوز للمولى توقيت المتعلّق؛ للزوم اللغوية، فالموقّت ما عيّن له وقت، والمطلق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تقسيم الموقّت إلى الموسّع والمضيّق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ترك الواجب في أوّل وقته بلا بدل، وهو ينافي الوجوب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 الواجب الموسّع، بتركه في تمام الوقت، وأمّا تركه في بعض الوقت فلا ينافي وجوبه</w:t>
      </w:r>
      <w:r>
        <w:rPr>
          <w:rFonts w:eastAsia="Amiri" w:cs="Amiri" w:ascii="Amiri" w:hAnsi="Amiri"/>
          <w:color w:val="111111"/>
          <w:sz w:val="28"/>
          <w:szCs w:val="28"/>
          <w:rtl w:val="true"/>
          <w:lang w:bidi="ar-SA"/>
        </w:rPr>
        <w:t xml:space="preserve">. </w:t>
      </w:r>
      <w:bookmarkStart w:id="238" w:name="pg15293_220145"/>
    </w:p>
    <w:p>
      <w:pPr>
        <w:pStyle w:val="BookText"/>
        <w:rPr/>
      </w:pPr>
      <w:bookmarkEnd w:id="238"/>
      <w:r>
        <w:rPr>
          <w:rFonts w:ascii="Amiri" w:hAnsi="Amiri" w:eastAsia="Amiri" w:cs="Amiri"/>
          <w:color w:val="111111"/>
          <w:sz w:val="28"/>
          <w:sz w:val="28"/>
          <w:szCs w:val="28"/>
          <w:rtl w:val="true"/>
          <w:lang w:bidi="ar-SA"/>
        </w:rPr>
        <w:t>وفي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الانبعاث لا بدّ وأن يكون متأخّراً عن البعث، فلا بدّ من فرض زمان يسع البعث والانبعاث، ولازمه زيادة زمان الوجوب على زمان الواجب</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الانبعاث لا يلزم أن يتأخّر زماناً عن البعث، بل تأخّره عنه طبعي، لا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لزوم تأخّره زماناً أمكن تصوّر المضيّق بنحو الوجوب التعليقي، فيكون البعث قبل زمان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أنّ التخيير في الواجب الموسّع بين الأفراد الطولية يكون عقلياً، ولا يمكن التخيير الشرعي؛ لأنّ ما هو دخيل في تحصيل الغرض في الموسّع هو حصول الطبيعة بين المبدأ والمنتهى، فلا بدّ وأن يتعلّق الأمر بما هو محصّل للغرض، ولايجوز تعلّقه بالزائد، فتعلّق الأمر بالخصوصيات لغو 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يتضيّق بتضييق وقته؛ لأنّ الأمر المتعلّق بطبيعة لا يمكن أن يتخلّف إلى موضوع آخر، فالواجب لا يخرج عن كونه موسّعاً بتضييق وقته، وإن حكم العقل بلزوم إتيانه في آخر الوقت</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4628926_2142443653"/>
      <w:bookmarkStart w:id="240" w:name="_Toc84"/>
      <w:bookmarkEnd w:id="239"/>
      <w:r>
        <w:rPr>
          <w:rtl w:val="true"/>
        </w:rPr>
        <w:t>تتميم</w:t>
      </w:r>
      <w:r>
        <w:rPr>
          <w:rtl w:val="true"/>
        </w:rPr>
        <w:t xml:space="preserve">: </w:t>
      </w:r>
      <w:r>
        <w:rPr>
          <w:rtl w:val="true"/>
        </w:rPr>
        <w:t>في عدم كون القضاء بالأمر الأوّل</w:t>
      </w:r>
      <w:bookmarkEnd w:id="24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دلالة للأمر بالموقّت على وجوب الإتيان في خارج الوقت، كما أنّ الأمر كذلك في سائر التقييدات؛ لأنّ كلّ أمر لا يدعو إلاّ إلى متعلّقه، فبعد خروج </w:t>
      </w:r>
    </w:p>
    <w:p>
      <w:pPr>
        <w:pStyle w:val="BookText"/>
        <w:rPr/>
      </w:pPr>
      <w:r>
        <w:rPr>
          <w:rFonts w:ascii="Amiri" w:hAnsi="Amiri" w:eastAsia="Amiri" w:cs="Amiri"/>
          <w:color w:val="111111"/>
          <w:sz w:val="28"/>
          <w:sz w:val="28"/>
          <w:szCs w:val="28"/>
          <w:rtl w:val="true"/>
          <w:lang w:bidi="ar-SA"/>
        </w:rPr>
        <w:t xml:space="preserve">الوقت لا داعوية للأمر؛ لأنّ الدعوة إلى الموقّت بعد خروج الوقت محال؛ لامتناع إتيانه، وإلى غير الموقّت كذلك؛ لعدم كونه متعلّقاً له، ودعوة الأمر إلى الطبيعة في ضمن المقيّد لا توجب دعوته إليها مطلقاً ولو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الذي أفاده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التوقيت إذا كان بدليل منفصل لم يكن له إطلاق على التقييد بالوقت، وكان لدليل الواجب إطلاق يؤخذ بإطلاقه ويتقيّد بمقدار المتيقّن</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عن محطّ البحث؛ فإنّ محطّه هو دلالة الموقّت بعد كونه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شككنا بعد الوقت في وجوب الطبيعة، فلا مجال للاستصحاب؛ لعدم وحدة القضيّة المتيقّنة والمشكوك فيها، وذلك لأنّ العناوين الكلّية كلّها مختلفة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مطلقها ومقيّدها، ومقيّدها مع مقيّد آخر أو مجرّد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فالرقبة عنوان، والرقبة المؤمنة عنوان آخر، والصلاة الموقّتة غير نفس الصلاة وغير الصلاة الغير الموقّتة؛ فالقضيّة المتيقّنة هي وجوب الصلاة الموقّتة، والمشكوك فيها هي نفس الصلاة أو الصلاة خارج الوقت، فإسراء الحكم من المتقيّدة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الكلّية إسراء من موضوع إلى موضوع آخر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المقيّد إذا وجب ينسب الوجوب إلى المهملة، فتكون نفس الطبيعة واجبة، فشكَّ في بقائه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الوجوب إذا كان مقيّداً أو مركّباً يكون واحداً لوجوب واحد، فالواجب هو المقيّد بما هو كذلك، وليس للمهملة وجوب حتّى يستصحب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 من الوجوب الضمني</w:t>
      </w:r>
      <w:r>
        <w:rPr>
          <w:rStyle w:val="FootnoteAnchor"/>
          <w:rtl w:val="true"/>
        </w:rPr>
        <w:footnoteReference w:id="202"/>
      </w:r>
      <w:r>
        <w:rPr>
          <w:rFonts w:ascii="Amiri" w:hAnsi="Amiri" w:eastAsia="Amiri" w:cs="Amiri"/>
          <w:color w:val="111111"/>
          <w:sz w:val="28"/>
          <w:sz w:val="28"/>
          <w:szCs w:val="28"/>
          <w:rtl w:val="true"/>
          <w:lang w:bidi="ar-SA"/>
        </w:rPr>
        <w:t>فلا أصل له، ولا ينحلّ الوجوب إلى وجوب متعلّق بنفس الطبيعة ووجوب متعلّق بقيدها كما اشتهر في الألسن، فالمتيقّن هو وجوب المقيّد، وهو ليس بمشكوك فيه، فلا يجري الاستصحاب</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5293_220149"/>
      <w:bookmarkStart w:id="242" w:name="pg15293_220149"/>
      <w:bookmarkEnd w:id="242"/>
    </w:p>
    <w:p>
      <w:pPr>
        <w:pStyle w:val="Heading2"/>
        <w:numPr>
          <w:ilvl w:val="1"/>
          <w:numId w:val="1"/>
        </w:numPr>
        <w:rPr/>
      </w:pPr>
      <w:bookmarkStart w:id="243" w:name="pg15293_220149"/>
      <w:bookmarkStart w:id="244" w:name="__RefHeading___Toc4628928_2142443653"/>
      <w:bookmarkStart w:id="245" w:name="_Toc85"/>
      <w:bookmarkEnd w:id="243"/>
      <w:bookmarkEnd w:id="244"/>
      <w:r>
        <w:rPr>
          <w:rtl w:val="true"/>
        </w:rPr>
        <w:t>المقصد الثاني في النواهي وفيه فصول</w:t>
      </w:r>
      <w:r>
        <w:rPr>
          <w:rtl w:val="true"/>
        </w:rPr>
        <w:t>:</w:t>
      </w:r>
      <w:bookmarkEnd w:id="2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4628930_2142443653"/>
      <w:bookmarkStart w:id="247" w:name="_Toc86"/>
      <w:bookmarkEnd w:id="246"/>
      <w:r>
        <w:rPr>
          <w:rtl w:val="true"/>
        </w:rPr>
        <w:t>اشارة</w:t>
      </w:r>
      <w:bookmarkEnd w:id="24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5293_220151"/>
      <w:bookmarkStart w:id="249" w:name="pg15293_220151"/>
      <w:bookmarkEnd w:id="249"/>
    </w:p>
    <w:p>
      <w:pPr>
        <w:pStyle w:val="Heading3"/>
        <w:numPr>
          <w:ilvl w:val="2"/>
          <w:numId w:val="1"/>
        </w:numPr>
        <w:rPr/>
      </w:pPr>
      <w:bookmarkStart w:id="250" w:name="pg15293_220151"/>
      <w:bookmarkStart w:id="251" w:name="__RefHeading___Toc4628932_2142443653"/>
      <w:bookmarkStart w:id="252" w:name="_Toc87"/>
      <w:bookmarkEnd w:id="250"/>
      <w:bookmarkEnd w:id="251"/>
      <w:r>
        <w:rPr>
          <w:rtl w:val="true"/>
        </w:rPr>
        <w:t>الفصل الأوّل في مفاد هيئة النهي</w:t>
      </w:r>
      <w:bookmarkEnd w:id="252"/>
    </w:p>
    <w:p>
      <w:pPr>
        <w:pStyle w:val="Heading4"/>
        <w:numPr>
          <w:ilvl w:val="3"/>
          <w:numId w:val="1"/>
        </w:numPr>
        <w:rPr/>
      </w:pPr>
      <w:bookmarkStart w:id="253" w:name="__RefHeading___Toc4628934_2142443653"/>
      <w:bookmarkStart w:id="254" w:name="_Toc88"/>
      <w:bookmarkEnd w:id="253"/>
      <w:r>
        <w:rPr>
          <w:rtl w:val="true"/>
        </w:rPr>
        <w:t>متعلّق الطلب في النهي</w:t>
      </w:r>
      <w:bookmarkEnd w:id="254"/>
    </w:p>
    <w:p>
      <w:pPr>
        <w:pStyle w:val="BookText"/>
        <w:rPr/>
      </w:pPr>
      <w:r>
        <w:rPr>
          <w:rFonts w:ascii="Amiri" w:hAnsi="Amiri" w:eastAsia="Amiri" w:cs="Amiri"/>
          <w:color w:val="111111"/>
          <w:sz w:val="28"/>
          <w:sz w:val="28"/>
          <w:szCs w:val="28"/>
          <w:rtl w:val="true"/>
          <w:lang w:bidi="ar-SA"/>
        </w:rPr>
        <w:t>ذهب المحقّق الخراساني إلى أنّ النهي كالأمر في دلالته على الطلب، إلاّ أنّ</w:t>
      </w:r>
    </w:p>
    <w:p>
      <w:pPr>
        <w:pStyle w:val="BookText"/>
        <w:rPr/>
      </w:pPr>
      <w:r>
        <w:rPr>
          <w:rFonts w:ascii="Amiri" w:hAnsi="Amiri" w:eastAsia="Amiri" w:cs="Amiri"/>
          <w:color w:val="111111"/>
          <w:sz w:val="28"/>
          <w:sz w:val="28"/>
          <w:szCs w:val="28"/>
          <w:rtl w:val="true"/>
          <w:lang w:bidi="ar-SA"/>
        </w:rPr>
        <w:t>متعلّق الطلب فيه العدم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ذلك ثبوتاً ومخالفته للظواهر إثباتاً؛ ضرورة أنّ العدم ليس بشيء، ولا يمكن أن يكون ذا مصلحة تتعلّق به إرادة واشتياق ولا بعث وتحريك وطلب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للأعدام المضافة حظّاً من الوجود</w:t>
      </w:r>
      <w:r>
        <w:rPr>
          <w:rStyle w:val="FootnoteAnchor"/>
          <w:rtl w:val="true"/>
        </w:rPr>
        <w:footnoteReference w:id="204"/>
      </w:r>
      <w:r>
        <w:rPr>
          <w:rFonts w:ascii="Amiri" w:hAnsi="Amiri" w:eastAsia="Amiri" w:cs="Amiri"/>
          <w:color w:val="111111"/>
          <w:sz w:val="28"/>
          <w:sz w:val="28"/>
          <w:szCs w:val="28"/>
          <w:rtl w:val="true"/>
          <w:lang w:bidi="ar-SA"/>
        </w:rPr>
        <w:t>، ليس على ما ينبغي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الطلب ببعض الأعدام وجداناً، خطاء لدى التفتيش، فليس للعدم شيئية، ولا يمكن أن يتّصف بصفة، وأن يصير متعلّقاً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وجود شيء مبغوضاً لفساد فيه، فتنسب المحبوبية إلى عدمه عرضاً بعد تصوّره بالحمل الأوّلي</w:t>
      </w:r>
      <w:r>
        <w:rPr>
          <w:rFonts w:eastAsia="Amiri" w:cs="Amiri" w:ascii="Amiri" w:hAnsi="Amiri"/>
          <w:color w:val="111111"/>
          <w:sz w:val="28"/>
          <w:szCs w:val="28"/>
          <w:rtl w:val="true"/>
          <w:lang w:bidi="ar-SA"/>
        </w:rPr>
        <w:t xml:space="preserve">. </w:t>
      </w:r>
      <w:bookmarkStart w:id="255" w:name="pg15293_220152"/>
    </w:p>
    <w:p>
      <w:pPr>
        <w:pStyle w:val="BookText"/>
        <w:rPr/>
      </w:pPr>
      <w:bookmarkEnd w:id="255"/>
      <w:r>
        <w:rPr>
          <w:rFonts w:ascii="Amiri" w:hAnsi="Amiri" w:eastAsia="Amiri" w:cs="Amiri"/>
          <w:color w:val="111111"/>
          <w:sz w:val="28"/>
          <w:sz w:val="28"/>
          <w:szCs w:val="28"/>
          <w:rtl w:val="true"/>
          <w:lang w:bidi="ar-SA"/>
        </w:rPr>
        <w:t>هذا، مع أنّ النهي كالأمر ينحلّ إلى مادّة وهيئة، والمادّة نفس الماهية كمادّة الأمر، ومفاد الهيئة هو الزجر عنها أو عن وجودها بالمعنى الحرفي، كما سبق في الأمر، فالبعث والزجر متعلّقان بالماهية، وليس في النهي ما يدلّ على العدم لا اسماً ولا حرفاً،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كمرادفه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مفاده عرفاً وتبادراً إلاّ ما ذكر، مع أ نّه لو صرّح بطلب العدم لا بدّ من تأويله؛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متعلّق النهي كالأمر هو الماهية أو وجودها، وأنّ النهي زجر لا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النزاع في أنّ متعلّق الطلب فيه الكفّ أو نفس أن لا تفعل</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628936_2142443653"/>
      <w:bookmarkStart w:id="257" w:name="_Toc89"/>
      <w:bookmarkEnd w:id="256"/>
      <w:r>
        <w:rPr>
          <w:rtl w:val="true"/>
        </w:rPr>
        <w:t>دلالة النهي على التكرار</w:t>
      </w:r>
      <w:bookmarkEnd w:id="257"/>
    </w:p>
    <w:p>
      <w:pPr>
        <w:pStyle w:val="BookText"/>
        <w:rPr/>
      </w:pPr>
      <w:r>
        <w:rPr>
          <w:rFonts w:ascii="Amiri" w:hAnsi="Amiri" w:eastAsia="Amiri" w:cs="Amiri"/>
          <w:color w:val="111111"/>
          <w:sz w:val="28"/>
          <w:sz w:val="28"/>
          <w:szCs w:val="28"/>
          <w:rtl w:val="true"/>
          <w:lang w:bidi="ar-SA"/>
        </w:rPr>
        <w:t>ثمّ إنّه لا إشكال في أنّ مقتضى النهي لدى العرف والعقلاء يخالف مقتضى الأمر</w:t>
      </w:r>
      <w:r>
        <w:rPr>
          <w:rStyle w:val="FootnoteAnchor"/>
          <w:rtl w:val="true"/>
        </w:rPr>
        <w:footnoteReference w:id="205"/>
      </w:r>
      <w:r>
        <w:rPr>
          <w:rFonts w:ascii="Amiri" w:hAnsi="Amiri" w:eastAsia="Amiri" w:cs="Amiri"/>
          <w:color w:val="111111"/>
          <w:sz w:val="28"/>
          <w:sz w:val="28"/>
          <w:szCs w:val="28"/>
          <w:rtl w:val="true"/>
          <w:lang w:bidi="ar-SA"/>
        </w:rPr>
        <w:t>بأنّ الأمر إذا تعلّق بطبيعة يسقط بأوّل مصداقها، بخلاف النهي؛ فإنّ مقتضاه ترك جميع الأفراد، فهل ذلك من ناحية اللغة، أو حكم العقل، أو العرف ؟</w:t>
      </w:r>
    </w:p>
    <w:p>
      <w:pPr>
        <w:pStyle w:val="BookText"/>
        <w:rPr/>
      </w:pPr>
      <w:r>
        <w:rPr>
          <w:rFonts w:ascii="Amiri" w:hAnsi="Amiri" w:eastAsia="Amiri" w:cs="Amiri"/>
          <w:color w:val="111111"/>
          <w:sz w:val="28"/>
          <w:sz w:val="28"/>
          <w:szCs w:val="28"/>
          <w:rtl w:val="true"/>
          <w:lang w:bidi="ar-SA"/>
        </w:rPr>
        <w:t>ذهب المحقّق الخراساني إلى أنّ مقتضى العقل أنّ الطبيعي يوجد بوجود فردٍ ما، وينعدم بعدم جميع الأفراد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منع؛ فإنّ مقتضى وجود الطبيعي بوجود فردٍ ما هو تكثّر الطبيعي بكثرة </w:t>
      </w:r>
    </w:p>
    <w:p>
      <w:pPr>
        <w:pStyle w:val="BookText"/>
        <w:rPr/>
      </w:pPr>
      <w:r>
        <w:rPr>
          <w:rFonts w:ascii="Amiri" w:hAnsi="Amiri" w:eastAsia="Amiri" w:cs="Amiri"/>
          <w:color w:val="111111"/>
          <w:sz w:val="28"/>
          <w:sz w:val="28"/>
          <w:szCs w:val="28"/>
          <w:rtl w:val="true"/>
          <w:lang w:bidi="ar-SA"/>
        </w:rPr>
        <w:t>الأفراد، فيكون له وجودات، ومعه لا يعقل أن يكون له عدم واحد؛ لأنّ لكلّ وجود عدماً بديله، فإذا عدم الفرد عدم الطبيعي بعدمه، فيكون الطبيعي موجوداً ومعدوماً، وذلك جائز في الواحد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وضعاً للنهي بمادّته وهيئته عليه؛ ضرورة أنّ ما تعلّقت</w:t>
      </w:r>
    </w:p>
    <w:p>
      <w:pPr>
        <w:pStyle w:val="BookText"/>
        <w:rPr/>
      </w:pPr>
      <w:r>
        <w:rPr>
          <w:rFonts w:ascii="Amiri" w:hAnsi="Amiri" w:eastAsia="Amiri" w:cs="Amiri"/>
          <w:color w:val="111111"/>
          <w:sz w:val="28"/>
          <w:sz w:val="28"/>
          <w:szCs w:val="28"/>
          <w:rtl w:val="true"/>
          <w:lang w:bidi="ar-SA"/>
        </w:rPr>
        <w:t>به هيئة الأمر عين ما تعلّقت به هيئة النهي، وهو نفس الطبيعة لا بشرط، والهيئة لا تدلّ إلاّ على الزجر مقابل البعث، وليس للمجموع وضع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ذلك حكم العرف؛ لأنّ الطبيعة لدى العرف العامّ توجد بوجود فرد، وتنعدم بعدم جميع الأفراد،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المحاورات العرفية، فإذا تعلّق نهي بطبيعة، يكون حكمه العقلائي أنّ امتثاله بترك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 ذلك أن يكون للنهي امتثال واحد ومعصية واحدة؛ لعدم انحلاله إلى النواهي، مع أنّ العرف لا يساعد عليه كما ترى أ نّه لو خولف يرى العرف أنّ النهي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إلى النواهي أيضاً من الأحكام العرفية، وهو قريب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المُنشأ حقيقةً ليس شخص الطلب المتعلّق بعدم الطبيعة كذلك، بل سنخه الذي لازمه تعلّق كلّ فرد من الطلب بفرد من طبيعة العدم عقلاً؛ بمعنى أنّ المولى ينشئ النهي بداعي المنع نوعاً عن الطبيعة بحدّها الذي لازمه إبقاء العدم بحدّه على حاله، فتعلّق كلّ فرد من الطلب بفرد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بلحاظ الحاكم واُخرى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جعل الملازمة بين </w:t>
      </w:r>
    </w:p>
    <w:p>
      <w:pPr>
        <w:pStyle w:val="BookText"/>
        <w:rPr/>
      </w:pPr>
      <w:r>
        <w:rPr>
          <w:rFonts w:ascii="Amiri" w:hAnsi="Amiri" w:eastAsia="Amiri" w:cs="Amiri"/>
          <w:color w:val="111111"/>
          <w:sz w:val="28"/>
          <w:sz w:val="28"/>
          <w:szCs w:val="28"/>
          <w:rtl w:val="true"/>
          <w:lang w:bidi="ar-SA"/>
        </w:rPr>
        <w:t>سنخ الطلب وطبيعي العدم بحدّه</w:t>
      </w:r>
      <w:r>
        <w:rPr>
          <w:rStyle w:val="FootnoteAnchor"/>
          <w:rtl w:val="true"/>
        </w:rPr>
        <w:footnoteReference w:id="20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عن أنّ النهي ليس طلباً، والمتعلّق ليس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يدّعي من إنشاء سنخ الطلب إن كان لأجل اتّحاد السنخ والطبيعي مع الشخص، فبجعله يصير مجعولاً،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يفيد؛ لأنّ الطبيعي في الخارج ليس إلاّ الفرد، فلا يكون قابلاً للانحلال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جعل طبيعي الطلب القابل للكثرة ملازماً لطبيعي العدم؛ بحيث يصير قابلاً للانحلال،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يحتاج إلى لحاظ غير إنشاء الطلب، ويحتاج إلى قرينة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الالتزام به فالأهون ما ذهب إليه بعض الأعاظم</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بالعموم الاستغراقي في جانب المتعلّق؛ حتّى ينحلّ النهي بتبعه، وإن كان خلاف التحقيق؛ لعدم استعمال المادّة في الأفراد وجداناً، كما لم تستعمل الهيئة في الطبيعي على ما ادّعاه المدّعي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لمّا تعلّق بالطبيعة بلا شرط، ويكون مفاده الزجر لا الطلب، فلازمه العرفي ترك جميع الأفراد كما تقدّم، وكذا عدم سقوطه بالمعصية؛ لأنّ السقوط أينما كان إنّما هو لأجل حصول تمام المطلوب، ففي الأمر لمّا كان تمام المطلوب هو نفس الطبيعة لا بدّ من سقوطه بحصولها؛ لحصول تمام المطلوب، وأمّا النهي فلا معنى لسقوطه، لا بترك المنهيّ عنه في زمان، ولا بمخالفته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جانب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إطاعة النهي، بترك جميع الأفراد مطلقاً بعد إطلاق الطبيعة وكونها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ناحية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نّها لا يعقل أن تكون مسقطة، إلاّ أن تتقيّد الطبيعة</w:t>
      </w:r>
    </w:p>
    <w:p>
      <w:pPr>
        <w:pStyle w:val="BookText"/>
        <w:rPr/>
      </w:pPr>
      <w:r>
        <w:rPr>
          <w:rFonts w:ascii="Amiri" w:hAnsi="Amiri" w:eastAsia="Amiri" w:cs="Amiri"/>
          <w:color w:val="111111"/>
          <w:sz w:val="28"/>
          <w:sz w:val="28"/>
          <w:szCs w:val="28"/>
          <w:rtl w:val="true"/>
          <w:lang w:bidi="ar-SA"/>
        </w:rPr>
        <w:t xml:space="preserve">بأوّل فرد، ويكون المنهيّ عنه ذلك؛ فإنّ لازمه سقوط النهي لأجل عدم الموضوع، فالسقوط لا يكون في شيء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بالمخالفة، ولا بالموافقة بما هي، بل بحصول تمام المطلوب، فمخالفة المنهيّ عنه في زمان لا توجب سقوط النهي بعد مبغوضية نفس الطبيعة بنحو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مبغوضية الطبيعة بلا شرط هو مبغوضيتها أينما تحقّقت، ونتيجة ذلك هو العموم الاستغراقي وإن لم يكن نفسه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دعوى فهم العرف، وهو مسلّم، ولكنّ المنظور 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أنّ الافتراق لأجل كون مفاد النهي هو الزجر والمنع لا الطلب،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المولى لو صرّح بطلب ترك شرب الخمر كان الحكم العقلائي والعرفي عيناً كالزجر عن الشرب، بل لو فرض تعلّق الزجر بصرف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ناقض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لسقط النهي مع العصيان، لانتهاء اقتضائه، كما لو نهاه عن ذكر اسمه في الملأ لغرض عدم معروفيته، فمع ذكره يسقط؛ لا لأجل تعلّقه بأوّل الوجود كما اُفيد، بل لأجل تعلّقه بصرف الوجود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يتشبّث في مثل المقام بذيل فهم العرف ولو مع عدم كشف سرّه</w:t>
      </w:r>
      <w:r>
        <w:rPr>
          <w:rFonts w:eastAsia="Amiri" w:cs="Amiri" w:ascii="Amiri" w:hAnsi="Amiri"/>
          <w:color w:val="111111"/>
          <w:sz w:val="28"/>
          <w:szCs w:val="28"/>
          <w:rtl w:val="true"/>
          <w:lang w:bidi="ar-SA"/>
        </w:rPr>
        <w:t xml:space="preserve">. </w:t>
      </w:r>
      <w:bookmarkStart w:id="258" w:name="pg15293_220156"/>
    </w:p>
    <w:p>
      <w:pPr>
        <w:pStyle w:val="Heading3"/>
        <w:numPr>
          <w:ilvl w:val="2"/>
          <w:numId w:val="1"/>
        </w:numPr>
        <w:rPr/>
      </w:pPr>
      <w:bookmarkStart w:id="259" w:name="__RefHeading___Toc4628938_2142443653"/>
      <w:bookmarkStart w:id="260" w:name="_Toc90"/>
      <w:bookmarkEnd w:id="258"/>
      <w:bookmarkEnd w:id="259"/>
      <w:r>
        <w:rPr>
          <w:rtl w:val="true"/>
        </w:rPr>
        <w:t>الفصل الثاني في جواز اجتماع الأمر والنهي</w:t>
      </w:r>
      <w:bookmarkEnd w:id="260"/>
    </w:p>
    <w:p>
      <w:pPr>
        <w:pStyle w:val="Heading4"/>
        <w:numPr>
          <w:ilvl w:val="3"/>
          <w:numId w:val="1"/>
        </w:numPr>
        <w:rPr/>
      </w:pPr>
      <w:bookmarkStart w:id="261" w:name="__RefHeading___Toc4628940_2142443653"/>
      <w:bookmarkStart w:id="262" w:name="_Toc91"/>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اختلفوا في جواز اجتماع الأمر والنهي وعدمه على أقوال، وقبل الخوض في المقصود لا بدّ من تقديم اُمور</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628942_2142443653"/>
      <w:bookmarkStart w:id="264" w:name="_Toc92"/>
      <w:bookmarkEnd w:id="263"/>
      <w:r>
        <w:rPr>
          <w:rtl w:val="true"/>
        </w:rPr>
        <w:t>الأمر الأوّل</w:t>
      </w:r>
      <w:r>
        <w:rPr>
          <w:rtl w:val="true"/>
        </w:rPr>
        <w:t xml:space="preserve">: </w:t>
      </w:r>
      <w:r>
        <w:rPr>
          <w:rtl w:val="true"/>
        </w:rPr>
        <w:t>في تحرير محلّ النزاع</w:t>
      </w:r>
      <w:bookmarkEnd w:id="264"/>
    </w:p>
    <w:p>
      <w:pPr>
        <w:pStyle w:val="BookText"/>
        <w:rPr/>
      </w:pPr>
      <w:r>
        <w:rPr>
          <w:rFonts w:ascii="Amiri" w:hAnsi="Amiri" w:eastAsia="Amiri" w:cs="Amiri"/>
          <w:color w:val="111111"/>
          <w:sz w:val="28"/>
          <w:sz w:val="28"/>
          <w:szCs w:val="28"/>
          <w:rtl w:val="true"/>
          <w:lang w:bidi="ar-SA"/>
        </w:rPr>
        <w:t>محطّ البحث في الباب هو أ نّه هل يجوز تعلّق الأمر والنهي بعنوانين متصادقين على واحد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يكون المراد بالواحد هو الواحد الشخصي؛ لأ نّه الذي تتصادق عليه العناوين، وأمّا الواحد الجنسي فلا تتصادق عليه، بل يكون جنساً لها، مع أنّ النزاع في الواحد الجنسي مع قطع النظر عن التصادق على الواحد الشخصي ممّا لا معنى له؛ ضرورة أنّ الحركة في ضمن الصلاة يمكن أن يتعلّق بها الأمر، وفي ضمن الغصب أن يتعلّق بها النهي مع قطع النظر عن تصادقهما خارجاً على الواحد الشخصي، ومعه يكون محطّ البحث هو ما ذكرنا؛ لأ نّه المنشأ لقول الامتناعي</w:t>
      </w:r>
      <w:r>
        <w:rPr>
          <w:rFonts w:eastAsia="Amiri" w:cs="Amiri" w:ascii="Amiri" w:hAnsi="Amiri"/>
          <w:color w:val="111111"/>
          <w:sz w:val="28"/>
          <w:szCs w:val="28"/>
          <w:rtl w:val="true"/>
          <w:lang w:bidi="ar-SA"/>
        </w:rPr>
        <w:t xml:space="preserve">. </w:t>
      </w:r>
      <w:bookmarkStart w:id="265" w:name="pg15293_220157"/>
    </w:p>
    <w:p>
      <w:pPr>
        <w:pStyle w:val="BookText"/>
        <w:rPr/>
      </w:pPr>
      <w:bookmarkEnd w:id="265"/>
      <w:r>
        <w:rPr>
          <w:rFonts w:ascii="Amiri" w:hAnsi="Amiri" w:eastAsia="Amiri" w:cs="Amiri"/>
          <w:color w:val="111111"/>
          <w:sz w:val="28"/>
          <w:sz w:val="28"/>
          <w:szCs w:val="28"/>
          <w:rtl w:val="true"/>
          <w:lang w:bidi="ar-SA"/>
        </w:rPr>
        <w:t>وممّا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في عقد البحث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اجتماع الأمر والنهي على عنوانين متصادقين على واحد، أو لا ؟ ويكون حينئذٍ النزاع كبروياً، لا صغروياً كما زعموا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إبقاء العنوان على ظاهره فممّا لا يمكن، سواء اُريد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 أو الجنسي، أو الأعمّ؛ أمّا الجنسي فلما عرفت، وأمّا الشخصي فلأنّ الأمر والنهي لا يتعلّقان به؛ لأنّ الخارج لا يمكن أن يكون ظرف ثبوت التكاليف، فاجتماع الأمر والنهي فيه ممّا لا معنى له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4628944_2142443653"/>
      <w:bookmarkStart w:id="267" w:name="_Toc93"/>
      <w:bookmarkEnd w:id="266"/>
      <w:r>
        <w:rPr>
          <w:rtl w:val="true"/>
        </w:rPr>
        <w:t>الأمر الثاني</w:t>
      </w:r>
      <w:r>
        <w:rPr>
          <w:rtl w:val="true"/>
        </w:rPr>
        <w:t xml:space="preserve">: </w:t>
      </w:r>
      <w:r>
        <w:rPr>
          <w:rtl w:val="true"/>
        </w:rPr>
        <w:t>في الفرق بين المقام وبين النهي في العبادة</w:t>
      </w:r>
      <w:bookmarkEnd w:id="267"/>
    </w:p>
    <w:p>
      <w:pPr>
        <w:pStyle w:val="BookText"/>
        <w:rPr/>
      </w:pPr>
      <w:r>
        <w:rPr>
          <w:rFonts w:ascii="Amiri" w:hAnsi="Amiri" w:eastAsia="Amiri" w:cs="Amiri"/>
          <w:color w:val="111111"/>
          <w:sz w:val="28"/>
          <w:sz w:val="28"/>
          <w:szCs w:val="28"/>
          <w:rtl w:val="true"/>
          <w:lang w:bidi="ar-SA"/>
        </w:rPr>
        <w:t xml:space="preserve">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الفرق بينه وبين النهي في العبادة</w:t>
      </w:r>
    </w:p>
    <w:p>
      <w:pPr>
        <w:pStyle w:val="BookText"/>
        <w:rPr/>
      </w:pPr>
      <w:r>
        <w:rPr>
          <w:rFonts w:ascii="Amiri" w:hAnsi="Amiri" w:eastAsia="Amiri" w:cs="Amiri"/>
          <w:color w:val="111111"/>
          <w:sz w:val="28"/>
          <w:sz w:val="28"/>
          <w:szCs w:val="28"/>
          <w:rtl w:val="true"/>
          <w:lang w:bidi="ar-SA"/>
        </w:rPr>
        <w:t xml:space="preserve">في غاية الوضوح؛ لاختلاف موضوعهما ومحمولهما، واختلاف المسائل إنّما هو بهما أو بأحدهما؛ لأنّ ذات المسائل متقوّمة بهما، والاختلاف بالذاتي هو المميّز بين الشيئين في المرتبة المتقدّمة على الاختلاف بالعرضي، فضلاً عن الاختلاف بالأغراض، والجهات التعليلية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رجوعها إلى التقييدية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 مقام الذات، فيكون الاختلاف بالذات مميّزاً قبلها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الاختلاف بالجهة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تعدّد الوجه في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تعدّد المتعلّق أو لا</w:t>
      </w:r>
      <w:r>
        <w:rPr>
          <w:rStyle w:val="FootnoteAnchor"/>
          <w:rtl w:val="true"/>
        </w:rPr>
        <w:footnoteReference w:id="211"/>
      </w:r>
      <w:r>
        <w:rPr>
          <w:rFonts w:ascii="IRNazanin" w:hAnsi="IRNazanin" w:eastAsia="IRNazanin"/>
          <w:color w:val="111111"/>
          <w:sz w:val="28"/>
          <w:sz w:val="28"/>
          <w:szCs w:val="28"/>
          <w:rtl w:val="true"/>
          <w:lang w:bidi="fa-IR"/>
        </w:rPr>
        <w:t xml:space="preserve">؟ </w:t>
      </w:r>
      <w:bookmarkStart w:id="268" w:name="pg15293_220158"/>
    </w:p>
    <w:p>
      <w:pPr>
        <w:pStyle w:val="BookText"/>
        <w:rPr/>
      </w:pPr>
      <w:bookmarkEnd w:id="268"/>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المبحوث عنها ليس ما ذكر كما تقدّم، فلا وجه للعدول عن جواز الاجتماع ولا جوازه إلى شيء آخر هو من مبادئ إثبات المحمول للموضوع وبرهان المسألة، حتّى يلجأ إلى إرجاع البحث من الكبروية إلى الصغروية، ويحتاج إلى التكلّفات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أراد بالجهة المبحوث عنها محطّ البحث ومورد النزاع،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علل ثبوت المحمول للموضوع أو الغاية للبحث، فلا إشكال في أنّ اختلاف المسائل ليس بهما كما تقدّم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628946_2142443653"/>
      <w:bookmarkStart w:id="270" w:name="_Toc94"/>
      <w:bookmarkEnd w:id="269"/>
      <w:r>
        <w:rPr>
          <w:rtl w:val="true"/>
        </w:rPr>
        <w:t>الأمر الثالث</w:t>
      </w:r>
      <w:r>
        <w:rPr>
          <w:rtl w:val="true"/>
        </w:rPr>
        <w:t xml:space="preserve">: </w:t>
      </w:r>
      <w:r>
        <w:rPr>
          <w:rtl w:val="true"/>
        </w:rPr>
        <w:t>في اُصولية مسألة جواز الاجتماع</w:t>
      </w:r>
      <w:bookmarkEnd w:id="270"/>
    </w:p>
    <w:p>
      <w:pPr>
        <w:pStyle w:val="BookText"/>
        <w:rPr/>
      </w:pPr>
      <w:r>
        <w:rPr>
          <w:rFonts w:ascii="Amiri" w:hAnsi="Amiri" w:eastAsia="Amiri" w:cs="Amiri"/>
          <w:color w:val="111111"/>
          <w:sz w:val="28"/>
          <w:sz w:val="28"/>
          <w:szCs w:val="28"/>
          <w:rtl w:val="true"/>
          <w:lang w:bidi="ar-SA"/>
        </w:rPr>
        <w:t xml:space="preserve">إنّ المسألة بما هي معنونة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تكون فقهية، وذلك واضح، وتغييرها إلى قضيّة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مربوطة بهذه المسألة،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تكون 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نّه ليس كلّ مسألةٍ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كلاميةً، وإلاّ كانت مسائل المنطق وكلّيات الطبّ كلامية، وتغييرها إلى الحسن والقبح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من المبادئ التصديقية؛ لأ نّها البراهين القائمة في كلّ فنّ لإثبات المحمولات للموضوعات أو نفيها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لإثبات وجود الموضوعات على إشكال في الأخير، وهذه المسألة ليست كذلك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يظهر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من المبادئ التصديقية؛ لرجوع البحث فيها إلى البحث عمّا يقتضي وجود الموضوع لمسألة التعارض </w:t>
      </w:r>
      <w:bookmarkStart w:id="271" w:name="pg15293_220159"/>
    </w:p>
    <w:p>
      <w:pPr>
        <w:pStyle w:val="BookText"/>
        <w:rPr/>
      </w:pPr>
      <w:bookmarkEnd w:id="271"/>
      <w:r>
        <w:rPr>
          <w:rFonts w:ascii="IRNazanin" w:hAnsi="IRNazanin" w:eastAsia="IRNazanin"/>
          <w:color w:val="111111"/>
          <w:sz w:val="28"/>
          <w:sz w:val="28"/>
          <w:szCs w:val="28"/>
          <w:rtl w:val="true"/>
          <w:lang w:bidi="fa-IR"/>
        </w:rPr>
        <w:t>والتزاحم</w:t>
      </w:r>
      <w:r>
        <w:rPr>
          <w:rStyle w:val="FootnoteAnchor"/>
          <w:rtl w:val="true"/>
        </w:rPr>
        <w:footnoteReference w:id="212"/>
      </w:r>
      <w:r>
        <w:rPr>
          <w:rFonts w:ascii="Amiri" w:hAnsi="Amiri" w:eastAsia="Amiri" w:cs="Amiri"/>
          <w:color w:val="111111"/>
          <w:sz w:val="28"/>
          <w:sz w:val="28"/>
          <w:szCs w:val="28"/>
          <w:rtl w:val="true"/>
          <w:lang w:bidi="ar-SA"/>
        </w:rPr>
        <w:t>، ليس على ما ينبغي؛ لأنّ كون بحثٍ محقّقاً لموضوع بحث آخر لا يوجب أن يكون من المبادئ التصديقية، وبراهين إثبات وجود الموضوع لو سلّم كونها من المبادئ، غير علل وجوده، والله تعالى علّه وجود الموضوعات ومحقّقها، وليس من المبادئ التصديقية لشيء من العلوم، مع أنّ في كون المسألة محقّقة لوجود الموضوع لمسألة التعارض كلاماً وإشكالاً سيأتي في خلال المباحث الآتية التعرّض 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حرّرناها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اُصولية؛ لصحّة وقوعها في طريق الاستنباط، وإن جعلنا موضوع علم الاُصول الحجّة في الفقه؛ لأنّ جعل موضوعه كذلك لا يستلزم البحث عن عوارض العنوان بالحمل الأوّلي، بل المراد من كون مسألة حجّة في الفقه أ نّها حجّة بالحمل الشائع؛ أي يستنتج منها نتيجة فقهية، وهي كذلك</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4628948_2142443653"/>
      <w:bookmarkStart w:id="273" w:name="_Toc95"/>
      <w:bookmarkEnd w:id="272"/>
      <w:r>
        <w:rPr>
          <w:rtl w:val="true"/>
        </w:rPr>
        <w:t>الأمر الرابع</w:t>
      </w:r>
      <w:r>
        <w:rPr>
          <w:rtl w:val="true"/>
        </w:rPr>
        <w:t xml:space="preserve">: </w:t>
      </w:r>
      <w:r>
        <w:rPr>
          <w:rtl w:val="true"/>
        </w:rPr>
        <w:t>في اعتبار قيد المندوحة</w:t>
      </w:r>
      <w:bookmarkEnd w:id="273"/>
    </w:p>
    <w:p>
      <w:pPr>
        <w:pStyle w:val="BookText"/>
        <w:rPr/>
      </w:pPr>
      <w:r>
        <w:rPr>
          <w:rFonts w:ascii="Amiri" w:hAnsi="Amiri" w:eastAsia="Amiri" w:cs="Amiri"/>
          <w:color w:val="111111"/>
          <w:sz w:val="28"/>
          <w:sz w:val="28"/>
          <w:szCs w:val="28"/>
          <w:rtl w:val="true"/>
          <w:lang w:bidi="ar-SA"/>
        </w:rPr>
        <w:t xml:space="preserve">لا إشكال في عدم اعتبار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البحث صغروياً، وأنّ الجهة المبحوث عنها هي أنّ تعدّد الوجه يرفع غائلة اجتماع الضدّين أو لا؛ فإنّ البحث حينئذٍ يصير جهتياً، والبحث من هذه الحيثية لا يتوقّف على قيدها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حرّرناه من كبروية النزاع، وأنّ محطّ البحث هو جواز اجتماع </w:t>
      </w:r>
    </w:p>
    <w:p>
      <w:pPr>
        <w:pStyle w:val="BookText"/>
        <w:rPr/>
      </w:pPr>
      <w:r>
        <w:rPr>
          <w:rFonts w:ascii="Amiri" w:hAnsi="Amiri" w:eastAsia="Amiri" w:cs="Amiri"/>
          <w:color w:val="111111"/>
          <w:sz w:val="28"/>
          <w:sz w:val="28"/>
          <w:szCs w:val="28"/>
          <w:rtl w:val="true"/>
          <w:lang w:bidi="ar-SA"/>
        </w:rPr>
        <w:t>الأمر والنهي على عنوانين متصادقين على موضوع واحد،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لأنّ النزاع في اجتماع الحكمين الفعليين لا الإنشائيين؛ ضرورة عدم التنافي في الإنشائيات، فمحطّ البحث جواز اجتماع الفعليين وامتناعه، كان الامتناع لأجل التكليف المحال أو التكليف بالمحال، ومع عدم المندوحة لا ريب في كون التكليف بهما تكليفاً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اُريد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المندوحة لكلّ واحد من المكلّفين فهو غير لازم؛ لأنّ الكلام في جواز تعلّق الحكمين الفعليين بعنوانين، ولا يتوقّف ذلك على المندوحة لكلّ واحد منهم؛ فإنّ الأحكام المتعلّقة بالعناوين لا تنحلّ إلى إنشاءات كثيرة ومجعولات متعدّدة حسب تعدّد المكلّفين كما سبق في بعض المباحث السالفة</w:t>
      </w:r>
      <w:r>
        <w:rPr>
          <w:rStyle w:val="FootnoteAnchor"/>
          <w:rtl w:val="true"/>
        </w:rPr>
        <w:footnoteReference w:id="214"/>
      </w:r>
      <w:r>
        <w:rPr>
          <w:rFonts w:ascii="Amiri" w:hAnsi="Amiri" w:eastAsia="Amiri" w:cs="Amiri"/>
          <w:color w:val="111111"/>
          <w:sz w:val="28"/>
          <w:sz w:val="28"/>
          <w:szCs w:val="28"/>
          <w:rtl w:val="true"/>
          <w:lang w:bidi="ar-SA"/>
        </w:rPr>
        <w:t>، فالحكم الفعلي بالمعنى المتقدّم فعلي على عنوانه وإن كان بعض المكلّفين معذوراً في امتثاله وإتيانه لعجز أو جهل أو ابتلاء الحكم بمزاحم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العنوانين ممّا ينفكّان بحسب المصداق وإن لم يكن كذلك بحسب حال بعض المكلّفين؛ أي لم يكن عنوان المأمور به ملازماً للمنهيّ عنه، فاعتبار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البحث من غير احتياج إلى التقييد به؛ فإنّ تعلّق الحكم الفعلي بعنوان ملازم للمنهيّ عنه فعلاً ممّا لا يمكن؛ للغوية الجعل على العنوانين، بل لا بدّ للجاعل من ملاحظة ترجيح أحد الحكمين على الآخر، أو الحكم بالتخيير مع عدم الرجحان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فتقييد العنوان بالمندوحة غير لازم على التقديرين</w:t>
      </w:r>
      <w:r>
        <w:rPr>
          <w:rFonts w:eastAsia="Amiri" w:cs="Amiri" w:ascii="Amiri" w:hAnsi="Amiri"/>
          <w:color w:val="111111"/>
          <w:sz w:val="28"/>
          <w:szCs w:val="28"/>
          <w:rtl w:val="true"/>
          <w:lang w:bidi="ar-SA"/>
        </w:rPr>
        <w:t xml:space="preserve">. </w:t>
      </w:r>
      <w:bookmarkStart w:id="274" w:name="pg15293_220161"/>
    </w:p>
    <w:p>
      <w:pPr>
        <w:pStyle w:val="Heading4"/>
        <w:numPr>
          <w:ilvl w:val="3"/>
          <w:numId w:val="1"/>
        </w:numPr>
        <w:rPr/>
      </w:pPr>
      <w:bookmarkStart w:id="275" w:name="__RefHeading___Toc4628950_2142443653"/>
      <w:bookmarkStart w:id="276" w:name="_Toc96"/>
      <w:bookmarkEnd w:id="274"/>
      <w:bookmarkEnd w:id="275"/>
      <w:r>
        <w:rPr>
          <w:rtl w:val="true"/>
        </w:rPr>
        <w:t>الأمر الخامس</w:t>
      </w:r>
      <w:r>
        <w:rPr>
          <w:rtl w:val="true"/>
        </w:rPr>
        <w:t xml:space="preserve">: </w:t>
      </w:r>
      <w:r>
        <w:rPr>
          <w:rtl w:val="true"/>
        </w:rPr>
        <w:t>في عدم ابتناء النزاع على تعلّق الأحكام بالطبائع</w:t>
      </w:r>
      <w:bookmarkEnd w:id="276"/>
    </w:p>
    <w:p>
      <w:pPr>
        <w:pStyle w:val="BookText"/>
        <w:rPr/>
      </w:pPr>
      <w:r>
        <w:rPr>
          <w:rFonts w:ascii="Amiri" w:hAnsi="Amiri" w:eastAsia="Amiri" w:cs="Amiri"/>
          <w:color w:val="111111"/>
          <w:sz w:val="28"/>
          <w:sz w:val="28"/>
          <w:szCs w:val="28"/>
          <w:rtl w:val="true"/>
          <w:lang w:bidi="ar-SA"/>
        </w:rPr>
        <w:t>الظاهر أنّ النزاع لا يبتني على تعلّق الأمر والنهي بالطبائع، بل يجري في بعض فروض تعلّقهما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يراد بتعلّقهما بها تعلّقهما بالعنوان الإجمالي منها؛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فرد الصلاة، فيكون عنوان فرد الصلاة غير عنوان فرد الغصب، فيجري النزاع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 تعلّقهما بالطبيعة الملازمة للعناوين المشخّصة، أو أمارات التشخّص، كطبيعي الأين، والمتى، والوضع، وهكذا، فيجري النزاع لاختلاف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 تعلّقهما بعنوان وجودات الصلاة والغصب في مقابل الوجود السعي؛ فإنّه لا يخرج به عن العنوانين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من الفرد هو الخارجي منه فلا إشكال في عدم جريانه فيه، لكنّه بديهي البطلان، وإن يظهر من بعضهم أ نّه مراد القائل به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اُريد به الطبيعة مع كلّ ما يلازمها ويقارنها حتّى الاتّفاقيات منها،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متعلّق بالصلاة المقارنة لكلّ ما يشخّصها ويقارنها حتّى وقوعها في محلّ مغصوب، واُخذت هذه العناوين في الموضوع، فلا يجري النزاع فيه أيضاً، لكنّه بمكان من الفساد</w:t>
      </w:r>
      <w:r>
        <w:rPr>
          <w:rFonts w:eastAsia="Amiri" w:cs="Amiri" w:ascii="Amiri" w:hAnsi="Amiri"/>
          <w:color w:val="111111"/>
          <w:sz w:val="28"/>
          <w:szCs w:val="28"/>
          <w:rtl w:val="true"/>
          <w:lang w:bidi="ar-SA"/>
        </w:rPr>
        <w:t xml:space="preserve">. </w:t>
      </w:r>
      <w:bookmarkStart w:id="277" w:name="pg15293_220162"/>
    </w:p>
    <w:p>
      <w:pPr>
        <w:pStyle w:val="BookText"/>
        <w:rPr/>
      </w:pPr>
      <w:bookmarkEnd w:id="277"/>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جارٍ على القول بتعلّقهما بالأفراد على الفروض التي تصحّ أن تكون محلّ النزاع</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628952_2142443653"/>
      <w:bookmarkStart w:id="279" w:name="_Toc97"/>
      <w:bookmarkEnd w:id="278"/>
      <w:r>
        <w:rPr>
          <w:rtl w:val="true"/>
        </w:rPr>
        <w:t>الأمر السادس</w:t>
      </w:r>
      <w:r>
        <w:rPr>
          <w:rtl w:val="true"/>
        </w:rPr>
        <w:t xml:space="preserve">: </w:t>
      </w:r>
      <w:r>
        <w:rPr>
          <w:rtl w:val="true"/>
        </w:rPr>
        <w:t>في عدم ابتناء النزاع على إحراز المناط</w:t>
      </w:r>
      <w:bookmarkEnd w:id="279"/>
    </w:p>
    <w:p>
      <w:pPr>
        <w:pStyle w:val="BookText"/>
        <w:rPr/>
      </w:pPr>
      <w:r>
        <w:rPr>
          <w:rFonts w:ascii="Amiri" w:hAnsi="Amiri" w:eastAsia="Amiri" w:cs="Amiri"/>
          <w:color w:val="111111"/>
          <w:sz w:val="28"/>
          <w:sz w:val="28"/>
          <w:szCs w:val="28"/>
          <w:rtl w:val="true"/>
          <w:lang w:bidi="ar-SA"/>
        </w:rPr>
        <w:t>لا إشكال في عدم ابتناء النزاع على إحراز المناط في متعلّقي الإيجاب والتحريم، سواء حرّر محلّ النزاع بما اختاره المحقّق الخراساني</w:t>
      </w:r>
      <w:r>
        <w:rPr>
          <w:rStyle w:val="FootnoteAnchor"/>
          <w:rtl w:val="true"/>
        </w:rPr>
        <w:footnoteReference w:id="216"/>
      </w:r>
      <w:r>
        <w:rPr>
          <w:rFonts w:ascii="Amiri" w:hAnsi="Amiri" w:eastAsia="Amiri" w:cs="Amiri"/>
          <w:color w:val="111111"/>
          <w:sz w:val="28"/>
          <w:sz w:val="28"/>
          <w:szCs w:val="28"/>
          <w:rtl w:val="true"/>
          <w:lang w:bidi="ar-SA"/>
        </w:rPr>
        <w:t>وهو واضح؛ لأنّ النزاع حيثي، أو كما حرّرناه؛ لأنّ النزاع في إمكان تعلّق الحكمين بعنوانين كذائيين لا في وقوعه، ولا يبتني هذا النزاع الكبروي على إحراز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المحقّق الخراساني ممّا أفاد في الأمر الثامن والتاسع ليس ذلك، ولعلّ مراده التفرقة بين ما كان من باب اجتماع الأمر والنهي واقعاً وبين ما كان من باب التعارض؛ دفعاً لإشكال ربما يرد على القوم، وهو أ نّهم عنونوا مسألة جواز الاجتماع ومثّلوا له بالعامّين من وجه، واختار جمع الجواز وأ نّه لا تعارض بين الأمر والنهي في محلّ التصادق، وفي باب تعارض الأدلّة جعلوا تعارض العامّين من وجه أحد وجوه التعارض، ولم يجمع بينهما أحد بجواز الاجتماع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الميزان الكلّي في باب الاجتماع هو إحراز المناطين حتّى في مورد التصادق، فكلّما كان هناك دلالة على ثبوت المقتضي في الحكمين </w:t>
      </w:r>
    </w:p>
    <w:p>
      <w:pPr>
        <w:pStyle w:val="BookText"/>
        <w:rPr/>
      </w:pPr>
      <w:r>
        <w:rPr>
          <w:rFonts w:ascii="Amiri" w:hAnsi="Amiri" w:eastAsia="Amiri" w:cs="Amiri"/>
          <w:color w:val="111111"/>
          <w:sz w:val="28"/>
          <w:sz w:val="28"/>
          <w:szCs w:val="28"/>
          <w:rtl w:val="true"/>
          <w:lang w:bidi="ar-SA"/>
        </w:rPr>
        <w:t>كان من مسألة الاجتماع، وإلاّ فهو من باب التعارض</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باب التعارض هو الخبران المختلفان، والمناط في الاختلاف هو الفهم العرفي، والجمع هناك عرفي لا عقلي؛ بخلافه هاهنا، فإنّ المسألة عقلية صرفة، فلا ربط بين البابين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ادّعى من المناط غير تامّ طرداً وعكساً؛ لأنّ الخبرين إذا كانا مختلفين عرفاً ولم يكن بينهما جمع عرفي، يندرجان تحت أخبار التعارض، ولا بدّ من معاملة التعارض بينهما مطلقاً، والجمع العقلي في باب الاجتماع ليس من وجوه الجمع في باب التعارض</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رحى باب التعارض تدور على العمل بالأخبار الواردة فيه، وموضوعها مأخوذ من العرف، كموضوع سائر ما ورد في الكتاب والسنّة، فكلّما يحكم العرف باختلاف الخبرين وتعارضهما يعمل بالمرجّحات، وكلّما يحكم بعدمه لأجل الجمع العرفي أو عدم التناسب بين الدليلين لا يكون من بابه،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متعارضين عرفاً؛ لأنّ الحكم على العنوانين، وهما غير مرتبطين، فليس بينهما اختلاف عرفاً ولو لم نحرز المناطين،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كون العامّين من وجه من وجوه التعارض؛ لأ نّهما يدلاّن على إكرام المجمع وعدم إكرامه؛ لأنّ الحكم فيهما على الأفراد، وليس بينهما جمع عرفي ولو فرض حصول المناطين في مورد الاجتماع وقلنا بجواز الاجتماع حتّى في مثله</w:t>
      </w:r>
      <w:r>
        <w:rPr>
          <w:rFonts w:eastAsia="Amiri" w:cs="Amiri" w:ascii="Amiri" w:hAnsi="Amiri"/>
          <w:color w:val="111111"/>
          <w:sz w:val="28"/>
          <w:szCs w:val="28"/>
          <w:rtl w:val="true"/>
          <w:lang w:bidi="ar-SA"/>
        </w:rPr>
        <w:t xml:space="preserve">. </w:t>
      </w:r>
      <w:bookmarkStart w:id="280" w:name="pg15293_220164"/>
    </w:p>
    <w:p>
      <w:pPr>
        <w:pStyle w:val="BookText"/>
        <w:rPr/>
      </w:pPr>
      <w:bookmarkEnd w:id="280"/>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والتعارض في باب تعارض الأدلّة عرفيان لا عقليان، فجمع باب الاجتماع الذي هو بحكم البرهان العقلي غير مربوط به، كما أنّ التزاحم في نظر العقل لا ينافي التعارض العرفي المناط في بابه،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النظر فيما قال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المسألة محقّقة لموضوع مسألة التعارض</w:t>
      </w:r>
      <w:r>
        <w:rPr>
          <w:rStyle w:val="FootnoteAnchor"/>
          <w:rtl w:val="true"/>
        </w:rPr>
        <w:footnoteReference w:id="218"/>
      </w:r>
      <w:r>
        <w:rPr>
          <w:rFonts w:ascii="Amiri" w:hAnsi="Amiri" w:eastAsia="Amiri" w:cs="Amiri"/>
          <w:color w:val="111111"/>
          <w:sz w:val="28"/>
          <w:sz w:val="28"/>
          <w:szCs w:val="28"/>
          <w:rtl w:val="true"/>
          <w:lang w:bidi="ar-SA"/>
        </w:rPr>
        <w:t>لما عرفت من أ نّها أجنبيّة عن تلك المسألة، كما</w:t>
      </w:r>
    </w:p>
    <w:p>
      <w:pPr>
        <w:pStyle w:val="BookText"/>
        <w:rPr/>
      </w:pPr>
      <w:r>
        <w:rPr>
          <w:rFonts w:ascii="Amiri" w:hAnsi="Amiri" w:eastAsia="Amiri" w:cs="Amiri"/>
          <w:color w:val="111111"/>
          <w:sz w:val="28"/>
          <w:sz w:val="28"/>
          <w:szCs w:val="28"/>
          <w:rtl w:val="true"/>
          <w:lang w:bidi="ar-SA"/>
        </w:rPr>
        <w:t>يظهر النظر فيما ادّعى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المائز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التركيب في باب الاجتماع</w:t>
      </w:r>
    </w:p>
    <w:p>
      <w:pPr>
        <w:pStyle w:val="BookText"/>
        <w:rPr/>
      </w:pPr>
      <w:r>
        <w:rPr>
          <w:rFonts w:ascii="Amiri" w:hAnsi="Amiri" w:eastAsia="Amiri" w:cs="Amiri"/>
          <w:color w:val="111111"/>
          <w:sz w:val="28"/>
          <w:sz w:val="28"/>
          <w:szCs w:val="28"/>
          <w:rtl w:val="true"/>
          <w:lang w:bidi="ar-SA"/>
        </w:rPr>
        <w:t>انضمامي، وفي باب التعارض اتّحادي</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يرجع إلى محصّل لو لم يرجع إلى ما ذكرنا</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628954_2142443653"/>
      <w:bookmarkStart w:id="282" w:name="_Toc98"/>
      <w:bookmarkEnd w:id="281"/>
      <w:r>
        <w:rPr>
          <w:rtl w:val="true"/>
        </w:rPr>
        <w:t>الأمر السابع</w:t>
      </w:r>
      <w:r>
        <w:rPr>
          <w:rtl w:val="true"/>
        </w:rPr>
        <w:t xml:space="preserve">: </w:t>
      </w:r>
      <w:r>
        <w:rPr>
          <w:rtl w:val="true"/>
        </w:rPr>
        <w:t>في ثمرة النزاع على القول بالجواز</w:t>
      </w:r>
      <w:bookmarkEnd w:id="282"/>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القول بالجواز والقول بصحّة العبادة مع الإتيان بالمجمع؛ لوجود ملاك آخر للبطلان في بعض الموارد، كالصلاة في الدار المغصوبة؛ لأنّ التصرّف في مال الغير بلا إذنه في الخارج عين الحركة الصلاتية، والمبعّد عن ساحة المولى لا يمكن أن يكون مقرّباً، نعم مع جهله بالموضوع أو الحكم قصوراً تصحّ صلاته بلا إشكال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والمعيار الكلّي في الحكم بالصحّة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 نّه كلّما كانت الخصوصية العبادية في المصداق غير الخصوصية المحرّمة وجوداً وإن جمعهما موضوع واحد تصحّ العبادة من غير إشكال؛ لأنّ المكلّف يتقرّب بالجهة المحسّنة، </w:t>
      </w:r>
    </w:p>
    <w:p>
      <w:pPr>
        <w:pStyle w:val="BookText"/>
        <w:rPr/>
      </w:pPr>
      <w:r>
        <w:rPr>
          <w:rFonts w:ascii="Amiri" w:hAnsi="Amiri" w:eastAsia="Amiri" w:cs="Amiri"/>
          <w:color w:val="111111"/>
          <w:sz w:val="28"/>
          <w:sz w:val="28"/>
          <w:szCs w:val="28"/>
          <w:rtl w:val="true"/>
          <w:lang w:bidi="ar-SA"/>
        </w:rPr>
        <w:t>وليست فيها جهة مقبّحة على الفرض وإن قارنتها ولازمتها؛ لأ نّهما لا يضرّان</w:t>
      </w:r>
    </w:p>
    <w:p>
      <w:pPr>
        <w:pStyle w:val="BookText"/>
        <w:rPr/>
      </w:pPr>
      <w:r>
        <w:rPr>
          <w:rFonts w:ascii="Amiri" w:hAnsi="Amiri" w:eastAsia="Amiri" w:cs="Amiri"/>
          <w:color w:val="111111"/>
          <w:sz w:val="28"/>
          <w:sz w:val="28"/>
          <w:szCs w:val="28"/>
          <w:rtl w:val="true"/>
          <w:lang w:bidi="ar-SA"/>
        </w:rPr>
        <w:t>بعباديتها، وكلّما كان العنوانان موجودين بوجود واحد وخصوصية فاردة، لا يمكن التقرّب به وإن جاز الاجتماع؛ فإنّ التقرّب بما هو مبعّد فعلاً غير ممكن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لكن سيأتي تحقيق المقام</w:t>
      </w:r>
      <w:r>
        <w:rPr>
          <w:rStyle w:val="FootnoteAnchor"/>
          <w:rtl w:val="true"/>
        </w:rPr>
        <w:footnoteReference w:id="221"/>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الدار المغصوبة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من قبيل الفرض الأوّل، وإنّ الحركة الصلاتية غير الحركة الغصبية خارجاً؛ لأنّ الغصب من مقولة الأين، والصلاة من مقولة الوضع وإن قلنا بأنّ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المكلّف ويكون الهويّ إليه داخلاً في الصلاة؛ فإنّ الهويّ عبارة عن أوضاع متلاصقة، والمقولات متباينات وبسائط، يكون ما به الامتياز فيها عين ما به الاشتراك، وإنّ الحركة لم تكن من المقولات، بل هي مع كلّ مقولة عينها، ولم تكن الحركة جنساً للمقولتين، وإلاّ يلزم تفصّل الواحد بالفصلين المتباينين في عرض واحد، ويلزم التركيب فيهما، ولا معروضاً لهما، وإلاّ يلزم قيام العرض بالعرض،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فالحركة الغصبية تكون من مقولة متباينة للحركة الصلاتية، وليس المراد من الحركة هو رفع اليد أو وضعها أو رفع الرأس أو وضعه، بل المراد الحركة الصلاتية والغصبية، وهما حركتان كما عرفت، فتكون حيثية الصلاتية غير حيثية الغصبية وجوداً وماهيةً، فيجوز اجتماع الأمر والنهي فيهما ويكون المقرّب غير المبعّد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ما ذكرنا من اختلافهما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المكان إلى المكين </w:t>
      </w:r>
    </w:p>
    <w:p>
      <w:pPr>
        <w:pStyle w:val="BookText"/>
        <w:rPr/>
      </w:pPr>
      <w:r>
        <w:rPr>
          <w:rFonts w:ascii="Amiri" w:hAnsi="Amiri" w:eastAsia="Amiri" w:cs="Amiri"/>
          <w:color w:val="111111"/>
          <w:sz w:val="28"/>
          <w:sz w:val="28"/>
          <w:szCs w:val="28"/>
          <w:rtl w:val="true"/>
          <w:lang w:bidi="ar-SA"/>
        </w:rPr>
        <w:t>والإضافة الحاصلة بين المكين والمكان لا يعقل أن تختلف في الجوهر والعرض، فكما أنّ كون زيد في الدار المغصوبة لا يوجب كونه غصباً، فكذلك كون الصلاة فيها، فالتركيب بينهما انضمامي لا اتّحادي</w:t>
      </w:r>
      <w:r>
        <w:rPr>
          <w:rStyle w:val="FootnoteAnchor"/>
          <w:rtl w:val="true"/>
        </w:rPr>
        <w:footnoteReference w:id="222"/>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موارد كثيرة للنظر نعدّ 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 الصلاة من مقولة الوضع واضح الفساد؛ لأ نّها من الماهيات الاختراعية المركّبة من عدّة اُمور اعتبارية ومقولية، ومثل ذلك لا يمكن أن يندرج تحت مقولة، ولا يكون من الماهيات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اُريد بالصلاة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أجزاؤها فهي لا تكون من مقولة الوضع فقط، 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كان من فعل المكلّف، ويكون الهويّ جزءه، فلا محالة يكون عبارة عن الحركة من الاستقامة إلى انحناء خاصّ تعظيماً، ويكون نفس الانحناء بالمعنى المصدري من قبيل الحركة في الأين، ويكون من مقولته؛ بناءً على كون الحركة في كلّ مقولة من هذه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فماهية الركوع إذا كانت الانحناء الخاصّ تعظيماً، لا تندرج تحت مقولة؛ لأنّ كونه تعظيماً من مقوّماتها، وهو خارج عن ماهية المقولة، وجزؤها من مقولة 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الصادر من المكلّف هو الحركة من الاستقامة إلى الانحناء، وتبديل الأوضاع لازمه، وما هو جزء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الصادر منه، لا الأوضاع المتلاصقة على زعمه، مع ما في تلاصق الأوضاع من المفاسد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الغصب ليس من المقولات؛ لأ نّه هو الاستيلاء على مال الغير </w:t>
      </w:r>
    </w:p>
    <w:p>
      <w:pPr>
        <w:pStyle w:val="BookText"/>
        <w:rPr/>
      </w:pPr>
      <w:r>
        <w:rPr>
          <w:rFonts w:ascii="Amiri" w:hAnsi="Amiri" w:eastAsia="Amiri" w:cs="Amiri"/>
          <w:color w:val="111111"/>
          <w:sz w:val="28"/>
          <w:sz w:val="28"/>
          <w:szCs w:val="28"/>
          <w:rtl w:val="true"/>
          <w:lang w:bidi="ar-SA"/>
        </w:rPr>
        <w:t>عدواناً، وهو من الاُمور الاعتبارية، ولا يكون عبارة عن الكون في المكان، بل</w:t>
      </w:r>
    </w:p>
    <w:p>
      <w:pPr>
        <w:pStyle w:val="BookText"/>
        <w:rPr/>
      </w:pPr>
      <w:r>
        <w:rPr>
          <w:rFonts w:ascii="Amiri" w:hAnsi="Amiri" w:eastAsia="Amiri" w:cs="Amiri"/>
          <w:color w:val="111111"/>
          <w:sz w:val="28"/>
          <w:sz w:val="28"/>
          <w:szCs w:val="28"/>
          <w:rtl w:val="true"/>
          <w:lang w:bidi="ar-SA"/>
        </w:rPr>
        <w:t>استقلال اليد عليه غصب، سواء كان الغاصب فيه أو لا،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نّه لو سلّم أ نّه الكون في المكان الذي للغير عدواناً، لم يصر من مقولة 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المقولة ليست نفس الكون في المكان، بل هيئة حاصلة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ماهية الغصب متقوّمة بكون المكان للغير، وبكون إشغاله عدواناً، وهما غير دخيلين في ماهية المقولة، فعلى هذا الفرض الباطل تكون المقولة جزء ماهية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صحّة الصلاة ليس لأجل الغصب، بل لأجل التصرّف في مال الغير بلا إذنه، وهو عنوان آخر غير الغصب؛ لأ نّه قد يكون التصرّف في ماله بلا إذن ولا يتحقّق عنوان الغصب؛ أي استقلال اليد عليه، وقد يتحقّق الغصب بلا تصرّف خارجي في ماله، فبطلان 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لأجل استقلال اليد على ملك الغير؛ لأ نّه اعتباري لا ينطبق على الصلاة، بل لأجل التصرّف فيه؛ لأنّ الحركة الركوعية والسجودية عين التصرّف فيه، بل السجود على سبعةٍ أعظم، والكون الركوعي والقيامي وغيرهما تصرّف ومبعّد، فلا يجوز التقرّب به على الفرض، قيل بجواز الاجتماع أو لا، وسيأتي أنّ جواز الاجتماع لا يتوقّف على كون الحيثيات تقييدية والتركيب انضمامياً</w:t>
      </w:r>
      <w:r>
        <w:rPr>
          <w:rStyle w:val="FootnoteAnchor"/>
          <w:rtl w:val="true"/>
        </w:rPr>
        <w:footnoteReference w:id="223"/>
      </w:r>
      <w:r>
        <w:rPr>
          <w:rFonts w:ascii="Amiri" w:hAnsi="Amiri" w:eastAsia="Amiri" w:cs="Amiri"/>
          <w:color w:val="111111"/>
          <w:sz w:val="28"/>
          <w:sz w:val="28"/>
          <w:szCs w:val="28"/>
          <w:rtl w:val="true"/>
          <w:lang w:bidi="ar-SA"/>
        </w:rPr>
        <w:t>، كما بنى عليه هذا القائل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حال ما ذكره من قياس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bookmarkStart w:id="283" w:name="pg15293_220168"/>
    </w:p>
    <w:p>
      <w:pPr>
        <w:pStyle w:val="BookText"/>
        <w:rPr/>
      </w:pPr>
      <w:bookmarkEnd w:id="283"/>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الصلاة لمّا كانت فعل المكلّف يكون الإتيان بها تصرّفاً في مال الغير،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فعلاً حتّى يكون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كونه في الدار غصب على فرضه، وتصرّف على ما ذكرنا، وزيد غاصب ومتصرّف، كما أنّ صلاته باعتبار كونها من أفعاله وأكوانه غصب وتصرّف، وهو غاصب ومتصرّف، فالأمر أوضح من أن يحتاج إلى البيان</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628956_2142443653"/>
      <w:bookmarkStart w:id="285" w:name="_Toc99"/>
      <w:bookmarkEnd w:id="284"/>
      <w:r>
        <w:rPr>
          <w:rtl w:val="true"/>
        </w:rPr>
        <w:t>الأمر الثامن</w:t>
      </w:r>
      <w:r>
        <w:rPr>
          <w:rtl w:val="true"/>
        </w:rPr>
        <w:t xml:space="preserve">: </w:t>
      </w:r>
      <w:r>
        <w:rPr>
          <w:rtl w:val="true"/>
        </w:rPr>
        <w:t>في ثمرة النزاع على القول بالامتناع</w:t>
      </w:r>
      <w:bookmarkEnd w:id="285"/>
    </w:p>
    <w:p>
      <w:pPr>
        <w:pStyle w:val="BookText"/>
        <w:rPr/>
      </w:pPr>
      <w:r>
        <w:rPr>
          <w:rFonts w:ascii="Amiri" w:hAnsi="Amiri" w:eastAsia="Amiri" w:cs="Amiri"/>
          <w:color w:val="111111"/>
          <w:sz w:val="28"/>
          <w:sz w:val="28"/>
          <w:szCs w:val="28"/>
          <w:rtl w:val="true"/>
          <w:lang w:bidi="ar-SA"/>
        </w:rPr>
        <w:t>بناءً على الامتناع وترجيح جانب الأمر تصحّ الصلاة في الدار المغصوبة إذا لم تكن مندوحة، وأمّا معها فلا ملاك لتقييد النهي بلغ ملاك الصلاة ما بلغ؛ لعدم دوران الأمر بينهما، بل مقتضى الجمع بين الفرضين تقييد الصلاة عقلاً أو شرعاً بغير محلّ الغصب، فإطلاق كلام المحقّق الخراساني</w:t>
      </w:r>
      <w:r>
        <w:rPr>
          <w:rStyle w:val="FootnoteAnchor"/>
          <w:rtl w:val="true"/>
        </w:rPr>
        <w:footnoteReference w:id="224"/>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بناءً على ترجيح جانب النهي، فمع العمد والعلم أو الجهل بالحكم تقصيراً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القصور فصحّتها تتوقّف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وجدانها في مورد الاجتماع للملاك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الملاك المرجوح قابلاً للتقرّب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الأوّل محلّ إشكال بناءً على كون الامتناع لأجل التكليف المحال؛ وذلك للتضادّ بين ملاكي الغصب والصلاة، فإن رفع تضادّهما باختلاف الحيثيتين رفع التضادّ بين الحكمين أيضاً، فلا محيص عن القول بالجواز، فالقائل بالامتناع </w:t>
      </w:r>
    </w:p>
    <w:p>
      <w:pPr>
        <w:pStyle w:val="BookText"/>
        <w:rPr/>
      </w:pPr>
      <w:r>
        <w:rPr>
          <w:rFonts w:ascii="Amiri" w:hAnsi="Amiri" w:eastAsia="Amiri" w:cs="Amiri"/>
          <w:color w:val="111111"/>
          <w:sz w:val="28"/>
          <w:sz w:val="28"/>
          <w:szCs w:val="28"/>
          <w:rtl w:val="true"/>
          <w:lang w:bidi="ar-SA"/>
        </w:rPr>
        <w:t>لا بدّ له من الالتزام بأنّ الحيثية التي تعلّق بها الأمر عين ما تعلّق به النهي؛ حتّى يحصل التضادّ، ومع وحدة الحيثية لا يمكن تحقّق الملاكين، فلا بدّ وأن يكون المرجوح بلا ملاك، فعدم صحّتها لأجل فقدانه، ومعه لا دخالة للعلم والجهل في البطلان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الأمر والنهي بالذات عين حامل الملاك، وهو مع وحدته غير معقول لحمل الملاكين، ومع كثرته يوجب جواز الاجتماع ولو قيل بتعلّقهما بما هو فعل المكلّف خارجاً، فتصوّر الحيثيتين الحاملتين للملاك الرافعتين للتضادّ يناقض القول بالامتناع من جهة التكليف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تصوير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لأنّ الحيثية الحاملة</w:t>
      </w:r>
    </w:p>
    <w:p>
      <w:pPr>
        <w:pStyle w:val="BookText"/>
        <w:rPr/>
      </w:pPr>
      <w:r>
        <w:rPr>
          <w:rFonts w:ascii="Amiri" w:hAnsi="Amiri" w:eastAsia="Amiri" w:cs="Amiri"/>
          <w:color w:val="111111"/>
          <w:sz w:val="28"/>
          <w:sz w:val="28"/>
          <w:szCs w:val="28"/>
          <w:rtl w:val="true"/>
          <w:lang w:bidi="ar-SA"/>
        </w:rPr>
        <w:t>لملاك الصلاة غير الحيثية الحاملة لملاك الغصب، فأتمّية ملاكه من ملاكها وترجيح مقتضاه على مقتضاها لا يوجب تنقيصاً في ملاكها، فملاكها تامّ، لكن عدم إنشاء الحكم على طبقه لأجل المانع، وهو أتمّية ملاك الغصب، وفي مثله لا مانع من صحّتها بعد عدم تأثير النهي للجهل قصوراً؛ لكفاية الملاك التامّ في صحّتها مع قصد التقرّب وكون الموضوع ممّا يمكن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بصحّتها حينئذٍ مع العلم والعمد أيضاً؛ لعين ما ذكر وإمكان التقرّب بها مع تمامية الملاك، فعدم الأمر هاهنا كعدم الأمر في باب الضدّين المتزاحمين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بالفرق بين البابين؛ لأنّ باب الضدّين من قبيل تزاحم الحكمين في مقام الامتثال بعد إنشاء الحكمين على الموضوعين، وباب الاجتماع من قبيل تزاحم المقتضيين لدى المولى، فلا تأثير لعلم المكلّف وجهله هاهنا، </w:t>
      </w:r>
    </w:p>
    <w:p>
      <w:pPr>
        <w:pStyle w:val="BookText"/>
        <w:rPr/>
      </w:pPr>
      <w:r>
        <w:rPr>
          <w:rFonts w:ascii="Amiri" w:hAnsi="Amiri" w:eastAsia="Amiri" w:cs="Amiri"/>
          <w:color w:val="111111"/>
          <w:sz w:val="28"/>
          <w:sz w:val="28"/>
          <w:szCs w:val="28"/>
          <w:rtl w:val="true"/>
          <w:lang w:bidi="ar-SA"/>
        </w:rPr>
        <w:t>بخلافه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المقام من صغريات باب التعارض، ومع ترجيح جانب النهي ينشأ الأمر على الصلاة في غير المغصوب، والتقييد هاهنا كسائر التقييدات، فالصلاة في المغصوب ليست بمأمور بها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عدم انسلاك المقام في صغريات باب التعارض</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هاهنا في صحّة الصلاة بحسب القواعد، وهي غير منوطة بالأمر الفعلي، وإلاّ تبطل في المقامين، والملاك التامّ الموجب لصحّتها موجود فيهما، ومجرّد عدم إنشاء الحكم هاهنا لأجل المانع وإنشائه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الفرق بعد تمامية الملاك وعدم الاحتياج إلى الأمر بعد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تماميته هاهنا؛ لأنّ الملاك مكسور بالتزاحم</w:t>
      </w:r>
      <w:r>
        <w:rPr>
          <w:rStyle w:val="FootnoteAnchor"/>
          <w:rtl w:val="true"/>
        </w:rPr>
        <w:footnoteReference w:id="227"/>
      </w:r>
      <w:r>
        <w:rPr>
          <w:rFonts w:ascii="Amiri" w:hAnsi="Amiri" w:eastAsia="Amiri" w:cs="Amiri"/>
          <w:color w:val="111111"/>
          <w:sz w:val="28"/>
          <w:sz w:val="28"/>
          <w:szCs w:val="28"/>
          <w:rtl w:val="true"/>
          <w:lang w:bidi="ar-SA"/>
        </w:rPr>
        <w:t>ممنوعة؛ لأنّ مقتضى أتمّية ملاك الغصب وإن كان عدم جعل الحكم على الصلاة، لكن ليس مقتضاها صيرورة ملاكها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بمكسورية الملاك صيرورته ناقصاً فهو ممنوع؛ لأنّ الملاكين القائمين بحيثيتين لا معنى لانكسار أحدهما بالآخر، وأرجحية أحدهما غير مكسورية الآخر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بها أنّ الحكم بعد تزاحمهما يصير تابعاً للأقوى، فهذا مسلّم، لكن لا يوجب نقصاً في ملاك المهمّ، فهو على ملاكه مطلقاً، فلا مانع من الصحّة وجواز التقرّب به بعد كفاية الملاك التامّ، فتدبّر</w:t>
      </w:r>
      <w:r>
        <w:rPr>
          <w:rFonts w:eastAsia="Amiri" w:cs="Amiri" w:ascii="Amiri" w:hAnsi="Amiri"/>
          <w:color w:val="111111"/>
          <w:sz w:val="28"/>
          <w:szCs w:val="28"/>
          <w:rtl w:val="true"/>
          <w:lang w:bidi="ar-SA"/>
        </w:rPr>
        <w:t xml:space="preserve">. </w:t>
      </w:r>
      <w:bookmarkStart w:id="286" w:name="pg15293_220171"/>
    </w:p>
    <w:p>
      <w:pPr>
        <w:pStyle w:val="Heading4"/>
        <w:numPr>
          <w:ilvl w:val="3"/>
          <w:numId w:val="1"/>
        </w:numPr>
        <w:rPr/>
      </w:pPr>
      <w:bookmarkStart w:id="287" w:name="__RefHeading___Toc4628958_2142443653"/>
      <w:bookmarkStart w:id="288" w:name="_Toc100"/>
      <w:bookmarkEnd w:id="286"/>
      <w:bookmarkEnd w:id="287"/>
      <w:r>
        <w:rPr>
          <w:rtl w:val="true"/>
        </w:rPr>
        <w:t>الأمر التاسع</w:t>
      </w:r>
      <w:r>
        <w:rPr>
          <w:rtl w:val="true"/>
        </w:rPr>
        <w:t xml:space="preserve">: </w:t>
      </w:r>
      <w:r>
        <w:rPr>
          <w:rtl w:val="true"/>
        </w:rPr>
        <w:t>في شروط جريان النزاع في المقام</w:t>
      </w:r>
      <w:bookmarkEnd w:id="288"/>
    </w:p>
    <w:p>
      <w:pPr>
        <w:pStyle w:val="BookText"/>
        <w:rPr/>
      </w:pPr>
      <w:r>
        <w:rPr>
          <w:rFonts w:ascii="Amiri" w:hAnsi="Amiri" w:eastAsia="Amiri" w:cs="Amiri"/>
          <w:color w:val="111111"/>
          <w:sz w:val="28"/>
          <w:sz w:val="28"/>
          <w:szCs w:val="28"/>
          <w:rtl w:val="true"/>
          <w:lang w:bidi="ar-SA"/>
        </w:rPr>
        <w:t xml:space="preserve">لا كلام في عدم جريان النزاع في المتباينين والمتساويين، والظاهر جريانه في الأعمّ والأخصّ المطلقين إذا كان المنهيّ عنه أخصّ، ولم يؤخذ مفهوم الأعمّ في الأخصّ، وتكون الأعمّية بحسب المورد لا المفهوم، وذلك لأنّ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اختلاف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 والخاصّ بحسب المفهوم ففي جريانه فيهما إشكال؛ من حيث إنّ المطلق عين ما اُخذ في المقيّد، ووصف الإطلاق ليس بشيء، بل المطلق عبارة عن نفس الطبيعة بلا شرط، والمقيّد هو هذه مع قيد، فلا يمكن أن تكون الطبيعة مورداً لحكمين مختلفين، فلا يجري فيهما، ومن حيث إنّ المقيّد بما هو كذلك عنوان غير المطلق، وليس الحكم فيه على المطلق مع قيده، بل على المقيّد بما هو كذلك، وهو غير المطلق، والأمر الضمني لا أساس له، فيجري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إشكال وتأمّل، وإن كان عدم جريانه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العامّان من وجه فلا إشكال في جريانه فيهما، إلاّ إذا اُخذ مفهوم أحدهما في الآخر،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فيه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النزاع في العامّين من وجه يتوقّف على اُمور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النسبة بين نفس الفعلين الصادرين من المكلّف بإرادة واختيار، كما في الصلاة والغصب، وأمّا إذا كانت بين الموضوعين، كما في العالم والفاسق، فهو خارج عن محلّ النزاع؛ لأنّ التركيب بينهما اتّحادي لا انضمامي، </w:t>
      </w:r>
    </w:p>
    <w:p>
      <w:pPr>
        <w:pStyle w:val="BookText"/>
        <w:rPr/>
      </w:pPr>
      <w:r>
        <w:rPr>
          <w:rFonts w:ascii="Amiri" w:hAnsi="Amiri" w:eastAsia="Amiri" w:cs="Amiri"/>
          <w:color w:val="111111"/>
          <w:sz w:val="28"/>
          <w:sz w:val="28"/>
          <w:szCs w:val="28"/>
          <w:rtl w:val="true"/>
          <w:lang w:bidi="ar-SA"/>
        </w:rPr>
        <w:t>ولازمه تعلّق الأمر بعين ما تعلّق به النهي، فلا بدّ فيهما من إجراء قواعد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علم عدم جريانه فيما إذا كان للفعل عنوانان توليديان تكون النسبة بينهما العموم من وجه، كما لو أمر بإكرام زيد، ونهى عن إكرام عمرو، فقام المكلّف لأجل إكرامهما تعظيماً؛ فإنّ القيام يتولّد منه التعظيمان، وهما وإن كانا بحيثيتين انضماميتين، لكن الأمر بهما أمر بالسبب، فينجرّ إلى تعلّقه بشيء واحد وجوداً وإيجاداً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الفعلين تركيب انضمامي لا اتّحادي، فيخرج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مغصوباً؛ فإنّ نفس الشرب هو الغصب، فالتركيب اتّحادي لا يجري فيه النزاع</w:t>
      </w:r>
      <w:r>
        <w:rPr>
          <w:rStyle w:val="FootnoteAnchor"/>
          <w:rtl w:val="true"/>
        </w:rPr>
        <w:footnoteReference w:id="2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التركيب الانضمامي والاتّحادي أجنبيّة عن مسألة اجتماع الأمر والنهي، ولا يبتني الجواز على التركيب الانضمامي؛ فإنّ التركيب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اتّحادياً أو انضمامياً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مربوط بمقام متعلّقات الأوامر والنواهي التي هي العناوين على ما سيأتي بيانه، فيجري النزاع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الماء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الأفعال التوليدية وإن قلنا بتعلّق الأمر بالأسباب؛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عنوانان مختلفان يجوز تعلّق الأمر بأحدهما والنهي بالآخر، سواء في ذلك السبب والمسبّب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المبنى؛ أي رجوع الأمر إلى السبب التوليدي، محلّ منع</w:t>
      </w:r>
      <w:r>
        <w:rPr>
          <w:rFonts w:eastAsia="Amiri" w:cs="Amiri" w:ascii="Amiri" w:hAnsi="Amiri"/>
          <w:color w:val="111111"/>
          <w:sz w:val="28"/>
          <w:szCs w:val="28"/>
          <w:rtl w:val="true"/>
          <w:lang w:bidi="ar-SA"/>
        </w:rPr>
        <w:t xml:space="preserve">. </w:t>
      </w:r>
      <w:bookmarkStart w:id="289" w:name="pg15293_220173"/>
    </w:p>
    <w:p>
      <w:pPr>
        <w:pStyle w:val="Heading4"/>
        <w:numPr>
          <w:ilvl w:val="3"/>
          <w:numId w:val="1"/>
        </w:numPr>
        <w:rPr/>
      </w:pPr>
      <w:bookmarkStart w:id="290" w:name="__RefHeading___Toc4628960_2142443653"/>
      <w:bookmarkStart w:id="291" w:name="_Toc101"/>
      <w:bookmarkEnd w:id="289"/>
      <w:bookmarkEnd w:id="290"/>
      <w:r>
        <w:rPr>
          <w:rtl w:val="true"/>
        </w:rPr>
        <w:t>مقتضى التحقيق هو القول بجواز الاجتماع</w:t>
      </w:r>
      <w:bookmarkEnd w:id="291"/>
    </w:p>
    <w:p>
      <w:pPr>
        <w:pStyle w:val="Heading5"/>
        <w:numPr>
          <w:ilvl w:val="4"/>
          <w:numId w:val="1"/>
        </w:numPr>
        <w:rPr/>
      </w:pPr>
      <w:bookmarkStart w:id="292" w:name="__RefHeading___Toc4628962_2142443653"/>
      <w:bookmarkStart w:id="293" w:name="_Toc102"/>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إذا عرفت ذلك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ويتّضح بتقديم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كان أو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بعنوان، لا يمكن أن يتخلّف</w:t>
      </w:r>
    </w:p>
    <w:p>
      <w:pPr>
        <w:pStyle w:val="BookText"/>
        <w:rPr/>
      </w:pPr>
      <w:r>
        <w:rPr>
          <w:rFonts w:ascii="Amiri" w:hAnsi="Amiri" w:eastAsia="Amiri" w:cs="Amiri"/>
          <w:color w:val="111111"/>
          <w:sz w:val="28"/>
          <w:sz w:val="28"/>
          <w:szCs w:val="28"/>
          <w:rtl w:val="true"/>
          <w:lang w:bidi="ar-SA"/>
        </w:rPr>
        <w:t>عنه ويتجاوز إلى ما ليس بمتعلّقه؛ فإنّ تجاوزه عنه إلى ما لا دخالة له في تحصيل غرضه جزاف بلا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فتعلّق الأمر بطبيعة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إلاّ إذا كانت بجميع الخصوصيات</w:t>
      </w:r>
    </w:p>
    <w:p>
      <w:pPr>
        <w:pStyle w:val="BookText"/>
        <w:rPr/>
      </w:pPr>
      <w:r>
        <w:rPr>
          <w:rFonts w:ascii="Amiri" w:hAnsi="Amiri" w:eastAsia="Amiri" w:cs="Amiri"/>
          <w:color w:val="111111"/>
          <w:sz w:val="28"/>
          <w:sz w:val="28"/>
          <w:szCs w:val="28"/>
          <w:rtl w:val="true"/>
          <w:lang w:bidi="ar-SA"/>
        </w:rPr>
        <w:t>المأخوذة فيها دخيلة في تحصيل المصلحة، فكما لا يمكن تعلّقه بالفاقد لها لا يمكن تعلّقه بالخصوصية الغير الدخيلة في تحصيلها، كانت مقارنة أو ملازمة للمأمور به في الوجود الخارجي أو الذهني، فلا يتعدّى الأمر عن عنوان الصلاة إلى عنوان آخر، ولا النهي عن عنوان الغصب أو التصرّف في مال الغير بلا إذنه إلى غيره مطلقاً، فوزان الإرادة التشريعية كوزان التكوينية فيه، فكما أنّ الثانية تابعة لإدراك الصلاح فكذلك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بالإطلاق المقابل للتقييد هو كون الماهية تمام الموضوع للحكم؛ بحيث لا يكون شيء آخر دخيلاً في الموضوع، كان متّحداً معه في الخارج أو لا، ملازماً له أو مقارناً أو 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فالرقبة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بمعنى أ نّها تمام الموضوع لوجوب العتق من غير دخالة قيد فيها، وليس معنى الإطلاق كون شيء بتمام حالاته ولواحقه موضوعاً للحكم؛ حتّى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سواء كانت عادلة أو فاسقة، عالمة أو 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لعدم دخالة هذه </w:t>
      </w:r>
    </w:p>
    <w:p>
      <w:pPr>
        <w:pStyle w:val="BookText"/>
        <w:rPr/>
      </w:pPr>
      <w:r>
        <w:rPr>
          <w:rFonts w:ascii="Amiri" w:hAnsi="Amiri" w:eastAsia="Amiri" w:cs="Amiri"/>
          <w:color w:val="111111"/>
          <w:sz w:val="28"/>
          <w:sz w:val="28"/>
          <w:szCs w:val="28"/>
          <w:rtl w:val="true"/>
          <w:lang w:bidi="ar-SA"/>
        </w:rPr>
        <w:t>القيود في موضوع الحكم أوّلاً، وعدم إمكان كون الماهية آلة للحاظ تلك الخصوصيات ثانياً، فلا بدّ للحاظها من دالّ آخر، والفرض عدمه، ومعه يكون عموماً لا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الصلاة عبارة عن تعلّق الحكم بها بلا دخالة شيء آخر في الموضوع، وإطلاق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التصرّف في مال الغير بلا إذنه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عبارة عن كون ذاك العنوان تمام الموضوع للحرمة، فلا يمكن أن يكون الأوّل ناظراً إلى الصلاة في الدار المغصوبة، ولا الثاني إلى التصرّف الصلاتي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اللا بشرط وإن تتّحد مع ألف شرط في الوجود الخارجي ممّا هو خارج عن ذاتها ولاحق بها، لكن لا تكون كاشفة ودالّة عليه وآلة للحاظه؛ لأنّ الشيء لا يمكن أن يكون كاشفاً عن مخالفاته بحسب الذات والمفهوم، وإن اتّحد معها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فالأبيض والبياض لا يمكن أن يكونا كاشفين عن الإنسان والمتكمّم وإن اتّحدا معهما وجوداً، كما أنّ الماهية لا تكشف عن الوجود وإن اتّحدا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وإن اتّحدت أحياناً مع التصرّف في مال الغير بلا إذنه، لكن لا يمكن أن تكون مرآة له وكاشفة عنه، فالاتّحاد في الوجود غير الكشف عمّا يتّحد به، وهو واضح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الأحكام ليس الوجود الخارجي؛ لأنّ تعلّق الحكم بالوجود الخارجي أو الإيجاد بالحمل الشائع </w:t>
      </w:r>
    </w:p>
    <w:p>
      <w:pPr>
        <w:pStyle w:val="BookText"/>
        <w:rPr/>
      </w:pPr>
      <w:r>
        <w:rPr>
          <w:rFonts w:ascii="Amiri" w:hAnsi="Amiri" w:eastAsia="Amiri" w:cs="Amiri"/>
          <w:color w:val="111111"/>
          <w:sz w:val="28"/>
          <w:sz w:val="28"/>
          <w:szCs w:val="28"/>
          <w:rtl w:val="true"/>
          <w:lang w:bidi="ar-SA"/>
        </w:rPr>
        <w:t>لا يمكن إلاّ في ظرف تحقّقه، والبعث إلى إيجاد المتحقّق تحصيل للحاصل، كما</w:t>
      </w:r>
    </w:p>
    <w:p>
      <w:pPr>
        <w:pStyle w:val="BookText"/>
        <w:rPr/>
      </w:pPr>
      <w:r>
        <w:rPr>
          <w:rFonts w:ascii="Amiri" w:hAnsi="Amiri" w:eastAsia="Amiri" w:cs="Amiri"/>
          <w:color w:val="111111"/>
          <w:sz w:val="28"/>
          <w:sz w:val="28"/>
          <w:szCs w:val="28"/>
          <w:rtl w:val="true"/>
          <w:lang w:bidi="ar-SA"/>
        </w:rPr>
        <w:t>أنّ الزجر عمّا وجد خارجاً ممتنع، ولا الوجود الذهني بما هو كذلك؛ لأ نّه غير ممكن الانطباق على الخارج، فلا محالة يكون المتعلّق نفس الطبيعة، لكن لمّا كانت الطبيعة لا يمكن أن تصير متعلّقة لحكم إلاّ أن تصير متصوّرة، والتصوّر هو الوجود الذهني، فلا محالة يكون ظرف تعلّق الحكم بها هو الذهن، فالطبيعة متعلّقة للحكم في الذهن، لا بما هي موجودة فيه، ولا بما هي موجودة في الخارج، ولا بما هي مرآة للوجود الخارجي، بل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فمتعلّق الهيئة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الماهية اللا بشرط، ومفاد الهيئة هو البعث والتحريك إلى تحصيلها، ولازم امتثاله إيجادها، كما مرّ الكلام فيه سالفاً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البعث بنفس الطبيعة لا ينافي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من حيث هي ليست إلاّ هي، ولا يلزم من ذلك كونها بما هي مؤثّرة في تحصيل الغرض، بل المولى لمّا رأى أنّ إتيان الصلاة ووجودها خارجاً محصّل لغرض، فلا محالة يتوسّل إليه بوسيلة، ولا يكون ذلك إلاّ بالتشبّث بالأمر بالطبيعة؛ ليبعث العبد إلى إيجادها، فمتعلّق الأمر هو الطبيعة، والهيئة باعثة نحو إيجادها؛ إمّا لأجل دلالتها على طلب الوجود؛ أي العنواني، ليحصل الخارجي، أو لأجل حكم العقل به كما عرفت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يتعلّق بالطبيعة باعتبار مرآتيتها عن الوجود</w:t>
      </w:r>
      <w:r>
        <w:rPr>
          <w:rStyle w:val="FootnoteAnchor"/>
          <w:rtl w:val="true"/>
        </w:rPr>
        <w:footnoteReference w:id="2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تامّ؛ لأنّ المقصود من هذا التكلّف إن كان إثبات تعلّقه بالمرئي فهو مستلزم</w:t>
      </w:r>
    </w:p>
    <w:p>
      <w:pPr>
        <w:pStyle w:val="BookText"/>
        <w:rPr/>
      </w:pPr>
      <w:r>
        <w:rPr>
          <w:rFonts w:ascii="Amiri" w:hAnsi="Amiri" w:eastAsia="Amiri" w:cs="Amiri"/>
          <w:color w:val="111111"/>
          <w:sz w:val="28"/>
          <w:sz w:val="28"/>
          <w:szCs w:val="28"/>
          <w:rtl w:val="true"/>
          <w:lang w:bidi="ar-SA"/>
        </w:rPr>
        <w:t>لتحصيل الحاصل، مضافاً إلى أنّ الطبيعة لا يمكن أن تكون مرآة للوجود؛ لما عرفت من أنّ الاتّحاد في الوجود غير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لك تصديق المدّعى؛ أي جواز تعلّق الأمر والنهي بعنوانين متصادقين على واحد شخصي خارجي؛ لأنّ الأمر متعلّق بعنوان الصلاة مثلاً، ولا يمكن تجاوزه عن متعلّقه إلى ما يلحقه أو يلازمه أو يتّحد به في الخارج، وكذا النهي بحكم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معنى الإطلاق إلاّ كون الطبيعة تمام الموضوع، ولا تكون الملحقات والمتّحدات معها ملحوظة ومتعلّقة للحكم بحكم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والطبيعة اللا بشرط وإن اتّحدت مع العناوين الاُخر في الخارج، لكن لا تكون كاشفة عنها، ولا يكون الحكم المتعلّق بها سارياً إلى غيرها بحكم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ومتعلّق الحكم في الأمر والنهي هو نفس الطبيعة، لا الوجود الخارجي ولا الذهني بحكم الرابعة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أن يسري حكم أحد العنوانين إلى الآخر، مع أنّ في مقام ثبوت الحكمين يكون العنوانان متعدّدين ومتخالفين، فعنوان الصلاة غير عنوان الغصب مفهوماً وذاتاً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يسري حكم أحدهما إلى الآخر، والخارج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ظرف 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ظرف ثبوت الحكم كما تقدّم، فظرف الاتّحاد غير ظرف المتعلّق، وفي ظرف المتعلّق لا يمكن الاتّحاد، فأين اجتمع الحكمان ؟ </w:t>
      </w:r>
      <w:r>
        <w:rPr>
          <w:rFonts w:eastAsia="Amiri" w:cs="Amiri" w:ascii="Amiri" w:hAnsi="Amiri"/>
          <w:color w:val="111111"/>
          <w:sz w:val="28"/>
          <w:szCs w:val="28"/>
          <w:rtl w:val="true"/>
          <w:lang w:bidi="ar-SA"/>
        </w:rPr>
        <w:t xml:space="preserve">! </w:t>
      </w:r>
      <w:bookmarkStart w:id="294" w:name="pg15293_220177"/>
    </w:p>
    <w:p>
      <w:pPr>
        <w:pStyle w:val="Heading5"/>
        <w:numPr>
          <w:ilvl w:val="4"/>
          <w:numId w:val="1"/>
        </w:numPr>
        <w:rPr/>
      </w:pPr>
      <w:bookmarkStart w:id="295" w:name="__RefHeading___Toc4628964_2142443653"/>
      <w:bookmarkStart w:id="296" w:name="_Toc103"/>
      <w:bookmarkEnd w:id="294"/>
      <w:bookmarkEnd w:id="295"/>
      <w:r>
        <w:rPr>
          <w:rtl w:val="true"/>
        </w:rPr>
        <w:t>دفع الإشكالات الواردة على القول بالجواز</w:t>
      </w:r>
      <w:bookmarkEnd w:id="296"/>
    </w:p>
    <w:p>
      <w:pPr>
        <w:pStyle w:val="BookText"/>
        <w:rPr/>
      </w:pPr>
      <w:r>
        <w:rPr>
          <w:rFonts w:ascii="Amiri" w:hAnsi="Amiri" w:eastAsia="Amiri" w:cs="Amiri"/>
          <w:color w:val="111111"/>
          <w:sz w:val="28"/>
          <w:sz w:val="28"/>
          <w:szCs w:val="28"/>
          <w:rtl w:val="true"/>
          <w:lang w:bidi="ar-SA"/>
        </w:rPr>
        <w:t>ومن هنا يتّضح الجواب عن سائر إشكالات الباب، كلزوم كون شيء واحد متعلّقاً للإرادة والكراهة، وكون شيء واحد محبوباً ومبغوضاً، وذا صلاح وفساد، ومقرّباً ومبعّداً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المراحل المتقدّمة على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مبادئهما الموجودة في نفس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المتصوّر من كلّ من طبيعة الغصب والصلاة، وكذا الوجود العنواني منهما، غير المتصوّر من الآخر، ومورد تصديق المصلحة غير مورد تصديق المفسدة، ومورد تعلّق إرادة البعث غير مورد تعلّق إرادة الزجر، فصورة الصلاة وعنوانها في تمام المراحل غير الغصب، فلا تتّحد معه، وإنّما الاتّحاد في خارج الذهن الذي ليس ظرف تعلّق الأمر والنهي، ولا ظرف تحقّق مبادئهما، وكذا الوجود العنواني من كلٍّ غير الآخر لو فرض تعلّقهما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لزوم كون الموجود الخارجي محبوباً ومبغوضاً فلا محذور فيه؛ لأنّ المحبوبية والمبغوضية ليستا من الصفات القائمة بالموضوع خارجاً، كالسواد والبياض؛ حتّى يكون المحبوب متّصفاً بصفات خارجية بعدد المحبّين، والله تعالى محبوب الأولياء، ولا يمكن حدوث صفة حالّة فيه بعددهم، فالمحبوبية والمبغوضية من الصفات الانتزاعية التي يكون لهما منشأ انتزاع، فلا بدّ من لحاظ المنشأ؛ فإنّ المنتزع تابع لمنشئه في الوحدة والكثرة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انتزاع المحبوبية هو الحبّ القائم بالنفس المتعلّق بالطبيعة التي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الخارج، أو الوجود العنواني كذلك، أو الصورة التي في الذهن كذلك؛ لأنّ الحبّ من الصفات الإضافية، ولا بدّ في تشخّصه وتحقّقه من متعلّق، ولا يمكن أن يكون الموجود الخارجي مشخّصاً له؛ لأ نّه من الكيفيات النفسانية، فلا بدّ من أن يتشخّص بما هو حاضر لدى النفس بالذات، وهو الصورة الحاصلة فيها، ولمّا كانت الصورة وجهاً وعنواناً للخارج تضاف المحبوبية إليه، ولهذا قد تنسب المحبوبية إلى ما ليس موجوداً في الخارج، مع امتناعه لو كان مناط الانتساب قيام صفة خارجية بالموضوع، كما أنّ الأمر كذلك في العلم والقدرة، فيصير الشيء قبل تحقّقه معلوماً ومقدوراً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يمكن أن يتعلّق الحبّ بعنوان والبغض بآخر، فيكون الموجود الخارجي محبوباً ومبغوضاً، مع كون العنوانين موجودين بوجود واحد، ألا ترى أنّ البسائط الحقيقية معلومة لله تعالى ومقدورة ومرضية ومعلولة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شيء بسيط معلوماً ومجهولاً بجهتين، كالحركة الخاصّة الركوعية في الدار المجهول غصبيتها؛ فإنّها مع وحدتها معلومة أ نّها ركوع، ومجهولة أ نّها تصرّف في مال الغير، فلو كانت المعلومية والمجهولية كالبياض والسواد من الصفات الخارجية لامتنع اجتماعهما في واحد، فسرّ اجتماعهما أ نّهما من الانتزاعيات كما عرفت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فتحقّق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الواحد بحسب الوجود الخارجي يمكن </w:t>
      </w:r>
    </w:p>
    <w:p>
      <w:pPr>
        <w:pStyle w:val="BookText"/>
        <w:rPr/>
      </w:pPr>
      <w:r>
        <w:rPr>
          <w:rFonts w:ascii="Amiri" w:hAnsi="Amiri" w:eastAsia="Amiri" w:cs="Amiri"/>
          <w:color w:val="111111"/>
          <w:sz w:val="28"/>
          <w:sz w:val="28"/>
          <w:szCs w:val="28"/>
          <w:rtl w:val="true"/>
          <w:lang w:bidi="ar-SA"/>
        </w:rPr>
        <w:t>أن يكون محبوباً ومبغوضاً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قيام المصلحة والمفسدة بشيء واحد فهو أيضاً لا محذور فيه؛ لأ نّهما أيضاً لا يجب أن يكونا من الأعراض الخارجية القائمة بفعل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الغير بغير إذنه ظلم قبيح له مفسدة؛ لأنّ ذلك موجب للهرج والمرج والفساد من غير أن تكون هذه العناوين أوصافاً خارجية قائمة بالموضوع، والخضوع لله تعالى والركوع له قيام بأمر العبودية، وله حسن ومصلحة وموجب لأداء حقّ العبودية من غير أن تكون هذه العناوين أعراضاً خارجية، بل هي ومقابلاتها من الوجوه والاعتبارات التي يمكن أن يتّصف شيء واحد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 رأس اليتيم في الدار المغصوبة من جهة أ نّه رحمة به حسن ذو مصلحة، ومن جهة أ نّه تصرّف في مال الغير قبيح ذو مفسدة، من غير أن يكون ذلك من اجتماع الضدّين بالضرورة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يكون شيء واحد مقرّباً ومبعّداً؛ لأ نّهما أيضاً من الوجوه والاعتبارات التي يمكن اجتماعها في شيء واحد بجهات مختلفة؛ ضرورة أنّ العقل يدرك الفرق بين من ضرب ابن المولى في الدار المغصوبة ومن أكرمه فيها، فحركة اليد لإكرام ابن المولى من جهة أ نّها إكرام محبوبة وصالحة للمقرّبية، ومن جهة أ نّها تصرّف في مال الغير عدواناً، مبغوضة ومبعّدة، فالحركة الصلاتية في الدار المغصوبة من جهة أ نّها مصداق الصلاة محبوبة ومقرّبة، ومن جهة أ نّها مصداق الغصب مبغوضة مبعّدة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الواحد يمكن أن يتّصف بمثل هذه الانتزاعيات، فإذا أمكن أن يكون شيء واحد محبوباً من جهة ومبغوضاً من جهة اُخرى، أمكن أن يكون مقرّباً ومبعّداً من غير لزوم تضادّ وامتناع، ولا يلزم أن تكون الجهتان موجودتين بوجودين، ويكون التركيب بينهما 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النظر فيما تكلّفه بعض الأعاظم في تصوير التركيب الانضمامي بين الصلاة والغصب ومبادئ المشتقّات، وبنى جواز الاجتماع وعدمه على التركيب الانضمامي والاتّحادي</w:t>
      </w:r>
      <w:r>
        <w:rPr>
          <w:rStyle w:val="FootnoteAnchor"/>
          <w:rtl w:val="true"/>
        </w:rPr>
        <w:footnoteReference w:id="232"/>
      </w:r>
      <w:r>
        <w:rPr>
          <w:rFonts w:ascii="Amiri" w:hAnsi="Amiri" w:eastAsia="Amiri" w:cs="Amiri"/>
          <w:color w:val="111111"/>
          <w:sz w:val="28"/>
          <w:sz w:val="28"/>
          <w:szCs w:val="28"/>
          <w:rtl w:val="true"/>
          <w:lang w:bidi="ar-SA"/>
        </w:rPr>
        <w:t>فإنّه أجنبيّ عن المسألة؛ بل هي مبتنية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تعلّق الأحكام بالوجود الخارجي وما هو فعل المكلّف بالحمل الشائع كان لتكلّفه وجه، لكن مع بطلان هذا البناء لا محيص له عن القول بالامتناع؛ كان التركيب انضمامياً أو لا، مع أنّ التركيب الانضمامي بين الصلاة والغصب أو التصرّف العدواني لا وجه صحّة له كما تقدّم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تسمية ما ذكر بالتركيب الانضمامي والاتّحادي مجرّد اصطلاح، وإلاّ فليس انطباق العناوين على شيء من قبيل التركيب</w:t>
      </w:r>
      <w:r>
        <w:rPr>
          <w:rFonts w:eastAsia="Amiri" w:cs="Amiri" w:ascii="Amiri" w:hAnsi="Amiri"/>
          <w:color w:val="111111"/>
          <w:sz w:val="28"/>
          <w:szCs w:val="28"/>
          <w:rtl w:val="true"/>
          <w:lang w:bidi="ar-SA"/>
        </w:rPr>
        <w:t xml:space="preserve">. </w:t>
      </w:r>
      <w:bookmarkStart w:id="297" w:name="pg15293_220181"/>
    </w:p>
    <w:p>
      <w:pPr>
        <w:pStyle w:val="Heading5"/>
        <w:numPr>
          <w:ilvl w:val="4"/>
          <w:numId w:val="1"/>
        </w:numPr>
        <w:rPr/>
      </w:pPr>
      <w:bookmarkStart w:id="298" w:name="__RefHeading___Toc4628966_2142443653"/>
      <w:bookmarkStart w:id="299" w:name="_Toc104"/>
      <w:bookmarkEnd w:id="297"/>
      <w:bookmarkEnd w:id="298"/>
      <w:r>
        <w:rPr>
          <w:rtl w:val="true"/>
        </w:rPr>
        <w:t xml:space="preserve">تنبيه </w:t>
      </w:r>
      <w:r>
        <w:rPr>
          <w:rtl w:val="true"/>
        </w:rPr>
        <w:t xml:space="preserve">: </w:t>
      </w:r>
      <w:r>
        <w:rPr>
          <w:rtl w:val="true"/>
        </w:rPr>
        <w:t>في التضادّ بين الأحكام الخمسة</w:t>
      </w:r>
      <w:bookmarkEnd w:id="299"/>
    </w:p>
    <w:p>
      <w:pPr>
        <w:pStyle w:val="BookText"/>
        <w:rPr/>
      </w:pPr>
      <w:r>
        <w:rPr>
          <w:rFonts w:ascii="Amiri" w:hAnsi="Amiri" w:eastAsia="Amiri" w:cs="Amiri"/>
          <w:color w:val="111111"/>
          <w:sz w:val="28"/>
          <w:sz w:val="28"/>
          <w:szCs w:val="28"/>
          <w:rtl w:val="true"/>
          <w:lang w:bidi="ar-SA"/>
        </w:rPr>
        <w:t>وبما ذكرنا في وجه الجواز تحسم مادّة الإشكال، كان بين الأحكام تضادّ أو لا، لكن لمّا كان التضادّ بينها معروفاً بينهم</w:t>
      </w:r>
      <w:r>
        <w:rPr>
          <w:rStyle w:val="FootnoteAnchor"/>
          <w:rtl w:val="true"/>
        </w:rPr>
        <w:footnoteReference w:id="233"/>
      </w:r>
      <w:r>
        <w:rPr>
          <w:rFonts w:ascii="Amiri" w:hAnsi="Amiri" w:eastAsia="Amiri" w:cs="Amiri"/>
          <w:color w:val="111111"/>
          <w:sz w:val="28"/>
          <w:sz w:val="28"/>
          <w:szCs w:val="28"/>
          <w:rtl w:val="true"/>
          <w:lang w:bidi="ar-SA"/>
        </w:rPr>
        <w:t>وإن خالفهم بعض مدقّقي المتأخّرين</w:t>
      </w:r>
      <w:r>
        <w:rPr>
          <w:rStyle w:val="FootnoteAnchor"/>
          <w:rtl w:val="true"/>
        </w:rPr>
        <w:footnoteReference w:id="234"/>
      </w:r>
      <w:r>
        <w:rPr>
          <w:rFonts w:ascii="Amiri" w:hAnsi="Amiri" w:eastAsia="Amiri" w:cs="Amiri"/>
          <w:color w:val="111111"/>
          <w:sz w:val="28"/>
          <w:sz w:val="28"/>
          <w:szCs w:val="28"/>
          <w:rtl w:val="true"/>
          <w:lang w:bidi="ar-SA"/>
        </w:rPr>
        <w:t>فلا بأس بتحقيق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الضدّان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نّهما أمران وجوديان لا يتوقّف تعقّل أحدهما على الآخر، بينهما غاية الخلاف، يتعاقبان على موضوع واحد، لا يتصوّر اجتماعهما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 التضادّ أن تكون الأنواع الأخيرة التي توصف به داخلة تحت جنس واحد قريب، فلا يكون بين الأجناس ولا بين صنفين من نوع واحد ولا شخصين منه تضادّ</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التعريف لا يصدق على الأحكام الخمسة، سواء جعلت الإرادات المظهرة</w:t>
      </w:r>
      <w:r>
        <w:rPr>
          <w:rStyle w:val="FootnoteAnchor"/>
          <w:rtl w:val="true"/>
        </w:rPr>
        <w:footnoteReference w:id="236"/>
      </w:r>
      <w:r>
        <w:rPr>
          <w:rFonts w:ascii="IRNazanin" w:hAnsi="IRNazanin" w:eastAsia="IRNazanin"/>
          <w:color w:val="111111"/>
          <w:sz w:val="28"/>
          <w:sz w:val="28"/>
          <w:szCs w:val="28"/>
          <w:rtl w:val="true"/>
          <w:lang w:bidi="fa-IR"/>
        </w:rPr>
        <w:t>أو نفس البعث والزجر</w:t>
      </w:r>
      <w:r>
        <w:rPr>
          <w:rStyle w:val="FootnoteAnchor"/>
          <w:rtl w:val="true"/>
        </w:rPr>
        <w:footnoteReference w:id="237"/>
      </w:r>
      <w:r>
        <w:rPr>
          <w:rFonts w:ascii="Amiri" w:hAnsi="Amiri" w:eastAsia="Amiri" w:cs="Amiri"/>
          <w:color w:val="111111"/>
          <w:sz w:val="28"/>
          <w:sz w:val="28"/>
          <w:szCs w:val="28"/>
          <w:rtl w:val="true"/>
          <w:lang w:bidi="ar-SA"/>
        </w:rPr>
        <w:t>لأ نّه إن جعلت الإرادات فلم تكن الأحكام أنواعاً مختلفة تحت جنس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الواجب والمستحبّ وكذا الحرام </w:t>
      </w:r>
    </w:p>
    <w:p>
      <w:pPr>
        <w:pStyle w:val="BookText"/>
        <w:rPr/>
      </w:pPr>
      <w:r>
        <w:rPr>
          <w:rFonts w:ascii="Amiri" w:hAnsi="Amiri" w:eastAsia="Amiri" w:cs="Amiri"/>
          <w:color w:val="111111"/>
          <w:sz w:val="28"/>
          <w:sz w:val="28"/>
          <w:szCs w:val="28"/>
          <w:rtl w:val="true"/>
          <w:lang w:bidi="ar-SA"/>
        </w:rPr>
        <w:t xml:space="preserve">والمكروه فواضح؛ لأنّ الإرادة الوجوبية والاستحبابية مشتركتان في حقيقة الإرادة، وممتازتان بالشدّة والضعف، وكذا الحال في الحرمة والكراهة؛ لأنّ المبدأ القريب للزجر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تحريمياً كان أو تنزيهياً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الإرادة، فإذا أدرك المولى مفسدة شرب الخمر يتوسّل إلى سدّ بابه بزجر العبيد تشريعاً، فيريد الزجر التشريعي، فيزجرهم عنه، فإرادة الزجر المظهرة إذا كانت إلزامية ينتزع منها التحريم على هذا المبنى، وإذا كانت غير إلزامية ينتزع منها الكراهة، فالإرادة مبدأ الزجر والبعث والإباحة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تقابل الإرادة والكراهة، وجعلوا الكراهة مبدأ للنهي والإرادة للأمر، ليس على ما ينبغي؛ لأنّ الكراهة لصدور الفعل من المكلّف ليست في مقابل إرادة البعث، بل مقابلة للاشتياق إلى صدوره منه، فكما أنّ استحسان عمل والاشتياق إلى صدوره من المكلّف صارا مبدأ لإرادة بعثه نحو الفعل، فكذا استقباح عمل وكراهة صدوره منه صارا مبدأ لإرادة الزجر التشريعي والنهي عنه، فنفس الكراهة ليست بمبدأ قريب للنهي؛ ضرورة مبدئية الإرادة لصدور جميع الأفعال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انتزاع الحكم من الإرادة المظهرة لا فرق بين الوجوب وغيره في كون مبدئها الإرادة، فلا تكون الأحكام أنواعاً مختلفة مندرجة تحت جنس قريب، فلا تضادّ بينها، ومطلق عدم الاجتماع لا يوجب الاندراج تحت تقابل التضادّ، مع أنّ غاية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في جميع الأحكام، بل التعاقب على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الموضوع الشخصي لا الماهية النوعية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لا معنى له فيها؛ لأنّ متعلّقاتها لا يمكن أن تكون الموجود الخارجي، فلا معنى للتعاقب وعدم الاجتماع فيه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عدم التضادّ بينها؛ بناءً على أنّ الأحكام عبارة عن البعث والزجر المنشأين بوسيلة الآلات الموضوعة لذلك، كهيئة الأمر والنهي وغيرهما، ولا شكّ في أ نّهما حينئذٍ من الاُمور الاعتبارية، فلم تكن وجودية ولا حالّة في الموضوع الخارجي، بل قائمة بنفس المعتبر قياماً صدورياً، فالتضادّ بين الأحكام ممّا لا أساس له، فتدبّر</w:t>
      </w:r>
      <w:r>
        <w:rPr>
          <w:rFonts w:eastAsia="Amiri" w:cs="Amiri" w:ascii="Amiri" w:hAnsi="Amiri"/>
          <w:color w:val="111111"/>
          <w:sz w:val="28"/>
          <w:szCs w:val="28"/>
          <w:rtl w:val="true"/>
          <w:lang w:bidi="ar-SA"/>
        </w:rPr>
        <w:t xml:space="preserve">. </w:t>
      </w:r>
      <w:bookmarkStart w:id="300" w:name="pg15293_220184"/>
    </w:p>
    <w:p>
      <w:pPr>
        <w:pStyle w:val="Heading5"/>
        <w:numPr>
          <w:ilvl w:val="4"/>
          <w:numId w:val="1"/>
        </w:numPr>
        <w:rPr/>
      </w:pPr>
      <w:bookmarkStart w:id="301" w:name="__RefHeading___Toc4628968_2142443653"/>
      <w:bookmarkStart w:id="302" w:name="_Toc105"/>
      <w:bookmarkEnd w:id="300"/>
      <w:bookmarkEnd w:id="301"/>
      <w:r>
        <w:rPr>
          <w:rtl w:val="true"/>
        </w:rPr>
        <w:t>استدلال المجوّزين بوقوع العبادات المكروهة</w:t>
      </w:r>
      <w:bookmarkEnd w:id="302"/>
    </w:p>
    <w:p>
      <w:pPr>
        <w:pStyle w:val="BookText"/>
        <w:rPr/>
      </w:pPr>
      <w:r>
        <w:rPr>
          <w:rFonts w:ascii="Amiri" w:hAnsi="Amiri" w:eastAsia="Amiri" w:cs="Amiri"/>
          <w:color w:val="111111"/>
          <w:sz w:val="28"/>
          <w:sz w:val="28"/>
          <w:szCs w:val="28"/>
          <w:rtl w:val="true"/>
          <w:lang w:bidi="ar-SA"/>
        </w:rPr>
        <w:t>ثمّ إنّ المجوّزين استدلّوا بوقوع نظيره في الشرع، كالواجبات المكروهة أو المستحبّة، مع أنّ التضادّ بين جميع الأحكام</w:t>
      </w:r>
      <w:r>
        <w:rPr>
          <w:rStyle w:val="FootnoteAnchor"/>
          <w:rtl w:val="true"/>
        </w:rPr>
        <w:footnoteReference w:id="238"/>
      </w:r>
      <w:r>
        <w:rPr>
          <w:rFonts w:ascii="Amiri" w:hAnsi="Amiri" w:eastAsia="Amiri" w:cs="Amiri"/>
          <w:color w:val="111111"/>
          <w:sz w:val="28"/>
          <w:sz w:val="28"/>
          <w:szCs w:val="28"/>
          <w:rtl w:val="true"/>
          <w:lang w:bidi="ar-SA"/>
        </w:rPr>
        <w:t>، وهذا الاستدلال ضعيف، لكن لا بأس بالتعرّض إلى كيفية العبادات المكروهة</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4628970_2142443653"/>
      <w:bookmarkStart w:id="304" w:name="_Toc106"/>
      <w:bookmarkEnd w:id="303"/>
      <w:r>
        <w:rPr>
          <w:rtl w:val="true"/>
        </w:rPr>
        <w:t>كيفية العبادات المكروهة</w:t>
      </w:r>
      <w:bookmarkEnd w:id="30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تعلّق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بعنوانين مجتمعين في الوجود بينهما</w:t>
      </w:r>
    </w:p>
    <w:p>
      <w:pPr>
        <w:pStyle w:val="BookText"/>
        <w:rPr/>
      </w:pPr>
      <w:r>
        <w:rPr>
          <w:rFonts w:ascii="Amiri" w:hAnsi="Amiri" w:eastAsia="Amiri" w:cs="Amiri"/>
          <w:color w:val="111111"/>
          <w:sz w:val="28"/>
          <w:sz w:val="28"/>
          <w:szCs w:val="28"/>
          <w:rtl w:val="true"/>
          <w:lang w:bidi="ar-SA"/>
        </w:rPr>
        <w:t>عموم من وجه، فنحن في فُسحة منه، وكذا في العامّين المطلقين بناءً على دخولهما في محلّ البحث والقول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عمّا تعلّق النهي بذاتها ولا بدل لها كصوم يوم العاشور والصلوات المبتدأة عند غروب الشمس وطلوعها، فلا يبعد فيها أن يكون النهي متعلّقاً بعنوان آخر منطبق على الصوم، كالتشبّه ببني اُميّة وبني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فالمأمور به هو ذات الصوم والمنهيّ عنه التشبّه بهم، ولمّا انطبق العنوان عليه</w:t>
      </w:r>
    </w:p>
    <w:p>
      <w:pPr>
        <w:pStyle w:val="BookText"/>
        <w:rPr/>
      </w:pPr>
      <w:r>
        <w:rPr>
          <w:rFonts w:ascii="Amiri" w:hAnsi="Amiri" w:eastAsia="Amiri" w:cs="Amiri"/>
          <w:color w:val="111111"/>
          <w:sz w:val="28"/>
          <w:sz w:val="28"/>
          <w:szCs w:val="28"/>
          <w:rtl w:val="true"/>
          <w:lang w:bidi="ar-SA"/>
        </w:rPr>
        <w:t>وكان ترك التشبّه أهمّ من الصوم المستحبّ، نهى عنه إرشاداً إلى ترك 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قلنا بصحّة الصوم يوم العاشور كما نسب إلى المشهور، وإلاّ فللإشكال فيها مجال بالنظر إلى الأخبار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إلى المشهور في الجمع بين الأخبار بأنّ الصوم حزناً مستحبّ، وشكراً مكروه، وفيه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وجَمَعَ جمعٌ بينها باستحباب الصوم الناقص؛ أي صورة الصوم إلى العصر، وبطلان التامّ</w:t>
      </w:r>
      <w:r>
        <w:rPr>
          <w:rStyle w:val="FootnoteAnchor"/>
          <w:rtl w:val="true"/>
        </w:rPr>
        <w:footnoteReference w:id="239"/>
      </w:r>
      <w:r>
        <w:rPr>
          <w:rFonts w:ascii="Amiri" w:hAnsi="Amiri" w:eastAsia="Amiri" w:cs="Amiri"/>
          <w:color w:val="111111"/>
          <w:sz w:val="28"/>
          <w:sz w:val="28"/>
          <w:szCs w:val="28"/>
          <w:rtl w:val="true"/>
          <w:lang w:bidi="ar-SA"/>
        </w:rPr>
        <w:t>، وللكلام فيه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الصلوات في أوقات خاصّة، كقبل طلوع الشمس وغروبها على فرض كراهتها؛ فإنّها أيضاً محلّ مناقشة، لكن يمكن أن يكون لانطباق عنوان آخر مكروه عليها، كالتشبّه بعبدة الأوثان على ما قيل</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انطباق عنوان ذي مصلحة على الترك، يكون أرجح من الفعل، أو ملازمة الترك لعنوان كذائي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 عدمي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وجودي عليه، ولا يمكن أن يكون ملازماً لشيء؛ فإنّ الانطباق والملازمة من الوجوديات التي لا بدّ في ثبوتها لشيء من ثبوت ذلك الشيء، نعم يمكن اعتبار شيء من بعض الأعدام الخاصّة المتصوّرة بنحو من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الأعاظم قد تصدّى للجواب عن هذا القسم بتقديم مقدّمة نافعة على زعمه،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إذا تعلّق بعبادة مستحبّة يندكّ الأمر الاستحبابي في الأمر الوجوبي من قِبل النذر؛ لوحدة متعلّقهما، فيكتسب الأمر النذري الوجوبي التعبّدية من الاستحبابي، والأمر الاستحبابي يكتسب اللزوم من الوجوبي، فيتولّد منهما أمر وجوبي عبادي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العبادة المستحبّة متعلّقة للإجارة، كان متعلّق الأمر الاستحبابي </w:t>
      </w:r>
    </w:p>
    <w:p>
      <w:pPr>
        <w:pStyle w:val="BookText"/>
        <w:rPr/>
      </w:pPr>
      <w:r>
        <w:rPr>
          <w:rFonts w:ascii="Amiri" w:hAnsi="Amiri" w:eastAsia="Amiri" w:cs="Amiri"/>
          <w:color w:val="111111"/>
          <w:sz w:val="28"/>
          <w:sz w:val="28"/>
          <w:szCs w:val="28"/>
          <w:rtl w:val="true"/>
          <w:lang w:bidi="ar-SA"/>
        </w:rPr>
        <w:t>مغايراً لما تعلّق به الأمر الوجوبي؛ لأنّ متعلّق الأوّل ذات العبادة، ومتعلّق الثاني إتيان العبادة بداعي الأمر المتوجّه إلى المنوب عنه وبوصف كونه مستحبّاً على الغير؛ لأنّ الشخص صار أجيراً لتفريغ ذمّة الغير، فلا تكون العبادة من دون قصد النيابة تحت الإجارة، فلا يلزم اجتماع الضدّين، ولا يندكّ أحدهما في الآخر، وما نحن فيه من هذا القبيل؛ لأنّ الأمر تعلّق بذات العبادة، والنهي التنزيهي تعلّق بالتعبّد بها؛ لما فيه من المشابهة بالأعداء</w:t>
      </w:r>
      <w:r>
        <w:rPr>
          <w:rStyle w:val="FootnoteAnchor"/>
          <w:rtl w:val="true"/>
        </w:rPr>
        <w:footnoteReference w:id="2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النذر إنّما تعلّق بعنوان الوفاء به، وهو عنوان مغاير لعنوان الصلاة والصوم وغيرهما، وإنّما يجتمع معها في الخارج الذي لم يكن ظرف تعلّق الأمر، فإذا نذر أن يأتي بصلاة الليل يجب عليه الوفاء بالنذر، فالإتيان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لوفاء النذر في الخارج وللصلاة، وهما عنوانان منطبقان على الخارج كما تقدّم، وكذا الكلام في الإجارة؛ فإنّ الأمر الوجوبي تعلّق بعنوان الوفاء بالعقد، والاستحبابي بالصلاة المستحبّة، أو أمر وجوبي آخر بالصلاة الواجبة على الولي أو الميّت، فافتراق موضوعهما يكون من هذه الجهة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معقول لهذا الاكتساب والتولّد المذكورين، فبأيّ دليل وأيّة جهة يكتسب الأمر الغير العبادي العبادية والغير الوجوبي الوجوب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هذه الولادة والوراثة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يعقل تغيير الأمر عمّا هو عليه لو فرض وحدة متعلّقه مع الآخر، ولعمري إنّ هذا أشبه بالشعر منه بالبرهان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فيما نحن فيه وكذا في باب العبادات الاستئجارية، لم يتعلّق بذات الصلاة والصوم، وإلاّ يلزم أن يكون توصّلياً، بل تعلّق بها بقيد التعبّد ولو بدليل آخر، فلا يكون موضوعهما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جميع ما ذكر لا ينفع ذلك للتخلّص عن الإشكال؛ لأنّ حاصله يرجع إلى أنّ الأمر الاستحبابي تعلّق بصوم يوم العاشور، وصومه بما هو مستحبّ مكروه، وهذا واضح البطلان؛ لأ نّه يلزم منه أن يكون موضوع الحكم مضادّاً لحكمه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 في خلال كلامه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التعبّد بالصوم مكروه لأجل التشبّه بالأعداء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إلى ما ذكرنا لا يحتاج فيه إلى تلك التكلّفات</w:t>
      </w:r>
      <w:r>
        <w:rPr>
          <w:rFonts w:eastAsia="Amiri" w:cs="Amiri" w:ascii="Amiri" w:hAnsi="Amiri"/>
          <w:color w:val="111111"/>
          <w:sz w:val="28"/>
          <w:szCs w:val="28"/>
          <w:rtl w:val="true"/>
          <w:lang w:bidi="ar-SA"/>
        </w:rPr>
        <w:t xml:space="preserve">. </w:t>
      </w:r>
      <w:bookmarkStart w:id="305" w:name="pg15293_220188"/>
    </w:p>
    <w:p>
      <w:pPr>
        <w:pStyle w:val="Heading5"/>
        <w:numPr>
          <w:ilvl w:val="4"/>
          <w:numId w:val="1"/>
        </w:numPr>
        <w:rPr/>
      </w:pPr>
      <w:bookmarkStart w:id="306" w:name="__RefHeading___Toc4628972_2142443653"/>
      <w:bookmarkStart w:id="307" w:name="_Toc107"/>
      <w:bookmarkEnd w:id="305"/>
      <w:bookmarkEnd w:id="306"/>
      <w:r>
        <w:rPr>
          <w:rtl w:val="true"/>
        </w:rPr>
        <w:t xml:space="preserve">تنبيه </w:t>
      </w:r>
      <w:r>
        <w:rPr>
          <w:rtl w:val="true"/>
        </w:rPr>
        <w:t xml:space="preserve">: </w:t>
      </w:r>
      <w:r>
        <w:rPr>
          <w:rtl w:val="true"/>
        </w:rPr>
        <w:t>في توسّط الأرض المغصوبة</w:t>
      </w:r>
      <w:bookmarkEnd w:id="307"/>
    </w:p>
    <w:p>
      <w:pPr>
        <w:pStyle w:val="BookText"/>
        <w:rPr/>
      </w:pPr>
      <w:r>
        <w:rPr>
          <w:rFonts w:ascii="Amiri" w:hAnsi="Amiri" w:eastAsia="Amiri" w:cs="Amiri"/>
          <w:color w:val="111111"/>
          <w:sz w:val="28"/>
          <w:sz w:val="28"/>
          <w:szCs w:val="28"/>
          <w:rtl w:val="true"/>
          <w:lang w:bidi="ar-SA"/>
        </w:rPr>
        <w:t>قد وقع الخلاف في أنّ المتوسّط في أرض مغصوبة إذا كان دخوله غصباً ويكون التخلّص منحصراً بالتصرّف فيها بغير إذن صاحبها، هل يكون ذلك التصرّف منه واجباً وحراماً</w:t>
      </w:r>
      <w:r>
        <w:rPr>
          <w:rStyle w:val="FootnoteAnchor"/>
          <w:rtl w:val="true"/>
        </w:rPr>
        <w:footnoteReference w:id="243"/>
      </w:r>
      <w:r>
        <w:rPr>
          <w:rFonts w:ascii="Amiri" w:hAnsi="Amiri" w:eastAsia="Amiri" w:cs="Amiri"/>
          <w:color w:val="111111"/>
          <w:sz w:val="28"/>
          <w:sz w:val="28"/>
          <w:szCs w:val="28"/>
          <w:rtl w:val="true"/>
          <w:lang w:bidi="ar-SA"/>
        </w:rPr>
        <w:t>، أو واجباً مع جريان حكم المعصية عليه</w:t>
      </w:r>
      <w:r>
        <w:rPr>
          <w:rStyle w:val="FootnoteAnchor"/>
          <w:rtl w:val="true"/>
        </w:rPr>
        <w:footnoteReference w:id="244"/>
      </w:r>
      <w:r>
        <w:rPr>
          <w:rFonts w:ascii="IRNazanin" w:hAnsi="IRNazanin" w:eastAsia="IRNazanin"/>
          <w:color w:val="111111"/>
          <w:sz w:val="28"/>
          <w:sz w:val="28"/>
          <w:szCs w:val="28"/>
          <w:rtl w:val="true"/>
          <w:lang w:bidi="fa-IR"/>
        </w:rPr>
        <w:t>، أو بدونه</w:t>
      </w:r>
      <w:r>
        <w:rPr>
          <w:rStyle w:val="FootnoteAnchor"/>
          <w:rtl w:val="true"/>
        </w:rPr>
        <w:footnoteReference w:id="245"/>
      </w:r>
      <w:r>
        <w:rPr>
          <w:rFonts w:ascii="Amiri" w:hAnsi="Amiri" w:eastAsia="Amiri" w:cs="Amiri"/>
          <w:color w:val="111111"/>
          <w:sz w:val="28"/>
          <w:sz w:val="28"/>
          <w:szCs w:val="28"/>
          <w:rtl w:val="true"/>
          <w:lang w:bidi="ar-SA"/>
        </w:rPr>
        <w:t>، أو حراماً فعلياً</w:t>
      </w:r>
      <w:r>
        <w:rPr>
          <w:rStyle w:val="FootnoteAnchor"/>
          <w:rtl w:val="true"/>
        </w:rPr>
        <w:footnoteReference w:id="246"/>
      </w:r>
      <w:r>
        <w:rPr>
          <w:rFonts w:ascii="Amiri" w:hAnsi="Amiri" w:eastAsia="Amiri" w:cs="Amiri"/>
          <w:color w:val="111111"/>
          <w:sz w:val="28"/>
          <w:sz w:val="28"/>
          <w:szCs w:val="28"/>
          <w:rtl w:val="true"/>
          <w:lang w:bidi="ar-SA"/>
        </w:rPr>
        <w:t>، أو لا يكون حراماً ولا واجباً مع جريان حكم المعصية عليه</w:t>
      </w:r>
      <w:r>
        <w:rPr>
          <w:rStyle w:val="FootnoteAnchor"/>
          <w:rtl w:val="true"/>
        </w:rPr>
        <w:footnoteReference w:id="247"/>
      </w:r>
      <w:r>
        <w:rPr>
          <w:rFonts w:ascii="IRNazanin" w:hAnsi="IRNazanin" w:eastAsia="IRNazanin"/>
          <w:color w:val="111111"/>
          <w:sz w:val="28"/>
          <w:sz w:val="28"/>
          <w:szCs w:val="28"/>
          <w:rtl w:val="true"/>
          <w:lang w:bidi="fa-IR"/>
        </w:rPr>
        <w:t>؟ على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حرام فعلي، ولا يكون واجباً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دليل عليه بعنوان الخروج من الأرض المغصوبة، أو التخلّص عن الغصب، أو ردّ المال إلى صاحبه، أو ترك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دلّ الدليل على حرمة الغصب وحرمة التصرّف في مال الغير بلا إذنه، والعناوين الاُخر لا دليل على تعلّق الوجوب بها، وما في بعض الروايات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 كلّه مردود</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لا يدلّ على وجوب الردّ بعنوانه، بل لمّا كان الغصب </w:t>
      </w:r>
    </w:p>
    <w:p>
      <w:pPr>
        <w:pStyle w:val="BookText"/>
        <w:rPr/>
      </w:pPr>
      <w:r>
        <w:rPr>
          <w:rFonts w:ascii="Amiri" w:hAnsi="Amiri" w:eastAsia="Amiri" w:cs="Amiri"/>
          <w:color w:val="111111"/>
          <w:sz w:val="28"/>
          <w:sz w:val="28"/>
          <w:szCs w:val="28"/>
          <w:rtl w:val="true"/>
          <w:lang w:bidi="ar-SA"/>
        </w:rPr>
        <w:t>حراماً يردّ المغصوب تخلّصاً عن الحرام عقلاً، فهو إرشاد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النهي عن الشيء مقتضٍ للأمر بضدّه العامّ، ووجوب مقدّمة</w:t>
      </w:r>
    </w:p>
    <w:p>
      <w:pPr>
        <w:pStyle w:val="BookText"/>
        <w:rPr/>
      </w:pPr>
      <w:r>
        <w:rPr>
          <w:rFonts w:ascii="Amiri" w:hAnsi="Amiri" w:eastAsia="Amiri" w:cs="Amiri"/>
          <w:color w:val="111111"/>
          <w:sz w:val="28"/>
          <w:sz w:val="28"/>
          <w:szCs w:val="28"/>
          <w:rtl w:val="true"/>
          <w:lang w:bidi="ar-SA"/>
        </w:rPr>
        <w:t>الواجب، يمكن القول بوجوب بعض تلك العناوين؛ لأنّ التصرّف في مال الغير إذا كان حراماً يكون ترك التصرّف واجباً، والخروج عن الدار مقدّمة لتركه على إشكال، لكنّ المقدّمتين ممنوعتان كما سبق في محلّه</w:t>
      </w:r>
      <w:r>
        <w:rPr>
          <w:rStyle w:val="FootnoteAnchor"/>
          <w:rtl w:val="true"/>
        </w:rPr>
        <w:footnoteReference w:id="249"/>
      </w:r>
      <w:r>
        <w:rPr>
          <w:rFonts w:ascii="Amiri" w:hAnsi="Amiri" w:eastAsia="Amiri" w:cs="Amiri"/>
          <w:color w:val="111111"/>
          <w:sz w:val="28"/>
          <w:sz w:val="28"/>
          <w:szCs w:val="28"/>
          <w:rtl w:val="true"/>
          <w:lang w:bidi="ar-SA"/>
        </w:rPr>
        <w:t>، وسيأتي الكلام بناءً على تسليمهما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التصرّف الخروجي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تكرّر منّا</w:t>
      </w:r>
      <w:r>
        <w:rPr>
          <w:rStyle w:val="FootnoteAnchor"/>
          <w:rtl w:val="true"/>
        </w:rPr>
        <w:footnoteReference w:id="250"/>
      </w:r>
      <w:r>
        <w:rPr>
          <w:rFonts w:ascii="Amiri" w:hAnsi="Amiri" w:eastAsia="Amiri" w:cs="Amiri"/>
          <w:color w:val="111111"/>
          <w:sz w:val="28"/>
          <w:sz w:val="28"/>
          <w:szCs w:val="28"/>
          <w:rtl w:val="true"/>
          <w:lang w:bidi="ar-SA"/>
        </w:rPr>
        <w:t xml:space="preserve">من أنّ الأحكام المتعلّقة بالعناوين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على عناوينها من غير لحاظ حالات كلّ واحد من المكلّفين، وصحّة الخطاب العمومي لا تتوقّف على صحّة الباعثية بالنسبة إلى جميع الأفراد، وأنّ الخطابات لم تكن مقيّدة بالقادر العالم الملتفت، لا من ناحية الحاكم، ولا من ناحية العقل كشفاً أو حكومةً، لكن العقل يحكم بمعذورية المكلّف في بعض الأحيان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بعدم جواز التصرّف في مال الغير فعلي على عنوانه غير مقيّد بحال من الأحوال، لكن العقل يحكم بمعذورية العاجز إذا طرأ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لا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وأمّا معه فلا يراه معذوراً في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فالحكم الفعلي بالمعنى المتقدّم قد يخالف بلا عذر، وقد يخالف معه، وما نحن فيه من قبيل الأوّل، وإن حكم العقل بلزوم التخلّص لكونه أقلّ المحذورين، وهكذا الحال في جميع الموارد التي سلب المكلّف قدرته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أمر المولى بإنقاذ الغريق، فسلب العبد عن نفسه القدرة، لا يكون معذوراً لدى العقل والعقلاء، ولو ساعدناهم في سقوط الأمر لم تمكن المساعدة في عدم إجراء حكم المعصية بشهادة الوجدان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 بوجوب ردّ المال إلى صاحبه، أو وجوب التخلّص عن التصرّف، أو ترك التصرّف، وكون التصرّف الخارجي مقدّمة للواجب، فإن قلنا بجواز تعلّق النهي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فيقوى قول أبي هاشم</w:t>
      </w:r>
      <w:r>
        <w:rPr>
          <w:rStyle w:val="FootnoteAnchor"/>
          <w:rtl w:val="true"/>
        </w:rPr>
        <w:footnoteReference w:id="252"/>
      </w:r>
      <w:r>
        <w:rPr>
          <w:rFonts w:ascii="IRNazanin" w:hAnsi="IRNazanin" w:eastAsia="IRNazanin"/>
          <w:color w:val="111111"/>
          <w:sz w:val="28"/>
          <w:sz w:val="28"/>
          <w:szCs w:val="28"/>
          <w:rtl w:val="true"/>
          <w:lang w:bidi="fa-IR"/>
        </w:rPr>
        <w:t xml:space="preserve">، وإلاّ فقول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تعلّق الأمر والنهي بشيء واحد</w:t>
      </w:r>
      <w:r>
        <w:rPr>
          <w:rStyle w:val="FootnoteAnchor"/>
          <w:rtl w:val="true"/>
        </w:rPr>
        <w:footnoteReference w:id="254"/>
      </w:r>
      <w:r>
        <w:rPr>
          <w:rFonts w:ascii="Amiri" w:hAnsi="Amiri" w:eastAsia="Amiri" w:cs="Amiri"/>
          <w:color w:val="111111"/>
          <w:sz w:val="28"/>
          <w:sz w:val="28"/>
          <w:szCs w:val="28"/>
          <w:rtl w:val="true"/>
          <w:lang w:bidi="ar-SA"/>
        </w:rPr>
        <w:t>ممنوع؛ لأنّ النهي متعلّق بعنوان التصرّف في مال الغير، والأمر المقدّمي بحيثية ما يتوقّف عليه ذو المقدّمة، أو ما يتوصّل به إليه، وهما بما لهما من العنوان قابلان لتعلّق الأمر والنهي بهما، 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هما كذلك بالحمل الشائع؛ لأ نّهما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تعلّق الأمر والنهي بهما، فاتّحاد مقدّمة الواجب مع التصرّف في مال الغير في الوجود الخارجي دون وعاء تعلّق التكليف،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قيد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باب اجتماع الأمر والنهي، فلا محيص عن قول</w:t>
      </w:r>
    </w:p>
    <w:p>
      <w:pPr>
        <w:pStyle w:val="BookText"/>
        <w:rPr/>
      </w:pPr>
      <w:r>
        <w:rPr>
          <w:rFonts w:ascii="Amiri" w:hAnsi="Amiri" w:eastAsia="Amiri" w:cs="Amiri"/>
          <w:color w:val="111111"/>
          <w:sz w:val="28"/>
          <w:sz w:val="28"/>
          <w:szCs w:val="28"/>
          <w:rtl w:val="true"/>
          <w:lang w:bidi="ar-SA"/>
        </w:rPr>
        <w:t xml:space="preserve">أبي هاشم، وإلاّ فعن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الأعاظم</w:t>
      </w:r>
      <w:r>
        <w:rPr>
          <w:rStyle w:val="FootnoteAnchor"/>
          <w:rtl w:val="true"/>
        </w:rPr>
        <w:footnoteReference w:id="255"/>
      </w:r>
      <w:r>
        <w:rPr>
          <w:rFonts w:ascii="Amiri" w:hAnsi="Amiri" w:eastAsia="Amiri" w:cs="Amiri"/>
          <w:color w:val="111111"/>
          <w:sz w:val="28"/>
          <w:sz w:val="28"/>
          <w:szCs w:val="28"/>
          <w:rtl w:val="true"/>
          <w:lang w:bidi="ar-SA"/>
        </w:rPr>
        <w:t>اختار ما نسب إلى الشيخ الأعظم</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الخروج وعدم الحرمة لا خطاباً ولا عقاباً، وبنى المسألة على دخول المقام في كبرى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واختار العدم، واستدلّ عليه باُمور غير خالية عن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القاعدة أجنبيّة عمّا نحن فيه؛ لأ نّها في مقابل قول من توهّم أنّ قاعدة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 وما لم يمتنع لم يعدم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منافية للاختيار في الأفعال، فيلزم أن يكون الواجب تعالى فاعلاً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الواجب والممتنع خارجان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الإيجاب السابق من ناحية العلّة وباختياره لا ينافي الاختيار، وأ نّه تعالى فاعل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والإيجاب بالاختيار كالامتناع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الشيء ممتنعاً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الاختيار، بل يؤكّده</w:t>
      </w:r>
      <w:r>
        <w:rPr>
          <w:rStyle w:val="FootnoteAnchor"/>
          <w:rtl w:val="true"/>
        </w:rPr>
        <w:footnoteReference w:id="257"/>
      </w:r>
      <w:r>
        <w:rPr>
          <w:rFonts w:ascii="Amiri" w:hAnsi="Amiri" w:eastAsia="Amiri" w:cs="Amiri"/>
          <w:color w:val="111111"/>
          <w:sz w:val="28"/>
          <w:sz w:val="28"/>
          <w:szCs w:val="28"/>
          <w:rtl w:val="true"/>
          <w:lang w:bidi="ar-SA"/>
        </w:rPr>
        <w:t>، وما نحن فيه غير مرتبط بهذه القاعدة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الامتناع الحاصل بترك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المسير إلى الحجّ إلى وقت يمتنع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الاختيار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الإيجاب والامتناع السابقين الحاصلين بإرادة الفاعل لا ينافيان الاختيار، بخلاف ما هو </w:t>
      </w:r>
    </w:p>
    <w:p>
      <w:pPr>
        <w:pStyle w:val="BookText"/>
        <w:rPr/>
      </w:pPr>
      <w:r>
        <w:rPr>
          <w:rFonts w:ascii="Amiri" w:hAnsi="Amiri" w:eastAsia="Amiri" w:cs="Amiri"/>
          <w:color w:val="111111"/>
          <w:sz w:val="28"/>
          <w:sz w:val="28"/>
          <w:szCs w:val="28"/>
          <w:rtl w:val="true"/>
          <w:lang w:bidi="ar-SA"/>
        </w:rPr>
        <w:t>اللاحق له باعتبار تحقّقه ولا تحقّقه، وفقدان مقدّمات وجوده، فإنّه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نحن فيه تحت قاعدة اُخرى، وهي أنّ الاضطرار إلى فعل الحرام أو ترك الواجب إذا كان بسوء الاختيار هل هو عذر عند العقلاء ولدى العقل، ويقبح العقاب عليه، أو ليس بعذر ويصحّ ؟</w:t>
      </w:r>
    </w:p>
    <w:p>
      <w:pPr>
        <w:pStyle w:val="BookText"/>
        <w:rPr/>
      </w:pPr>
      <w:r>
        <w:rPr>
          <w:rFonts w:ascii="Amiri" w:hAnsi="Amiri" w:eastAsia="Amiri" w:cs="Amiri"/>
          <w:color w:val="111111"/>
          <w:sz w:val="28"/>
          <w:sz w:val="28"/>
          <w:szCs w:val="28"/>
          <w:rtl w:val="true"/>
          <w:lang w:bidi="ar-SA"/>
        </w:rPr>
        <w:t xml:space="preserve">الأقوى هو الثاني، فمن ترك المسير إلى الحجّ بسوء اختياره حتّى عجز عنه، يصحّ عقابه وإن كان ينافي الاختيار، وكذا من اضطرّ نفسه إلى التصرّف في مال الغير بلا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الخروجي المضطرّ إليه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معذوراً عقلاً، كمن سلب قدرته عمداً عن إنقاذ الغريق،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الحكم التكليفي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الصلاة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w:t>
      </w:r>
      <w:r>
        <w:rPr>
          <w:rStyle w:val="FootnoteAnchor"/>
          <w:rtl w:val="true"/>
        </w:rPr>
        <w:footnoteReference w:id="258"/>
      </w:r>
      <w:r>
        <w:rPr>
          <w:rFonts w:ascii="Amiri" w:hAnsi="Amiri" w:eastAsia="Amiri" w:cs="Amiri"/>
          <w:color w:val="111111"/>
          <w:sz w:val="28"/>
          <w:sz w:val="28"/>
          <w:szCs w:val="28"/>
          <w:rtl w:val="true"/>
          <w:lang w:bidi="ar-SA"/>
        </w:rPr>
        <w:t>شطر من الكلام فيه في الصلاة في الدار المغصوبة، وشطر منه مربوط بالفقه، وهو حال الصلاة في ضيق الوقت وكيفيتها</w:t>
      </w:r>
      <w:r>
        <w:rPr>
          <w:rFonts w:eastAsia="Amiri" w:cs="Amiri" w:ascii="Amiri" w:hAnsi="Amiri"/>
          <w:color w:val="111111"/>
          <w:sz w:val="28"/>
          <w:szCs w:val="28"/>
          <w:rtl w:val="true"/>
          <w:lang w:bidi="ar-SA"/>
        </w:rPr>
        <w:t xml:space="preserve">. </w:t>
      </w:r>
      <w:bookmarkStart w:id="308" w:name="pg15293_220193"/>
    </w:p>
    <w:p>
      <w:pPr>
        <w:pStyle w:val="Heading3"/>
        <w:numPr>
          <w:ilvl w:val="2"/>
          <w:numId w:val="1"/>
        </w:numPr>
        <w:rPr/>
      </w:pPr>
      <w:bookmarkStart w:id="309" w:name="__RefHeading___Toc4628974_2142443653"/>
      <w:bookmarkStart w:id="310" w:name="_Toc108"/>
      <w:bookmarkEnd w:id="308"/>
      <w:bookmarkEnd w:id="309"/>
      <w:r>
        <w:rPr>
          <w:rtl w:val="true"/>
        </w:rPr>
        <w:t>الفصل الثالث في أنّ النهي عن الشيء هل يكشف عن فساده ؟</w:t>
      </w:r>
      <w:bookmarkEnd w:id="310"/>
    </w:p>
    <w:p>
      <w:pPr>
        <w:pStyle w:val="Heading4"/>
        <w:numPr>
          <w:ilvl w:val="3"/>
          <w:numId w:val="1"/>
        </w:numPr>
        <w:rPr/>
      </w:pPr>
      <w:bookmarkStart w:id="311" w:name="__RefHeading___Toc4628976_2142443653"/>
      <w:bookmarkStart w:id="312" w:name="_Toc109"/>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وقبل تحقيق المقام يقدّم اُمور</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4628978_2142443653"/>
      <w:bookmarkStart w:id="314" w:name="_Toc110"/>
      <w:bookmarkEnd w:id="313"/>
      <w:r>
        <w:rPr>
          <w:rtl w:val="true"/>
        </w:rPr>
        <w:t>الأمر الأوّل</w:t>
      </w:r>
      <w:r>
        <w:rPr>
          <w:rtl w:val="true"/>
        </w:rPr>
        <w:t xml:space="preserve">: </w:t>
      </w:r>
      <w:r>
        <w:rPr>
          <w:rtl w:val="true"/>
        </w:rPr>
        <w:t>في الاختلاف في عنوان البحث</w:t>
      </w:r>
      <w:bookmarkEnd w:id="314"/>
    </w:p>
    <w:p>
      <w:pPr>
        <w:pStyle w:val="BookText"/>
        <w:rPr/>
      </w:pPr>
      <w:r>
        <w:rPr>
          <w:rFonts w:ascii="Amiri" w:hAnsi="Amiri" w:eastAsia="Amiri" w:cs="Amiri"/>
          <w:color w:val="111111"/>
          <w:sz w:val="28"/>
          <w:sz w:val="28"/>
          <w:szCs w:val="28"/>
          <w:rtl w:val="true"/>
          <w:lang w:bidi="ar-SA"/>
        </w:rPr>
        <w:t>تختلف تعبيرات القوم في عقد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الشيء هل يقتضي الفساد</w:t>
      </w:r>
      <w:r>
        <w:rPr>
          <w:rStyle w:val="FootnoteAnchor"/>
          <w:rtl w:val="true"/>
        </w:rPr>
        <w:footnoteReference w:id="259"/>
      </w:r>
      <w:r>
        <w:rPr>
          <w:rFonts w:ascii="Amiri" w:hAnsi="Amiri" w:eastAsia="Amiri" w:cs="Amiri"/>
          <w:color w:val="111111"/>
          <w:sz w:val="28"/>
          <w:sz w:val="28"/>
          <w:szCs w:val="28"/>
          <w:rtl w:val="true"/>
          <w:lang w:bidi="ar-SA"/>
        </w:rPr>
        <w:t>؟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عنه هل يدلّ عليه</w:t>
      </w:r>
      <w:r>
        <w:rPr>
          <w:rStyle w:val="FootnoteAnchor"/>
          <w:rtl w:val="true"/>
        </w:rPr>
        <w:footnoteReference w:id="260"/>
      </w: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كلا التعبيرين عن المسامحة؛ فإنّ الاقتضاء بالمعنى المتفاهم به عرفاً لا يناسب المقام؛ لأنّ النهي لا يكون موجباً ومؤثّراً في الفساد، بل إمّا أن يكون دالاًّ عليه كما يدّعي بعضهم</w:t>
      </w:r>
      <w:r>
        <w:rPr>
          <w:rStyle w:val="FootnoteAnchor"/>
          <w:rtl w:val="true"/>
        </w:rPr>
        <w:footnoteReference w:id="261"/>
      </w:r>
      <w:r>
        <w:rPr>
          <w:rFonts w:ascii="Amiri" w:hAnsi="Amiri" w:eastAsia="Amiri" w:cs="Amiri"/>
          <w:color w:val="111111"/>
          <w:sz w:val="28"/>
          <w:sz w:val="28"/>
          <w:szCs w:val="28"/>
          <w:rtl w:val="true"/>
          <w:lang w:bidi="ar-SA"/>
        </w:rPr>
        <w:t xml:space="preserve">، أو كاشفاً عن مبغوضية متعلّقه، وهي تنافي </w:t>
      </w:r>
      <w:bookmarkStart w:id="315" w:name="pg15293_220194"/>
    </w:p>
    <w:p>
      <w:pPr>
        <w:pStyle w:val="BookText"/>
        <w:rPr/>
      </w:pPr>
      <w:bookmarkEnd w:id="315"/>
      <w:r>
        <w:rPr>
          <w:rFonts w:ascii="Amiri" w:hAnsi="Amiri" w:eastAsia="Amiri" w:cs="Amiri"/>
          <w:color w:val="111111"/>
          <w:sz w:val="28"/>
          <w:sz w:val="28"/>
          <w:szCs w:val="28"/>
          <w:rtl w:val="true"/>
          <w:lang w:bidi="ar-SA"/>
        </w:rPr>
        <w:t>الصحّة، كما يدّعي الآخر</w:t>
      </w:r>
      <w:r>
        <w:rPr>
          <w:rStyle w:val="FootnoteAnchor"/>
          <w:rtl w:val="true"/>
        </w:rPr>
        <w:footnoteReference w:id="262"/>
      </w:r>
      <w:r>
        <w:rPr>
          <w:rFonts w:ascii="Amiri" w:hAnsi="Amiri" w:eastAsia="Amiri" w:cs="Amiri"/>
          <w:color w:val="111111"/>
          <w:sz w:val="28"/>
          <w:sz w:val="28"/>
          <w:szCs w:val="28"/>
          <w:rtl w:val="true"/>
          <w:lang w:bidi="ar-SA"/>
        </w:rPr>
        <w:t>، من دون أن يكون النهي بما له من المعنى مقتضياً لذلك، اللهمّ إلاّ أن يراد بالاقتضاء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يناسب التعبير بالدلالة؛ لأنّ الدلالة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بنحو الالتزام على فرض كون الدلالة الالتزامية لفظية، لا تشمل الملازمات الخفية العقلية، بل لا بدّ في الالتزام من اللزوم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المدّعى في</w:t>
      </w:r>
    </w:p>
    <w:p>
      <w:pPr>
        <w:pStyle w:val="BookText"/>
        <w:rPr/>
      </w:pPr>
      <w:r>
        <w:rPr>
          <w:rFonts w:ascii="Amiri" w:hAnsi="Amiri" w:eastAsia="Amiri" w:cs="Amiri"/>
          <w:color w:val="111111"/>
          <w:sz w:val="28"/>
          <w:sz w:val="28"/>
          <w:szCs w:val="28"/>
          <w:rtl w:val="true"/>
          <w:lang w:bidi="ar-SA"/>
        </w:rPr>
        <w:t>اقتضاء النهي ليس مقصوراً على 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بها مطلق الكشف ولو بنحو اللزوم الخفي؛ ولهذا غيّرنا عنوان البحث إلى الكشف؛ حتّى يعمّ الدلالات اللفظية واللوازم العقلية الخفية، والأمر سهل</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4628980_2142443653"/>
      <w:bookmarkStart w:id="317" w:name="_Toc111"/>
      <w:bookmarkEnd w:id="316"/>
      <w:r>
        <w:rPr>
          <w:rtl w:val="true"/>
        </w:rPr>
        <w:t>الأمر الثاني</w:t>
      </w:r>
      <w:r>
        <w:rPr>
          <w:rtl w:val="true"/>
        </w:rPr>
        <w:t xml:space="preserve">: </w:t>
      </w:r>
      <w:r>
        <w:rPr>
          <w:rtl w:val="true"/>
        </w:rPr>
        <w:t>في كون المسألة عقلية لفظية</w:t>
      </w:r>
      <w:bookmarkEnd w:id="317"/>
    </w:p>
    <w:p>
      <w:pPr>
        <w:pStyle w:val="BookText"/>
        <w:rPr/>
      </w:pPr>
      <w:r>
        <w:rPr>
          <w:rFonts w:ascii="Amiri" w:hAnsi="Amiri" w:eastAsia="Amiri" w:cs="Amiri"/>
          <w:color w:val="111111"/>
          <w:sz w:val="28"/>
          <w:sz w:val="28"/>
          <w:szCs w:val="28"/>
          <w:rtl w:val="true"/>
          <w:lang w:bidi="ar-SA"/>
        </w:rPr>
        <w:t>الأولى تعميم عنوان البحث بحيث يشمل العقلي واللفظي؛ حتّى يناسب استدلالات القوم؛ فإنّهم تشبّثوا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بالدلالة العرفية، واُخرى بالعقلية، فجعله ممحّضاً في أحدهما</w:t>
      </w:r>
      <w:r>
        <w:rPr>
          <w:rStyle w:val="FootnoteAnchor"/>
          <w:rtl w:val="true"/>
        </w:rPr>
        <w:footnoteReference w:id="263"/>
      </w:r>
      <w:r>
        <w:rPr>
          <w:rFonts w:ascii="Amiri" w:hAnsi="Amiri" w:eastAsia="Amiri" w:cs="Amiri"/>
          <w:color w:val="111111"/>
          <w:sz w:val="28"/>
          <w:sz w:val="28"/>
          <w:szCs w:val="28"/>
          <w:rtl w:val="true"/>
          <w:lang w:bidi="ar-SA"/>
        </w:rPr>
        <w:t xml:space="preserve">غير مناسب، بل مع جعله كذلك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عهدة 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آخر، فلو تمحّض في العقلية لبقي البحث عن الدلالة اللفظية وبالعكس، فالمسألة ليست عقلية محضة، ولا لفظية كذلك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المسألة اُصولية تقع الكبرى لاستنتاج الفرعية الكلّية، وقد أشرنا</w:t>
      </w:r>
      <w:r>
        <w:rPr>
          <w:rStyle w:val="FootnoteAnchor"/>
          <w:rtl w:val="true"/>
        </w:rPr>
        <w:footnoteReference w:id="264"/>
      </w:r>
      <w:r>
        <w:rPr>
          <w:rFonts w:ascii="Amiri" w:hAnsi="Amiri" w:eastAsia="Amiri" w:cs="Amiri"/>
          <w:color w:val="111111"/>
          <w:sz w:val="28"/>
          <w:sz w:val="28"/>
          <w:szCs w:val="28"/>
          <w:rtl w:val="true"/>
          <w:lang w:bidi="ar-SA"/>
        </w:rPr>
        <w:t>إلى الفرق بينها وبين المسألة المتقدّمة هناك</w:t>
      </w:r>
      <w:r>
        <w:rPr>
          <w:rFonts w:eastAsia="Amiri" w:cs="Amiri" w:ascii="Amiri" w:hAnsi="Amiri"/>
          <w:color w:val="111111"/>
          <w:sz w:val="28"/>
          <w:szCs w:val="28"/>
          <w:rtl w:val="true"/>
          <w:lang w:bidi="ar-SA"/>
        </w:rPr>
        <w:t xml:space="preserve">. </w:t>
      </w:r>
      <w:bookmarkStart w:id="318" w:name="pg15293_220195"/>
    </w:p>
    <w:p>
      <w:pPr>
        <w:pStyle w:val="Heading4"/>
        <w:numPr>
          <w:ilvl w:val="3"/>
          <w:numId w:val="1"/>
        </w:numPr>
        <w:rPr/>
      </w:pPr>
      <w:bookmarkStart w:id="319" w:name="__RefHeading___Toc4628982_2142443653"/>
      <w:bookmarkStart w:id="320" w:name="_Toc112"/>
      <w:bookmarkEnd w:id="318"/>
      <w:bookmarkEnd w:id="319"/>
      <w:r>
        <w:rPr>
          <w:rtl w:val="true"/>
        </w:rPr>
        <w:t>الأمر الثالث</w:t>
      </w:r>
      <w:r>
        <w:rPr>
          <w:rtl w:val="true"/>
        </w:rPr>
        <w:t xml:space="preserve">: </w:t>
      </w:r>
      <w:r>
        <w:rPr>
          <w:rtl w:val="true"/>
        </w:rPr>
        <w:t>في تحرير محلّ النزاع</w:t>
      </w:r>
      <w:bookmarkEnd w:id="320"/>
    </w:p>
    <w:p>
      <w:pPr>
        <w:pStyle w:val="BookText"/>
        <w:rPr/>
      </w:pPr>
      <w:r>
        <w:rPr>
          <w:rFonts w:ascii="Amiri" w:hAnsi="Amiri" w:eastAsia="Amiri" w:cs="Amiri"/>
          <w:color w:val="111111"/>
          <w:sz w:val="28"/>
          <w:sz w:val="28"/>
          <w:szCs w:val="28"/>
          <w:rtl w:val="true"/>
          <w:lang w:bidi="ar-SA"/>
        </w:rPr>
        <w:t>الظاهر أنّ محطّ البحث أعمّ من النهي التحريمي والتنزيهي، والنفسي والغيري، والأصلي والتبعي، ولا وجه لاختصاصه</w:t>
      </w:r>
      <w:r>
        <w:rPr>
          <w:rStyle w:val="FootnoteAnchor"/>
          <w:rtl w:val="true"/>
        </w:rPr>
        <w:footnoteReference w:id="265"/>
      </w:r>
      <w:r>
        <w:rPr>
          <w:rFonts w:ascii="Amiri" w:hAnsi="Amiri" w:eastAsia="Amiri" w:cs="Amiri"/>
          <w:color w:val="111111"/>
          <w:sz w:val="28"/>
          <w:sz w:val="28"/>
          <w:szCs w:val="28"/>
          <w:rtl w:val="true"/>
          <w:lang w:bidi="ar-SA"/>
        </w:rPr>
        <w:t>بأحدها؛ لأنّ كلّها محلّ النزاع ولو عند من ادّعى أنّ عدم الأمر يكفي في الفساد، وينكر الأمر الترتّبي، ومجرّد كون قوله خلاف التحقيق عند آخر لا يوجب خروجه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تعلّق النهي التنزيهي في الشريعة بالخصوصيات اللاحقة بالعبادات لا بنفسها، أجنبيّة عمّا نحن بصدده على فرض صحّتها؛ لأنّ الكلام في فرض تعلّقه بها، كما أنّ تأويل الكراهة بأقلّية الثواب لا يوجب الخروج عن محطّ البحث، فدعوى خروج النهي الغيري والتنزيهي عنه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النهي الإرشادي المسوق لبيان المانعية خارج؛ لأ نّه بعد إحرازه لا يبقى مجال للنزاع، لكن كون النواهي المتعلّقة بالعبادات والمعاملات إرشاديةً محلّ النزاع</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4628984_2142443653"/>
      <w:bookmarkStart w:id="322" w:name="_Toc113"/>
      <w:bookmarkEnd w:id="321"/>
      <w:r>
        <w:rPr>
          <w:rtl w:val="true"/>
        </w:rPr>
        <w:t>الأمر الرابع</w:t>
      </w:r>
      <w:r>
        <w:rPr>
          <w:rtl w:val="true"/>
        </w:rPr>
        <w:t xml:space="preserve">: </w:t>
      </w:r>
      <w:r>
        <w:rPr>
          <w:rtl w:val="true"/>
        </w:rPr>
        <w:t>في المراد من العبادات والمعاملات</w:t>
      </w:r>
      <w:bookmarkEnd w:id="322"/>
    </w:p>
    <w:p>
      <w:pPr>
        <w:pStyle w:val="BookText"/>
        <w:rPr/>
      </w:pPr>
      <w:r>
        <w:rPr>
          <w:rFonts w:ascii="Amiri" w:hAnsi="Amiri" w:eastAsia="Amiri" w:cs="Amiri"/>
          <w:color w:val="111111"/>
          <w:sz w:val="28"/>
          <w:sz w:val="28"/>
          <w:szCs w:val="28"/>
          <w:rtl w:val="true"/>
          <w:lang w:bidi="ar-SA"/>
        </w:rPr>
        <w:t xml:space="preserve">المراد بالعبادات هو العناوين الواردة في الشريعة ممّا لا يسقط 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فرض تعلّقه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اُتيت بوجه قربي، أو كان عنوانها عبادة ذاتاً، وبالجملة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القربيات مع قطع النظر عن النهي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فمطلق ما يتّصف بالصحّة تارةً وبالفساد اُخرى، لا ما يترتّب عليه أثر على وجه ولا يترتّب على آخر؛ لأنّ القتل قد يترتّب عليه القصاص، </w:t>
      </w:r>
      <w:bookmarkStart w:id="323" w:name="pg15293_220196"/>
    </w:p>
    <w:p>
      <w:pPr>
        <w:pStyle w:val="BookText"/>
        <w:rPr/>
      </w:pPr>
      <w:bookmarkEnd w:id="323"/>
      <w:r>
        <w:rPr>
          <w:rFonts w:ascii="Amiri" w:hAnsi="Amiri" w:eastAsia="Amiri" w:cs="Amiri"/>
          <w:color w:val="111111"/>
          <w:sz w:val="28"/>
          <w:sz w:val="28"/>
          <w:szCs w:val="28"/>
          <w:rtl w:val="true"/>
          <w:lang w:bidi="ar-SA"/>
        </w:rPr>
        <w:t>وقد لا يترتّب كقتل الأب ابنه، ولا يتّصف بالصحّة والفساد، ومثله خارج عن البحث، والظاهر أنّ أبواب الضمان من هذا القبيل، ولو فرض انفكاك الأثر عن أسبابه أحياناً</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4628986_2142443653"/>
      <w:bookmarkStart w:id="325" w:name="_Toc114"/>
      <w:bookmarkEnd w:id="324"/>
      <w:r>
        <w:rPr>
          <w:rtl w:val="true"/>
        </w:rPr>
        <w:t>الأمر الخامس</w:t>
      </w:r>
      <w:r>
        <w:rPr>
          <w:rtl w:val="true"/>
        </w:rPr>
        <w:t xml:space="preserve">: </w:t>
      </w:r>
      <w:r>
        <w:rPr>
          <w:rtl w:val="true"/>
        </w:rPr>
        <w:t>في مساوقة الصحّة والفساد للنقص والتمام</w:t>
      </w:r>
      <w:bookmarkEnd w:id="325"/>
    </w:p>
    <w:p>
      <w:pPr>
        <w:pStyle w:val="Heading5"/>
        <w:numPr>
          <w:ilvl w:val="4"/>
          <w:numId w:val="1"/>
        </w:numPr>
        <w:rPr/>
      </w:pPr>
      <w:bookmarkStart w:id="326" w:name="__RefHeading___Toc4628988_2142443653"/>
      <w:bookmarkStart w:id="327" w:name="_Toc115"/>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أمران إضافيان، بينهما تقابل العدم والملكة، مساوقان معنى للتمام والنقص لغة وعرفاً، وكذا في نظر الفقهاء والمتكلّمين، واختلاف تعبير الفريقين لأجل ما هو المهمّ في نظرهما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مساوقتهما للتمام والنقص عرفاً ولغة فهو واضح الفساد؛ لاختلاف مفهومهما وموارد استعمالهما، فلا يقال لإنسان فاقد لبعض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والدار التي بعض مرافقها ناقصة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فاسدة، ولا لما تمّت 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صحيحة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فالتمام والصحّة عنوانان بينهما عموم من وجه بحسب المورد، فالنقص بحسب الأجزاء غالباً، والتمام مقابله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الصحّة فغالب استعمالها في الكيفيات المزاجية أو الشبيهة بها، ومقابلها الفساد، وهو كيفية وجودية عارضة للشيء منافرة لمزاجه ومخالفة لطبيعته النوعية، فالفاكهة الفاسدة ما عرضتها كيفية وجودية منافرة لمزاجها تتنفّر عنها الطباع غالباً، فبين الصحّة والفساد تقابل التضادّ لو سلّم كون الصحّة وجودية، وبين النقص والتمام تقابل العدم والملكة</w:t>
      </w:r>
      <w:r>
        <w:rPr>
          <w:rFonts w:eastAsia="Amiri" w:cs="Amiri" w:ascii="Amiri" w:hAnsi="Amiri"/>
          <w:color w:val="111111"/>
          <w:sz w:val="28"/>
          <w:szCs w:val="28"/>
          <w:rtl w:val="true"/>
          <w:lang w:bidi="ar-SA"/>
        </w:rPr>
        <w:t xml:space="preserve">. </w:t>
      </w:r>
      <w:bookmarkStart w:id="328" w:name="pg15293_220197"/>
    </w:p>
    <w:p>
      <w:pPr>
        <w:pStyle w:val="BookText"/>
        <w:rPr/>
      </w:pPr>
      <w:bookmarkEnd w:id="328"/>
      <w:r>
        <w:rPr>
          <w:rFonts w:ascii="Amiri" w:hAnsi="Amiri" w:eastAsia="Amiri" w:cs="Amiri"/>
          <w:color w:val="111111"/>
          <w:sz w:val="28"/>
          <w:sz w:val="28"/>
          <w:szCs w:val="28"/>
          <w:rtl w:val="true"/>
          <w:lang w:bidi="ar-SA"/>
        </w:rPr>
        <w:t>هذا بحسب اللغة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العبادات والمعاملات؛ فلا إشكال في استعمال الصحّة والفساد فيهما مع فقد جزء أو شرط أو وجود مانع، فكأ نّهما مساوقان للتمام والنقص أو قريبان منهما، لكن يمكن أن يكون بوضع جديد، وهو بعيد عن الصواب، ويمكن أن يكون باستعمالهما مجازاً ثمّ بلغا إلى حدّ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فالصحّة في الماهيات المخترعة صفة لمصداق جامع لجميع الأجزاء والشرائط، مطابق للمخترع والقانون، والفساد مقابلها، وبينهما في هذا المورد تقابل العدم والملكة، وبهذا المعنى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أمران إضافيان؛ لإمكان أن يكون عبادة تامّة الأجزاء ناقصة الشرائط،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بالمعنى المتعارف فليست كذلك، إلاّ بالإضافة إلى حالات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اختلاف الأنظار في صحّة عبادة وعدمها فلا يوجب إضافيتهما؛ لأنّ الأنظار طريق إلى تشخيص الواقع، فكلٌّ يخطّئ الآخر، فما في كلام المحقّق الخراساني</w:t>
      </w:r>
      <w:r>
        <w:rPr>
          <w:rStyle w:val="FootnoteAnchor"/>
          <w:rtl w:val="true"/>
        </w:rPr>
        <w:footnoteReference w:id="267"/>
      </w:r>
      <w:r>
        <w:rPr>
          <w:rFonts w:ascii="Amiri" w:hAnsi="Amiri" w:eastAsia="Amiri" w:cs="Amiri"/>
          <w:color w:val="111111"/>
          <w:sz w:val="28"/>
          <w:sz w:val="28"/>
          <w:szCs w:val="28"/>
          <w:rtl w:val="true"/>
          <w:lang w:bidi="ar-SA"/>
        </w:rPr>
        <w:t>من إثبات إضافيتهما بذلك، غير تامّ</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4628990_2142443653"/>
      <w:bookmarkStart w:id="330" w:name="_Toc116"/>
      <w:bookmarkEnd w:id="329"/>
      <w:r>
        <w:rPr>
          <w:rtl w:val="true"/>
        </w:rPr>
        <w:t>تنبيه</w:t>
      </w:r>
      <w:r>
        <w:rPr>
          <w:rtl w:val="true"/>
        </w:rPr>
        <w:t xml:space="preserve">: </w:t>
      </w:r>
      <w:r>
        <w:rPr>
          <w:rtl w:val="true"/>
        </w:rPr>
        <w:t>في مجعولية الصحّة والفساد</w:t>
      </w:r>
      <w:bookmarkEnd w:id="330"/>
    </w:p>
    <w:p>
      <w:pPr>
        <w:pStyle w:val="BookText"/>
        <w:rPr/>
      </w:pPr>
      <w:r>
        <w:rPr>
          <w:rFonts w:ascii="Amiri" w:hAnsi="Amiri" w:eastAsia="Amiri" w:cs="Amiri"/>
          <w:color w:val="111111"/>
          <w:sz w:val="28"/>
          <w:sz w:val="28"/>
          <w:szCs w:val="28"/>
          <w:rtl w:val="true"/>
          <w:lang w:bidi="ar-SA"/>
        </w:rPr>
        <w:t>هل الصحّة والفساد مجعولتان مطلقاً أو لا؛ أو مجعولتان في المعاملات دون العبادات، أو الصحّة الظاهرية مجعولة دون الواقعية ؟ فيه أقوال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أقواها عدم إمكان مجعوليتهما مطلقاً، وذلك لأنّ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منتزعة </w:t>
      </w:r>
      <w:bookmarkStart w:id="331" w:name="pg15293_220198"/>
    </w:p>
    <w:p>
      <w:pPr>
        <w:pStyle w:val="BookText"/>
        <w:rPr/>
      </w:pPr>
      <w:bookmarkEnd w:id="331"/>
      <w:r>
        <w:rPr>
          <w:rFonts w:ascii="Amiri" w:hAnsi="Amiri" w:eastAsia="Amiri" w:cs="Amiri"/>
          <w:color w:val="111111"/>
          <w:sz w:val="28"/>
          <w:sz w:val="28"/>
          <w:szCs w:val="28"/>
          <w:rtl w:val="true"/>
          <w:lang w:bidi="ar-SA"/>
        </w:rPr>
        <w:t xml:space="preserve">من مطابقة الخارج للمخترع أو للأمر، أو بمعنى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تكويني عقلي لا ينالها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جعل الآثار في المعاملات</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كونهما مجعولين فيها؛ لعدم اتّصاف الماهيات المخترعة بالصحّة والفساد، كما هو واضح، بل المتّصف بهما هو الموجود الخارجي أو الاعتباري بلحاظ انطباق الماهيات عليه ولا انطباقها، وهما عقليان لا يتطرّق الجعل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جعل الصحّة الظاهرية بنفسها</w:t>
      </w:r>
      <w:r>
        <w:rPr>
          <w:rStyle w:val="FootnoteAnchor"/>
          <w:rtl w:val="true"/>
        </w:rPr>
        <w:footnoteReference w:id="269"/>
      </w:r>
      <w:r>
        <w:rPr>
          <w:rFonts w:ascii="Amiri" w:hAnsi="Amiri" w:eastAsia="Amiri" w:cs="Amiri"/>
          <w:color w:val="111111"/>
          <w:sz w:val="28"/>
          <w:sz w:val="28"/>
          <w:szCs w:val="28"/>
          <w:rtl w:val="true"/>
          <w:lang w:bidi="ar-SA"/>
        </w:rPr>
        <w:t>لا معنى له؛ لأنّ جعل مطابقة المأتيّ به للمأمور به بلا تصرّف في منشأ الانتزاع غير معقول ولو في ظرف الشكّ وبحسب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جواز ترتيب أثر الصحّة أو وجوبه قابلان للجعل، لكنّه غير جعل الصحّة بنفسها، بل الظاهر أنّ جواز ذلك أو إيجابه بدون رفع اليد عن الشرط أو الجزء غير ممكن، ومعه يكون التطبيق قهرياً، ولعلّ القائل بالجعل هاهنا خلط بين الأمرين</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628992_2142443653"/>
      <w:bookmarkStart w:id="333" w:name="_Toc117"/>
      <w:bookmarkEnd w:id="332"/>
      <w:r>
        <w:rPr>
          <w:rtl w:val="true"/>
        </w:rPr>
        <w:t>الأمر السادس</w:t>
      </w:r>
      <w:r>
        <w:rPr>
          <w:rtl w:val="true"/>
        </w:rPr>
        <w:t xml:space="preserve">: </w:t>
      </w:r>
      <w:r>
        <w:rPr>
          <w:rtl w:val="true"/>
        </w:rPr>
        <w:t>في تحقيق الأصل في المقام</w:t>
      </w:r>
      <w:bookmarkEnd w:id="333"/>
    </w:p>
    <w:p>
      <w:pPr>
        <w:pStyle w:val="BookText"/>
        <w:rPr/>
      </w:pPr>
      <w:r>
        <w:rPr>
          <w:rFonts w:ascii="Amiri" w:hAnsi="Amiri" w:eastAsia="Amiri" w:cs="Amiri"/>
          <w:color w:val="111111"/>
          <w:sz w:val="28"/>
          <w:sz w:val="28"/>
          <w:szCs w:val="28"/>
          <w:rtl w:val="true"/>
          <w:lang w:bidi="ar-SA"/>
        </w:rPr>
        <w:t>لا أصل في المسألة الاُصولية لدى الشكّ في دلالة النهي على الفساد لفظاً أو كشفه عنه عقلاً؛ لعدم العلم بالحالة السابقة، لا في الدلالة، ولا في الملازمة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اللفظ قبل وضعه وإن لم يكن دالاًّ، لكن في هذه الحالة </w:t>
      </w:r>
    </w:p>
    <w:p>
      <w:pPr>
        <w:pStyle w:val="BookText"/>
        <w:rPr/>
      </w:pPr>
      <w:r>
        <w:rPr>
          <w:rFonts w:ascii="Amiri" w:hAnsi="Amiri" w:eastAsia="Amiri" w:cs="Amiri"/>
          <w:color w:val="111111"/>
          <w:sz w:val="28"/>
          <w:sz w:val="28"/>
          <w:szCs w:val="28"/>
          <w:rtl w:val="true"/>
          <w:lang w:bidi="ar-SA"/>
        </w:rPr>
        <w:t>لم يكن إلاّ الحروف المقطّعة، وعند عروض التركيب له إمّا وضع لما يستفاد منه</w:t>
      </w:r>
    </w:p>
    <w:p>
      <w:pPr>
        <w:pStyle w:val="BookText"/>
        <w:rPr/>
      </w:pPr>
      <w:r>
        <w:rPr>
          <w:rFonts w:ascii="Amiri" w:hAnsi="Amiri" w:eastAsia="Amiri" w:cs="Amiri"/>
          <w:color w:val="111111"/>
          <w:sz w:val="28"/>
          <w:sz w:val="28"/>
          <w:szCs w:val="28"/>
          <w:rtl w:val="true"/>
          <w:lang w:bidi="ar-SA"/>
        </w:rPr>
        <w:t>الفساد أو لغيره، فلا حالة سابقة له بنحو الكون الناقص،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التركيب لطبيعي اللفظ في ذهن الواضع كان قبل الدلالة والوضع زماناً،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تحقّقت بعد الوضع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لها حالة سابقة مفيدة، سواء قلنا بأ نّها أزلية كما قيل</w:t>
      </w:r>
      <w:r>
        <w:rPr>
          <w:rStyle w:val="FootnoteAnchor"/>
          <w:rtl w:val="true"/>
        </w:rPr>
        <w:footnoteReference w:id="270"/>
      </w:r>
      <w:r>
        <w:rPr>
          <w:rFonts w:ascii="Amiri" w:hAnsi="Amiri" w:eastAsia="Amiri" w:cs="Amiri"/>
          <w:color w:val="111111"/>
          <w:sz w:val="28"/>
          <w:sz w:val="28"/>
          <w:szCs w:val="28"/>
          <w:rtl w:val="true"/>
          <w:lang w:bidi="ar-SA"/>
        </w:rPr>
        <w:t>، وهو واضح، أو قلنا بأنّ تحقّقها عند تحقّق المتلازمين؛ لأنّ قبل تحقّقهما وإن لم تكن الملازمة بنحو الكون التامّ متحقّقة، لكنّه لا يفيد استصحابها إلاّ على الأصل المثبت، وبنحو الكون الناقص لا حالة سابقة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سلّم تحقّق الحالة السابقة في المقامين لم يجر الاستصحاب؛ لأجل عدم أثر شرعي للمستصحب؛ لعدم كون الدلالة أو الملازمة موضوعاً لحكم شرعي، وصحّة الصلاة لدى تحقّق المقتضيات وعدم الموانع عقلية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الأصل في المسألة الاُصولية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حاله في الفرعية، فلا بدّ أوّلاً من فرض الكلام في مورد تعلّق النهي بالعبادة أو المعاملة وشكّ في اقتضائهما الفساد، فإجراء القواعد الاُخر</w:t>
      </w:r>
      <w:r>
        <w:rPr>
          <w:rStyle w:val="FootnoteAnchor"/>
          <w:rtl w:val="true"/>
        </w:rPr>
        <w:footnoteReference w:id="271"/>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الشكّ إلى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منه رجوع الشكّ إلى تعلّقه بها أو بالخصوصية ككونها في 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إجراء قاعدة التجاوز، أجنبيّ عن المقام؛ فإنّ الكلام ليس في مانعية شيء عن الصلاة أو شرطيته لها، بل الكلام في الشكّ في اقتضاء النهي الفساد</w:t>
      </w:r>
      <w:r>
        <w:rPr>
          <w:rFonts w:eastAsia="Amiri" w:cs="Amiri" w:ascii="Amiri" w:hAnsi="Amiri"/>
          <w:color w:val="111111"/>
          <w:sz w:val="28"/>
          <w:szCs w:val="28"/>
          <w:rtl w:val="true"/>
          <w:lang w:bidi="ar-SA"/>
        </w:rPr>
        <w:t xml:space="preserve">. </w:t>
      </w:r>
      <w:bookmarkStart w:id="334" w:name="pg15293_220200"/>
    </w:p>
    <w:p>
      <w:pPr>
        <w:pStyle w:val="BookText"/>
        <w:rPr/>
      </w:pPr>
      <w:bookmarkEnd w:id="334"/>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المعاملات فمقتضى الأصل الفساد، وأمّا في العبادات فإن كان الشكّ في فسادها بعد الفراغ عن إحراز الملاك كما في النهي عن الضدّ، فالأصل يقتضي الصحّة؛ لأنّ الملاك كافٍ فيها، فيرجع الشكّ إلى كون النهي إرشاداً إلى الفساد لأجل أمر آخر غير فقدان الملاك، فيرجع بالأخرة إلى الشكّ في مانعية النهي عن العبادة،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الفرق بين 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إجراء البراءة أجنبيّ عن</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المقام من إجراء البراءة،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 تحقّق الملاك أيضاً فالأصل يقتضي الفساد؛ لأنّ صحّة الصلاة تتوقّف إمّا على إحراز الأمر أو الملاك، والأمر لا يجتمع مع النهي في عنوان واحد، ومع عدمه لا طريق لإحراز الملاك</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4628994_2142443653"/>
      <w:bookmarkStart w:id="336" w:name="_Toc118"/>
      <w:bookmarkEnd w:id="335"/>
      <w:r>
        <w:rPr>
          <w:rtl w:val="true"/>
        </w:rPr>
        <w:t>التحقيق في دلالة النهي على الفساد</w:t>
      </w:r>
      <w:bookmarkEnd w:id="336"/>
    </w:p>
    <w:p>
      <w:pPr>
        <w:pStyle w:val="Heading5"/>
        <w:numPr>
          <w:ilvl w:val="4"/>
          <w:numId w:val="1"/>
        </w:numPr>
        <w:rPr/>
      </w:pPr>
      <w:bookmarkStart w:id="337" w:name="__RefHeading___Toc4628996_2142443653"/>
      <w:bookmarkStart w:id="338" w:name="_Toc119"/>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إذا عرفت ذلك فيقع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دلالة النهي عرفاً إذا تعلّق بعبادة أو معاملة مع عدم إحراز كونه للتحريم أو التنزيه أو غيرهما، واُخرى في الاقتضاء عقلاً إذا اُحرز التحريم أو غيره</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4628998_2142443653"/>
      <w:bookmarkStart w:id="340" w:name="_Toc120"/>
      <w:bookmarkEnd w:id="339"/>
      <w:r>
        <w:rPr>
          <w:rtl w:val="true"/>
        </w:rPr>
        <w:t>دلالة النهي على الفساد عرفاً مع عدم إحراز حال النهي</w:t>
      </w:r>
      <w:bookmarkEnd w:id="34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الإشكال في ظهوره عرفاً إذا تعلّق بالمعاملات في الإرشاد إلى الفساد لا تحريم السبب؛ فإنّ الأسباب آلات لتحقّق المسبّبات، ولا نفسية لها حتّى يتعلّق بها النهي، مضافاً إلى بُعد تعلّق النهي والحرمة بالتلفّظ </w:t>
      </w:r>
    </w:p>
    <w:p>
      <w:pPr>
        <w:pStyle w:val="BookText"/>
        <w:rPr/>
      </w:pPr>
      <w:r>
        <w:rPr>
          <w:rFonts w:ascii="Amiri" w:hAnsi="Amiri" w:eastAsia="Amiri" w:cs="Amiri"/>
          <w:color w:val="111111"/>
          <w:sz w:val="28"/>
          <w:sz w:val="28"/>
          <w:szCs w:val="28"/>
          <w:rtl w:val="true"/>
          <w:lang w:bidi="ar-SA"/>
        </w:rPr>
        <w:t>بألفاظ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المسبّب فهو اعتبار شرعي أو عقلائي لا معنى لتعلّقه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المترتّبة عليها فتعلّقه بها ذاتاً بعيد؛ لأ نّه مع تأثير السبب لا معنى للنهي، ومع عدمه يكون التصرّف في مال الغير ووط‌ء الأجنبيّة وأمثالهما محرّمة لا تحتاج إلى تعلّقه بها، فلا بدّ من حمله على الإرشاد، وأنّ الزجر عن الإيقاع لأجل عدم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المتفاهم به عرفاً في النهي عن معاملة خاصّة أو إيقاعها على نحو خاصّ، هو الإرشاد إلى أنّ الأثر المتوقّع منها لا يترتّب عليها، فتكون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فيها منصرف إلى ترتيب الآثار،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منصرف إلى حرمة ترتيب الآثار على بيعه، ومنه يستفاد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 لمنع الانصراف، ولا داعي لرفع اليد عن ظاهر العنوان، بل الظاهر أنّ النهي متعلّق بإيقاع الأسباب، لكن لا إلى ذاتها بما هي، بل بداعي الإرشاد إلى عدم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دعوى ذلك فيها أيضاً؛ لأنّ المكلّفين بحسب النوع إنّما يأتون بالعبادات لأجل إسقاط الأمر والإعادة والقضاء، فإذا ورد من المقنّن نهي عن كيفية خاصّة، تنصرف الأذهان إلى أنّ الإتيان بها مع هذه الكيفية غير مسقط للأمر، وأ نّه لأجل الإرشاد إلى فسادها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الطبيعة المتعلّقة للأمر لا تتحقّق بهذه الكيفية، وأنّ الصلاة كذلك لا يترتّب </w:t>
      </w:r>
      <w:bookmarkStart w:id="341" w:name="pg15293_220202"/>
    </w:p>
    <w:p>
      <w:pPr>
        <w:pStyle w:val="BookText"/>
        <w:rPr/>
      </w:pPr>
      <w:bookmarkEnd w:id="341"/>
      <w:r>
        <w:rPr>
          <w:rFonts w:ascii="Amiri" w:hAnsi="Amiri" w:eastAsia="Amiri" w:cs="Amiri"/>
          <w:color w:val="111111"/>
          <w:sz w:val="28"/>
          <w:sz w:val="28"/>
          <w:szCs w:val="28"/>
          <w:rtl w:val="true"/>
          <w:lang w:bidi="ar-SA"/>
        </w:rPr>
        <w:t>عليها الأثر المتوقّع؛ أي سقوط القضاء والإعادة وسقوط الأمر لأجل الأمن</w:t>
      </w:r>
    </w:p>
    <w:p>
      <w:pPr>
        <w:pStyle w:val="BookText"/>
        <w:rPr/>
      </w:pPr>
      <w:r>
        <w:rPr>
          <w:rFonts w:ascii="IRNazanin" w:hAnsi="IRNazanin" w:eastAsia="IRNazanin"/>
          <w:color w:val="111111"/>
          <w:sz w:val="28"/>
          <w:sz w:val="28"/>
          <w:szCs w:val="28"/>
          <w:rtl w:val="true"/>
          <w:lang w:bidi="fa-IR"/>
        </w:rPr>
        <w:t>من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الحال لو تعلّق بصنف خاصّ كصلاة الأعرابي، أو في حال خاصّ كالصلاة أيّام الأقراء، أو مكان خاصّ كالحمّام، فمع عدم الدليل تحمل تلك النواهي على الإرشاد، كالأوامر الواردة في الأجزاء والشرائط، وهذه الدعوى قريبة</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4629000_2142443653"/>
      <w:bookmarkStart w:id="343" w:name="_Toc121"/>
      <w:bookmarkEnd w:id="342"/>
      <w:r>
        <w:rPr>
          <w:rtl w:val="true"/>
        </w:rPr>
        <w:t>في اقتضاء النهي الفساد عقلاً مع إحراز حال النهي</w:t>
      </w:r>
      <w:bookmarkEnd w:id="343"/>
    </w:p>
    <w:p>
      <w:pPr>
        <w:pStyle w:val="BookText"/>
        <w:rPr/>
      </w:pPr>
      <w:r>
        <w:rPr>
          <w:rFonts w:ascii="Amiri" w:hAnsi="Amiri" w:eastAsia="Amiri" w:cs="Amiri"/>
          <w:color w:val="111111"/>
          <w:sz w:val="28"/>
          <w:sz w:val="28"/>
          <w:szCs w:val="28"/>
          <w:rtl w:val="true"/>
          <w:lang w:bidi="ar-SA"/>
        </w:rPr>
        <w:t>وأمّا المقام الثاني؛ أي إذا أحرزنا حال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تحريمياً نفسياً متعلّقاً بعبادة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اقتضائه الفساد عقلاً؛ فإنّه كاشف عن المبغوضية والمفسدة، ومعهما كيف يمكن صلاحيته للتقرّب والتعبّد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إتعاب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الشريفة في تصوير تعلّق النهي</w:t>
      </w:r>
    </w:p>
    <w:p>
      <w:pPr>
        <w:pStyle w:val="BookText"/>
        <w:rPr/>
      </w:pPr>
      <w:r>
        <w:rPr>
          <w:rFonts w:ascii="Amiri" w:hAnsi="Amiri" w:eastAsia="Amiri" w:cs="Amiri"/>
          <w:color w:val="111111"/>
          <w:sz w:val="28"/>
          <w:sz w:val="28"/>
          <w:szCs w:val="28"/>
          <w:rtl w:val="true"/>
          <w:lang w:bidi="ar-SA"/>
        </w:rPr>
        <w:t>بأمر خارج، وإدراج المسألة تحت اجتماع الأمر والنهي</w:t>
      </w:r>
      <w:r>
        <w:rPr>
          <w:rStyle w:val="FootnoteAnchor"/>
          <w:rtl w:val="true"/>
        </w:rPr>
        <w:footnoteReference w:id="273"/>
      </w:r>
      <w:r>
        <w:rPr>
          <w:rFonts w:ascii="Amiri" w:hAnsi="Amiri" w:eastAsia="Amiri" w:cs="Amiri"/>
          <w:color w:val="111111"/>
          <w:sz w:val="28"/>
          <w:sz w:val="28"/>
          <w:szCs w:val="28"/>
          <w:rtl w:val="true"/>
          <w:lang w:bidi="ar-SA"/>
        </w:rPr>
        <w:t>، فلا يخلو من غرابة؛ لأنّ الكلام هاهنا بعد الفراغ عن تعلّقه بنفس العبادة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النهي التنزيهي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بقائه على تنزيهيته ودلالته على مرجوحية متعلّقه، فلا يجتمع مع الصحّة، لكن يقع البحث حينئذٍ في أنّ النهي التنزيهي ملازم للترخيص، وكيف يمكن الترخيص في التعبّد بأمر مرجوح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الترخيص بالتشريع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بعد إحراز المرجوحية من التخلّص عن هذا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حيثي، مفاده عدم كون عنوان العبادة محرّماً ذاتاً، ولا يتنافى ذلك مع الحرمة من قبل التشريع على فرضها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الغيري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كالنهي عن الضدّ بناءً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الفساد عقلاً؛ لعدم دلالته على مبغوضية المتعلّق؛ لأ نّه لم يكن إلاّ للإلزام بإتيان غيره، كما أنّ الأمر المقدّمي لا يكشف عن المحبوبية؛ لأ نّه إلزام لأجل غيره، فمع القول بكفاية الملاك في صحّة العبادة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إتيان الفعل المنهيّ عنه تجرٍّ على المولى، فيكون الفاعل بعيداً عن ساحته به، فلا يمكن التقرّب به</w:t>
      </w:r>
      <w:r>
        <w:rPr>
          <w:rStyle w:val="FootnoteAnchor"/>
          <w:rtl w:val="true"/>
        </w:rPr>
        <w:footnoteReference w:id="274"/>
      </w:r>
      <w:r>
        <w:rPr>
          <w:rFonts w:ascii="Amiri" w:hAnsi="Amiri" w:eastAsia="Amiri" w:cs="Amiri"/>
          <w:color w:val="111111"/>
          <w:sz w:val="28"/>
          <w:sz w:val="28"/>
          <w:szCs w:val="28"/>
          <w:rtl w:val="true"/>
          <w:lang w:bidi="ar-SA"/>
        </w:rPr>
        <w:t>، 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فاعل الضدّ عاص بترك الضدّ الأهمّ لا فعل المهمّ، فليس في فعله 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فرضه لا دليل على أنّ التجرّي موجب لفساد العمل؛ لأنّ المبغوضية لا تسري إليه، وكون الفاعل جريئاً على المولى لا يوجب بُعده بعمله، بل بجرأته وجسارته، وهو عنوان آخر لا تسري المبغوضية منه إلى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دلالة النهي التنزيهي والغيري فيها على الفساد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النهي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تعلّق بالفعل المباشري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صدور هذا اللفظ </w:t>
      </w:r>
    </w:p>
    <w:p>
      <w:pPr>
        <w:pStyle w:val="BookText"/>
        <w:rPr/>
      </w:pPr>
      <w:r>
        <w:rPr>
          <w:rFonts w:ascii="Amiri" w:hAnsi="Amiri" w:eastAsia="Amiri" w:cs="Amiri"/>
          <w:color w:val="111111"/>
          <w:sz w:val="28"/>
          <w:sz w:val="28"/>
          <w:szCs w:val="28"/>
          <w:rtl w:val="true"/>
          <w:lang w:bidi="ar-SA"/>
        </w:rPr>
        <w:t xml:space="preserve">بنفسه أو صدوره بعنوان إيقاع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الفساد؛ لعدم المنافاة بين مبغوضيتهما والتأثير في المسبّب والصحّة، وكذا لو تعلّق بها لأجل مبغوضية مسبّبها، كبيع المسلم من الكافر إذا كان المبغوض مملوكيته له؛ لعدم المنافاة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الأسباب عقلية كشف عنها الشارع، فتصحّ المعاملة، وإن اُجبر الكافر على إخراجه عن ملكه، وبين كون الأسباب شرعية، فيبعد جعله السبب مع مبغوضية مسبّبه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الأسباب نوعاً عقلائية، لا عقلية ولا شرعية، والظاهر أنّ مراده من العقلية ما ذكر،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النهي عن السبب لأجل مبغوضية المسبّب، هل يكون رادعاً عن المعاملة العقلائية أم لا ؟</w:t>
      </w:r>
    </w:p>
    <w:p>
      <w:pPr>
        <w:pStyle w:val="BookText"/>
        <w:rPr/>
      </w:pPr>
      <w:r>
        <w:rPr>
          <w:rFonts w:ascii="Amiri" w:hAnsi="Amiri" w:eastAsia="Amiri" w:cs="Amiri"/>
          <w:color w:val="111111"/>
          <w:sz w:val="28"/>
          <w:sz w:val="28"/>
          <w:szCs w:val="28"/>
          <w:rtl w:val="true"/>
          <w:lang w:bidi="ar-SA"/>
        </w:rPr>
        <w:t>الأقوى هو الثاني؛ لعدم المنافاة بينهما، بل لو فرض مجعولية السبب شرعاً لم يرفع اليد عن أدلّة السببية لأجل مبغوضية المسبّب، وما استبعده ليس ببعيد؛ لأنّ جعل القانون الكلّي الذي يشمل المورد لا بعد فيه وإن كان اختصاص المورد بالجعل بعيداً، وليس الأمر كذلك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لو تعلّق النهي بالتسبّب بسبب خاصّ إلى المسبّب بحيث لا يكون المسبّب مبغوضاً، بل التوسّل إليه بذاك السبب مبغوضاً؛ فإنّه أيضاً لا يدلّ على الفساد؛ لعدم المنافاة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 نّه مع مبغوضية حصول الأثر بذاك السبب لا يمكن إمضاء المعاملة، وهو مساوق للفساد</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كالحيازة بالآلة 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منافاة بين تحقّق الوضع والحرمة التكليفية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المعاملات عقلائية، لا بدّ فيها من الردع، ومجرّد ذلك لا يكون رادعاً، كما لا يكون مخصّصاً أو مقيّداً لما دلّ على تنفيذ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تعلّق النهي بالمعاملة لأجل مبغوضية ترتيب الآثار المطلوبة عليها لفهم منه الفساد عرفاً؛ لأنّ حرمة ترتيب الأثر على معاملة مساوقة لفسادها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اُحرز تعلّقه بأحد العناوين، ومع عدمه فلا ينبغي الإشكال في ظهوره في النحو الأخير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واُحرزت حرمة النهي، يفهم منه أ نّها متعلّقة بالبيع باعتبار ترتيب الآثار، والمبغوض هو العمل على طبقه، كسائر معاملاته، ولا ينقدح في ذهن العرف حرمة التلفّظ بالألفاظ الخاصّة؛ لأ نّها آلات لا ينظر إليها، ولا حرمة المسبّب الذي هو أمر اعتباري لا يكون مبغوضاً نوعاً، ولا التسبّب بها إلى المسبّب، بل ما ينقدح في أذهانهم هو الزجر عن المعاملة على نحو سائر المعاملات من ترتيب الأثر عليها، فالنهي متوجّه إلى المعاملة باعتبار ترتيب الآثار، وهو مساوق للفساد</w:t>
      </w:r>
      <w:r>
        <w:rPr>
          <w:rFonts w:eastAsia="Amiri" w:cs="Amiri" w:ascii="Amiri" w:hAnsi="Amiri"/>
          <w:color w:val="111111"/>
          <w:sz w:val="28"/>
          <w:szCs w:val="28"/>
          <w:rtl w:val="true"/>
          <w:lang w:bidi="ar-SA"/>
        </w:rPr>
        <w:t xml:space="preserve">. </w:t>
      </w:r>
      <w:bookmarkStart w:id="344" w:name="pg15293_220206"/>
    </w:p>
    <w:p>
      <w:pPr>
        <w:pStyle w:val="BookText"/>
        <w:rPr/>
      </w:pPr>
      <w:bookmarkEnd w:id="344"/>
      <w:r>
        <w:rPr>
          <w:rFonts w:ascii="Amiri" w:hAnsi="Amiri" w:eastAsia="Amiri" w:cs="Amiri"/>
          <w:color w:val="111111"/>
          <w:sz w:val="28"/>
          <w:sz w:val="28"/>
          <w:szCs w:val="28"/>
          <w:rtl w:val="true"/>
          <w:lang w:bidi="ar-SA"/>
        </w:rPr>
        <w:t>ومنه يظهر ما في كلام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ظهور تعلّقه بصدور الفعل المباشري</w:t>
      </w:r>
      <w:r>
        <w:rPr>
          <w:rStyle w:val="FootnoteAnchor"/>
          <w:rtl w:val="true"/>
        </w:rPr>
        <w:footnoteReference w:id="278"/>
      </w:r>
      <w:r>
        <w:rPr>
          <w:rFonts w:ascii="IRNazanin" w:hAnsi="IRNazanin" w:eastAsia="IRNazanin"/>
          <w:color w:val="111111"/>
          <w:sz w:val="28"/>
          <w:sz w:val="28"/>
          <w:szCs w:val="28"/>
          <w:rtl w:val="true"/>
          <w:lang w:bidi="fa-IR"/>
        </w:rPr>
        <w:t>، مع أ نّه أبعد الاحتمالات لدى العرف والعقلاء، فتدبّر</w:t>
      </w:r>
      <w:r>
        <w:rPr>
          <w:rFonts w:eastAsia="IRNazanin" w:cs="IRNazanin"/>
          <w:color w:val="111111"/>
          <w:sz w:val="28"/>
          <w:szCs w:val="28"/>
          <w:rtl w:val="true"/>
          <w:lang w:bidi="fa-IR"/>
        </w:rPr>
        <w:t>.</w:t>
      </w:r>
    </w:p>
    <w:p>
      <w:pPr>
        <w:pStyle w:val="Heading5"/>
        <w:numPr>
          <w:ilvl w:val="4"/>
          <w:numId w:val="1"/>
        </w:numPr>
        <w:rPr/>
      </w:pPr>
      <w:bookmarkStart w:id="345" w:name="__RefHeading___Toc4629002_2142443653"/>
      <w:bookmarkStart w:id="346" w:name="_Toc122"/>
      <w:bookmarkEnd w:id="345"/>
      <w:r>
        <w:rPr>
          <w:rtl w:val="true"/>
        </w:rPr>
        <w:t>في التمسّك بالروايات على فساد المعاملة المنهيّ عنها</w:t>
      </w:r>
      <w:bookmarkEnd w:id="346"/>
    </w:p>
    <w:p>
      <w:pPr>
        <w:pStyle w:val="BookText"/>
        <w:rPr/>
      </w:pPr>
      <w:r>
        <w:rPr>
          <w:rFonts w:ascii="Amiri" w:hAnsi="Amiri" w:eastAsia="Amiri" w:cs="Amiri"/>
          <w:color w:val="111111"/>
          <w:sz w:val="28"/>
          <w:sz w:val="28"/>
          <w:szCs w:val="28"/>
          <w:rtl w:val="true"/>
          <w:lang w:bidi="ar-SA"/>
        </w:rPr>
        <w:t>ثمّ إنّه قد يتمسّك</w:t>
      </w:r>
      <w:r>
        <w:rPr>
          <w:rStyle w:val="FootnoteAnchor"/>
          <w:rtl w:val="true"/>
        </w:rPr>
        <w:footnoteReference w:id="279"/>
      </w:r>
      <w:r>
        <w:rPr>
          <w:rFonts w:ascii="Amiri" w:hAnsi="Amiri" w:eastAsia="Amiri" w:cs="Amiri"/>
          <w:color w:val="111111"/>
          <w:sz w:val="28"/>
          <w:sz w:val="28"/>
          <w:szCs w:val="28"/>
          <w:rtl w:val="true"/>
          <w:lang w:bidi="ar-SA"/>
        </w:rPr>
        <w:t>بروايات لإثبات الفساد لو تعلّق النهي بعنوان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المرويّة في نكاح العبيد والإماء عن أبي جعفر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عتيبة وإبراهيم النخعي وأصحابهما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ولا يحلّ إجازة السيّد له،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إنّما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عبده امرأةً بغير إذنه، فدخل بها، ثمّ اطّلع على ذلك مولاه،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لمولاه، إن شاء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في أصل النكاح كان عاصياً، فقال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أتى شيئاً حلالاً، وليس بعاصٍ لله، إنّما عصى سيّده، ولم يعص الله، إنّ ذلك ليس كإتيان ما حرّم الله عليه من نكاح في عدّة وأشباهه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منهما أنّ النكاح لو كان معصية الله لكان باطلاً، وإنّما نفى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يستشكل</w:t>
      </w:r>
      <w:r>
        <w:rPr>
          <w:rStyle w:val="FootnoteAnchor"/>
          <w:rtl w:val="true"/>
        </w:rPr>
        <w:footnoteReference w:id="282"/>
      </w:r>
      <w:r>
        <w:rPr>
          <w:rFonts w:ascii="Amiri" w:hAnsi="Amiri" w:eastAsia="Amiri" w:cs="Amiri"/>
          <w:color w:val="111111"/>
          <w:sz w:val="28"/>
          <w:sz w:val="28"/>
          <w:szCs w:val="28"/>
          <w:rtl w:val="true"/>
          <w:lang w:bidi="ar-SA"/>
        </w:rPr>
        <w:t>بأنّ عصيان السيّد عصيان الله؛ لحرمة مخالفته شرعاً، فكيف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عصى سيّده ولم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فهرب كلٌّ مهرباً، ولم يأتوا بشيء مقنع غير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السؤال والجواب النكاح بما له من المعنى المتعارف؛ أي ما صنعه العبد بلا إذن مولاه، ومع ذلك أ نّه عصيان سيّده، وليس بعصيان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عصيان السيّد، فلأنّ ارتكابه هذا الأمر المهمّ بلا إذنه مخالفة لسيّده، وخروج عن رسم العبودية، وأمّا عدم كون النكاح عصيان الله تعالى، فلأنّ ما حرّم الله تعالى على العبد هو عنوان مخالفته لمولاه، ومتعلّق النهي هذا العنوان، ولا يكاد يتجاوز عنه إلى عنوان آخر كالنكاح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فالتزويج الخارجي مصداق لعنوان محرّم هو مخالفة المولى، وعنوان غير محرّم بل محلّل هو النكاح، فالتزويج بعنوانه حلال ليس بمحرّم، ولا تسري حرمة مخالفة المولى إلى ذلك العنوان في وعاء من الأوعية، وإنّما يتّحد مصداق النكاح مع مصداق المخالفة في الخارج الذي لم يكن ظرف تعلّق الحكم، كما مرّ الكلام فيه</w:t>
      </w:r>
      <w:r>
        <w:rPr>
          <w:rStyle w:val="FootnoteAnchor"/>
          <w:rtl w:val="true"/>
        </w:rPr>
        <w:footnoteReference w:id="283"/>
      </w:r>
      <w:r>
        <w:rPr>
          <w:rFonts w:ascii="Amiri" w:hAnsi="Amiri" w:eastAsia="Amiri" w:cs="Amiri"/>
          <w:color w:val="111111"/>
          <w:sz w:val="28"/>
          <w:sz w:val="28"/>
          <w:szCs w:val="28"/>
          <w:rtl w:val="true"/>
          <w:lang w:bidi="ar-SA"/>
        </w:rPr>
        <w:t>في باب الاجتماع وفي النذر المتعلّق بالنافلة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ويشهد على ذلك قوله في 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في </w:t>
      </w:r>
      <w:bookmarkStart w:id="347" w:name="pg15293_220208"/>
    </w:p>
    <w:p>
      <w:pPr>
        <w:pStyle w:val="BookText"/>
        <w:rPr/>
      </w:pPr>
      <w:bookmarkEnd w:id="347"/>
      <w:r>
        <w:rPr>
          <w:rFonts w:ascii="Amiri" w:hAnsi="Amiri" w:eastAsia="Amiri" w:cs="Amiri"/>
          <w:color w:val="111111"/>
          <w:sz w:val="28"/>
          <w:sz w:val="28"/>
          <w:szCs w:val="28"/>
          <w:rtl w:val="true"/>
          <w:lang w:bidi="ar-SA"/>
        </w:rPr>
        <w:t>أصل النكاح كان عاصياً،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أتى شيئاً حلالاً، وليس بعاصٍ لله، إنّما عصى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ترى كيف صرّح بأنّ أصل النكاح شيء حلال ليس بمعصية الله، ومع ذلك عصى سيّده؛ أي في النكاح، فالتزويج عصيان السيّد، ومخالفة السيّد عصيان لله، وهي بعنوانها غير النكاح، وإن اتّحدا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أيضاً تعليله بأنّ ذلك ليس كإتيان ما حرّم الله عليه من نكاح في عدّة وأشباهه ممّا تعلّق الحرمة بنفس الطبيعة، ووجه الافتراق ليس إلاّ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أيضاً له صحيحة منصور بن حازم عن أبي عبدالله في مملوك تزوّج بغير إذن مولاه، أعاصٍ 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أزعم أ نّه حرام،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 إلاّ بإذن مولاه</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كيف صرّح بعدم حرمة التزويج، ومع ذلك نهاه عن إتيانه بلا إذن مولاه، وليس له وجه إلاّ ما تقدّم من أنّ النكاح ليس بحرام، لكن إتيانه منطبق عنوان آخر محرّم؛ هو مخالفة المولى</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4629004_2142443653"/>
      <w:bookmarkStart w:id="349" w:name="_Toc123"/>
      <w:bookmarkEnd w:id="348"/>
      <w:r>
        <w:rPr>
          <w:rtl w:val="true"/>
        </w:rPr>
        <w:t>تذنيب</w:t>
      </w:r>
      <w:r>
        <w:rPr>
          <w:rtl w:val="true"/>
        </w:rPr>
        <w:t xml:space="preserve">: </w:t>
      </w:r>
      <w:r>
        <w:rPr>
          <w:rtl w:val="true"/>
        </w:rPr>
        <w:t>في دعوى دلالة النهي على الصحّة</w:t>
      </w:r>
      <w:bookmarkEnd w:id="34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أبي حنيفة والشيباني دلالة النهي على الصحّة</w:t>
      </w:r>
      <w:r>
        <w:rPr>
          <w:rStyle w:val="FootnoteAnchor"/>
          <w:rtl w:val="true"/>
        </w:rPr>
        <w:footnoteReference w:id="285"/>
      </w:r>
      <w:r>
        <w:rPr>
          <w:rFonts w:ascii="Amiri" w:hAnsi="Amiri" w:eastAsia="Amiri" w:cs="Amiri"/>
          <w:color w:val="111111"/>
          <w:sz w:val="28"/>
          <w:sz w:val="28"/>
          <w:szCs w:val="28"/>
          <w:rtl w:val="true"/>
          <w:lang w:bidi="ar-SA"/>
        </w:rPr>
        <w:t xml:space="preserve">لأنّ النهي زجر عن إتيان المبغوض، ومع عدم قدرة المكلّف يكون لغواً، فالنكاح في العدّة </w:t>
      </w:r>
    </w:p>
    <w:p>
      <w:pPr>
        <w:pStyle w:val="BookText"/>
        <w:rPr/>
      </w:pPr>
      <w:r>
        <w:rPr>
          <w:rFonts w:ascii="Amiri" w:hAnsi="Amiri" w:eastAsia="Amiri" w:cs="Amiri"/>
          <w:color w:val="111111"/>
          <w:sz w:val="28"/>
          <w:sz w:val="28"/>
          <w:szCs w:val="28"/>
          <w:rtl w:val="true"/>
          <w:lang w:bidi="ar-SA"/>
        </w:rPr>
        <w:t>وصوم يوم النحر ممّا لا يمكن للمكلّف إتيانهما، يكون النهي عنهما لغواً؛ لتعلّقه</w:t>
      </w:r>
    </w:p>
    <w:p>
      <w:pPr>
        <w:pStyle w:val="BookText"/>
        <w:rPr/>
      </w:pPr>
      <w:r>
        <w:rPr>
          <w:rFonts w:ascii="Amiri" w:hAnsi="Amiri" w:eastAsia="Amiri" w:cs="Amiri"/>
          <w:color w:val="111111"/>
          <w:sz w:val="28"/>
          <w:sz w:val="28"/>
          <w:szCs w:val="28"/>
          <w:rtl w:val="true"/>
          <w:lang w:bidi="ar-SA"/>
        </w:rPr>
        <w:t>بأمر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المحقّق الخراساني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المسبّب أو التسبّب يدلّ على الصحّة؛ لاعتبار القدرة في متعلّقه، وأمّا إذا كان عن السبب فلا؛ لكونه مقدوراً وإن لم يكن صحيحاً</w:t>
      </w:r>
      <w:r>
        <w:rPr>
          <w:rStyle w:val="FootnoteAnchor"/>
          <w:rtl w:val="true"/>
        </w:rPr>
        <w:footnoteReference w:id="2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نظرهما إلى المعاملات العقلائية على ما هي رائجة بينهم لولا نهي الشارع، فإيقاع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 فعل 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معاملة، ولا مورد نظرهما، ولا متعلّقاً لنهي في الشريعة في مورد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بعض المدقّقين سقوط قولهما على جميع التقادير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العقد الإنشائي غير ملازم للصحّة، فمقدوريته لذاته لا ربط لها بمقدوريته من حيث هو مؤثّر فعلي، وإيجاد الملكية عين وجودها حقيقةً، غيرها اعتباراً، والنهي عنه وإن دلّ عقلاً على مقدوريته لكن لا يتّصف هو بالصحّة؛ لأنّ الاتّصاف إن كان بلحاظ حصول الملكية فهي ليست أثراً له؛ لأنّ الشيء ليس أثراً لنفسه، وإن كان بلحاظ الأحكام المترتّبة على الملكية المعبّر عنها بآثارها، فنسبتها إليها نسبة الحكم إلى موضوعه، لا المسبّب إلى سببه ليتّصف بلحاظه بالصحّة</w:t>
      </w:r>
      <w:r>
        <w:rPr>
          <w:rStyle w:val="FootnoteAnchor"/>
          <w:rtl w:val="true"/>
        </w:rPr>
        <w:footnoteReference w:id="2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محطّ نظرهما هو النهي المتعلّق بالمعاملة على نحو </w:t>
      </w:r>
    </w:p>
    <w:p>
      <w:pPr>
        <w:pStyle w:val="BookText"/>
        <w:rPr/>
      </w:pPr>
      <w:r>
        <w:rPr>
          <w:rFonts w:ascii="Amiri" w:hAnsi="Amiri" w:eastAsia="Amiri" w:cs="Amiri"/>
          <w:color w:val="111111"/>
          <w:sz w:val="28"/>
          <w:sz w:val="28"/>
          <w:szCs w:val="28"/>
          <w:rtl w:val="true"/>
          <w:lang w:bidi="ar-SA"/>
        </w:rPr>
        <w:t xml:space="preserve">أوجدها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العقد المتوقّع ترتّب المسبّب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عليهما</w:t>
      </w:r>
    </w:p>
    <w:p>
      <w:pPr>
        <w:pStyle w:val="BookText"/>
        <w:rPr/>
      </w:pPr>
      <w:r>
        <w:rPr>
          <w:rFonts w:ascii="Amiri" w:hAnsi="Amiri" w:eastAsia="Amiri" w:cs="Amiri"/>
          <w:color w:val="111111"/>
          <w:sz w:val="28"/>
          <w:sz w:val="28"/>
          <w:szCs w:val="28"/>
          <w:rtl w:val="true"/>
          <w:lang w:bidi="ar-SA"/>
        </w:rPr>
        <w:t>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تعلّق النهي بإيجاد الملكية فلا محالة يكون إيجادها مقدوراً، كما اعترف به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فمقدوريته كاشفة عن صحّة المعاملة، لا عن صحّة الإيجاد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يتّصف بها، فالحقّ معهما إذا اُحرز أنّ النهي تكليفي لا إرشادي، وإلاّ فظهوره في الفساد لا ينبغي أن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نقل بأنّ النهي إذا تعلّق بمعاملة لأجل مبغوضية ترتيب الآثار المطلوبة عليها يدلّ على الفساد في نظر العقلاء، وإلاّ فيصير نظير الإرشاد إلى الفساد،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فكلامهما فيها خالٍ عن التحصيل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قول الأعمّي،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الصحيحي فهو أيضاً كذلك؛ لأنّ الصحيحي لم يكن قائلاً بالصحيح حتّى من قبل الشرائط الآتية من قبل الأمر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بالصحّة الفعلية؛ فلأنّ العبادة تتقوّم بالأمر أو الملاك، وشيء منهما لا يتعقّل مع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فواضح؛ لأنّ العنوان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عنوان واحد مبغوضاً ومحبوباً وذا صلاح وفساد، فلا يجتمع النهي مع الصحّة الفعلية مطلقاً</w:t>
      </w:r>
      <w:r>
        <w:rPr>
          <w:rFonts w:eastAsia="Amiri" w:cs="Amiri" w:ascii="Amiri" w:hAnsi="Amiri"/>
          <w:color w:val="111111"/>
          <w:sz w:val="28"/>
          <w:szCs w:val="28"/>
          <w:rtl w:val="true"/>
          <w:lang w:bidi="ar-SA"/>
        </w:rPr>
        <w:t xml:space="preserve">. </w:t>
      </w:r>
      <w:bookmarkStart w:id="350" w:name="pg15293_220211"/>
    </w:p>
    <w:p>
      <w:pPr>
        <w:pStyle w:val="Heading5"/>
        <w:numPr>
          <w:ilvl w:val="4"/>
          <w:numId w:val="1"/>
        </w:numPr>
        <w:rPr/>
      </w:pPr>
      <w:bookmarkStart w:id="351" w:name="__RefHeading___Toc4629006_2142443653"/>
      <w:bookmarkStart w:id="352" w:name="_Toc124"/>
      <w:bookmarkEnd w:id="350"/>
      <w:bookmarkEnd w:id="351"/>
      <w:r>
        <w:rPr>
          <w:rtl w:val="true"/>
        </w:rPr>
        <w:t>تنبيه في حكم تعلّق النهي بجزء العبادة أو شرطها أو وصفها</w:t>
      </w:r>
      <w:bookmarkEnd w:id="352"/>
    </w:p>
    <w:p>
      <w:pPr>
        <w:pStyle w:val="BookText"/>
        <w:rPr/>
      </w:pPr>
      <w:r>
        <w:rPr>
          <w:rFonts w:ascii="Amiri" w:hAnsi="Amiri" w:eastAsia="Amiri" w:cs="Amiri"/>
          <w:color w:val="111111"/>
          <w:sz w:val="28"/>
          <w:sz w:val="28"/>
          <w:szCs w:val="28"/>
          <w:rtl w:val="true"/>
          <w:lang w:bidi="ar-SA"/>
        </w:rPr>
        <w:t>قد مرّ الكلام في تعلّق النهي بنفس العبادة كائنة ما كانت</w:t>
      </w:r>
      <w:r>
        <w:rPr>
          <w:rStyle w:val="FootnoteAnchor"/>
          <w:rtl w:val="true"/>
        </w:rPr>
        <w:footnoteReference w:id="288"/>
      </w:r>
      <w:r>
        <w:rPr>
          <w:rFonts w:ascii="Amiri" w:hAnsi="Amiri" w:eastAsia="Amiri" w:cs="Amiri"/>
          <w:color w:val="111111"/>
          <w:sz w:val="28"/>
          <w:sz w:val="28"/>
          <w:szCs w:val="28"/>
          <w:rtl w:val="true"/>
          <w:lang w:bidi="ar-SA"/>
        </w:rPr>
        <w:t>، فبعد البناء على فسادها بتعلّقه بها، فهل يوجب تعلّقه بجزئها أو شرطها أو وصفها اللازم أو المفارق فسادها أم لا ؟</w:t>
      </w:r>
    </w:p>
    <w:p>
      <w:pPr>
        <w:pStyle w:val="BookText"/>
        <w:rPr/>
      </w:pPr>
      <w:r>
        <w:rPr>
          <w:rFonts w:ascii="Amiri" w:hAnsi="Amiri" w:eastAsia="Amiri" w:cs="Amiri"/>
          <w:color w:val="111111"/>
          <w:sz w:val="28"/>
          <w:sz w:val="28"/>
          <w:szCs w:val="28"/>
          <w:rtl w:val="true"/>
          <w:lang w:bidi="ar-SA"/>
        </w:rPr>
        <w:t>ومحطّ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اقتضاء الفساد من هذه الحيثية لا الحيثيات الاُخر، مثل تحقّق الزيادة في المكتوبة، أو كون الزائد المحرّم من الكلام الآدمي، إلى غير ذلك ممّا هو أجنبيّ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كلام المحقّق الخراساني في الأمر الثامن من المقدّمات</w:t>
      </w:r>
      <w:r>
        <w:rPr>
          <w:rStyle w:val="FootnoteAnchor"/>
          <w:rtl w:val="true"/>
        </w:rPr>
        <w:footnoteReference w:id="289"/>
      </w:r>
      <w:r>
        <w:rPr>
          <w:rFonts w:ascii="Amiri" w:hAnsi="Amiri" w:eastAsia="Amiri" w:cs="Amiri"/>
          <w:color w:val="111111"/>
          <w:sz w:val="28"/>
          <w:sz w:val="28"/>
          <w:szCs w:val="28"/>
          <w:rtl w:val="true"/>
          <w:lang w:bidi="ar-SA"/>
        </w:rPr>
        <w:t>لا يخلو من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إيجاب الفساد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حرمته لا توجب حرمة العبادة المشتملة عليه ولا أجزائها الاُخر بالضرورة، ومحلّ الكلام ما إذا تعلّق بالجزء، لا ما إذا تعلّق لأجله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تحريم الجزء يستلزم أخذ العبادة بالإضافة إليه بشرط لا</w:t>
      </w:r>
      <w:r>
        <w:rPr>
          <w:rStyle w:val="FootnoteAnchor"/>
          <w:rtl w:val="true"/>
        </w:rPr>
        <w:footnoteReference w:id="290"/>
      </w:r>
      <w:r>
        <w:rPr>
          <w:rFonts w:ascii="Amiri" w:hAnsi="Amiri" w:eastAsia="Amiri" w:cs="Amiri"/>
          <w:color w:val="111111"/>
          <w:sz w:val="28"/>
          <w:sz w:val="28"/>
          <w:szCs w:val="28"/>
          <w:rtl w:val="true"/>
          <w:lang w:bidi="ar-SA"/>
        </w:rPr>
        <w:t xml:space="preserve">، ممنوع؛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عليه، مع أ نّه خارج عن محلّ البحث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الوصف اللازم كالإجهار بالقراءة، فلأنّ عنوان الصلاة مع القراءة يخالف </w:t>
      </w:r>
    </w:p>
    <w:p>
      <w:pPr>
        <w:pStyle w:val="BookText"/>
        <w:rPr/>
      </w:pPr>
      <w:r>
        <w:rPr>
          <w:rFonts w:ascii="Amiri" w:hAnsi="Amiri" w:eastAsia="Amiri" w:cs="Amiri"/>
          <w:color w:val="111111"/>
          <w:sz w:val="28"/>
          <w:sz w:val="28"/>
          <w:szCs w:val="28"/>
          <w:rtl w:val="true"/>
          <w:lang w:bidi="ar-SA"/>
        </w:rPr>
        <w:t>عنوان الإجهار بها، ومعلوم أنّ الإجهار بها غير القراءة جهراً، ومحطّ البحث هو الأوّل، ولا مانع من تعلّق الأمر بعنوان القراءة أو الصلاة مع القراءة، وتعلّق النهي</w:t>
      </w:r>
    </w:p>
    <w:p>
      <w:pPr>
        <w:pStyle w:val="BookText"/>
        <w:rPr/>
      </w:pPr>
      <w:r>
        <w:rPr>
          <w:rFonts w:ascii="Amiri" w:hAnsi="Amiri" w:eastAsia="Amiri" w:cs="Amiri"/>
          <w:color w:val="111111"/>
          <w:sz w:val="28"/>
          <w:sz w:val="28"/>
          <w:szCs w:val="28"/>
          <w:rtl w:val="true"/>
          <w:lang w:bidi="ar-SA"/>
        </w:rPr>
        <w:t>بإجهارها في الصلاة؛ فإنّهما عنوانان غير مأخوذ أحدهما في الآخر، وإضافة الإجهار إلى القراءة من قبيل زيادة الحدّ على المحدود، واتّحادهما خارجاً غير مضرّ، كما مرّ في باب الاجتماع</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بالوصف اللازم ليس بوجه لا تكون مندوحة في البين؛ ضرورة امتناع تعلّق الأمر بشيء والنهي بلازمه الغير المنفكّ عنه، بل المراد منه كلزوم الجهر للقراءة؛ حيث لا يمكن سلبه عنها مع بقائها، وإن أمكن إيجادها في ضمن صنف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حال الوصف الغير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تعلّق الأمر بالصلاة متستّراً، وتعلّق النهي بالتستّر في</w:t>
      </w:r>
    </w:p>
    <w:p>
      <w:pPr>
        <w:pStyle w:val="BookText"/>
        <w:rPr/>
      </w:pPr>
      <w:r>
        <w:rPr>
          <w:rFonts w:ascii="Amiri" w:hAnsi="Amiri" w:eastAsia="Amiri" w:cs="Amiri"/>
          <w:color w:val="111111"/>
          <w:sz w:val="28"/>
          <w:sz w:val="28"/>
          <w:szCs w:val="28"/>
          <w:rtl w:val="true"/>
          <w:lang w:bidi="ar-SA"/>
        </w:rPr>
        <w:t>الصلاة بوجه خاصّ أو شيء خاصّ، لا النهي عن التستّر فيها مطلقاً؛ فإنّه ممتنع مع الأمر بها متستّراً، وكيف كان، فلا يلزم من النهي عن التستّر الخاصّ مبغوضية الصلاة، ومبغوضية التستّر بنحو خاصّ لا تنافي محبوبية الصلاة متستّراً، فإنّ التقيّد بالتستّر المأخوذ فيها أمر عقلي ليس كالأجزاء، فيمكن أن يتقرّب بالصلاة مع التستّر بستر منهيّ عنه، ولا يلزم اجتماع المبغوض والمحبوب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حكم العقل دون الاستظهار من الأدلّة، فلا مضايقة في دلالتها على الفساد أحياناً</w:t>
      </w:r>
      <w:r>
        <w:rPr>
          <w:rFonts w:eastAsia="Amiri" w:cs="Amiri" w:ascii="Amiri" w:hAnsi="Amiri"/>
          <w:color w:val="111111"/>
          <w:sz w:val="28"/>
          <w:szCs w:val="28"/>
          <w:rtl w:val="true"/>
          <w:lang w:bidi="ar-SA"/>
        </w:rPr>
        <w:t xml:space="preserve">. </w:t>
      </w:r>
      <w:bookmarkStart w:id="353" w:name="pg15293_220213"/>
    </w:p>
    <w:p>
      <w:pPr>
        <w:pStyle w:val="Heading2"/>
        <w:numPr>
          <w:ilvl w:val="1"/>
          <w:numId w:val="1"/>
        </w:numPr>
        <w:rPr/>
      </w:pPr>
      <w:bookmarkStart w:id="354" w:name="__RefHeading___Toc4629008_2142443653"/>
      <w:bookmarkStart w:id="355" w:name="_Toc125"/>
      <w:bookmarkEnd w:id="353"/>
      <w:bookmarkEnd w:id="354"/>
      <w:r>
        <w:rPr>
          <w:rtl w:val="true"/>
        </w:rPr>
        <w:t>المقصد الثالث في المفاهيم</w:t>
      </w:r>
      <w:bookmarkEnd w:id="355"/>
    </w:p>
    <w:p>
      <w:pPr>
        <w:pStyle w:val="Heading3"/>
        <w:numPr>
          <w:ilvl w:val="2"/>
          <w:numId w:val="1"/>
        </w:numPr>
        <w:rPr/>
      </w:pPr>
      <w:bookmarkStart w:id="356" w:name="__RefHeading___Toc4629010_2142443653"/>
      <w:bookmarkStart w:id="357" w:name="_Toc126"/>
      <w:bookmarkEnd w:id="356"/>
      <w:r>
        <w:rPr>
          <w:rtl w:val="true"/>
        </w:rPr>
        <w:t>اشارة</w:t>
      </w:r>
      <w:bookmarkEnd w:id="3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مقدّمة وفصول</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5293_220215"/>
      <w:bookmarkStart w:id="359" w:name="pg15293_220215"/>
      <w:bookmarkEnd w:id="359"/>
    </w:p>
    <w:p>
      <w:pPr>
        <w:pStyle w:val="Heading3"/>
        <w:numPr>
          <w:ilvl w:val="2"/>
          <w:numId w:val="1"/>
        </w:numPr>
        <w:rPr/>
      </w:pPr>
      <w:bookmarkStart w:id="360" w:name="pg15293_220215"/>
      <w:bookmarkStart w:id="361" w:name="__RefHeading___Toc4629012_2142443653"/>
      <w:bookmarkStart w:id="362" w:name="_Toc127"/>
      <w:bookmarkEnd w:id="360"/>
      <w:bookmarkEnd w:id="361"/>
      <w:r>
        <w:rPr>
          <w:rtl w:val="true"/>
        </w:rPr>
        <w:t>مقدّمة في تعريف المفهوم</w:t>
      </w:r>
      <w:bookmarkEnd w:id="362"/>
    </w:p>
    <w:p>
      <w:pPr>
        <w:pStyle w:val="BookText"/>
        <w:rPr/>
      </w:pPr>
      <w:r>
        <w:rPr>
          <w:rFonts w:ascii="Amiri" w:hAnsi="Amiri" w:eastAsia="Amiri" w:cs="Amiri"/>
          <w:color w:val="111111"/>
          <w:sz w:val="28"/>
          <w:sz w:val="28"/>
          <w:szCs w:val="28"/>
          <w:rtl w:val="true"/>
          <w:lang w:bidi="ar-SA"/>
        </w:rPr>
        <w:t>قد عرّف المفهوم بتعاريف لا داعي لذكرها والنقض والإبرام في أطرافها، لكن لا بدّ من التنبيه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المفهوم على بعض الوجوه من مسلك المتأخّرين</w:t>
      </w:r>
      <w:r>
        <w:rPr>
          <w:rStyle w:val="FootnoteAnchor"/>
          <w:rtl w:val="true"/>
        </w:rPr>
        <w:footnoteReference w:id="292"/>
      </w:r>
      <w:r>
        <w:rPr>
          <w:rFonts w:ascii="Amiri" w:hAnsi="Amiri" w:eastAsia="Amiri" w:cs="Amiri"/>
          <w:color w:val="111111"/>
          <w:sz w:val="28"/>
          <w:sz w:val="28"/>
          <w:szCs w:val="28"/>
          <w:rtl w:val="true"/>
          <w:lang w:bidi="ar-SA"/>
        </w:rPr>
        <w:t xml:space="preserve">القائلين باستفادته من دلالة أداة الشرط أو القضيّة الشرطية وضعاً أو إطلاقاً على العلّية المنحصرة، يكون من اللوازم البيّنة للمعنى الموضوع له أو المفهوم من القضيّة المنطوقة؛ لأنّ العلّية المنحصرة وإن لم تكن بمفهومها الاسمي مدلولاً عليها في القضيّة؛ ضرورة أنّ معاني الأداة حرفية، لكن دلّت أداة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إفادة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تعليق الجزاء على العلّة المنحصرة، ولازمه الانتفاء عند الانتفاء، فتكون الدلالة على الحصر لفظية بناءً على الوضع له، وعلى المفهوم دلالة التزامية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مسلك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 بعض أجلّة العصر</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p>
    <w:p>
      <w:pPr>
        <w:pStyle w:val="BookText"/>
        <w:rPr/>
      </w:pPr>
      <w:r>
        <w:rPr>
          <w:rFonts w:ascii="Amiri" w:hAnsi="Amiri" w:eastAsia="Amiri" w:cs="Amiri"/>
          <w:color w:val="111111"/>
          <w:sz w:val="28"/>
          <w:sz w:val="28"/>
          <w:szCs w:val="28"/>
          <w:rtl w:val="true"/>
          <w:lang w:bidi="ar-SA"/>
        </w:rPr>
        <w:t>المفهوم مستفاد من وجود القيد، وأنّ الظاهر من إتيان القيد بما أ نّه فعل اختياري</w:t>
      </w:r>
    </w:p>
    <w:p>
      <w:pPr>
        <w:pStyle w:val="BookText"/>
        <w:rPr/>
      </w:pPr>
      <w:r>
        <w:rPr>
          <w:rFonts w:ascii="Amiri" w:hAnsi="Amiri" w:eastAsia="Amiri" w:cs="Amiri"/>
          <w:color w:val="111111"/>
          <w:sz w:val="28"/>
          <w:sz w:val="28"/>
          <w:szCs w:val="28"/>
          <w:rtl w:val="true"/>
          <w:lang w:bidi="ar-SA"/>
        </w:rPr>
        <w:t>للمتكلّم دخالته في الموضوع، وأ نّه مع انتفائه ينتفي الحكم؛ فتكون دلالته عليه بغير الدلالات اللفظية الالتزامية، كما هو كذلك عند المتأخّرين بناءً على استفادة الحصر من الإطلاق، وسيتّضح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انطباق تعريف الحاجبي على كلّ من المسلكين، فإنّه عرّف المنطوق بما دلّ عليه اللفظ في محلّ النطق، والمفهومَ بما دلّ عليه اللفظ لا في محلّ النطق</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دلالته في محلّ النطق دلالة المطابقة، أو هي مع التضمّن، ومن دلالته لا في محلّه دلالة الالتزام؛ حيث إنّ اللفظ دالّ على اللازم بواسطة دلالته على المعنى المطابقي، مع عدم كون الدلالة عليه في محلّ النطق، فإذا أخبر المتكلّم بأنّ الشمس طالعة، دلّ لفظه على طلوع الشمس في محلّ النطق؛ أي كان لفظه قالباً للمعنى المطابقي، ودلّ على وجود النهار مع عدم النطق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محلّ النطق الدلالات اللفظية مطلقاً، ومن غيره دلالة اللفظ بما أ نّه فعل اختياري للمتكلّم على دخالته في موضوع الحكم، فدلّ على الانتفاء عند الانتفاء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ظاهر الحاجبي هو الأوّل، ولهذا يمكن أن يكون مراد القدماء أيضاً موافقاً للمتأخّرين، مضافاً إلى بعد دعواهم استفادة المفهوم من صرف وجود القيد، مع كونه ظاهر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النسبة المتقدّمة إلى القدماء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فالمفهوم هو قضيّة غير مذكورة مستفادة من المذكورة، وهذا ينطبق على المسلكين؛ فإنّ طريق الاستفادة قد يكون بدلالة اللفظ، وقد يكون بأصل عقلائي كما سيجيء</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كون المفهوم من صفات الدلالة أو المدلول ربّما يكون بحسب الاعتبار والإضافة، فالدلالة على المعنى المطابقي دلالة منطوقية، وعلى الالتزامي مفهومية، وكذا في جانب المدلول؛ فإنّه إمّا منطوق يفهم من محلّ النطق أو مفهوم، وإن كان الأشبه كونه من صفات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النزاع صغروي على كلا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مسلك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النزاع في أنّ القضيّة الشرطية مثلاً، هل تدلّ على المفهوم لأجل دلالتها على انحصار العلّة أم لا ؟ وأمّا بعد فرض الدلالة فلا إشكال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المنسوب إلى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كبروي؛ فإنّ المفهوم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لمّا لم يكن في محلّ النطق وليس من المدلولات اللفظية، يقع النزاع في أ نّه هل يمكن الاحتجاج عليه أو لا يمكن؛ لأجل عدم النطق به،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لم يجئ لا يجب الإكرام، لكن لا يمكن الاحتجاج على المتكلّم بأ نّك قلت كذا، وإذا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القيد ؟ له أن يعتذر بأعذار</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عليه صغروي أيضاً؛ لأنّ القائل بالمفهوم يدّعي أنّ إتيان القيد الزائد يدلّ بما أ نّه فعل اختياري على كون القيد ليس إلاّ موضوع الحكم، ومع عدمه لا ينوب منابه شيء، والمنكر إنّما ينكر هذه الدلالة لا حجّيتها بعد تسليم الدلالة، كما هو ظاهر استدلال النافين من نفي الدلالات، بل ظاهر كلام السيّد المرتضى أيضاً؛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تأثير الشرط إنّما هو تعليق الحكم به وليس يمتنع أن يخلفه وينوب منابه شرط آخر</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ظاهر في أنّ المستفاد من الشرط دخالته، لا عدم دخالة شرط آخر حتّى يفيد المفهوم، فهو ينكر المفهوم لا حجّيته بعد ثبوته، كما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مدّعي المفهوم يدّعي دلالة الكلام على عدم نيابة قيد آخر مناب القيد المذكور، وهو عين مسلك المتأخّرين، فتدبّر</w:t>
      </w:r>
      <w:r>
        <w:rPr>
          <w:rFonts w:eastAsia="Amiri" w:cs="Amiri" w:ascii="Amiri" w:hAnsi="Amiri"/>
          <w:color w:val="111111"/>
          <w:sz w:val="28"/>
          <w:szCs w:val="28"/>
          <w:rtl w:val="true"/>
          <w:lang w:bidi="ar-SA"/>
        </w:rPr>
        <w:t xml:space="preserve">. </w:t>
      </w:r>
      <w:bookmarkStart w:id="363" w:name="pg15293_220219"/>
    </w:p>
    <w:p>
      <w:pPr>
        <w:pStyle w:val="Heading3"/>
        <w:numPr>
          <w:ilvl w:val="2"/>
          <w:numId w:val="1"/>
        </w:numPr>
        <w:rPr/>
      </w:pPr>
      <w:bookmarkStart w:id="364" w:name="__RefHeading___Toc4629014_2142443653"/>
      <w:bookmarkStart w:id="365" w:name="_Toc128"/>
      <w:bookmarkEnd w:id="363"/>
      <w:bookmarkEnd w:id="364"/>
      <w:r>
        <w:rPr>
          <w:rtl w:val="true"/>
        </w:rPr>
        <w:t>الفصل الأوّل في دلالة الجمل الشرطية على المفهوم</w:t>
      </w:r>
      <w:bookmarkEnd w:id="365"/>
    </w:p>
    <w:p>
      <w:pPr>
        <w:pStyle w:val="Heading4"/>
        <w:numPr>
          <w:ilvl w:val="3"/>
          <w:numId w:val="1"/>
        </w:numPr>
        <w:rPr/>
      </w:pPr>
      <w:bookmarkStart w:id="366" w:name="__RefHeading___Toc4629016_2142443653"/>
      <w:bookmarkStart w:id="367" w:name="_Toc129"/>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هل الجمل الشرطية تدلّ على الانتفاء عند الانتفاء مع الخلوّ عن القرينة ؟ فيها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نسب إلى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النكتة الوحيدة في دلالة القضايا على المفهوم شرطية كانت أو وصفية أو غيرهما، هي شيء واحد غير مربوط بالدلالات اللفظية كما تقدّم</w:t>
      </w:r>
      <w:r>
        <w:rPr>
          <w:rStyle w:val="FootnoteAnchor"/>
          <w:rtl w:val="true"/>
        </w:rPr>
        <w:footnoteReference w:id="298"/>
      </w:r>
      <w:r>
        <w:rPr>
          <w:rFonts w:ascii="Amiri" w:hAnsi="Amiri" w:eastAsia="Amiri" w:cs="Amiri"/>
          <w:color w:val="111111"/>
          <w:sz w:val="28"/>
          <w:sz w:val="28"/>
          <w:szCs w:val="28"/>
          <w:rtl w:val="true"/>
          <w:lang w:bidi="ar-SA"/>
        </w:rPr>
        <w:t>، مع الترديد في 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العقلائي في كلّ فعل صادر من شاعر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الكلام بما أ نّه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أ نّه صدر لغرض لا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الكلام أصل آخر وهو صدوره للتفهيم لا لغرض آخر؛ لأ نّه آلته، واستعماله لغيره خلاف الأصل، ثمّ بعد ذلك لو شكّ في الاستعمال الحقيقي يحمل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جريان الأصل العقلائي في القيود الزائدة في الكلام، فإذا شكّ في قيد أ نّه اُتي به لغواً أو لغرض يحمل على الثاني، وإذا شكّ أ نّه للتفهيم أو غيره </w:t>
      </w:r>
    </w:p>
    <w:p>
      <w:pPr>
        <w:pStyle w:val="BookText"/>
        <w:rPr/>
      </w:pPr>
      <w:r>
        <w:rPr>
          <w:rFonts w:ascii="Amiri" w:hAnsi="Amiri" w:eastAsia="Amiri" w:cs="Amiri"/>
          <w:color w:val="111111"/>
          <w:sz w:val="28"/>
          <w:sz w:val="28"/>
          <w:szCs w:val="28"/>
          <w:rtl w:val="true"/>
          <w:lang w:bidi="ar-SA"/>
        </w:rPr>
        <w:t>حمل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القيود آلة لتفهيمه هو دخالتها في الموضوع، وأنّ جعله مقيّداً لأجل كون الموضوع هو الذات مع القيد، وهذا ليس من قبيل الدلالات اللفظية كما مرّ، 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إتيان القيد يدلّ على دخالته في الحكم، فينتفي عند انتفائه، من غير فرق بين الشرط والوصف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قرّر بعض الأجلّة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ذلك لا يفيد ما لم يضمّ إليه شيء آخر، وهو أنّ عدم الإتيان بشيء آخر في مقام البيان يدلّ على عدم القرين له، وبه يتمّ المطلوب، وإلاّ فصرف عدم لغوية القيود لا يدلّ على المفهوم ما لم تفد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المفهوم إنّما هو بإطلاق الكلام، وهو أحد الطرق التي تشبّث بها المتأخّرون ممّا يأتي تقريره والجواب عنه، ومحصّله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غاية ما يقتضي الدليل المذكور أنّ القيد دخيل في الحكم، وليس الحكم متعلّقاً بذات الموضوع بلا قيد، وإلاّ لزم اللغوية، وأنّ الموضوع مع هذا القيد تمام</w:t>
      </w:r>
    </w:p>
    <w:p>
      <w:pPr>
        <w:pStyle w:val="BookText"/>
        <w:rPr/>
      </w:pPr>
      <w:r>
        <w:rPr>
          <w:rFonts w:ascii="Amiri" w:hAnsi="Amiri" w:eastAsia="Amiri" w:cs="Amiri"/>
          <w:color w:val="111111"/>
          <w:sz w:val="28"/>
          <w:sz w:val="28"/>
          <w:szCs w:val="28"/>
          <w:rtl w:val="true"/>
          <w:lang w:bidi="ar-SA"/>
        </w:rPr>
        <w:t>الموضوع للحكم، فيترتّب على المقيّد به الحكم بلا انتظار قيد آخر، وهو مقتضى الإطلاق؛ أي عدم التقيّد بقيد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تعلّق سنخ هذا الحكم بموضوع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 الموضوع مع قيد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مقتضى إتيان القيد، ولا إطلاق الموضوع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يدلّ باعتبار التقييد </w:t>
      </w:r>
    </w:p>
    <w:p>
      <w:pPr>
        <w:pStyle w:val="BookText"/>
        <w:rPr/>
      </w:pPr>
      <w:r>
        <w:rPr>
          <w:rFonts w:ascii="Amiri" w:hAnsi="Amiri" w:eastAsia="Amiri" w:cs="Amiri"/>
          <w:color w:val="111111"/>
          <w:sz w:val="28"/>
          <w:sz w:val="28"/>
          <w:szCs w:val="28"/>
          <w:rtl w:val="true"/>
          <w:lang w:bidi="ar-SA"/>
        </w:rPr>
        <w:t xml:space="preserve">بالكرّ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الماء ليست موضوعة للحكم، وإلاّ لكان القيد لغواً، وأنّ</w:t>
      </w:r>
    </w:p>
    <w:p>
      <w:pPr>
        <w:pStyle w:val="BookText"/>
        <w:rPr/>
      </w:pPr>
      <w:r>
        <w:rPr>
          <w:rFonts w:ascii="Amiri" w:hAnsi="Amiri" w:eastAsia="Amiri" w:cs="Amiri"/>
          <w:color w:val="111111"/>
          <w:sz w:val="28"/>
          <w:sz w:val="28"/>
          <w:szCs w:val="28"/>
          <w:rtl w:val="true"/>
          <w:lang w:bidi="ar-SA"/>
        </w:rPr>
        <w:t>هذا الموضوع المقيّد تمام الموضوع للحكم، ولا يكون قيد آخر دخيلاً فيه، وإلاّ كان 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نيابة قيد آخر عن هذا القيد، وعدم صدور حكم آخر سنخه متعلّقاً بالجاري أو النابع، فلا يكون مقتضى التقييد، ولا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له عن قريب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المتأخّرون فقد ذكروا وجوهاً كلّها مخدوشة، مثل التبادر</w:t>
      </w:r>
      <w:r>
        <w:rPr>
          <w:rStyle w:val="FootnoteAnchor"/>
          <w:rtl w:val="true"/>
        </w:rPr>
        <w:footnoteReference w:id="301"/>
      </w:r>
      <w:r>
        <w:rPr>
          <w:rFonts w:ascii="IRNazanin" w:hAnsi="IRNazanin" w:eastAsia="IRNazanin"/>
          <w:color w:val="111111"/>
          <w:sz w:val="28"/>
          <w:sz w:val="28"/>
          <w:szCs w:val="28"/>
          <w:rtl w:val="true"/>
          <w:lang w:bidi="fa-IR"/>
        </w:rPr>
        <w:t>، والانصراف</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التمسّك بإطلاق أداة الشرط لإثبات الانحصار، كإطلاق صيغة الأمر لإثبات الوجوب النفسي التعييني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الإشكال في المقيس عليه</w:t>
      </w:r>
      <w:r>
        <w:rPr>
          <w:rStyle w:val="FootnoteAnchor"/>
          <w:rtl w:val="true"/>
        </w:rPr>
        <w:footnoteReference w:id="304"/>
      </w:r>
      <w:r>
        <w:rPr>
          <w:rFonts w:ascii="Amiri" w:hAnsi="Amiri" w:eastAsia="Amiri" w:cs="Amiri"/>
          <w:color w:val="111111"/>
          <w:sz w:val="28"/>
          <w:sz w:val="28"/>
          <w:szCs w:val="28"/>
          <w:rtl w:val="true"/>
          <w:lang w:bidi="ar-SA"/>
        </w:rPr>
        <w:t>، ويرد نظيره هاهنا، مع أنّ القياس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بإطلاق الشرط؛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لم يكن بمنحصر لزم تقييده؛ ضرورة أ نّه لو قارنه أو سبقه الآخر لما أثّر وحده أو مطلقاً، وقضيّة إطلاقه أ نّه يؤثّر كذلك مطلقاً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ليس قضيّة الإطلاق؛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أنّ ما جعل </w:t>
      </w:r>
    </w:p>
    <w:p>
      <w:pPr>
        <w:pStyle w:val="BookText"/>
        <w:rPr/>
      </w:pPr>
      <w:r>
        <w:rPr>
          <w:rFonts w:ascii="Amiri" w:hAnsi="Amiri" w:eastAsia="Amiri" w:cs="Amiri"/>
          <w:color w:val="111111"/>
          <w:sz w:val="28"/>
          <w:sz w:val="28"/>
          <w:szCs w:val="28"/>
          <w:rtl w:val="true"/>
          <w:lang w:bidi="ar-SA"/>
        </w:rPr>
        <w:t>شرطاً هو تمام الموضوع لإناطة الجزاء به، وإلاّ لكان عليه بيانه، كما هو الحال</w:t>
      </w:r>
    </w:p>
    <w:p>
      <w:pPr>
        <w:pStyle w:val="BookText"/>
        <w:rPr/>
      </w:pPr>
      <w:r>
        <w:rPr>
          <w:rFonts w:ascii="Amiri" w:hAnsi="Amiri" w:eastAsia="Amiri" w:cs="Amiri"/>
          <w:color w:val="111111"/>
          <w:sz w:val="28"/>
          <w:sz w:val="28"/>
          <w:szCs w:val="28"/>
          <w:rtl w:val="true"/>
          <w:lang w:bidi="ar-SA"/>
        </w:rPr>
        <w:t>في جميع موارد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في مقابل التقييد، ودخالة شيء آخر في موضوع الحكم وكون شيء آخر موضوعاً للحكم أيضاً، لا يوجب تقييداً في الموضوع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الاستناد الفعلي إلى الموضوع مع عدم كون قرين له قبله وبعده فهو شيء غير راجع إلى الإطلاق والتقييد؛ فإنّ الاستناد واللا استناد في الوجود الخارجي بالنسبة إلى المقارنات الخارجية، غير مربوط بمقام جعل الأحكام على العناوين؛ فإنّ في ذلك المقام لم يكن الدليل ناظراً إلى كيفية الاستناد في الوجود، فضلاً عن النظر إلى مزاحماته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فالإطلاق غير متكفّل بإحراز عدم النائب، وإن كان كفيلاً بإحراز عدم الشريك؛ أي القيد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إحراز كون المتكلّم بصدد بيان العلّة المنحصرة أو الموضوع المنحصر، فهو غير مربوط بمفهوم الشرط، بل مع هذا يفهم الحصر مع اللقب أيضاً، لكنّه لأجل القرينة لا لأجل المفهوم المورد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الإشكال فيما تمسّك به بعض الأعاظم، وهو إطلاق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الإشكال على جواز التمسّك بإطلاق الشرط،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مقدّمات الحكمة إنّما تجري في المجعولات الشرعية، والعلّية والسببية غير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استشكل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حاصله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مقدّمات الحكمة تجري في ناحية الجزاء من حيث عدم تقييده بغير ما </w:t>
      </w:r>
    </w:p>
    <w:p>
      <w:pPr>
        <w:pStyle w:val="BookText"/>
        <w:rPr/>
      </w:pPr>
      <w:r>
        <w:rPr>
          <w:rFonts w:ascii="Amiri" w:hAnsi="Amiri" w:eastAsia="Amiri" w:cs="Amiri"/>
          <w:color w:val="111111"/>
          <w:sz w:val="28"/>
          <w:sz w:val="28"/>
          <w:szCs w:val="28"/>
          <w:rtl w:val="true"/>
          <w:lang w:bidi="ar-SA"/>
        </w:rPr>
        <w:t>جعل في القضيّة من الشرط مع كونه في مقام البيان، ويحرز كونه في مقامه من تقييد الجزاء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كونه من هذه الجهة في مقام البيان لا تسمع، وإلاّ لانسدّ باب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كونه في مقامه، وعدم تقييد الجزاء بقيد آخر، هو أنّ الجزاء مترتّب على ذلك الشرط فقط من دون أن يشاركه شرط آخر، أو ينوب عنه</w:t>
      </w:r>
      <w:r>
        <w:rPr>
          <w:rStyle w:val="FootnoteAnchor"/>
          <w:rtl w:val="true"/>
        </w:rPr>
        <w:footnoteReference w:id="3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بما فيه بعد الإحاطة بما تقدّم آنفاً،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إطلاق الشرط من أجل انحصار جريان المقدّمات بالمجعولات الشرعية، 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منع عدم مجعولية السببية والعلّية على ما حقّقنا في محلّه</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إجراءها لا ينحصر بها، بل الغالب جريانها في غيرها ممّا له أثر شرعي؛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 في اعتبار قيد في الرقبة، تجري المقدّمات في نفس الرقبة التي جعلت موضوع الحكم، وكذا لو شكّ في كيفية العتق يتمسّك بإطلاق المادّة لرفع الشكّ، مع عدم كونهما مجعولين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يقال في مثل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 موضوعاً أو متعلّقاً هو تمامهما، وإلاّ لكان عليه البيان، فكذا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آخر دخيلاً في الشرط لكان عليه البيان، وهذا غير مربوط بجعل العلّية والسببية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وجه آخر لإثبات الانحصار تمسّك به بعضهم،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الشرطية أن يكون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ولو لم تكن العلّة </w:t>
      </w:r>
    </w:p>
    <w:p>
      <w:pPr>
        <w:pStyle w:val="BookText"/>
        <w:rPr/>
      </w:pPr>
      <w:r>
        <w:rPr>
          <w:rFonts w:ascii="Amiri" w:hAnsi="Amiri" w:eastAsia="Amiri" w:cs="Amiri"/>
          <w:color w:val="111111"/>
          <w:sz w:val="28"/>
          <w:sz w:val="28"/>
          <w:szCs w:val="28"/>
          <w:rtl w:val="true"/>
          <w:lang w:bidi="ar-SA"/>
        </w:rPr>
        <w:t>منحصرة لزم استناد التالي إلى الجامع بينهما، وهو خلاف ظاهر الترتّب على المقدّم بعنوانه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العلّية من القضيّة الشرطية في محلّ المنع، بل لا يستفاد منها إلاّ نحو ارتباط بين المقدّم والتالي ولو كان على نحو الاتّفاق؛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مصاحبة الصديقين غالباً في الذهاب والإياب،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أحدهما يجيء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ارتكاب تجوّز وتأوّل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استعمال الشرطية فيما لا ربط بينهما بلا تأوّل، مثل ناهقية الحمار وناطقية الإنسان، فلا تستفاد العلّية حتّى 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العلّية والمعلولية في المجعولات الشرعية ليست على حذو التكوين؛ من صدور أحدهما من الآخر؛ حتّى يأتي فيها القاعدة المعروفة، فيجوز أن يكون الكرّ بعنوانه دخيلاً في عدم الانفعال، والجاري والمطر بعنوانهما، 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 التشريع بالتكوين باطل ومنشأ لاشتباهات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لجريان القاعدة مورداً خاصّاً وشرائط، وما نحن فيه ليس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استفادة الأحكام من القضايا هو الاستظهارات العرفية، لا الدقائق الحكمية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اُمور</w:t>
      </w:r>
      <w:r>
        <w:rPr>
          <w:rFonts w:eastAsia="Amiri" w:cs="Amiri" w:ascii="Amiri" w:hAnsi="Amiri"/>
          <w:color w:val="111111"/>
          <w:sz w:val="28"/>
          <w:szCs w:val="28"/>
          <w:rtl w:val="true"/>
          <w:lang w:bidi="ar-SA"/>
        </w:rPr>
        <w:t xml:space="preserve">: </w:t>
      </w:r>
      <w:bookmarkStart w:id="368" w:name="pg15293_220225"/>
    </w:p>
    <w:p>
      <w:pPr>
        <w:pStyle w:val="Heading4"/>
        <w:numPr>
          <w:ilvl w:val="3"/>
          <w:numId w:val="1"/>
        </w:numPr>
        <w:rPr/>
      </w:pPr>
      <w:bookmarkStart w:id="369" w:name="__RefHeading___Toc4629018_2142443653"/>
      <w:bookmarkStart w:id="370" w:name="_Toc130"/>
      <w:bookmarkEnd w:id="368"/>
      <w:bookmarkEnd w:id="369"/>
      <w:r>
        <w:rPr>
          <w:rtl w:val="true"/>
        </w:rPr>
        <w:t>الأمر الأوّل في الإشكال فيما إذا كان مفاد الجزاء معنىً حرفياً</w:t>
      </w:r>
      <w:bookmarkEnd w:id="370"/>
    </w:p>
    <w:p>
      <w:pPr>
        <w:pStyle w:val="BookText"/>
        <w:rPr/>
      </w:pPr>
      <w:r>
        <w:rPr>
          <w:rFonts w:ascii="Amiri" w:hAnsi="Amiri" w:eastAsia="Amiri" w:cs="Amiri"/>
          <w:color w:val="111111"/>
          <w:sz w:val="28"/>
          <w:sz w:val="28"/>
          <w:szCs w:val="28"/>
          <w:rtl w:val="true"/>
          <w:lang w:bidi="ar-SA"/>
        </w:rPr>
        <w:t>لا إشكال في انتفاء شخص الحكم بانتفاء شرطه أو قيده عقلاً، من غير أن يكون لأجل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 على أولاده العدول، أو إن كانوا عدولاً، فانتفاؤه مع سلب العدالة ليس للمفهوم، بل لعدم الجعل لغير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مفاد الجزاء حكماً كلّياً،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جاء زيد يكون إكرامه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عبِّر عنه بالمعنى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انتفاءه لأجل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وقع الإشكال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الجزاء معنىً حرفياً، فقيل بعدم دخوله في محلّ النزاع؛ لأنّ انتفاء الإنشاء الخاصّ بانتفاء بعض القيود عقلي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معاني الحروف كلّيات</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بابها أنّ الموضوع له في مطلق الحروف خاصّ</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يمكن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القضايا بدواً وإن كان تعليق الوجوب على الشرط، لكن حكم العقل والعقلاء في مثل تلك القضايا أنّ لطبيعة المادّة مناسبة مع الشرط تكون سبباً لتعلّق الهيئة بها، فيكون الإيجاب المتعلّق </w:t>
      </w:r>
    </w:p>
    <w:p>
      <w:pPr>
        <w:pStyle w:val="BookText"/>
        <w:rPr/>
      </w:pPr>
      <w:r>
        <w:rPr>
          <w:rFonts w:ascii="Amiri" w:hAnsi="Amiri" w:eastAsia="Amiri" w:cs="Amiri"/>
          <w:color w:val="111111"/>
          <w:sz w:val="28"/>
          <w:sz w:val="28"/>
          <w:szCs w:val="28"/>
          <w:rtl w:val="true"/>
          <w:lang w:bidi="ar-SA"/>
        </w:rPr>
        <w:t>بالمادّة في الجزاء متفرّعاً على التناسب الحاصل بينها وما يتلو أداة الشرط،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 زيد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العرف والعقلاء منه أنّ التناسب الواقعي بين إكرام زيد إيّاه وإكرامه دعا المولى لإيجابه عند تحقّقه، فالإيجاب متفرّع على التناسب الواقعي، وإلاّ كان لغواً، فإذا فرض دلالة الأداة على انحصار العلّة تدلّ على أنّ التناسب بينهما يكون بنحو العلّية المنحصرة، ففي الحقيقة يكون التناسب بين طبيعة ما يتلو أداة الشرط ومادّة الهيئة، فإذا دلّت الأداة على الانحصار تتمّ الدلالة على المفهوم، وإن كان مفادها جزئياً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وإن كانت جزئية، لكن تناسب الحكم والموضوع يوجب إلغاء الخصوصية، وجعل الشرط علّة منحصرة لنفس الوجوب وطبيعيه، فبانتفائه ينتفي طبيعي الوجوب</w:t>
      </w:r>
      <w:r>
        <w:rPr>
          <w:rFonts w:eastAsia="Amiri" w:cs="Amiri" w:ascii="Amiri" w:hAnsi="Amiri"/>
          <w:color w:val="111111"/>
          <w:sz w:val="28"/>
          <w:szCs w:val="28"/>
          <w:rtl w:val="true"/>
          <w:lang w:bidi="ar-SA"/>
        </w:rPr>
        <w:t xml:space="preserve">. </w:t>
      </w:r>
      <w:bookmarkStart w:id="371" w:name="pg15293_220227"/>
    </w:p>
    <w:p>
      <w:pPr>
        <w:pStyle w:val="Heading4"/>
        <w:numPr>
          <w:ilvl w:val="3"/>
          <w:numId w:val="1"/>
        </w:numPr>
        <w:rPr/>
      </w:pPr>
      <w:bookmarkStart w:id="372" w:name="__RefHeading___Toc4629020_2142443653"/>
      <w:bookmarkStart w:id="373" w:name="_Toc131"/>
      <w:bookmarkEnd w:id="371"/>
      <w:bookmarkEnd w:id="372"/>
      <w:r>
        <w:rPr>
          <w:rtl w:val="true"/>
        </w:rPr>
        <w:t>الأمر الثاني في تعدّد الشرط واتّحاد الجزاء</w:t>
      </w:r>
      <w:bookmarkEnd w:id="373"/>
    </w:p>
    <w:p>
      <w:pPr>
        <w:pStyle w:val="BookText"/>
        <w:rPr/>
      </w:pPr>
      <w:r>
        <w:rPr>
          <w:rFonts w:ascii="Amiri" w:hAnsi="Amiri" w:eastAsia="Amiri" w:cs="Amiri"/>
          <w:color w:val="111111"/>
          <w:sz w:val="28"/>
          <w:sz w:val="28"/>
          <w:szCs w:val="28"/>
          <w:rtl w:val="true"/>
          <w:lang w:bidi="ar-SA"/>
        </w:rPr>
        <w:t>إذا تعدّد الشرط واتّحد الجزاء، فبناءً على ظهور الشرطية في المفهوم يقع التعارض بينهما إجمالاً، فهل التعارض بين المنطوقين أوّلاً وبالذات، أو بين مفهوم كلّ منهما ومنطوق الآخر ؟</w:t>
      </w:r>
    </w:p>
    <w:p>
      <w:pPr>
        <w:pStyle w:val="BookText"/>
        <w:rPr/>
      </w:pPr>
      <w:r>
        <w:rPr>
          <w:rFonts w:ascii="Amiri" w:hAnsi="Amiri" w:eastAsia="Amiri" w:cs="Amiri"/>
          <w:color w:val="111111"/>
          <w:sz w:val="28"/>
          <w:sz w:val="28"/>
          <w:szCs w:val="28"/>
          <w:rtl w:val="true"/>
          <w:lang w:bidi="ar-SA"/>
        </w:rPr>
        <w:t>الظاهر هو الأوّل، سواء قلنا بأنّ المتبادر من الشرطية هو العلّية المنحصرة، أو قلنا بانصرافها إليها، أو بأنّ ذلك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حصر العلّية بشيء ينافي إثباتها لشيء آخر، فضلاً عن حصرها به؛ ضرورة التنافي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المنحصرة للقصر خفاء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المنحصرة له خفاء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قلنا بانصرافها إلى العلّة المنحصرة، فيقع التعارض بينهما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الأخير؛ لوقوع التعارض بين أصالتي الإطلاق في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وقوع التنافي بينهما يقع الكلام في التوفيق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كيفية التوفيق باختلاف المباني في استفادة المفهوم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استفادة الحصر تكون لأجل الوضع، فيقع التعارض بين أصالتي الحقيقة في الجملتين، ومع عدم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تصيران مجملتين؛ لعدم ترجيح بين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العلّة التامّة أقرب إلى المنحصرة واقعاً، لا يكون مرجّحاً في تعيينه؛ لأنّ المعيّن له هو الاُنس الذهني بحيث يرجع إلى الظهور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استفادته لأجل الانصراف، فحينئذٍ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الأداة موضوعة للعلّة التامّة ومنصرفة إلى المنحصرة، فمع تعارض الانصرافين تكون أصالة الحقيقة في كلّ منهما محكّمة بلا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 بوضعها لمطلق اللزوم، أو الترتّب،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استفادته مقتضى الإطلاق، فحينئذٍ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الأداة موضوعة للعلّة التامّة، فمع تعارض أصالتي الإطلاق يؤخذ بأصالة الحقيقة بلا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العلّية التامّة أيضاً مستفادة من الإطلاق، فمقتضى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هو عدم الشريك وعدم العديل، فإذا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فكما يحتمل أن يكون خفاء الجدران قيداً لخفاء الأذان، يحتمل أن يكون عدلاً له، فيقع التعارض بين أصالتي الإطلاق؛ أي من جهة نفي الشريك ومن جهة نفي العديل، ومع عدم المرجّح يرجع إلى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بورود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الإطلاق من جهة نفي الشريك، وإمّا عليه من جهة نفي البديل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 بالعلم التفصيلي بعدم انحصار العلّة، إمّا لأجل تقييد الإطلاق من جهة البديل، وإمّا من جهة تقييده لأجل الشريك الرافع لموضوع الإطلاق من جهة البديل، فيشكّ في تقييد الإطلاق من جهة الشريك بدواً، فيتمسّك بأصالة الإطلاق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بورود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الإطلاق من جهة </w:t>
      </w:r>
    </w:p>
    <w:p>
      <w:pPr>
        <w:pStyle w:val="BookText"/>
        <w:rPr/>
      </w:pPr>
      <w:r>
        <w:rPr>
          <w:rFonts w:ascii="Amiri" w:hAnsi="Amiri" w:eastAsia="Amiri" w:cs="Amiri"/>
          <w:color w:val="111111"/>
          <w:sz w:val="28"/>
          <w:sz w:val="28"/>
          <w:szCs w:val="28"/>
          <w:rtl w:val="true"/>
          <w:lang w:bidi="ar-SA"/>
        </w:rPr>
        <w:t xml:space="preserve">الشريك، أو من جهة العديل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للعلم التفصيلي بعنوان الآخر، وهو عدم انحصار العلّة، وفي مثله لا يعقل الانحلال؛ لأنّ العلم التفصيلي معلول للعلم الإجمالي الفعلي، فكيف يمكن أن يكون رافعاً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يتقوّم بالعلم التفصيلي بأحد الأطراف والشكّ في الآخر، كما في الأقلّ والأكثر، وفيما نحن فيه لا يكون كذلك؛ لأنّ العلم الإجمالي محفوظ، ومنه يتولّد علم تفصيلي آخر، وفي مثله يكون الانحلال محالاً، فيجب الرجوع إلى قواعد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كلّ من الدليلين مع صاحبه، فهل يدلاّن على عدم مدخلية شيء آخر شريكاً معهما، أو عديلاً لهما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ذلك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الدلالة على المفهوم وكذا الدلالة على الاستقلال بالإطلاق؛ للزوم رفع اليد عن أصالة الإطلاق بمقدار الدلالة على القيد، بخلاف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بالوضع أو الانصراف؛ لعدم الدليل عليه بعد رفع اليد عن المعنى الحقيقي والانصرافي</w:t>
      </w:r>
      <w:r>
        <w:rPr>
          <w:rFonts w:eastAsia="Amiri" w:cs="Amiri" w:ascii="Amiri" w:hAnsi="Amiri"/>
          <w:color w:val="111111"/>
          <w:sz w:val="28"/>
          <w:szCs w:val="28"/>
          <w:rtl w:val="true"/>
          <w:lang w:bidi="ar-SA"/>
        </w:rPr>
        <w:t xml:space="preserve">. </w:t>
      </w:r>
      <w:bookmarkStart w:id="374" w:name="pg15293_220230"/>
    </w:p>
    <w:p>
      <w:pPr>
        <w:pStyle w:val="Heading4"/>
        <w:numPr>
          <w:ilvl w:val="3"/>
          <w:numId w:val="1"/>
        </w:numPr>
        <w:rPr/>
      </w:pPr>
      <w:bookmarkStart w:id="375" w:name="__RefHeading___Toc4629022_2142443653"/>
      <w:bookmarkStart w:id="376" w:name="_Toc132"/>
      <w:bookmarkEnd w:id="374"/>
      <w:bookmarkEnd w:id="375"/>
      <w:r>
        <w:rPr>
          <w:rtl w:val="true"/>
        </w:rPr>
        <w:t>الأمر الثالث في تداخل الأسباب والمسبّبات</w:t>
      </w:r>
      <w:bookmarkEnd w:id="376"/>
    </w:p>
    <w:p>
      <w:pPr>
        <w:pStyle w:val="Heading5"/>
        <w:numPr>
          <w:ilvl w:val="4"/>
          <w:numId w:val="1"/>
        </w:numPr>
        <w:rPr/>
      </w:pPr>
      <w:bookmarkStart w:id="377" w:name="__RefHeading___Toc4629024_2142443653"/>
      <w:bookmarkStart w:id="378" w:name="_Toc133"/>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إذا تعدّد الشرط واتّحد الجزاء،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بالجزاء متعدّداً حسب تعدّد الشرط، أو يكتفى بإتيانه دفعة واحدة ؟</w:t>
      </w:r>
    </w:p>
    <w:p>
      <w:pPr>
        <w:pStyle w:val="BookText"/>
        <w:rPr/>
      </w:pPr>
      <w:r>
        <w:rPr>
          <w:rFonts w:ascii="Amiri" w:hAnsi="Amiri" w:eastAsia="Amiri" w:cs="Amiri"/>
          <w:color w:val="111111"/>
          <w:sz w:val="28"/>
          <w:sz w:val="28"/>
          <w:szCs w:val="28"/>
          <w:rtl w:val="true"/>
          <w:lang w:bidi="ar-SA"/>
        </w:rPr>
        <w:t>ينبغي تقديم مقدّمات</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4629026_2142443653"/>
      <w:bookmarkStart w:id="380" w:name="_Toc134"/>
      <w:bookmarkEnd w:id="379"/>
      <w:r>
        <w:rPr>
          <w:rtl w:val="true"/>
        </w:rPr>
        <w:t>الاُولى</w:t>
      </w:r>
      <w:r>
        <w:rPr>
          <w:rtl w:val="true"/>
        </w:rPr>
        <w:t xml:space="preserve">: </w:t>
      </w:r>
      <w:r>
        <w:rPr>
          <w:rtl w:val="true"/>
        </w:rPr>
        <w:t>في تحرير محلّ النزاع</w:t>
      </w:r>
      <w:bookmarkEnd w:id="380"/>
    </w:p>
    <w:p>
      <w:pPr>
        <w:pStyle w:val="BookText"/>
        <w:rPr/>
      </w:pPr>
      <w:r>
        <w:rPr>
          <w:rFonts w:ascii="Amiri" w:hAnsi="Amiri" w:eastAsia="Amiri" w:cs="Amiri"/>
          <w:color w:val="111111"/>
          <w:sz w:val="28"/>
          <w:sz w:val="28"/>
          <w:szCs w:val="28"/>
          <w:rtl w:val="true"/>
          <w:lang w:bidi="ar-SA"/>
        </w:rPr>
        <w:t>إنّ البحث قد يقع قبل الفراغ عن إحراز استقلال الشروط، كما إذا احتمل أنّ الشروط ترجع إلى شرط واحد، ويكون كلٌّ جزءاً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محطّ البحث في تداخل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بعد الفراغ عن إحراز أنّ كلّ شرط مستقلّ لو لم يكن معه غيره، وشكّ في حال اجتماعها في التداخل وعدمه، كالجنابة والحيض والنفاس؛ فإنّ كلاًّ منها سبب مستقلاًّ، ويقع البحث في حال اجتماعها في كفاية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محطّ الكلام في باب التداخل</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4629028_2142443653"/>
      <w:bookmarkStart w:id="382" w:name="_Toc135"/>
      <w:bookmarkEnd w:id="381"/>
      <w:r>
        <w:rPr>
          <w:rtl w:val="true"/>
        </w:rPr>
        <w:t>الثانية</w:t>
      </w:r>
      <w:r>
        <w:rPr>
          <w:rtl w:val="true"/>
        </w:rPr>
        <w:t xml:space="preserve">: </w:t>
      </w:r>
      <w:r>
        <w:rPr>
          <w:rtl w:val="true"/>
        </w:rPr>
        <w:t>في المراد من تداخل الأسباب والمسبّبات</w:t>
      </w:r>
      <w:bookmarkEnd w:id="38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تداخل الأسباب هو عدم اقتضائها إلاّ جزاءً واحداً حال اجتماعها، فإذا اجتمع الجنابة والحيض وغيرهما لا تقتضي إلاّ غسلاً واحداً، فلا تكون تكاليف متعدّدة مجتمعة في مصداق واحد، بل يكون تكليف واحد وإن تعدّدت الأسباب؛ ولهذا يكون التداخل عزيمة لا رخصة</w:t>
      </w:r>
      <w:r>
        <w:rPr>
          <w:rFonts w:eastAsia="Amiri" w:cs="Amiri" w:ascii="Amiri" w:hAnsi="Amiri"/>
          <w:color w:val="111111"/>
          <w:sz w:val="28"/>
          <w:szCs w:val="28"/>
          <w:rtl w:val="true"/>
          <w:lang w:bidi="ar-SA"/>
        </w:rPr>
        <w:t xml:space="preserve">. </w:t>
      </w:r>
      <w:bookmarkStart w:id="383" w:name="pg15293_220231"/>
    </w:p>
    <w:p>
      <w:pPr>
        <w:pStyle w:val="BookText"/>
        <w:rPr/>
      </w:pPr>
      <w:bookmarkEnd w:id="383"/>
      <w:r>
        <w:rPr>
          <w:rFonts w:ascii="Amiri" w:hAnsi="Amiri" w:eastAsia="Amiri" w:cs="Amiri"/>
          <w:color w:val="111111"/>
          <w:sz w:val="28"/>
          <w:sz w:val="28"/>
          <w:szCs w:val="28"/>
          <w:rtl w:val="true"/>
          <w:lang w:bidi="ar-SA"/>
        </w:rPr>
        <w:t xml:space="preserve">والمراد من تداخل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عدم تداخل الأسباب وأنّ كلّ سبب يقتضي مسبّباً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بمصداق واحد جائز في مقام الامتثال لإسقاط التكاليف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كانت العناوين المكلّف بها قهرية الانطباق على المصداق وتكون من التوصّلي، يكون التداخل عزيمة، وإلاّ فرخصة</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4629030_2142443653"/>
      <w:bookmarkStart w:id="385" w:name="_Toc136"/>
      <w:bookmarkEnd w:id="384"/>
      <w:r>
        <w:rPr>
          <w:rtl w:val="true"/>
        </w:rPr>
        <w:t>الثالثة</w:t>
      </w:r>
      <w:r>
        <w:rPr>
          <w:rtl w:val="true"/>
        </w:rPr>
        <w:t xml:space="preserve">: </w:t>
      </w:r>
      <w:r>
        <w:rPr>
          <w:rtl w:val="true"/>
        </w:rPr>
        <w:t>في اختصاص النزاع بالماهية القابلة للتكثّر</w:t>
      </w:r>
      <w:bookmarkEnd w:id="385"/>
    </w:p>
    <w:p>
      <w:pPr>
        <w:pStyle w:val="BookText"/>
        <w:rPr/>
      </w:pPr>
      <w:r>
        <w:rPr>
          <w:rFonts w:ascii="Amiri" w:hAnsi="Amiri" w:eastAsia="Amiri" w:cs="Amiri"/>
          <w:color w:val="111111"/>
          <w:sz w:val="28"/>
          <w:sz w:val="28"/>
          <w:szCs w:val="28"/>
          <w:rtl w:val="true"/>
          <w:lang w:bidi="ar-SA"/>
        </w:rPr>
        <w:t>محطّ البحث ما إذا كان الجزاء ماهية قابلة للتكثّر كماهية الغسل والوضوء، وأمّا مع عدم قبول التكثّر فلا محيص عن التداخل، كقتل زيد، ومثله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الغير القابل للتكثّر إن كان قابلاً للتقييد يكون داخلاً في النزاع، كالخيار القابل للتقيّد بالسبب، كالتقيّد بالمجلس والحيوان والعيب وغيرها، مع أ نّه أمر واحد هو ملك فسخ العقد وإقراره، ومعنى تقيّده بالسبب هو أ نّه يلاحظ الخيار المستند إلى المجلس فيسقطه، أو يصالح عليه، ويبقى له الخيار المستند إلى الحيوان، وكالقتل لأجل حقوق الناس، فلو قتل زيد عمراً وبكراً وخالداً، فقتله قصاصاً وإن لم يقبل التعدّد إلاّ أ نّه قابل للتقيّد بالسبب؛ أي يلاحظ استحقاق زيد للقتل باعتبار قتله لعمرو، فلو أسقط ورثة عمرو حقّ القَود لم يسقط حقّ ورثة بكر وخالد</w:t>
      </w:r>
      <w:r>
        <w:rPr>
          <w:rStyle w:val="FootnoteAnchor"/>
          <w:rtl w:val="true"/>
        </w:rPr>
        <w:footnoteReference w:id="3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فإنّ الخيار إذا كان واحداً غير قابل للتكثّر مع اجتماع الأسباب عليه، فلا يمكن إسقاطه من قِبل أحدها وإبقاؤه من قِبل غيره؛ لأنّ </w:t>
      </w:r>
      <w:bookmarkStart w:id="386" w:name="pg15293_220232"/>
    </w:p>
    <w:p>
      <w:pPr>
        <w:pStyle w:val="BookText"/>
        <w:rPr/>
      </w:pPr>
      <w:bookmarkEnd w:id="386"/>
      <w:r>
        <w:rPr>
          <w:rFonts w:ascii="Amiri" w:hAnsi="Amiri" w:eastAsia="Amiri" w:cs="Amiri"/>
          <w:color w:val="111111"/>
          <w:sz w:val="28"/>
          <w:sz w:val="28"/>
          <w:szCs w:val="28"/>
          <w:rtl w:val="true"/>
          <w:lang w:bidi="ar-SA"/>
        </w:rPr>
        <w:t>الإسقاط لا بدّ وأن يتعلّق بالخيار الجائي من قِبل كذا، ومع الوحدة لم يكن ذلك</w:t>
      </w:r>
    </w:p>
    <w:p>
      <w:pPr>
        <w:pStyle w:val="BookText"/>
        <w:rPr/>
      </w:pPr>
      <w:r>
        <w:rPr>
          <w:rFonts w:ascii="Amiri" w:hAnsi="Amiri" w:eastAsia="Amiri" w:cs="Amiri"/>
          <w:color w:val="111111"/>
          <w:sz w:val="28"/>
          <w:sz w:val="28"/>
          <w:szCs w:val="28"/>
          <w:rtl w:val="true"/>
          <w:lang w:bidi="ar-SA"/>
        </w:rPr>
        <w:t>غير الجائي من قِبل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الخيار متعدّداً بالعنوان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خيار المجلس شيئاً غير خيار</w:t>
      </w:r>
    </w:p>
    <w:p>
      <w:pPr>
        <w:pStyle w:val="BookText"/>
        <w:rPr/>
      </w:pP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محلّ البحث؛ أي تداخل الأسباب، وإن كان كلّياً قابلاً للتكثّر فيرجع إلى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القتل؛ فإنّ حقّ القود إمّا واحد، فلا يمكن إسقاطه من قِبل سبب وإبقاؤه من قِبل الآخر، أو متعدّد عنواناً فيخرج عن محطّ البحث، أو كلّي قابل للتكثّر فيدخل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قبول القتل للتكثّر غير مربوط بعدم قبول حقّ القود له، والقائل خلط بينهما</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4629032_2142443653"/>
      <w:bookmarkStart w:id="388" w:name="_Toc137"/>
      <w:bookmarkEnd w:id="387"/>
      <w:r>
        <w:rPr>
          <w:rtl w:val="true"/>
        </w:rPr>
        <w:t>الرابعة</w:t>
      </w:r>
      <w:r>
        <w:rPr>
          <w:rtl w:val="true"/>
        </w:rPr>
        <w:t xml:space="preserve">: </w:t>
      </w:r>
      <w:r>
        <w:rPr>
          <w:rtl w:val="true"/>
        </w:rPr>
        <w:t>في إمكان التداخل وعدمه</w:t>
      </w:r>
      <w:bookmarkEnd w:id="388"/>
    </w:p>
    <w:p>
      <w:pPr>
        <w:pStyle w:val="BookText"/>
        <w:rPr/>
      </w:pPr>
      <w:r>
        <w:rPr>
          <w:rFonts w:ascii="Amiri" w:hAnsi="Amiri" w:eastAsia="Amiri" w:cs="Amiri"/>
          <w:color w:val="111111"/>
          <w:sz w:val="28"/>
          <w:sz w:val="28"/>
          <w:szCs w:val="28"/>
          <w:rtl w:val="true"/>
          <w:lang w:bidi="ar-SA"/>
        </w:rPr>
        <w:t>لا بدّ قبل الدخول في المقصود من إثبات إمكان التداخل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إمكان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اجتماع أسباب متعدّدة شرعية على مسبّب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لأنّ الأسباب الشرعية ليست من قبيل العلل التكوينية، فللشارع جعل إيجاب الوضوء عقيب النوم في صورة انفراده، وعقيب البول والنوم في صورة اجتماعهما، أو جعل السبب بناءً على جوازه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جواز اجتماع العلل التكوينية على معلول واحد بتأثير الجامع بينها فيه، وربّما يمثّل له بأمثلة عرفية، والتحقيق امتناعه، وفي الأمثلة خلط، وتحقيقه موكول إلى محلّه</w:t>
      </w:r>
      <w:r>
        <w:rPr>
          <w:rFonts w:eastAsia="Amiri" w:cs="Amiri" w:ascii="Amiri" w:hAnsi="Amiri"/>
          <w:color w:val="111111"/>
          <w:sz w:val="28"/>
          <w:szCs w:val="28"/>
          <w:rtl w:val="true"/>
          <w:lang w:bidi="ar-SA"/>
        </w:rPr>
        <w:t xml:space="preserve">. </w:t>
      </w:r>
      <w:bookmarkStart w:id="389" w:name="pg15293_220233"/>
    </w:p>
    <w:p>
      <w:pPr>
        <w:pStyle w:val="BookText"/>
        <w:rPr/>
      </w:pPr>
      <w:bookmarkEnd w:id="389"/>
      <w:r>
        <w:rPr>
          <w:rFonts w:ascii="Amiri" w:hAnsi="Amiri" w:eastAsia="Amiri" w:cs="Amiri"/>
          <w:color w:val="111111"/>
          <w:sz w:val="28"/>
          <w:sz w:val="28"/>
          <w:szCs w:val="28"/>
          <w:rtl w:val="true"/>
          <w:lang w:bidi="ar-SA"/>
        </w:rPr>
        <w:t>وأمّا عدم التداخل فقد يقال بامتناعه؛ لانّ تعلّق الوجوبين بالطبيعة المطلقة غير معقول، وتعلّق الوجوب بفردين من الطبيعة تعاقباً غير معقول أيضاً،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تعلّق الوجوب في الشرطية الاُولى بالطبيعة، وفي الثانية بالطبيعة الاُخرى، أو بالعكس، أو في الاُولى بفرد منها، وفي الثانية بفرد آخر، أو بالعكس، ممتنع؛ لأنّ النوم قد يكون مقدّماً على البول وقد يكون مؤخّراً عنه، وليست القضيتان ناظرتين إلى حال الاجتماع، ولا يكون في البين قيد صالح لتقييد الطبيعة، ومعه لا محيص عن التداخل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فرض ظهور القضيّتين الشرطيتين في عدم التداخل، واُريد رفع اليد عنه لأجل عدم معقولية تقييد الجزاء بما ذكر، فلنا تصوير قيد آخر ولو لم يكن في الكلام؛ مثل التقييد بالوضوء من قِبل النوم، ومن قِبل البول، أو قيد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رفع اليد عن الظاهر حتّى يثبت امتناع كافّة القيود، وهو بمكان من المنع، فلا يجوز الالتزام بالتداخل لأجل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مع ظهور الدليل لا يلزم إثبات الإمكان، بل مع عدم ثبوت الامتناع يؤخذ به</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4629034_2142443653"/>
      <w:bookmarkStart w:id="391" w:name="_Toc138"/>
      <w:bookmarkEnd w:id="390"/>
      <w:r>
        <w:rPr>
          <w:rtl w:val="true"/>
        </w:rPr>
        <w:t>الخامسة</w:t>
      </w:r>
      <w:r>
        <w:rPr>
          <w:rtl w:val="true"/>
        </w:rPr>
        <w:t xml:space="preserve">: </w:t>
      </w:r>
      <w:r>
        <w:rPr>
          <w:rtl w:val="true"/>
        </w:rPr>
        <w:t>في أنحاء تعدّد الشرط</w:t>
      </w:r>
      <w:bookmarkEnd w:id="391"/>
    </w:p>
    <w:p>
      <w:pPr>
        <w:pStyle w:val="Heading6"/>
        <w:numPr>
          <w:ilvl w:val="5"/>
          <w:numId w:val="1"/>
        </w:numPr>
        <w:rPr/>
      </w:pPr>
      <w:bookmarkStart w:id="392" w:name="__RefHeading___Toc4629036_2142443653"/>
      <w:bookmarkStart w:id="393" w:name="_Toc139"/>
      <w:bookmarkEnd w:id="392"/>
      <w:r>
        <w:rPr>
          <w:rtl w:val="true"/>
        </w:rPr>
        <w:t>اشارة</w:t>
      </w:r>
      <w:bookmarkEnd w:id="3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الشرط قد يكون متعدّداً نوعاً ومختلفاً ماهية، مثل البول والنوم، فيقع البحث في أ نّه مع تقارنهما أو تعاقبهما مع عدم تخلّل المسبّب بينهما، يتداخل الأسباب أو لا ؟ </w:t>
      </w:r>
      <w:bookmarkStart w:id="394" w:name="pg15293_220234"/>
    </w:p>
    <w:p>
      <w:pPr>
        <w:pStyle w:val="BookText"/>
        <w:rPr/>
      </w:pPr>
      <w:bookmarkEnd w:id="394"/>
      <w:r>
        <w:rPr>
          <w:rFonts w:ascii="Amiri" w:hAnsi="Amiri" w:eastAsia="Amiri" w:cs="Amiri"/>
          <w:color w:val="111111"/>
          <w:sz w:val="28"/>
          <w:sz w:val="28"/>
          <w:szCs w:val="28"/>
          <w:rtl w:val="true"/>
          <w:lang w:bidi="ar-SA"/>
        </w:rPr>
        <w:t>وقد تكون ماهية واحدة ذات أفراد، فيقع البحث في أ نّه مع تعدّد الفرد يتعدّد الجزاء أم لا ؟</w:t>
      </w:r>
    </w:p>
    <w:p>
      <w:pPr>
        <w:pStyle w:val="BookText"/>
        <w:rPr/>
      </w:pPr>
      <w:r>
        <w:rPr>
          <w:rFonts w:ascii="Amiri" w:hAnsi="Amiri" w:eastAsia="Amiri" w:cs="Amiri"/>
          <w:color w:val="111111"/>
          <w:sz w:val="28"/>
          <w:sz w:val="28"/>
          <w:szCs w:val="28"/>
          <w:rtl w:val="true"/>
          <w:lang w:bidi="ar-SA"/>
        </w:rPr>
        <w:t>والأقوال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مطلقاً</w:t>
      </w:r>
      <w:r>
        <w:rPr>
          <w:rStyle w:val="FootnoteAnchor"/>
          <w:rtl w:val="true"/>
        </w:rPr>
        <w:footnoteReference w:id="316"/>
      </w:r>
      <w:r>
        <w:rPr>
          <w:rFonts w:ascii="Amiri" w:hAnsi="Amiri" w:eastAsia="Amiri" w:cs="Amiri"/>
          <w:color w:val="111111"/>
          <w:sz w:val="28"/>
          <w:sz w:val="28"/>
          <w:szCs w:val="28"/>
          <w:rtl w:val="true"/>
          <w:lang w:bidi="ar-SA"/>
        </w:rPr>
        <w:t>، وعدمه كذلك</w:t>
      </w:r>
      <w:r>
        <w:rPr>
          <w:rStyle w:val="FootnoteAnchor"/>
          <w:rtl w:val="true"/>
        </w:rPr>
        <w:footnoteReference w:id="317"/>
      </w:r>
      <w:r>
        <w:rPr>
          <w:rFonts w:ascii="Amiri" w:hAnsi="Amiri" w:eastAsia="Amiri" w:cs="Amiri"/>
          <w:color w:val="111111"/>
          <w:sz w:val="28"/>
          <w:sz w:val="28"/>
          <w:szCs w:val="28"/>
          <w:rtl w:val="true"/>
          <w:lang w:bidi="ar-SA"/>
        </w:rPr>
        <w:t>، والتفصيل بين تعدّد الماهية نوعاً وتعدّد الفرد مع وحدتها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فيقع 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4629038_2142443653"/>
      <w:bookmarkStart w:id="396" w:name="_Toc140"/>
      <w:bookmarkEnd w:id="395"/>
      <w:r>
        <w:rPr>
          <w:rtl w:val="true"/>
        </w:rPr>
        <w:t>تداخل الأسباب والمسبّبات فيما إذا تعدّدت الأسباب نوعاً</w:t>
      </w:r>
      <w:bookmarkEnd w:id="396"/>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تعدّدت الأسباب نوعاً،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4629040_2142443653"/>
      <w:bookmarkStart w:id="398" w:name="_Toc141"/>
      <w:bookmarkEnd w:id="397"/>
      <w:r>
        <w:rPr>
          <w:rtl w:val="true"/>
        </w:rPr>
        <w:t>الاستدلال على عدم تداخل الأسباب</w:t>
      </w:r>
      <w:bookmarkEnd w:id="398"/>
    </w:p>
    <w:p>
      <w:pPr>
        <w:pStyle w:val="BookText"/>
        <w:rPr/>
      </w:pPr>
      <w:r>
        <w:rPr>
          <w:rFonts w:ascii="Amiri" w:hAnsi="Amiri" w:eastAsia="Amiri" w:cs="Amiri"/>
          <w:color w:val="111111"/>
          <w:sz w:val="28"/>
          <w:sz w:val="28"/>
          <w:szCs w:val="28"/>
          <w:rtl w:val="true"/>
          <w:lang w:bidi="ar-SA"/>
        </w:rPr>
        <w:t xml:space="preserve">فعن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لعدم التداخل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إذا تعاقب السببان</w:t>
      </w:r>
    </w:p>
    <w:p>
      <w:pPr>
        <w:pStyle w:val="BookText"/>
        <w:rPr/>
      </w:pPr>
      <w:r>
        <w:rPr>
          <w:rFonts w:ascii="Amiri" w:hAnsi="Amiri" w:eastAsia="Amiri" w:cs="Amiri"/>
          <w:color w:val="111111"/>
          <w:sz w:val="28"/>
          <w:sz w:val="28"/>
          <w:szCs w:val="28"/>
          <w:rtl w:val="true"/>
          <w:lang w:bidi="ar-SA"/>
        </w:rPr>
        <w:t>أو اقترنا، فإمّا أن يقتضيا مسبّبين مستقلّين، أو مسبّباً واحداً، أو لا يقتضيا شيئاً،</w:t>
      </w:r>
    </w:p>
    <w:p>
      <w:pPr>
        <w:pStyle w:val="BookText"/>
        <w:rPr/>
      </w:pPr>
      <w:r>
        <w:rPr>
          <w:rFonts w:ascii="Amiri" w:hAnsi="Amiri" w:eastAsia="Amiri" w:cs="Amiri"/>
          <w:color w:val="111111"/>
          <w:sz w:val="28"/>
          <w:sz w:val="28"/>
          <w:szCs w:val="28"/>
          <w:rtl w:val="true"/>
          <w:lang w:bidi="ar-SA"/>
        </w:rPr>
        <w:t>أو يقتضي أحدهما شيئاً دون الآخر، والثلاثة الأخيرة باطلة، فتعيّن الأوّل</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محصّل الوجه المذكور ينحلّ إلى مقدّمات ثلاث</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تأثير السبب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أثره غير أثر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الأثر يوجب تعدّد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النقض والإبرام بالنسبة إلى كلّ مقدّمة، ويظهر منه وجوه من البيان</w:t>
      </w:r>
    </w:p>
    <w:p>
      <w:pPr>
        <w:pStyle w:val="BookText"/>
        <w:rPr/>
      </w:pPr>
      <w:r>
        <w:rPr>
          <w:rFonts w:ascii="Amiri" w:hAnsi="Amiri" w:eastAsia="Amiri" w:cs="Amiri"/>
          <w:color w:val="111111"/>
          <w:sz w:val="28"/>
          <w:sz w:val="28"/>
          <w:szCs w:val="28"/>
          <w:rtl w:val="true"/>
          <w:lang w:bidi="ar-SA"/>
        </w:rPr>
        <w:t>لإثبات كون السبب الثاني مستقلاًّ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أخذ المتأخّرون كلٌّ طرفاً من كلامه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كالمحقّق الخراساني؛ حيث تشبّث بأنّ ظهور الجملة الشرطية في كون الشرط سبباً أو كاشفاً عنه، بيان لما هو المراد من الإطلاق، ولا دوران بين ظهور الجملة في حدوث الجزاء وظهور الإطلاق؛ ضرورة أنّ ظهور الإطلاق معلّق على عدم البيان، وظهور الشرطية في ذلك بيان، فلا ظهور له مع ظهورها، فلا يلزم على القول بعدم التداخل تصرّف أصلاً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أعرض عن هذا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وجعل الوجه تقديم العرف ظهور الشرطية على الإطلاق، وهو وجيه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وكالمحقّق النائيني؛ حيث تمسّك بأنّ ظهور الجملة الشرطية وارد على الجزاء؛ لأنّ صيغة الأمر وضعت لطلب إيجاد الطبيعة، وأمّا الوحدة والكثرة فلا تكونان بدلالة لفظية أو عقلية، وإنّما يحكم العقل بالاكتفاء بواحد من الطبيعة؛ لأ نّها تتحقّق بإتيانها، فلا موجب لإتيانها ثانياً، وهذا لا ينافي أن يكون المطلوب إيجادها مرّتين؛ أي لو دلّ دليل على أنّ المطلوب متعدّد </w:t>
      </w:r>
    </w:p>
    <w:p>
      <w:pPr>
        <w:pStyle w:val="BookText"/>
        <w:rPr/>
      </w:pPr>
      <w:r>
        <w:rPr>
          <w:rFonts w:ascii="Amiri" w:hAnsi="Amiri" w:eastAsia="Amiri" w:cs="Amiri"/>
          <w:color w:val="111111"/>
          <w:sz w:val="28"/>
          <w:sz w:val="28"/>
          <w:szCs w:val="28"/>
          <w:rtl w:val="true"/>
          <w:lang w:bidi="ar-SA"/>
        </w:rPr>
        <w:t>لم يعارضه حكم العقل بأنّ امتثال الطبيعة يحصل بإتيانها مرّة، فظهور القضيّة</w:t>
      </w:r>
    </w:p>
    <w:p>
      <w:pPr>
        <w:pStyle w:val="BookText"/>
        <w:rPr/>
      </w:pPr>
      <w:r>
        <w:rPr>
          <w:rFonts w:ascii="Amiri" w:hAnsi="Amiri" w:eastAsia="Amiri" w:cs="Amiri"/>
          <w:color w:val="111111"/>
          <w:sz w:val="28"/>
          <w:sz w:val="28"/>
          <w:szCs w:val="28"/>
          <w:rtl w:val="true"/>
          <w:lang w:bidi="ar-SA"/>
        </w:rPr>
        <w:t>الشرطية في تأثير الشرط مستقلاًّ رافع لموضوع حكم العقل حقيقةً، فيكون وارداً عليه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في تعليقات بعض المدقّقين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البعث المتعلّق بشيء يقتضي وجوداً واحداً منه، ولا يقتضي عدم البعث إلى وجود آخر، بل هو بالنسبة إلى وجود آخر بوجوب آخر لا اقتضاء، والبعث الآخر مقتضٍ لوجود آخر بنفسه، فلا تعارض بين المقتضي واللا مقتضي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وكالمحقّق الهمداني؛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القواعد اللفظية سببية كلّ شرط للجزاء مستقلاًّ، ومقتضاه تعدّد اشتغال الذمّة بفعل الجزاء، ولا يعقل تعدّد الاشتغال إلاّ مع تعدّد المشتغل به؛ فإنّ السبب الأوّل سبب تامّ في اشتغال ذمّة المكلّف بإيجاد الجزاء، والسبب الثاني إن أثّر ثانياً وجب أن يكون أثره اشتغالاً آخر؛ لأنّ تأثير المتأخّر في المتقدّم غير معقول، وتعدّد الاشتغال مع وحدة الفعل المشتغل به ذاتاً ووجوداً غير معقول، وإن لم يؤثّر يجب أن يستند إمّا إلى فقد المقتضي أو وجود المانع، والكلّ منتفٍ؛ لأنّ ظاهر القضيّة الشرطية سببية الشرط مطلقاً، والمحلّ قابل للتأثير، والمكلّف قادر على الامتثال، فأيّ مانع من التنجّز ؟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حال الأسباب الشرعية إلاّ كالأسباب العقلية، فكما أ نّه يمتنع عدم تحقّق الطبيعة في ضمن فردين على تقدير تكرّر علّة وجودها </w:t>
      </w:r>
    </w:p>
    <w:p>
      <w:pPr>
        <w:pStyle w:val="BookText"/>
        <w:rPr/>
      </w:pPr>
      <w:r>
        <w:rPr>
          <w:rFonts w:ascii="Amiri" w:hAnsi="Amiri" w:eastAsia="Amiri" w:cs="Amiri"/>
          <w:color w:val="111111"/>
          <w:sz w:val="28"/>
          <w:sz w:val="28"/>
          <w:szCs w:val="28"/>
          <w:rtl w:val="true"/>
          <w:lang w:bidi="ar-SA"/>
        </w:rPr>
        <w:t>بشرط قابليتها للتكرار، فكذا يتعدّد اشتغال الذمّة بتعدّد أسبابه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أفاده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عمره، بعد بنائه على التداخل سالفاً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مهمّات كلماتهم؛ ممّا هي مذكورة في خلال كلمات الشيخ الأعظم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أنّ ظهور القضيّة الشرطية في السببية المستقلّة أو الحدوث عند الحدوث، هل هو بالوضع أو بواسطة الإطلاق، وأنّ جعل ماهية تلو أداة الشرط بلا تقيّدها بقيد كما يكشف بالأصل العقلائي عن أ نّها تمام الموضوع لترتّب الجزاء عليه ولا يكون له شريك، كذلك يدلّ على أ نّها مستقلّة في السببية؛ أي كان قبلها أو مقارنها شيء أو لا، تكون تلك الماهية مؤثّرة ؟ وهذا هو المراد بالاستقلال والحدوث عند الحدوث هاهنا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بالأوّل فلما ذكروه وجه، خصوصاً على مذهب الشيخ من أنّ الإطلاق معلّق على عدم البيان مطلقاً</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أظنّ ارتضاءهم به، بل صريح بعضهم</w:t>
      </w:r>
      <w:r>
        <w:rPr>
          <w:rStyle w:val="FootnoteAnchor"/>
          <w:rtl w:val="true"/>
        </w:rPr>
        <w:footnoteReference w:id="329"/>
      </w:r>
      <w:r>
        <w:rPr>
          <w:rFonts w:ascii="Amiri" w:hAnsi="Amiri" w:eastAsia="Amiri" w:cs="Amiri"/>
          <w:color w:val="111111"/>
          <w:sz w:val="28"/>
          <w:sz w:val="28"/>
          <w:szCs w:val="28"/>
          <w:rtl w:val="true"/>
          <w:lang w:bidi="ar-SA"/>
        </w:rPr>
        <w:t>كون دلالة الشرطية على العلّية المستقلّة بالإطلاق، ولو ادّعى مدّعٍ كونها بالوضع فهو بلا 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إطلاق الشرطية في كلّ من القضيّتين هو كون الشرط مستقلاًّ علّةً للجزاء، كذلك إطلاق الجزاء يقتضي أن تكون الماهية المأخوذة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لتعلّق الإيجاب بها، فيكون الموضوع في القضيّتين نفس طبيعة الوضوء، فحينئذٍ يقع التعارض بين إطلاق الجزاء في القضيّتين مع إطلاق الشرط فيهما، وبتبعه يقع التعارض بين إطلاق الشرطيتين، فيدور الأمر بين رفع اليد عن إطلاق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شرط مع عدم تقدّم شرط آخر عليه أو تقارنه به، مستقلّ أو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إطلاق الجزاء، وبين رفع اليد عن إطلاق الجزاء بتقييد ماهية الوضوء وحفظ إطلاق الشرط، ولا ترجيح بينهما؛ لأنّ ظهور الإطلاقين على حدّ سواء، فلا يمكن أن يكون أحدهما بياناً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تقديم ظهور الصدر على الذيل فاسد؛ لأ نّه لو سلّم فإنّما هو بين صدر كلّ قضيّة وذيلها، لا ذيل قضيّة اُخرى، ونحن الآن في بيان تعارض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سببية أفراد ماهية واحدة ممّا يجيء فيها ذلك فسيأتي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النظر في جلّ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قضيّة تحكيم ظهور الشرط على إطلاق الجزاء فلما مرّ، سواء قلنا بأنّ الإطلاق معلّق على عدم البيان، أو لا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قضيّة ورود ظهور الشرطية على حكم العقل؛ فلأنّ المعارضة كما عرفت إنّما هي بين إطلاق الجزاء وإطلاق الشرط؛ فإنّ الشرط كما يقتضي بإطلاقه أن يكون مستقلاًّ، كذلك الجزاء يقتضي بإطلاقه أن يكون متعلّق الوجوب نفس الماهية بلا 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المقتضيين،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اللامقتضي لا يتعارض مع المقتضي،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القضيّة في اشتغال ذمّة جديدة ظهوراً إطلاقياً، فرع تحكيمه على إطلاق الجزاء،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جواب المحقّق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الاشتغال إمّا لعدم المقتضي، أو لوجود المانع، وكلٌّ منتفٍ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لوجود المانع، وهو إطلاق الجزاء المعارض مع إطلاق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منه حيث تنبّه لذلك، وأجاب بما هو غير مقنع،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تقييد الجزاء إنّما نشأ من حكم العقل بعد استفادة السببية من الدليل، فإطلاق السبب منضمّاً إلى حكم العقل بأنّ تعدّد المؤثّر يستلزم تعدّد الأثر بيان للجزاء، ومعه لا مجال للتمسّك بإطلاقه، وليس المقام من قبيل تحكيم أحد الظاهرين على الآخر؛ حتّى يطالب بالدليل، بل لأنّ وجوب الجزاء بالسبب الثاني يتوقّف على إطلاق سببيته، ومعه يمتنع إطلاق الجزاء بحكم العقل، فوجوبه ملزوم لعدم إطلاقه</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فإنّه مع اعترافه بأنّ وجوب الجزاء بالسبب الثاني إنّما هو بالإطلاق لا بالدلالة اللغوية، فأيّ معنىً لتحكيم أحد الإطلاقين على الآخر ؟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والتخلّص من امتناع تعدّد المؤثّر مع وحدة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عدم كون حكم العقل الدقيق مناطاً للجمع بين الأدلّة، وبعد الغضّ عن أنّ مثل ما نحن فيه ليس من قبيل التأثير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بما ذكره، يمكن برفع اليد عن إطلاق </w:t>
      </w:r>
    </w:p>
    <w:p>
      <w:pPr>
        <w:pStyle w:val="BookText"/>
        <w:rPr/>
      </w:pPr>
      <w:r>
        <w:rPr>
          <w:rFonts w:ascii="Amiri" w:hAnsi="Amiri" w:eastAsia="Amiri" w:cs="Amiri"/>
          <w:color w:val="111111"/>
          <w:sz w:val="28"/>
          <w:sz w:val="28"/>
          <w:szCs w:val="28"/>
          <w:rtl w:val="true"/>
          <w:lang w:bidi="ar-SA"/>
        </w:rPr>
        <w:t>الشرط عند اجتماعه مع شرط آخر، فالعقل إنّما يحكم باستحالة وحدة الأثر مع تعدّد المؤثّر، وحفظ إطلاق الشرطيتين وإطلاق الجزاء مستلزم للامتناع، فلا بدّ من التخلّص منه، وهو إمّا بتقييد الشرط، أو بتقييد الجزاء، ولا 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مقايسة العلل التشريعية بالتكوينية ففيها ما لا يخفى؛ لأنّ المعلول التكويني في تشخّصه ووجوده تابع لعلّته، فلا محالة يكون في وحدته وكثرته كذلك، وأمّا الأسباب الشرعية فلم تكن بهذه المثابة؛ ضرورة أنّ النوم والبول لم يكونا مؤثّرين في الإيجاب والوجوب، ولا في الوضوء، فالقياس مع الفارق، ولا بدّ من ملاحظة ظهور الأدلّة، ومجرّد هذه المقايسة لا يوجب تقديم أحدهما على الآخر، بعد إمكان كون الوضوء مثلاً بلا قيد مأخوذاً في الجزاء، أو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النظر فيما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المحرّك الواحد يقتضي التحريك الواحد، والمتعدّد المتعدّد، كالعلل التكوينية</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فإنّ ذلك بمكان من الضعف؛ فإنّ المحرّك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البعث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بماهية بلا قيد فمع تعدّده لا يعقل التكثّر، بل لا توجب المحرّكات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واحدة إلاّ التأكيد، فقياس التشريع بالتكوين موجب لكثير من الاشتباهات، فلا تغفل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بعد اللتيّا والتي لا شبهة في أنّ فهم العرف مساعد على عدم التداخل، وأنّ الشرطيات المتعدّدة مقتضية للجزاء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 جهة ارتكاز مقايسة التشريع بالتكوين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أبطلناها، لكن إذا كان هذا الارتكاز منشأً للظهور العرفي وتحكيم ظهور على آخر فلا بدّ من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ارتكاز تناسب الشرط مع متعلّق الأمر في الجزاء؛ لحكم العرف بأنّ لوقوع الفأرة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تناسباً مع نزح سبع دلاء، ولوقوع الوزغة تناسباً معه، وأنّ الأمر إنّما تعلّق به لأجل التناسب بينهما، وإلاّ كان جزافاً، فيرى بعد ذلك أنّ لوقوع كلّ منهما اقتضاءً خاصّاً بها، وارتباطاً مستقلاًّ لا يكون في الاُخرى، وهو يوجب تعدّد وجوب نزح المقدّر أو استحبابه، وهذا يوجب تحكيم ظهور الشرطية على إطلاق الجزاء ؟</w:t>
      </w:r>
    </w:p>
    <w:p>
      <w:pPr>
        <w:pStyle w:val="BookText"/>
        <w:rPr/>
      </w:pPr>
      <w:r>
        <w:rPr>
          <w:rFonts w:ascii="Amiri" w:hAnsi="Amiri" w:eastAsia="Amiri" w:cs="Amiri"/>
          <w:color w:val="111111"/>
          <w:sz w:val="28"/>
          <w:sz w:val="28"/>
          <w:szCs w:val="28"/>
          <w:rtl w:val="true"/>
          <w:lang w:bidi="ar-SA"/>
        </w:rPr>
        <w:t>ثمّ إنّه على فرض استقلال كلّ شرط في التأثير لا بدّ من إثبات المقدّمة الثانية؛ أي كون أثر الثاني غير أثر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منع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الشرعية علل للأحكام، لا لأفعال المكلّفين، فتعدّدها لا يوجب إلاّ تعدّد المعلول؛ أي الوجوب مثلاً، فينتج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حمل الأمر على التأكيد يحفظ إطلاق الشرطيتين والجزاء فيهما، ولا يوجب تجوّزاً في صيغة الأمر على فرض وضعها للوجوب؛ فإنّ معنى وضعها له ليس وضعها لهذا المفهوم الاسمي، بل معناه أ نّها وضعت لإيجاد بعث ناشٍ من الإرادة الحتمية، والأوامر التأكيدية كلّها مستعملة كذلك؛ ضرورة أنّ المطلوب إذا كان مهمّاً في نظر الآمر ربّما لا يكتفي بأمر واحد، ويأتي به متعدّداً، وكلّ منها بعث ناشٍ من الإرادة الأكيدة، ولا معنى للتأكيد إلاّ ذلك، لا أنّ</w:t>
      </w:r>
    </w:p>
    <w:p>
      <w:pPr>
        <w:pStyle w:val="BookText"/>
        <w:rPr/>
      </w:pPr>
      <w:r>
        <w:rPr>
          <w:rFonts w:ascii="Amiri" w:hAnsi="Amiri" w:eastAsia="Amiri" w:cs="Amiri"/>
          <w:color w:val="111111"/>
          <w:sz w:val="28"/>
          <w:sz w:val="28"/>
          <w:szCs w:val="28"/>
          <w:rtl w:val="true"/>
          <w:lang w:bidi="ar-SA"/>
        </w:rPr>
        <w:t>الثاني مستعمل في عنوان التأكيد، أو في الاستحباب، أو الإرشاد، أو غير ذلك؛ فإنّها لا ترجع إلى محصّل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راجعت وجدانك في أوامرك التأكيدية ترى أنّ كلّها مستعملة في البعث استعمالاً إيجادياً، وكلّها صادرة عن إرادة إلزامية، وغاية كلّ منها انبعاث المأمور، وإنّما تأتي بها مكرّراً إذا كان المطلوب 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دار الأمر بين التأكيد والتأسيس لا يبعد الحمل على التأسيس، لكنّه لا يعارض إطلاق المادّة والشرطية، فإذا دار الأمر بين رفع اليد عن أحد الإطلاقين ورفع اليد عن التأسيس، فلا ريب في أولوية الثاني، وفيما نحن فيه إذا حمل الأمر على التأكيد يرفع التعارض بين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 يدفع ما في مقالات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تأكّد الوجوب في ظرف تكرّر الشرط يوجب عدم استقلال الشرط في التأثير؛ لبداهة استناد الوجوب الواحد المتأكّد إليهما، لا إلى كلّ منهما</w:t>
      </w:r>
      <w:r>
        <w:rPr>
          <w:rStyle w:val="FootnoteAnchor"/>
          <w:rtl w:val="true"/>
        </w:rPr>
        <w:footnoteReference w:id="332"/>
      </w:r>
      <w:r>
        <w:rPr>
          <w:rFonts w:ascii="Amiri" w:hAnsi="Amiri" w:eastAsia="Amiri" w:cs="Amiri"/>
          <w:color w:val="111111"/>
          <w:sz w:val="28"/>
          <w:sz w:val="28"/>
          <w:szCs w:val="28"/>
          <w:rtl w:val="true"/>
          <w:lang w:bidi="ar-SA"/>
        </w:rPr>
        <w:t>وذلك لأنّ البعث الإلزامي الناشئ من الإرادة الإلزامية متعدّد، وكلّ منهما معلول لواحد من الشرطيتين، لا أ نّهما يؤثّران في وجوب واحد متأكّد؛ لأنّ التأكيد منتزع من تكرار البعثين، وكذا الوجوب المتأكّد أمر انتزاعي منه، لا أ نّه معلول للشرطيتين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يدفع به ما في تقريرات الشيخ الأعظم؛ من أنّ الأسباب الشرعية كالأسباب العقلية، فحينئذٍ لو كانت الأسباب الشرعية سبباً لنفس الأحكام وجب تعدّد إيجاد الفعل؛ فإنّ المسبّب يكون هو اشتغال الذمّة بإيجاده، والسبب الثاني لو لم يقتض اشتغالاً آخر، فإمّا أن يكون لنقص في السبب، أو المسبّب، وليس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فمفروض، وأمّا الثاني فلأنّ قبول الاشتغال للتعدّد تابع لقبول الفعل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المتعلّق له، والمفروض قبوله للتعدّد، واحتمال التأكيد مدفوع بعد ملاحظة الأسباب العقلية</w:t>
      </w:r>
      <w:r>
        <w:rPr>
          <w:rStyle w:val="FootnoteAnchor"/>
          <w:rtl w:val="true"/>
        </w:rPr>
        <w:footnoteReference w:id="3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الأسباب الشرعية بالعقلية مع الفارق كما مرّ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اشتغال الذمّة بإيجاد الفعل ليس إلاّ الوجوب على المكلّف، وليس هاهنا شيء غير البعث المتعلّق بالطبيعة المتوجّه إلى المكلّف المنتزع منه الوجوب، فحينئذٍ تحقّق اشتغال آخر من السبب الثاني فرع تقديم الظهور التأسيسي على إطلاق الجزاء، وهو ممنوع، بل لو فرض معنىً آخر لاشتغال الذمّة فتعدّده فرع هذا التقديم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الأعظم تشبّث بوجه آخر ولم يعتمد عليه</w:t>
      </w:r>
      <w:r>
        <w:rPr>
          <w:rStyle w:val="FootnoteAnchor"/>
          <w:rtl w:val="true"/>
        </w:rPr>
        <w:footnoteReference w:id="335"/>
      </w:r>
      <w:r>
        <w:rPr>
          <w:rFonts w:ascii="Amiri" w:hAnsi="Amiri" w:eastAsia="Amiri" w:cs="Amiri"/>
          <w:color w:val="111111"/>
          <w:sz w:val="28"/>
          <w:sz w:val="28"/>
          <w:szCs w:val="28"/>
          <w:rtl w:val="true"/>
          <w:lang w:bidi="ar-SA"/>
        </w:rPr>
        <w:t xml:space="preserve">، وإنّما اعتمد عليه بعض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الأسباب أسباب لنفس الأفعال لا للأحكام، ولا يلزم منه الانفكاك بين العلّة والمعلول؛ لأ نّها أسباب جعلية، لا عقلية وعادية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السبب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نحو اقتضاء في نظر الجاعل بالنسبة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الشرطية كونه مقتضياً لوجود المسبّب، وإنّ اقتضاءه</w:t>
      </w:r>
    </w:p>
    <w:p>
      <w:pPr>
        <w:pStyle w:val="BookText"/>
        <w:rPr/>
      </w:pPr>
      <w:r>
        <w:rPr>
          <w:rFonts w:ascii="Amiri" w:hAnsi="Amiri" w:eastAsia="Amiri" w:cs="Amiri"/>
          <w:color w:val="111111"/>
          <w:sz w:val="28"/>
          <w:sz w:val="28"/>
          <w:szCs w:val="28"/>
          <w:rtl w:val="true"/>
          <w:lang w:bidi="ar-SA"/>
        </w:rPr>
        <w:t>لوجوبه من تبعات اقتضائه لوجوده، وحيث إنّ اقتضاءه التشريعي لوجود شيء كونه موجباً لوجوبه، وحينئذٍ لازم إبقاء ظهور الشرط في المؤثّرية المستقلّة اقتضاؤه وجوداً مستقلاًّ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الاعتراف بأنّ معنى السببية الجعلية هو الاقتضاء، لا المؤثّرية الفعلية؛ فراراً عن انفكاك العلّة عن معلولها، لا منافاة بين استقلال الاقتضاء </w:t>
      </w:r>
      <w:bookmarkStart w:id="399" w:name="pg15293_220244"/>
    </w:p>
    <w:p>
      <w:pPr>
        <w:pStyle w:val="BookText"/>
        <w:rPr/>
      </w:pPr>
      <w:bookmarkEnd w:id="399"/>
      <w:r>
        <w:rPr>
          <w:rFonts w:ascii="Amiri" w:hAnsi="Amiri" w:eastAsia="Amiri" w:cs="Amiri"/>
          <w:color w:val="111111"/>
          <w:sz w:val="28"/>
          <w:sz w:val="28"/>
          <w:szCs w:val="28"/>
          <w:rtl w:val="true"/>
          <w:lang w:bidi="ar-SA"/>
        </w:rPr>
        <w:t>وعدم تعدّد الوجود؛ لأنّ معنى استقلاله أنّ كلّ سبب بنفسه تمام المقتضي لا</w:t>
      </w:r>
    </w:p>
    <w:p>
      <w:pPr>
        <w:pStyle w:val="BookText"/>
        <w:rPr/>
      </w:pPr>
      <w:r>
        <w:rPr>
          <w:rFonts w:ascii="Amiri" w:hAnsi="Amiri" w:eastAsia="Amiri" w:cs="Amiri"/>
          <w:color w:val="111111"/>
          <w:sz w:val="28"/>
          <w:sz w:val="28"/>
          <w:szCs w:val="28"/>
          <w:rtl w:val="true"/>
          <w:lang w:bidi="ar-SA"/>
        </w:rPr>
        <w:t>جزؤه، ولا يتنافى الاستقلال في الاقتضاء والاشتراك في التأثير الفعلي، كالعلل العقلية إذا فرض اجتماعها على معلول واحد، فحينئذٍ مع حفظ إطلاق الجزاء واستقلال الشرطيتين في الاقتضاء صارت النتيجة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إبقاء ظهور الشرط في المؤثّرية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 عن أنّ السببية الجعلية عبارة عن نحو اقتضاء بالنسبة إلى المعلول، لا المؤثّرية الفعلية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هذا المقام أيضاً التشبّث بذيل فهم العرف تعدّد الجزاء لأجل مناسبات مغروسة في ذهنه كما تقدّم</w:t>
      </w:r>
      <w:r>
        <w:rPr>
          <w:rStyle w:val="FootnoteAnchor"/>
          <w:rtl w:val="true"/>
        </w:rPr>
        <w:footnoteReference w:id="337"/>
      </w:r>
      <w:r>
        <w:rPr>
          <w:rFonts w:ascii="Amiri" w:hAnsi="Amiri" w:eastAsia="Amiri" w:cs="Amiri"/>
          <w:color w:val="111111"/>
          <w:sz w:val="28"/>
          <w:sz w:val="28"/>
          <w:szCs w:val="28"/>
          <w:rtl w:val="true"/>
          <w:lang w:bidi="ar-SA"/>
        </w:rPr>
        <w:t>، ولهذا لا ينقدح في ذهنه التعارض بين إطلاق الجزاء وظهور الشرطية في التعدّد، فتدبّر جيّداً</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4629042_2142443653"/>
      <w:bookmarkStart w:id="401" w:name="_Toc142"/>
      <w:bookmarkEnd w:id="400"/>
      <w:r>
        <w:rPr>
          <w:rtl w:val="true"/>
        </w:rPr>
        <w:t>الاستدلال على تداخل المسبّبات ثبوتاً وإثباتاً</w:t>
      </w:r>
      <w:bookmarkEnd w:id="401"/>
    </w:p>
    <w:p>
      <w:pPr>
        <w:pStyle w:val="BookText"/>
        <w:rPr/>
      </w:pPr>
      <w:r>
        <w:rPr>
          <w:rFonts w:ascii="Amiri" w:hAnsi="Amiri" w:eastAsia="Amiri" w:cs="Amiri"/>
          <w:color w:val="111111"/>
          <w:sz w:val="28"/>
          <w:sz w:val="28"/>
          <w:szCs w:val="28"/>
          <w:rtl w:val="true"/>
          <w:lang w:bidi="ar-SA"/>
        </w:rPr>
        <w:t xml:space="preserve">ثمّ إنّه بعد تسليم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الشرطية في استقلال التأثير وكون أثر الثاني غير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تداخل المسبّبين ثبوتاً أو لا ؟ وعلى الأوّل فما حال مقام الإثبات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منع الشيخ الأعظم إمكان التداخل،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قرّرنا في المقدّمة السابقة أنّ متعلّق التكاليف حينئذٍ هو الفرد المغاير للفرد الواجب بالسبب الأوّل، ولا يعقل تداخل فردين من ماهية واحدة، بل ولا يعقل ورود دليل على التداخل أيضاً على ذلك التقدير، إلاّ أن يكون ناسخاً لحكم السببية</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كان مراده من الفرد المغاير للفرد الواجب بالسبب الأوّل هو الفرد الخارجي كما هو الظاهر، فتداخل الفردين غير معقول بلا إشكال، لكن تعلّق الحكم بالفرد الخارجي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العنوان القابل للانطباق على الخارج وإنّما سمّاه فرداً لكونه تحت العنوان العامّ، فعدم إمكان تداخل العنوانين من ماهية واحدة غير مسلّم، بل القيود الواردة على ماهية مختلفة، فقد تكون موجبة لصيرورة المقيّدين متباينين، كالإنسان الأبيض والأسود، وقد لا تكون كذلك، كالإنسان الأبيض والعالم؛ ممّا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فالوضوء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ماهية واحدة، ولأجل تسليم المقدّمتين لا بدّ من كونها مقيّدة بقيدين؛ حتّى يكون كلّ سبب علّة مستقلّة للإيجاب على أحد العنوانين، لكن لا يجب أن يكون بين العنوانين التباين؛ حتّى يمتنع تصادقهما على الفرد الخارجي، فمع عدم قيام دليل على امتناعه لا يجوز رفع اليد عن الدليل الدالّ على التداخل فرضاً،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ورود دليل على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إثبات الامتناع،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ظهور الشرطيتين فيما ذكر، وورود الدليل على التداخل، كون المقيّدين قابلين للتصادق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مقام الثبوت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يدلّ دليل على التداخل لا مجال للقول به، فلا بدّ في مقام العمل من الإتيان بفردين حتّى يتيقّن بالبراءة؛ للعلم بالاشتغال بعد استقلال الشرطيتين في التأثير، وكون أثر كلّ غير الآخر، كما هو المفروض</w:t>
      </w:r>
      <w:r>
        <w:rPr>
          <w:rFonts w:eastAsia="Amiri" w:cs="Amiri" w:ascii="Amiri" w:hAnsi="Amiri"/>
          <w:color w:val="111111"/>
          <w:sz w:val="28"/>
          <w:szCs w:val="28"/>
          <w:rtl w:val="true"/>
          <w:lang w:bidi="ar-SA"/>
        </w:rPr>
        <w:t xml:space="preserve">. </w:t>
      </w:r>
      <w:bookmarkStart w:id="402" w:name="pg15293_220246"/>
    </w:p>
    <w:p>
      <w:pPr>
        <w:pStyle w:val="BookText"/>
        <w:rPr/>
      </w:pPr>
      <w:bookmarkEnd w:id="402"/>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تكرار الوضوء من الشرطيتين فعهدتها على مدّعيها؛ لأ نّها ترجع إلى دعوى استظهار كون كلّ عنوان مبايناً للآخر، وهي بمكان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حال المقام الأوّل</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4629044_2142443653"/>
      <w:bookmarkStart w:id="404" w:name="_Toc143"/>
      <w:bookmarkEnd w:id="403"/>
      <w:r>
        <w:rPr>
          <w:rtl w:val="true"/>
        </w:rPr>
        <w:t>تداخل الأسباب والمسبّبات فيما إذا تعدّدت الأسباب شخصاً</w:t>
      </w:r>
      <w:bookmarkEnd w:id="404"/>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تعدّدت الأسباب شخصاً لا نوعاً،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 المصداقين منه يتداخلان في إيجاب الوضوء أم لا ؟ فلا بدّ أوّلاً من فرض الكلام بعد الفراغ عن سببية كلّ مصداق مستقلاًّ لو وجد منفرداً، وإلاّ فمع احتمال كون الطبيعة سبباً لا مصاديقها، يخرج النزاع عن باب تداخل الأسباب؛ لأ نّه نزاع في تعدّد الأسباب وعدمه، لا في تداخلها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بعض الأعاظم، وإتعاب نفسه لاستظهار انحلالية القضيّة الشرطية، وتقديم ظهورها في الانحلال على ظهور الجزاء في الاتّحاد</w:t>
      </w:r>
      <w:r>
        <w:rPr>
          <w:rStyle w:val="FootnoteAnchor"/>
          <w:rtl w:val="true"/>
        </w:rPr>
        <w:footnoteReference w:id="339"/>
      </w:r>
      <w:r>
        <w:rPr>
          <w:rFonts w:ascii="Amiri" w:hAnsi="Amiri" w:eastAsia="Amiri" w:cs="Amiri"/>
          <w:color w:val="111111"/>
          <w:sz w:val="28"/>
          <w:sz w:val="28"/>
          <w:szCs w:val="28"/>
          <w:rtl w:val="true"/>
          <w:lang w:bidi="ar-SA"/>
        </w:rPr>
        <w:t>مع عدم خلوّه عن الإشكال، أجنبيّ عن محطّ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بحث برأسه ومن مبادئ هذه المسألة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لو فرض ظهور الشرطية في الانحلال،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دلالته على كون كلّ بول علّة للوضوء، يقع التعارض بين صدر القضيّة الدالّة على علّية مستقلّة لكلّ فرد للوجوب وبين إطلاق ذيلها، ولا ريب في تحكيم ظهور الصدر على إطلاق الذيل عرفاً؛ بمعنى أ نّه إذا سمع المخاطب </w:t>
      </w:r>
      <w:bookmarkStart w:id="405" w:name="pg15293_220247"/>
    </w:p>
    <w:p>
      <w:pPr>
        <w:pStyle w:val="BookText"/>
        <w:rPr/>
      </w:pPr>
      <w:bookmarkEnd w:id="405"/>
      <w:r>
        <w:rPr>
          <w:rFonts w:ascii="Amiri" w:hAnsi="Amiri" w:eastAsia="Amiri" w:cs="Amiri"/>
          <w:color w:val="111111"/>
          <w:sz w:val="28"/>
          <w:sz w:val="28"/>
          <w:szCs w:val="28"/>
          <w:rtl w:val="true"/>
          <w:lang w:bidi="ar-SA"/>
        </w:rPr>
        <w:t>أنّ كلّ فرد من البول علّة مستقلّة لوجوب الوضوء، لا ينظر إلى إطلاق الذيل، بل يحكم بأنّ كلّ مصداق منه علّة لوجوب خاصّ به بلا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تداخل المسبّبات هو ما تقدّم</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4629046_2142443653"/>
      <w:bookmarkStart w:id="407" w:name="_Toc144"/>
      <w:bookmarkEnd w:id="406"/>
      <w:r>
        <w:rPr>
          <w:rtl w:val="true"/>
        </w:rPr>
        <w:t>تتمّة الإشكال في العامّ الاستغراقي في المقام</w:t>
      </w:r>
      <w:bookmarkEnd w:id="407"/>
    </w:p>
    <w:p>
      <w:pPr>
        <w:pStyle w:val="BookText"/>
        <w:rPr/>
      </w:pPr>
      <w:r>
        <w:rPr>
          <w:rFonts w:ascii="Amiri" w:hAnsi="Amiri" w:eastAsia="Amiri" w:cs="Amiri"/>
          <w:color w:val="111111"/>
          <w:sz w:val="28"/>
          <w:sz w:val="28"/>
          <w:szCs w:val="28"/>
          <w:rtl w:val="true"/>
          <w:lang w:bidi="ar-SA"/>
        </w:rPr>
        <w:t>لا إشكال في لزوم تطابق المنطوق والمفهوم في جميع القيود المعتبرة في الكلام، فمفهوم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يوم الجمعة عند الزوال اضربه ضرباً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يوم الجمعة عند الزوال لا يجب أن تضربه ضرباً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مقتضى تبعية المفهوم للمنطوق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العامّ المجموعي أيضاً، فمفهوم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أكرم مجموع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لا يجب إكرام مجموعهم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ينافي وجوب إكرام بعضهم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في العامّ الاستغراقي، سواء استفيد العموم بالوضع اللغوي،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والجمع المحلّى، أو مثل النكرة في سياق النفي،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بناءً على استفادة العموم منها، فهل المفهوم فيه العموم أو لا ؟ </w:t>
      </w:r>
    </w:p>
    <w:p>
      <w:pPr>
        <w:pStyle w:val="BookText"/>
        <w:rPr/>
      </w:pPr>
      <w:r>
        <w:rPr>
          <w:rFonts w:ascii="Amiri" w:hAnsi="Amiri" w:eastAsia="Amiri" w:cs="Amiri"/>
          <w:color w:val="111111"/>
          <w:sz w:val="28"/>
          <w:sz w:val="28"/>
          <w:szCs w:val="28"/>
          <w:rtl w:val="true"/>
          <w:lang w:bidi="ar-SA"/>
        </w:rPr>
        <w:t>جعل الشيخ الأعظم مبنى الخلاف على أنّ العموم الملحوظ في المنطوق هل يعتبر آلة لملاحظة حال الأفراد على وجه الشمول والاستغراق، فلا يتوجّه النفي إليه في المفهوم، فيكون الاختلاف بين المنطوق والمفهوم في الكيف فقط دون الكمّ، أو يعتبر على وجه الموضوعية، فيتوجّه إليه النفي، فالاختلاف بينهما ثابت كمّاً وكيفاً على قياس النقيض المأخوذ عند أهل الميزان ؟ ثمّ رجّح الأوّل بدعوى أنّ العرف قاضٍ بذلك</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من كون المذكور في القضيّة آلة ومرآة للأفراد أنّ عنوان الكلّ والشيء غير منظورين، ويكون المجعول أوّلاً وبلا واسطة الحكم على الكثرة التفصيلية، فهو واضح المنع؛ ضرورة ملحوظية عنوان الكلّ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وعنوان الشيء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إثبات الحكم لعنوانهما ليس بما هما كذلك، بل هما وسيلتان إلى إسراء الحكم إلى الأفراد أو العناوين الواقعية، فهو حقّ، لكن في طرف المفهوم لا بدّ وأن ينفى الحكم عنهما كذلك، فمفهوم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فأكرم كلّ 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يجئك لا يجب إكرام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إشكال في إفادته قضيّة جزئية، مع أنّ فهم العرف أقوى شاهد 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المرآتية هو المعنى الأوّل بل لو ذكر الأفراد تفصيلاً في القضيّة، لا يستفاد منه إلاّ الجزئية؛ لأنّ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إذا لم يبلغ قدر كُرّ ليس لا ينجّسه شيء؛ لأنّ </w:t>
      </w:r>
    </w:p>
    <w:p>
      <w:pPr>
        <w:pStyle w:val="BookText"/>
        <w:rPr/>
      </w:pPr>
      <w:r>
        <w:rPr>
          <w:rFonts w:ascii="Amiri" w:hAnsi="Amiri" w:eastAsia="Amiri" w:cs="Amiri"/>
          <w:color w:val="111111"/>
          <w:sz w:val="28"/>
          <w:sz w:val="28"/>
          <w:szCs w:val="28"/>
          <w:rtl w:val="true"/>
          <w:lang w:bidi="ar-SA"/>
        </w:rPr>
        <w:t>المفهوم نفي الحكم الثابت للمنطوق، لا إثبات حكم مخالف له، فليس مفهوم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يبلغ قدر كرّ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البول والدم والكلب والخنزير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يبلغ قدر كرّ ليس لا ينجّسه البول والدم والكلب والخنزير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ينافي تنجيس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انحلّت القضيّة إلى تعليقات عديدة، أو الجزاء إلى كثرة تفصيلية حكماً وموضوعاً، كان لما ذكره وجه، لكنّ الانحلالين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المفهوم على استفادة العلّية المنحصرة من الشرطية، فحينئذٍ لو كان لبعض الأفراد علّة اُخرى غير ما ذكر في الشرطية، كان مخالفاً لظهورها، ومع انحصار العلّة في جميع الأفراد أو العناوين يستفاد العموم من المفهوم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الشرطية في مثل تلك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الشرط علّة منحصرة للعموم، فلا ينافي عدم الانحصار بالنسبة إلى البعض، فبلوغ الكرّ علّة منحصرة لعدم تنجّسه بكلّ نجاسة، لا أ نّه علّة منحصرة لعدم تنجّسه بالبول، وعلّة منحصرة لعدم تنجّسه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هو فهم العرف وهو مساعد على ما ذكرنا</w:t>
      </w:r>
      <w:r>
        <w:rPr>
          <w:rFonts w:eastAsia="Amiri" w:cs="Amiri" w:ascii="Amiri" w:hAnsi="Amiri"/>
          <w:color w:val="111111"/>
          <w:sz w:val="28"/>
          <w:szCs w:val="28"/>
          <w:rtl w:val="true"/>
          <w:lang w:bidi="ar-SA"/>
        </w:rPr>
        <w:t xml:space="preserve">. </w:t>
      </w:r>
      <w:bookmarkStart w:id="408" w:name="pg15293_220250"/>
    </w:p>
    <w:p>
      <w:pPr>
        <w:pStyle w:val="Heading3"/>
        <w:numPr>
          <w:ilvl w:val="2"/>
          <w:numId w:val="1"/>
        </w:numPr>
        <w:rPr/>
      </w:pPr>
      <w:bookmarkStart w:id="409" w:name="__RefHeading___Toc4629048_2142443653"/>
      <w:bookmarkStart w:id="410" w:name="_Toc145"/>
      <w:bookmarkEnd w:id="408"/>
      <w:bookmarkEnd w:id="409"/>
      <w:r>
        <w:rPr>
          <w:rtl w:val="true"/>
        </w:rPr>
        <w:t>الفصل الثاني في مفهوم الوصف</w:t>
      </w:r>
      <w:bookmarkEnd w:id="410"/>
    </w:p>
    <w:p>
      <w:pPr>
        <w:pStyle w:val="BookText"/>
        <w:rPr/>
      </w:pPr>
      <w:r>
        <w:rPr>
          <w:rFonts w:ascii="Amiri" w:hAnsi="Amiri" w:eastAsia="Amiri" w:cs="Amiri"/>
          <w:color w:val="111111"/>
          <w:sz w:val="28"/>
          <w:sz w:val="28"/>
          <w:szCs w:val="28"/>
          <w:rtl w:val="true"/>
          <w:lang w:bidi="ar-SA"/>
        </w:rPr>
        <w:t>ولا بدّ فيه من ذكر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محطّ الكلام أعمّ ممّا اعتمد الوصف على موصوفه أو لا، كما صرّح به بعض أئمّة الفنّ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المثبِت تمسّك بفهم أبي عبيدة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ولم يردّه النافي بأنّ هذا من قبيل مفهوم اللقب، لا الوصف، بل ردّه بغيره</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لا وجه لإخراجه؛ لجريان جميع الأدلّة فيه، حتّى لغوية القيد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في تقريرات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الالتزام بالمفهوم فيما إذا ذكر الموصوف صريحاً، إنّما هو لخروج الكلام عن اللغوية، وهذا لا يجري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ذكر الموضوع لا يحتاج إلى نكتة غير إثبات الحكم له، لا إثباته له ونفيه عن غيره</w:t>
      </w:r>
      <w:r>
        <w:rPr>
          <w:rStyle w:val="FootnoteAnchor"/>
          <w:rtl w:val="true"/>
        </w:rPr>
        <w:footnoteReference w:id="346"/>
      </w:r>
      <w:r>
        <w:rPr>
          <w:rFonts w:ascii="Amiri" w:hAnsi="Amiri" w:eastAsia="Amiri" w:cs="Amiri"/>
          <w:color w:val="111111"/>
          <w:sz w:val="28"/>
          <w:sz w:val="28"/>
          <w:szCs w:val="28"/>
          <w:rtl w:val="true"/>
          <w:lang w:bidi="ar-SA"/>
        </w:rPr>
        <w:t>، منظور فيه؛ لأنّ تقريب اللغوية يأتي في الثاني أيضاً؛ فإنّ الموضوع لو كان فاقد الوصف، وكان الحكم ثابتاً للموصوف وغيره، لما كان لذكر الموصوف بما هو موصوف وجه، والصون عن اللغوية لو تمّ في الأوّل لتمّ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أنّ محطّ البحث فيما إذا كان الوصف أخصّ مطلقاً من الموصوف، أو أعمّ من وجه في مورد الافتراق من جانب الموصوف،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السائمة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حفظ الموضوع في المنطوق والمفهوم ممّا لا بدّ منه، وإنّما الاختلاف بينهما في تحقّق الوصف في أحدهما دون الآخر بعد حفظه، فلا معنى لنفي الحكم عن موضوع أجنبيّ وعدّه مفهوماً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بعض الشافعية</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يدلّ على عدم الزكاة في الإبل المعلوفة، فاسد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المفهوم للوصف لا وضعاً،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والتشبّث بقول أبي عبيدة لا يسمن؛ ضرورة عدم حجّية فهمه، وعدم معلومية دعواه الوضع، بل لعلّ فهمه لأجل القرينة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إطلاقاً،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توصيفها بوصف آخر، كما يدلّ على كونها تمام الموضوع بلا شريك، يدلّ على عدم العديل للوصف، وإلاّ لم يكن هو في جميع الحالات موضوعاً، كما مرّ نظيره في الشرط، فإنّه قد مرّ جوابه فيه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مرّ الجواب عن نظير ما قيل في المقام هناك أيضاً،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بعد إحراز أنّ الأصل في القيد أن يكون احترازياً، أنّ معنى قيدية شيء لموضوع حكم حقيقةً، أنّ ذات الموضوع غير قابلة لتعلّقه بها إلاّ بعد اتّصافها بهذا الوصف، فالوصف متمّم قابلية القابل، وهو معنى الشرط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الظاهر دخله بعنوانه الخاصّ، إذ مع تعدّد العلّة يكون بعنوان جامع علّةً، وهو خلاف الظاهر، فلا محالة ينتفي سنخ الوجوب بانتفاء قيد الموضوع</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Style w:val="FootnoteAnchor"/>
          <w:rtl w:val="true"/>
        </w:rPr>
        <w:footnoteReference w:id="351"/>
      </w:r>
      <w:r>
        <w:rPr>
          <w:rFonts w:ascii="Amiri" w:hAnsi="Amiri" w:eastAsia="Amiri" w:cs="Amiri"/>
          <w:color w:val="111111"/>
          <w:sz w:val="28"/>
          <w:sz w:val="28"/>
          <w:szCs w:val="28"/>
          <w:rtl w:val="true"/>
          <w:lang w:bidi="ar-SA"/>
        </w:rPr>
        <w:t>من أنّ قياس التشريع بالتكوين باطل، وأ نّه يمكن جعل أشياء بعناوينها موضوعاً لحكم، وأنّ مناط القاعدة المعروفة في الفلسفة ليس في مثل ما نحن فيه، وأنّ تأثير الجامع ليس له أصل مطلقاً، وأ نّه بعد تسليم ما ذكر أنّ الميزان في مثل المقام فهم العرف، لا دقائق الفلسفة، فتذكّر</w:t>
      </w:r>
      <w:r>
        <w:rPr>
          <w:rFonts w:eastAsia="Amiri" w:cs="Amiri" w:ascii="Amiri" w:hAnsi="Amiri"/>
          <w:color w:val="111111"/>
          <w:sz w:val="28"/>
          <w:szCs w:val="28"/>
          <w:rtl w:val="true"/>
          <w:lang w:bidi="ar-SA"/>
        </w:rPr>
        <w:t xml:space="preserve">. </w:t>
      </w:r>
      <w:bookmarkStart w:id="411" w:name="pg15293_220253"/>
    </w:p>
    <w:p>
      <w:pPr>
        <w:pStyle w:val="Heading3"/>
        <w:numPr>
          <w:ilvl w:val="2"/>
          <w:numId w:val="1"/>
        </w:numPr>
        <w:rPr/>
      </w:pPr>
      <w:bookmarkStart w:id="412" w:name="__RefHeading___Toc4629050_2142443653"/>
      <w:bookmarkStart w:id="413" w:name="_Toc146"/>
      <w:bookmarkEnd w:id="411"/>
      <w:bookmarkEnd w:id="412"/>
      <w:r>
        <w:rPr>
          <w:rtl w:val="true"/>
        </w:rPr>
        <w:t>الفصل الثالث في مفهوم الغاية</w:t>
      </w:r>
      <w:bookmarkEnd w:id="413"/>
    </w:p>
    <w:p>
      <w:pPr>
        <w:pStyle w:val="Heading4"/>
        <w:numPr>
          <w:ilvl w:val="3"/>
          <w:numId w:val="1"/>
        </w:numPr>
        <w:rPr/>
      </w:pPr>
      <w:bookmarkStart w:id="414" w:name="__RefHeading___Toc4629052_2142443653"/>
      <w:bookmarkStart w:id="415" w:name="_Toc147"/>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والبحث فيه يقع في مقامين</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4629054_2142443653"/>
      <w:bookmarkStart w:id="417" w:name="_Toc148"/>
      <w:bookmarkEnd w:id="416"/>
      <w:r>
        <w:rPr>
          <w:rtl w:val="true"/>
        </w:rPr>
        <w:t>المقام الأوّل</w:t>
      </w:r>
      <w:r>
        <w:rPr>
          <w:rtl w:val="true"/>
        </w:rPr>
        <w:t xml:space="preserve">: </w:t>
      </w:r>
      <w:r>
        <w:rPr>
          <w:rtl w:val="true"/>
        </w:rPr>
        <w:t>في دلالة الغاية على ارتفاع الحكم بعدها</w:t>
      </w:r>
      <w:bookmarkEnd w:id="417"/>
    </w:p>
    <w:p>
      <w:pPr>
        <w:pStyle w:val="BookText"/>
        <w:rPr/>
      </w:pPr>
      <w:r>
        <w:rPr>
          <w:rFonts w:ascii="Amiri" w:hAnsi="Amiri" w:eastAsia="Amiri" w:cs="Amiri"/>
          <w:color w:val="111111"/>
          <w:sz w:val="28"/>
          <w:sz w:val="28"/>
          <w:szCs w:val="28"/>
          <w:rtl w:val="true"/>
          <w:lang w:bidi="ar-SA"/>
        </w:rPr>
        <w:t xml:space="preserve">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w:t>
      </w:r>
      <w:r>
        <w:rPr>
          <w:rStyle w:val="FootnoteAnchor"/>
          <w:rtl w:val="true"/>
        </w:rPr>
        <w:footnoteReference w:id="352"/>
      </w:r>
      <w:r>
        <w:rPr>
          <w:rFonts w:ascii="Amiri" w:hAnsi="Amiri" w:eastAsia="Amiri" w:cs="Amiri"/>
          <w:color w:val="111111"/>
          <w:sz w:val="28"/>
          <w:sz w:val="28"/>
          <w:szCs w:val="28"/>
          <w:rtl w:val="true"/>
          <w:lang w:bidi="ar-SA"/>
        </w:rPr>
        <w:t>والشيخ</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الغاية المذكورة في القضيّة على ارتفاع الحكم عمّا بعدها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جمع من المحقّقين</w:t>
      </w:r>
      <w:r>
        <w:rPr>
          <w:rStyle w:val="FootnoteAnchor"/>
          <w:rtl w:val="true"/>
        </w:rPr>
        <w:footnoteReference w:id="355"/>
      </w:r>
      <w:r>
        <w:rPr>
          <w:rFonts w:ascii="Amiri" w:hAnsi="Amiri" w:eastAsia="Amiri" w:cs="Amiri"/>
          <w:color w:val="111111"/>
          <w:sz w:val="28"/>
          <w:sz w:val="28"/>
          <w:szCs w:val="28"/>
          <w:rtl w:val="true"/>
          <w:lang w:bidi="ar-SA"/>
        </w:rPr>
        <w:t>بين الغاية المجعولة للموضوع بحسب اللبّ وبين المجعولة للحكم، واختاروا في الأوّل عدم الدلالة؛ لأنّ حالها حال الوصف، بل الظاهر المصرّح به في كلام بعضهم</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مفهوم الوصف </w:t>
      </w:r>
    </w:p>
    <w:p>
      <w:pPr>
        <w:pStyle w:val="BookText"/>
        <w:rPr/>
      </w:pPr>
      <w:r>
        <w:rPr>
          <w:rFonts w:ascii="Amiri" w:hAnsi="Amiri" w:eastAsia="Amiri" w:cs="Amiri"/>
          <w:color w:val="111111"/>
          <w:sz w:val="28"/>
          <w:sz w:val="28"/>
          <w:szCs w:val="28"/>
          <w:rtl w:val="true"/>
          <w:lang w:bidi="ar-SA"/>
        </w:rPr>
        <w:t>أعمّ من الوصف النحوي، فالقيود الراجعة إلى الموضوع كلّها داخلة فيه، وفي الثاني رجّحوا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ذهب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وإن رجع عنه أخيراً،</w:t>
      </w:r>
    </w:p>
    <w:p>
      <w:pPr>
        <w:pStyle w:val="BookText"/>
        <w:rPr/>
      </w:pPr>
      <w:r>
        <w:rPr>
          <w:rFonts w:ascii="IRNazanin" w:hAnsi="IRNazanin" w:eastAsia="IRNazanin"/>
          <w:color w:val="111111"/>
          <w:sz w:val="28"/>
          <w:sz w:val="28"/>
          <w:szCs w:val="28"/>
          <w:rtl w:val="true"/>
          <w:lang w:bidi="fa-IR"/>
        </w:rPr>
        <w:t>قال 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جعلت الغاية غاية للحكم فالظاهر الدلالة؛ لأنّ مفاد الهيئة إنشاء حقيقة الطلب، لا الطلب الجزئي، فتكون الغاية غاية لحقيقة الطلب، ولازمه ارتفاع حقيقته عند وجود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مفاد الهيئة الطلب الجزئي فالغاية لا تدلّ على ارتفاع سنخ الوجوب</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حرّرته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دلالة لها مطلقاً؛ لأنّ الطلب مسبّب</w:t>
      </w:r>
    </w:p>
    <w:p>
      <w:pPr>
        <w:pStyle w:val="BookText"/>
        <w:rPr/>
      </w:pPr>
      <w:r>
        <w:rPr>
          <w:rFonts w:ascii="Amiri" w:hAnsi="Amiri" w:eastAsia="Amiri" w:cs="Amiri"/>
          <w:color w:val="111111"/>
          <w:sz w:val="28"/>
          <w:sz w:val="28"/>
          <w:szCs w:val="28"/>
          <w:rtl w:val="true"/>
          <w:lang w:bidi="ar-SA"/>
        </w:rPr>
        <w:t>عن سبب بحسب الواقع وإن لم يذكر في القضيّة، وليس فيها دلالة على حصره حتّى تدلّ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في المتن غير وجيه؛ لأنّ الطلب المعلول لعلّة لا إطلاق له بالنسبة إلى غير موردها، وإن كان لا تقييد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قرّر وجه رجوعه في النسخة المطبوعة أخيراً بما حاصله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مساعدة الوجدان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من الصبح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المفهوم؛ لأ نّه لو قال المتكلّم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جاء زيد فاجلس من الزوال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مخالفاً لظاهر كلامه، وهذا يكشف عن أنّ المغيّا ليس سنخ الحكم من أيّ علّة تحقّق، بل السنخ المعلول لعلّة خاصّة، سواء كانت مذكورة أو لا</w:t>
      </w:r>
      <w:r>
        <w:rPr>
          <w:rStyle w:val="FootnoteAnchor"/>
          <w:rtl w:val="true"/>
        </w:rPr>
        <w:footnoteReference w:id="3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والحقّ عدم ورود الإشكال على ما حقّقه أوّلاً بعد تسليم وضع الهيئة لحقيقة الطلب واستعمالها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حرّرناه فلأنّ المفهوم فيها لا يتوقّف على العلّية المنحصرة كما قيل في الشرطية، بل على تحديد حقيقة الحكم بلا تقييدها بقيد خاصّ إلى غاية، فكأ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وجوب الجلوس تكون إلى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يكون الوجوب بعد الزوال مناقضاً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يفهم المفهوم بعد ثبوت كون الغاية للحكم، وثبوت أنّ الهيئة ظاهرة في حقيقة الطلب من غير توجّه إلى علّة الحكم، فضلاً عن انحصارها، ولو فرض توجّهه إليها كشف من هذا الظهور المتّبع انحصارها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قرّر في الطبعة الأخيرة؛ فلأنّ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من الصبح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الغاية إلى المادّة، ولعلّ عدم فهم المخالفة لذلك، وإلاّ فلا نسلّم عدم ذلك بعد تسليم رجوع الغاية إلى الحكم، وكون المغيّا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مرّ الإشكال في كون الهيئة موضوعة لكلّي الطلب ومستعملة فيه في محلّه</w:t>
      </w:r>
      <w:r>
        <w:rPr>
          <w:rStyle w:val="FootnoteAnchor"/>
          <w:rtl w:val="true"/>
        </w:rPr>
        <w:footnoteReference w:id="359"/>
      </w:r>
      <w:r>
        <w:rPr>
          <w:rFonts w:ascii="Amiri" w:hAnsi="Amiri" w:eastAsia="Amiri" w:cs="Amiri"/>
          <w:color w:val="111111"/>
          <w:sz w:val="28"/>
          <w:sz w:val="28"/>
          <w:szCs w:val="28"/>
          <w:rtl w:val="true"/>
          <w:lang w:bidi="ar-SA"/>
        </w:rPr>
        <w:t>، إلاّ أ نّه مع جزئية معنى الهيئة لا يبعد دعوى المفهوم؛ لمساعدة العرف عليه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وإن وضعت لإيقاع البعث ولا يكون إلاّ جزئياً حقيقياً، لكن لمّا كانت آلة محضة للبعث والإغراء لا ينتزع منه العرف إلاّ نفس الوجوب من غير توجّه إلى الجزئية والكلّية، فيفهم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 إلى </w:t>
      </w:r>
      <w:bookmarkStart w:id="418" w:name="pg15293_220256"/>
    </w:p>
    <w:p>
      <w:pPr>
        <w:pStyle w:val="BookText"/>
        <w:rPr/>
      </w:pPr>
      <w:bookmarkEnd w:id="418"/>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إلى هذا الحدّ، من غير توجّه إلى أنّ إيقاع الوجوب لا يكون إلاّ</w:t>
      </w:r>
    </w:p>
    <w:p>
      <w:pPr>
        <w:pStyle w:val="BookText"/>
        <w:rPr/>
      </w:pPr>
      <w:r>
        <w:rPr>
          <w:rFonts w:ascii="Amiri" w:hAnsi="Amiri" w:eastAsia="Amiri" w:cs="Amiri"/>
          <w:color w:val="111111"/>
          <w:sz w:val="28"/>
          <w:sz w:val="28"/>
          <w:szCs w:val="28"/>
          <w:rtl w:val="true"/>
          <w:lang w:bidi="ar-SA"/>
        </w:rPr>
        <w:t>جزئياً، فحينئذٍ يفهم من القضيّة المغيّاة انتفاء سنخ الحكم بعد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بحسب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كون الغاية للموضوع أو الحكم أو المتعلّق إثباتاً، فهو مختلف بحسب المقامات والتراكيب ومناسبة الغايات لها</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629056_2142443653"/>
      <w:bookmarkStart w:id="420" w:name="_Toc149"/>
      <w:bookmarkEnd w:id="419"/>
      <w:r>
        <w:rPr>
          <w:rtl w:val="true"/>
        </w:rPr>
        <w:t>المقام الثاني</w:t>
      </w:r>
      <w:r>
        <w:rPr>
          <w:rtl w:val="true"/>
        </w:rPr>
        <w:t xml:space="preserve">: </w:t>
      </w:r>
      <w:r>
        <w:rPr>
          <w:rtl w:val="true"/>
        </w:rPr>
        <w:t>في أنّ الغاية داخلة في المغيّا أو لا ؟</w:t>
      </w:r>
      <w:bookmarkEnd w:id="420"/>
    </w:p>
    <w:p>
      <w:pPr>
        <w:pStyle w:val="BookText"/>
        <w:rPr/>
      </w:pPr>
      <w:r>
        <w:rPr>
          <w:rFonts w:ascii="Amiri" w:hAnsi="Amiri" w:eastAsia="Amiri" w:cs="Amiri"/>
          <w:color w:val="111111"/>
          <w:sz w:val="28"/>
          <w:sz w:val="28"/>
          <w:szCs w:val="28"/>
          <w:rtl w:val="true"/>
          <w:lang w:bidi="ar-SA"/>
        </w:rPr>
        <w:t xml:space="preserve">ومحطّ البحث هاهنا هو ما إذا كان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ذا أجزاء أو امتداد، كالكوفة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والمرفق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بناءً على كون المرفق محلّ رفق العظمين ممّا له امتداد، فيقع البحث في أنّ الغاية داخلة، أو لا ؟</w:t>
      </w:r>
    </w:p>
    <w:p>
      <w:pPr>
        <w:pStyle w:val="BookText"/>
        <w:rPr/>
      </w:pPr>
      <w:r>
        <w:rPr>
          <w:rFonts w:ascii="Amiri" w:hAnsi="Amiri" w:eastAsia="Amiri" w:cs="Amiri"/>
          <w:color w:val="111111"/>
          <w:sz w:val="28"/>
          <w:sz w:val="28"/>
          <w:szCs w:val="28"/>
          <w:rtl w:val="true"/>
          <w:lang w:bidi="ar-SA"/>
        </w:rPr>
        <w:t>وأمّا البحث العقلي عن أنّ غايات الأجسام داخلة فيها أو لا، وابتناء الكلام</w:t>
      </w:r>
    </w:p>
    <w:p>
      <w:pPr>
        <w:pStyle w:val="BookText"/>
        <w:rPr/>
      </w:pPr>
      <w:r>
        <w:rPr>
          <w:rFonts w:ascii="Amiri" w:hAnsi="Amiri" w:eastAsia="Amiri" w:cs="Amiri"/>
          <w:color w:val="111111"/>
          <w:sz w:val="28"/>
          <w:sz w:val="28"/>
          <w:szCs w:val="28"/>
          <w:rtl w:val="true"/>
          <w:lang w:bidi="ar-SA"/>
        </w:rPr>
        <w:t>على امتناع الجزء الذي لا يتجزّأ وعدمه</w:t>
      </w:r>
      <w:r>
        <w:rPr>
          <w:rStyle w:val="FootnoteAnchor"/>
          <w:rtl w:val="true"/>
        </w:rPr>
        <w:footnoteReference w:id="361"/>
      </w:r>
      <w:r>
        <w:rPr>
          <w:rFonts w:ascii="Amiri" w:hAnsi="Amiri" w:eastAsia="Amiri" w:cs="Amiri"/>
          <w:color w:val="111111"/>
          <w:sz w:val="28"/>
          <w:sz w:val="28"/>
          <w:szCs w:val="28"/>
          <w:rtl w:val="true"/>
          <w:lang w:bidi="ar-SA"/>
        </w:rPr>
        <w:t>، فهو بمعزل عن البحث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 نّه لو كان المدخول لهما غير قابل للتجزئة والامتداد كالفصل المشترك، فلا ينتج البحث النتيجة المطلوبة، لكن تعميمه بالنسبة إلى مطلق مدخولهما ممّا لا مانع منه، وإن لم تترتّب الثمرة إلاّ على بعض التقادير، كما في كثير من المسائل الاُصولية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النزاع يجري في غاية الحكم كما يجري في غاية الموضوع والمتعلّق، </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الصوم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ينقطع بانتهاء اليوم، أو يبقى إلى دخول مقدار من الليل، أو إلى انقضائه ؟ فلا يختصّ النزاع بغاية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النزاع مختصّ بما دلّ على الغاية،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w:t>
      </w:r>
    </w:p>
    <w:p>
      <w:pPr>
        <w:pStyle w:val="BookText"/>
        <w:rPr/>
      </w:pPr>
      <w:r>
        <w:rPr>
          <w:rFonts w:ascii="Amiri" w:hAnsi="Amiri" w:eastAsia="Amiri" w:cs="Amiri"/>
          <w:color w:val="111111"/>
          <w:sz w:val="28"/>
          <w:sz w:val="28"/>
          <w:szCs w:val="28"/>
          <w:rtl w:val="true"/>
          <w:lang w:bidi="ar-SA"/>
        </w:rPr>
        <w:t>الصِّيَامَ إِلَى اللَّيْلِ</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فيخرج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الحاجّ</w:t>
      </w:r>
    </w:p>
    <w:p>
      <w:pPr>
        <w:pStyle w:val="BookText"/>
        <w:rPr/>
      </w:pPr>
      <w:r>
        <w:rPr>
          <w:rFonts w:ascii="Amiri" w:hAnsi="Amiri" w:eastAsia="Amiri" w:cs="Amiri"/>
          <w:color w:val="111111"/>
          <w:sz w:val="28"/>
          <w:sz w:val="28"/>
          <w:szCs w:val="28"/>
          <w:rtl w:val="true"/>
          <w:lang w:bidi="ar-SA"/>
        </w:rPr>
        <w:t>حتّى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تستعمل الكلمة في الغاية وتكون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من ظهور دخول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المغيّا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خلط بين العاطفة والخافضة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قد فصّل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الغاية قيداً</w:t>
      </w:r>
    </w:p>
    <w:p>
      <w:pPr>
        <w:pStyle w:val="BookText"/>
        <w:rPr/>
      </w:pPr>
      <w:r>
        <w:rPr>
          <w:rFonts w:ascii="Amiri" w:hAnsi="Amiri" w:eastAsia="Amiri" w:cs="Amiri"/>
          <w:color w:val="111111"/>
          <w:sz w:val="28"/>
          <w:sz w:val="28"/>
          <w:szCs w:val="28"/>
          <w:rtl w:val="true"/>
          <w:lang w:bidi="ar-SA"/>
        </w:rPr>
        <w:t>للفعل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فاختار دخولها فيه، وبين كونها غاية للحكم، فاختار عدمه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الدخول مطلقاً؛ ضرورة أ 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الكوفة اسماً للمحصور بجدار، فسار إلى جدارها ولم يدخل فيها، يصدق أ نّه أتى بالمأمور به، فإذا أخبر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قرأت القرآن إلى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إلاّ انتهاؤه إليها، لا قراءتها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 نّه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انتهاء الغاية،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نمت </w:t>
      </w:r>
    </w:p>
    <w:p>
      <w:pPr>
        <w:pStyle w:val="BookText"/>
        <w:rPr/>
      </w:pPr>
      <w:r>
        <w:rPr>
          <w:rFonts w:ascii="Amiri" w:hAnsi="Amiri" w:eastAsia="Amiri" w:cs="Amiri"/>
          <w:color w:val="111111"/>
          <w:sz w:val="28"/>
          <w:sz w:val="28"/>
          <w:szCs w:val="28"/>
          <w:rtl w:val="true"/>
          <w:lang w:bidi="ar-SA"/>
        </w:rPr>
        <w:t>البارحة حتّى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لا يفهم منه إلاّ ما 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البارحة إلى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كذلك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حَتَّى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استعمالها في غير الغاية كثير، ولعلّه صار منشأً للاشتباه حتّى ادّعى بعضهم فيها الإجماع على الدخول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21" w:name="pg15293_220259"/>
    </w:p>
    <w:p>
      <w:pPr>
        <w:pStyle w:val="Heading3"/>
        <w:numPr>
          <w:ilvl w:val="2"/>
          <w:numId w:val="1"/>
        </w:numPr>
        <w:rPr/>
      </w:pPr>
      <w:bookmarkStart w:id="422" w:name="__RefHeading___Toc4629058_2142443653"/>
      <w:bookmarkStart w:id="423" w:name="_Toc150"/>
      <w:bookmarkEnd w:id="421"/>
      <w:bookmarkEnd w:id="422"/>
      <w:r>
        <w:rPr>
          <w:rtl w:val="true"/>
        </w:rPr>
        <w:t>الفصل الرابع في مفهوم الاستثناء</w:t>
      </w:r>
      <w:bookmarkEnd w:id="423"/>
    </w:p>
    <w:p>
      <w:pPr>
        <w:pStyle w:val="BookText"/>
        <w:rPr/>
      </w:pPr>
      <w:r>
        <w:rPr>
          <w:rFonts w:ascii="Amiri" w:hAnsi="Amiri" w:eastAsia="Amiri" w:cs="Amiri"/>
          <w:color w:val="111111"/>
          <w:sz w:val="28"/>
          <w:sz w:val="28"/>
          <w:szCs w:val="28"/>
          <w:rtl w:val="true"/>
          <w:lang w:bidi="ar-SA"/>
        </w:rPr>
        <w:t>ولا ينبغي الإشكال في أنّ الاستثناء من النفي يفيد الإثبات وبالعكس،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أحد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أبي حنيفة عدم الدلالة، واحتجّ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تقدير الدلالة يلزم أن تكون الصلاة المقرونة بها مع فقد شرائطها صلاة تامّة</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المحصول في علم اُصول الفقه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الاستدلال ضعيف؛ ضرورة أنّ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كان في مقام الإرشاد إلى اشتراط الصلاة بالطهارة، </w:t>
      </w:r>
    </w:p>
    <w:p>
      <w:pPr>
        <w:pStyle w:val="BookText"/>
        <w:rPr/>
      </w:pPr>
      <w:r>
        <w:rPr>
          <w:rFonts w:ascii="Amiri" w:hAnsi="Amiri" w:eastAsia="Amiri" w:cs="Amiri"/>
          <w:color w:val="111111"/>
          <w:sz w:val="28"/>
          <w:sz w:val="28"/>
          <w:szCs w:val="28"/>
          <w:rtl w:val="true"/>
          <w:lang w:bidi="ar-SA"/>
        </w:rPr>
        <w:t>وأنّ فاتحة الكتاب جزؤها، لا بصدد الإخبار عن العقد السلبي والإيجابي، وفي مثله لا مفهوم 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جزؤها، ولا تكون الصلاة بدونها صلاة، لا أ نّها تمام الصلاة، أو إذا اشتملت عليها لا يضرّها شيء، وأين هذا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استدلّ المدّعي لاختصاص الحكم بالمستثنى منه، وكون الاستثناء من النفي إثباتاً، وبالعكس، بقبول رسول الله صلی الله علیه و آله وسلم إسلام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لا دلالته على إثبات الاُلوهية لله تعالى لما كان مفيداً للاعتراف</w:t>
      </w:r>
    </w:p>
    <w:p>
      <w:pPr>
        <w:pStyle w:val="BookText"/>
        <w:rPr/>
      </w:pPr>
      <w:r>
        <w:rPr>
          <w:rFonts w:ascii="Amiri" w:hAnsi="Amiri" w:eastAsia="Amiri" w:cs="Amiri"/>
          <w:color w:val="111111"/>
          <w:sz w:val="28"/>
          <w:sz w:val="28"/>
          <w:szCs w:val="28"/>
          <w:rtl w:val="true"/>
          <w:lang w:bidi="ar-SA"/>
        </w:rPr>
        <w:t>بوجود الباري</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المحصول في علم اُصول الفقه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عبدة الأوثان في زمانه كانوا معتقدين بالله تعالى، لكن جعلوا الأوثان وسائط له، وكانوا يعبدونها لتقرّبوهم إلى الله تعالى، فقبول كلمة التوحيد إنّما هو لأجل نفي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المعبودين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إثبات وجود الباري تعالى؛ فإنّه كان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يجاب عن الإشكال المعروف في كلمة التوحيد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الأجوبة الدقيقة الفلسفية وإن كانت صحيحة، لكنّها بعيدة عن أذهان العامّة، فابتناء قبوله على تلك الدقائق التي قصرت أفهام الناس عنها مقطوع العدم</w:t>
      </w:r>
      <w:r>
        <w:rPr>
          <w:rFonts w:eastAsia="Amiri" w:cs="Amiri" w:ascii="Amiri" w:hAnsi="Amiri"/>
          <w:color w:val="111111"/>
          <w:sz w:val="28"/>
          <w:szCs w:val="28"/>
          <w:rtl w:val="true"/>
          <w:lang w:bidi="ar-SA"/>
        </w:rPr>
        <w:t xml:space="preserve">. </w:t>
      </w:r>
      <w:bookmarkStart w:id="424" w:name="pg15293_220261"/>
    </w:p>
    <w:p>
      <w:pPr>
        <w:pStyle w:val="Heading2"/>
        <w:numPr>
          <w:ilvl w:val="1"/>
          <w:numId w:val="1"/>
        </w:numPr>
        <w:rPr/>
      </w:pPr>
      <w:bookmarkStart w:id="425" w:name="__RefHeading___Toc4629060_2142443653"/>
      <w:bookmarkStart w:id="426" w:name="_Toc151"/>
      <w:bookmarkEnd w:id="424"/>
      <w:bookmarkEnd w:id="425"/>
      <w:r>
        <w:rPr>
          <w:rtl w:val="true"/>
        </w:rPr>
        <w:t>المقصد الرابع فيالعامّ والخاصّ</w:t>
      </w:r>
      <w:bookmarkEnd w:id="426"/>
    </w:p>
    <w:p>
      <w:pPr>
        <w:pStyle w:val="Heading3"/>
        <w:numPr>
          <w:ilvl w:val="2"/>
          <w:numId w:val="1"/>
        </w:numPr>
        <w:rPr/>
      </w:pPr>
      <w:bookmarkStart w:id="427" w:name="__RefHeading___Toc4629062_2142443653"/>
      <w:bookmarkStart w:id="428" w:name="_Toc152"/>
      <w:bookmarkEnd w:id="427"/>
      <w:r>
        <w:rPr>
          <w:rtl w:val="true"/>
        </w:rPr>
        <w:t>اشارة</w:t>
      </w:r>
      <w:bookmarkEnd w:id="42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في المقصود لا بأس بذكر اُمور</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5293_220263"/>
      <w:bookmarkStart w:id="430" w:name="pg15293_220263"/>
      <w:bookmarkEnd w:id="430"/>
    </w:p>
    <w:p>
      <w:pPr>
        <w:pStyle w:val="Heading3"/>
        <w:numPr>
          <w:ilvl w:val="2"/>
          <w:numId w:val="1"/>
        </w:numPr>
        <w:rPr/>
      </w:pPr>
      <w:bookmarkStart w:id="431" w:name="pg15293_220263"/>
      <w:bookmarkStart w:id="432" w:name="__RefHeading___Toc4629064_2142443653"/>
      <w:bookmarkStart w:id="433" w:name="_Toc153"/>
      <w:bookmarkEnd w:id="431"/>
      <w:bookmarkEnd w:id="432"/>
      <w:r>
        <w:rPr>
          <w:rtl w:val="true"/>
        </w:rPr>
        <w:t>الأمر الأوّل في تعريف العامّ</w:t>
      </w:r>
      <w:bookmarkEnd w:id="433"/>
    </w:p>
    <w:p>
      <w:pPr>
        <w:pStyle w:val="BookText"/>
        <w:rPr/>
      </w:pPr>
      <w:r>
        <w:rPr>
          <w:rFonts w:ascii="Amiri" w:hAnsi="Amiri" w:eastAsia="Amiri" w:cs="Amiri"/>
          <w:color w:val="111111"/>
          <w:sz w:val="28"/>
          <w:sz w:val="28"/>
          <w:szCs w:val="28"/>
          <w:rtl w:val="true"/>
          <w:lang w:bidi="ar-SA"/>
        </w:rPr>
        <w:t>لا ينبغي صرف الوقت في تعاريفهما، والنقض والإبرام فيها، لكن ينبغي التنبيه لشيء يتّضح من خلاله تعريف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 نّه لا إشكال في أنّ الألفاظ الموضوعة للطبائع بلا شرط كأسماء الأجناس وغيرها لا تكون حاكية إلاّ عن نفس الطبائع الموضوعة لها، فالإنسان لا يدلّ إلاّ على الطبيعة بلا شرط، وخصوصيات المصاديق لا تكون محكية به، واتّحاد الإنسان خارجاً مع الأفراد لا يقتضي حكايتها؛ لأنّ مقام الدلالة التابعة للوضع غير مقام الاتّحاد خارجاً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نفس الطبيعة لا يمكن أن تكون مرآة وكاشفة عن الأفراد، سواء كان التشخّص بالوجود والعوارض أماراته، أو بالعوارض؛ ضرورة أنّ نفس الطبيعة تخالف الوجود والتشخّص وسائر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أو ذهناً، ولا يمكن كاشفية الشيء عمّا يخالفه، فالماهية لا تكون مرآة للوجود الخارجي والعوارض الحافّة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والشمول إنّما يستفاد من دوالّ اُخر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والجميع، والجمع المحلّى ممّا وضعت للكثرات، أو تستفاد الكثرة منه بجهة اُخرى، فإذا اُضيفت هذه المذكورات إلى الطبائع تستفاد كثرتها بتعدّد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كلّ مصداق من الإنسان حيوان، لكن الإنسان لا يدلّ إلاّ على نفس الطبيعة من غير أن يكون لفظه حاكياً عن الأفراد أو الطبيعة المحكيّة به مرآةً لها،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الكثرة، وإضافتها إلى الإنسان تدلّ على أنّ الكثرة كثرة الإنسان، وهي الأفراد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اشتهر في الألسن من أنّ الطبيعة في العامّ تكون حاكية عن الأفراد، ليس على ما ينبغي؛ لأنّ العموم 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فهي ألفاظ العموم، وبإضافتها إلى مدخولاتها يستفاد عموم أفرادها بالكيفية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يصحّ أن يعرّف العامّ بما دلّ على تمام مصاديق مدخوله ممّا يصحّ أن ينطبق عليه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ما دلّ على شمول مفهوم لجميع ما يصلح أن ينطبق عليه</w:t>
      </w:r>
      <w:r>
        <w:rPr>
          <w:rStyle w:val="FootnoteAnchor"/>
          <w:rtl w:val="true"/>
        </w:rPr>
        <w:footnoteReference w:id="371"/>
      </w:r>
      <w:r>
        <w:rPr>
          <w:rFonts w:ascii="Amiri" w:hAnsi="Amiri" w:eastAsia="Amiri" w:cs="Amiri"/>
          <w:color w:val="111111"/>
          <w:sz w:val="28"/>
          <w:sz w:val="28"/>
          <w:szCs w:val="28"/>
          <w:rtl w:val="true"/>
          <w:lang w:bidi="ar-SA"/>
        </w:rPr>
        <w:t>، فلا يخلو من مسامحة؛ ضرورة أنّ الكلّ لا يدلّ على شمول الإنسان لجميع أفراده، والأمر سهل</w:t>
      </w:r>
      <w:r>
        <w:rPr>
          <w:rFonts w:eastAsia="Amiri" w:cs="Amiri" w:ascii="Amiri" w:hAnsi="Amiri"/>
          <w:color w:val="111111"/>
          <w:sz w:val="28"/>
          <w:szCs w:val="28"/>
          <w:rtl w:val="true"/>
          <w:lang w:bidi="ar-SA"/>
        </w:rPr>
        <w:t xml:space="preserve">. </w:t>
      </w:r>
      <w:bookmarkStart w:id="434" w:name="pg15293_220265"/>
    </w:p>
    <w:p>
      <w:pPr>
        <w:pStyle w:val="Heading3"/>
        <w:numPr>
          <w:ilvl w:val="2"/>
          <w:numId w:val="1"/>
        </w:numPr>
        <w:rPr/>
      </w:pPr>
      <w:bookmarkStart w:id="435" w:name="__RefHeading___Toc4629066_2142443653"/>
      <w:bookmarkStart w:id="436" w:name="_Toc154"/>
      <w:bookmarkEnd w:id="434"/>
      <w:bookmarkEnd w:id="435"/>
      <w:r>
        <w:rPr>
          <w:rtl w:val="true"/>
        </w:rPr>
        <w:t>الأمر الثاني في الفرق بين المطلق والعامّ</w:t>
      </w:r>
      <w:bookmarkEnd w:id="436"/>
    </w:p>
    <w:p>
      <w:pPr>
        <w:pStyle w:val="BookText"/>
        <w:rPr/>
      </w:pPr>
      <w:r>
        <w:rPr>
          <w:rFonts w:ascii="Amiri" w:hAnsi="Amiri" w:eastAsia="Amiri" w:cs="Amiri"/>
          <w:color w:val="111111"/>
          <w:sz w:val="28"/>
          <w:sz w:val="28"/>
          <w:szCs w:val="28"/>
          <w:rtl w:val="true"/>
          <w:lang w:bidi="ar-SA"/>
        </w:rPr>
        <w:t>صرّح شيخنا العلاّمة</w:t>
      </w:r>
      <w:r>
        <w:rPr>
          <w:rStyle w:val="FootnoteAnchor"/>
          <w:rtl w:val="true"/>
        </w:rPr>
        <w:footnoteReference w:id="372"/>
      </w:r>
      <w:r>
        <w:rPr>
          <w:rFonts w:ascii="IRNazanin" w:hAnsi="IRNazanin" w:eastAsia="IRNazanin"/>
          <w:color w:val="111111"/>
          <w:sz w:val="28"/>
          <w:sz w:val="28"/>
          <w:szCs w:val="28"/>
          <w:rtl w:val="true"/>
          <w:lang w:bidi="fa-IR"/>
        </w:rPr>
        <w:t>وبعض الأعاظم</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العموم قد يستفاد من دليل لفظي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يستفاد من مقدّمات الحكمة، والمقصود بالبحث في العامّ والخاصّ هو الأوّل، والمتكفّل للثاني هو مبحث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يسمّى عامّاً، وفي مقابله الخاصّ ويبحث عنه في هذا الباب، وقسم يسمّى مطلقاً، ومقابله المقيّد، ويبحث عنه في باب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بمكان من الغرابة؛ ضرورة أنّ المطلق والمقيّد عنوانان غير مربوطين بالعامّ والخاصّ؛ لأنّ العامّ هو ما عرفت، وأمّا المطلق فبعد جريان مقدّمات الحكمة لايدلّ على العموم والأفراد بوجه، بل بعد تمامية المقدّمات يستكشف بأنّ نفس الطبيعة بلا قيد تمام الموضوع للحكم، فموضوع الحكم في العامّ هو أفراد الطبيعة، وفي المطلق هو نفسها بلا قيد، ولم تكن الأفراد بما هي موضوعة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دلّ على وجوب الوفاء بكلّ مصداق من مصاديق العقد،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بناءً على الإطلاق وتمامية المقدّمات يثبت النفوذ </w:t>
      </w:r>
      <w:bookmarkStart w:id="437" w:name="pg15293_220266"/>
    </w:p>
    <w:p>
      <w:pPr>
        <w:pStyle w:val="BookText"/>
        <w:rPr/>
      </w:pPr>
      <w:bookmarkEnd w:id="437"/>
      <w:r>
        <w:rPr>
          <w:rFonts w:ascii="Amiri" w:hAnsi="Amiri" w:eastAsia="Amiri" w:cs="Amiri"/>
          <w:color w:val="111111"/>
          <w:sz w:val="28"/>
          <w:sz w:val="28"/>
          <w:szCs w:val="28"/>
          <w:rtl w:val="true"/>
          <w:lang w:bidi="ar-SA"/>
        </w:rPr>
        <w:t>والحلّية لنفس طبيعة البيع من غير أن يكون للموضوع كثرة، وإنّما يثبت نفوذ البيع الخارجي لأجل تحقّق الطبيعة التي هي موضوع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4629068_2142443653"/>
      <w:bookmarkStart w:id="439" w:name="_Toc155"/>
      <w:bookmarkEnd w:id="438"/>
      <w:r>
        <w:rPr>
          <w:rtl w:val="true"/>
        </w:rPr>
        <w:t>الأمر الثالث في عدم احتياج العامّ إلى مقدّمات الحكمة</w:t>
      </w:r>
      <w:bookmarkEnd w:id="439"/>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لا يدلّ على العموم إلاّ بعد جريان مقدّمات الحكمة؛ لأنّ الطبيعة المدخولة لألفاظ العموم موضوعة للمهملة غير الآبية للإطلاق والتقييد، وألفاظ العموم تستغرق مدخولها، إن مطلقاً فمطلق، وإن مقيّداً فكذلك، فهي تابعة له، ومع احتمال القيد لا رافع له إلاّ مقدّمات الحكمة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موضوع الإطلاق هو الطبيعة، ومع جريان المقدّمات يستكشف أنّ موضوع الحكم نفس الطبيعة بلا دخالة شيء آخر، بخلاف العامّ؛ فإنّ موضوع الحكم فيه أفراد الطبيعة، 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وجوب الوفاء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أفرادها، وجريان المقدّمات إنّما هو بعد تعلّق الحكم، وهو متعلّق بالأفراد بعد دلالة الألفاظ على استغراق المدخول، فهي دالّة عليه جرت المقدّمات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جريان المقدّمات يفيد بالنسبة إلى حالات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للكثرة لغةً، وإضافتها إلى الطبيعة تفيد الاستغراق، وتعلّق الحكم متأخّر عنه، وجريان المقدّمات متأخّر عنه برتبتين، فلا يعقل توقّفه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المتكلّم في العموم متعرّض لمصاديق الطبيعة، ومعه لا معنى لعدم كونه في مقام بيان تمام الأفراد، بخلاف باب الإطلاق؛ لإمكان أن لا يكون المتكلّم فيه بصدد بيان حكم الطبيعة، بل يكون بصدد بيان حكم آخر، فلا بدّ من جريان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ألفاظ العموم على نفس الطبيعة المهملة يدلّ على استغراق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تفحّصت جميع أبواب الفقه وفنون المحاورات، لم تجد مورداً توقّف العرف في استفادة العموم من القضايا المسوّرة بألفاظه من جهة عدم كون المتكلّم في مقام البيان، كما ترى في المطلقات 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الشبهة نشأت من الخلط بين المطلق والعامّ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ممّن يرى أنّ الإطلاق بعد جريان المقدّمات يفيد العموم، ومعه ذهب إلى لزوم جريانها في العموم</w:t>
      </w:r>
      <w:r>
        <w:rPr>
          <w:rStyle w:val="FootnoteAnchor"/>
          <w:rtl w:val="true"/>
        </w:rPr>
        <w:footnoteReference w:id="378"/>
      </w:r>
      <w:r>
        <w:rPr>
          <w:rFonts w:ascii="Amiri" w:hAnsi="Amiri" w:eastAsia="Amiri" w:cs="Amiri"/>
          <w:color w:val="111111"/>
          <w:sz w:val="28"/>
          <w:sz w:val="28"/>
          <w:szCs w:val="28"/>
          <w:rtl w:val="true"/>
          <w:lang w:bidi="ar-SA"/>
        </w:rPr>
        <w:t>، مع أنّ لازمه لَغوية الإتيان بألفاظ العموم</w:t>
      </w:r>
      <w:r>
        <w:rPr>
          <w:rFonts w:eastAsia="Amiri" w:cs="Amiri" w:ascii="Amiri" w:hAnsi="Amiri"/>
          <w:color w:val="111111"/>
          <w:sz w:val="28"/>
          <w:szCs w:val="28"/>
          <w:rtl w:val="true"/>
          <w:lang w:bidi="ar-SA"/>
        </w:rPr>
        <w:t xml:space="preserve">. </w:t>
      </w:r>
      <w:bookmarkStart w:id="440" w:name="pg15293_220268"/>
    </w:p>
    <w:p>
      <w:pPr>
        <w:pStyle w:val="Heading3"/>
        <w:numPr>
          <w:ilvl w:val="2"/>
          <w:numId w:val="1"/>
        </w:numPr>
        <w:rPr/>
      </w:pPr>
      <w:bookmarkStart w:id="441" w:name="__RefHeading___Toc4629070_2142443653"/>
      <w:bookmarkStart w:id="442" w:name="_Toc156"/>
      <w:bookmarkEnd w:id="440"/>
      <w:bookmarkEnd w:id="441"/>
      <w:r>
        <w:rPr>
          <w:rtl w:val="true"/>
        </w:rPr>
        <w:t>الأمر الرابع في أقسام العموم</w:t>
      </w:r>
      <w:bookmarkEnd w:id="442"/>
    </w:p>
    <w:p>
      <w:pPr>
        <w:pStyle w:val="Heading4"/>
        <w:numPr>
          <w:ilvl w:val="3"/>
          <w:numId w:val="1"/>
        </w:numPr>
        <w:rPr/>
      </w:pPr>
      <w:bookmarkStart w:id="443" w:name="__RefHeading___Toc4629072_2142443653"/>
      <w:bookmarkStart w:id="444" w:name="_Toc157"/>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ينقسم العموم إلى الاستغراقي والمجموعي والبدلي؛ لأنّ اللفظ الدالّ على العموم إن دلّ على مصاديق الطبيعة عرضاً بلا اعتبار الاجتماع بينها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يكون العامّ استغراقياً،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بالدوالّ الثلاثة على أفراد طبيعة العالم من غير اعتبار اجتماعها وصيرورتها موضوعاً واحداً، مع كون شموله لها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اعتبرت الوحدة والاجتماع في الأفراد؛ بحيث عرضتها الوحدة الاعتبارية، وصارت الأفراد بمنزلة الأجزاء، كان العامّ مجموعياً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لفظ المجموع مفيداً له عرفاً، ولذا اختصّ هذا اللفظ ارتكازاً به،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الأفراد مع صيرورتها واحدة اعتباراً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دلّ اللفظ على الأفراد لا في عرض واحد يكون بدلياً؛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فَأَىَّ آيَاتِ الله تُنكِرُونَ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يَأتِينِى بِعَرْشِهَا</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البدلي في غير الاستفهامية،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 مالك من أيّ مصداق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من أيّ طريق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تدلّ بالدلالة الوضعية على العموم البدلي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الأقسام مخصوصة بالعموم، وأمّا الإطلاق فلا تأتي فيه، ومقدّمات الحكمة لا تثبت في مورد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خلط كثير من الأعاظم هاهنا أيضاً، وتوهّموا جريان التقسيم في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الخراساني في باب المطلق والمقيّد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قضيّة مقدّمات الحكمة في المطلقات تختلف حسب اختلاف المقامات؛ فإنّها تارةً يكون حملها على العموم البدلي واُخرى على العموم الاستيعابي</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منواله نسج غيره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الامتياز بين البدلي وغيره بلحاظ خصوصية مدخوله من كونه نكرة أو جنساً؛ فإنّ في النكارة اعتبرت جهة البدلية دون الجنس</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تدلّ بمادّتها على نفس الطبيعة بلا شرط، وتنوين التنكير الداخل عليها يدلّ على الوحدة،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غير معيّن من الطبيعة، ولا تكون فيه دلالة على البدلية بلا ريب، وإنّما يحكم العقل بتخيير المكلّف في الإتيان بأيّ فرد شاء في مورد التكاليف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بعد تمامية المقدّمات على وجوب عتق رقبة واحدة من غير دلالة على التبادل، والتخيير فيه عقلي،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أيّة رقبة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التخيير فيه شرعي مستفاد من اللفظ</w:t>
      </w:r>
      <w:r>
        <w:rPr>
          <w:rFonts w:eastAsia="Amiri" w:cs="Amiri" w:ascii="Amiri" w:hAnsi="Amiri"/>
          <w:color w:val="111111"/>
          <w:sz w:val="28"/>
          <w:szCs w:val="28"/>
          <w:rtl w:val="true"/>
          <w:lang w:bidi="ar-SA"/>
        </w:rPr>
        <w:t xml:space="preserve">. </w:t>
      </w:r>
      <w:bookmarkStart w:id="445" w:name="pg15293_220270"/>
    </w:p>
    <w:p>
      <w:pPr>
        <w:pStyle w:val="BookText"/>
        <w:rPr/>
      </w:pPr>
      <w:bookmarkEnd w:id="445"/>
      <w:r>
        <w:rPr>
          <w:rFonts w:ascii="Amiri" w:hAnsi="Amiri" w:eastAsia="Amiri" w:cs="Amiri"/>
          <w:color w:val="111111"/>
          <w:sz w:val="28"/>
          <w:sz w:val="28"/>
          <w:szCs w:val="28"/>
          <w:rtl w:val="true"/>
          <w:lang w:bidi="ar-SA"/>
        </w:rPr>
        <w:t>وقد عرفت فيما تقدّم حال الجنس في سياق الإثبات بعد تمامية المقدّمات، وأ نّها أجنبيّة عن إفادة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المقدّمات إلاّ كون ما جعل موضوعاً بنفسه تمامه بلا دخالة شيء آخر، وهذا معنىً واحد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حكم العقل والعقلاء فيها مختلف، وهو غير دلالة اللفظ</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629074_2142443653"/>
      <w:bookmarkStart w:id="447" w:name="_Toc158"/>
      <w:bookmarkEnd w:id="446"/>
      <w:r>
        <w:rPr>
          <w:rtl w:val="true"/>
        </w:rPr>
        <w:t>تنبيه</w:t>
      </w:r>
      <w:r>
        <w:rPr>
          <w:rtl w:val="true"/>
        </w:rPr>
        <w:t xml:space="preserve">: </w:t>
      </w:r>
      <w:r>
        <w:rPr>
          <w:rtl w:val="true"/>
        </w:rPr>
        <w:t>في نقد كلام المحقّق الخراساني في وجه انقسام العموم</w:t>
      </w:r>
      <w:bookmarkEnd w:id="447"/>
    </w:p>
    <w:p>
      <w:pPr>
        <w:pStyle w:val="BookText"/>
        <w:rPr/>
      </w:pPr>
      <w:r>
        <w:rPr>
          <w:rFonts w:ascii="Amiri" w:hAnsi="Amiri" w:eastAsia="Amiri" w:cs="Amiri"/>
          <w:color w:val="111111"/>
          <w:sz w:val="28"/>
          <w:sz w:val="28"/>
          <w:szCs w:val="28"/>
          <w:rtl w:val="true"/>
          <w:lang w:bidi="ar-SA"/>
        </w:rPr>
        <w:t xml:space="preserve">قد ظهر ممّا ذكرنا من دلالة بعض الألفاظ على العامّ الاستغراقي أو المجموعي أو البدلي أنّ هذا التقسيم إنّما هو قبل تعلّق الحكم؛ فإنّ الدلالات اللفظية لا تتوقّف على تعلّق الأحكام بالموضوعات،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على استغراق أفراد مدخولهما قبل تعلّق الحكم، 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دالاّن على ما ذكرناه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يتوقّف أحد من أهل المحاورة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الاستغراق مع عدم القرينة، بل يفهمون ذلك لأجل التبادر، وكذا الحال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أيّة رقبة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 على العامّ البدلي، بل لا يبعد ذلك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هذا التقسيم بلحاظ تعلّق الحكم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يعقل ذلك مع قطع النظر عمّا ذكرنا؛ ضرورة أنّ الحكم تابع لموضوعه، ولا يعقل تعلّق الحكم الوحداني بالموضوعات الكثيرة المأخوذة بنحو الاستغراق، كذا لا يعقل تعلّق الحكم الاستغراقي بالموضوع المأخوذ بنحو </w:t>
      </w:r>
      <w:bookmarkStart w:id="448" w:name="pg15293_220271"/>
    </w:p>
    <w:p>
      <w:pPr>
        <w:pStyle w:val="BookText"/>
        <w:rPr/>
      </w:pPr>
      <w:bookmarkEnd w:id="448"/>
      <w:r>
        <w:rPr>
          <w:rFonts w:ascii="Amiri" w:hAnsi="Amiri" w:eastAsia="Amiri" w:cs="Amiri"/>
          <w:color w:val="111111"/>
          <w:sz w:val="28"/>
          <w:sz w:val="28"/>
          <w:szCs w:val="28"/>
          <w:rtl w:val="true"/>
          <w:lang w:bidi="ar-SA"/>
        </w:rPr>
        <w:t>الوحدة، والإهمال الثبوتي في موضوع الحكم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ادّعى المحقّق الخراساني</w:t>
      </w:r>
      <w:r>
        <w:rPr>
          <w:rStyle w:val="FootnoteAnchor"/>
          <w:rtl w:val="true"/>
        </w:rPr>
        <w:footnoteReference w:id="383"/>
      </w:r>
      <w:r>
        <w:rPr>
          <w:rFonts w:ascii="Amiri" w:hAnsi="Amiri" w:eastAsia="Amiri" w:cs="Amiri"/>
          <w:color w:val="111111"/>
          <w:sz w:val="28"/>
          <w:sz w:val="28"/>
          <w:szCs w:val="28"/>
          <w:rtl w:val="true"/>
          <w:lang w:bidi="ar-SA"/>
        </w:rPr>
        <w:t>وتبعه عليه بعضهم</w:t>
      </w:r>
      <w:r>
        <w:rPr>
          <w:rStyle w:val="FootnoteAnchor"/>
          <w:rtl w:val="true"/>
        </w:rPr>
        <w:footnoteReference w:id="384"/>
      </w:r>
      <w:r>
        <w:rPr>
          <w:rFonts w:ascii="Amiri" w:hAnsi="Amiri" w:eastAsia="Amiri" w:cs="Amiri"/>
          <w:color w:val="111111"/>
          <w:sz w:val="28"/>
          <w:sz w:val="28"/>
          <w:szCs w:val="28"/>
          <w:rtl w:val="true"/>
          <w:lang w:bidi="ar-SA"/>
        </w:rPr>
        <w:t>، ممّا لا يمكن تصديقه</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4629076_2142443653"/>
      <w:bookmarkStart w:id="450" w:name="_Toc159"/>
      <w:bookmarkEnd w:id="449"/>
      <w:r>
        <w:rPr>
          <w:rtl w:val="true"/>
        </w:rPr>
        <w:t>الأمر الخامس في الألفاظ الدالّة على العموم</w:t>
      </w:r>
      <w:bookmarkEnd w:id="450"/>
    </w:p>
    <w:p>
      <w:pPr>
        <w:pStyle w:val="BookText"/>
        <w:rPr/>
      </w:pPr>
      <w:r>
        <w:rPr>
          <w:rFonts w:ascii="Amiri" w:hAnsi="Amiri" w:eastAsia="Amiri" w:cs="Amiri"/>
          <w:color w:val="111111"/>
          <w:sz w:val="28"/>
          <w:sz w:val="28"/>
          <w:szCs w:val="28"/>
          <w:rtl w:val="true"/>
          <w:lang w:bidi="ar-SA"/>
        </w:rPr>
        <w:t>عدّ النكرة واسم الجنس في سياق النفي أو النهي من ألفاظ العموم وضعاً، ممّا لا مجال له؛ فإنّ اسم الجنس موضوع لنفس الطبيعة بلا شرط، وتنوين التنكير لتقييدها بقيد الوحدة الغير المعيّنة، لكن بالمعنى الحرفي لا الاسمي، وألفاظ النفي والنهي وضعت لنفي مدخولها أو الزجر عنه، فلا دلالة فيها على نفي الأفراد، ولا وضع على حدة للمركّب، فحينئذٍ تكون حالها حال سائر المطلقات في احتياجها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الماهية متعلّقة للحكم، وفي عدم الدلالة على الأفراد، وفي الاحتياج إلى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تماميتها قد تكون نتيجتها في النفي والإثبات مختلفة عرفاً؛ لما تقدّم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حكمه بأنّ المهملة توجد بوجود فرد ما، وتنعدم بعدم جميع الأفراد، وإن كان حكم العقل البرهاني على خلافه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ذكرنا من الاحتياج إلى المقدّمات يجري في المفرد المحلّى باللام؛ لعدم استفادة العموم منه، بخلاف الجمع المحلّى الظاهر في 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الاستغراق فيه يستفاد من تعريف الجمع، لا من اللام ولا من نفس الجمع، ولهذا لا يستفاد من المفرد المحلّى ولا من الجمع الغير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استفادته من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مراتب الجمع معيّن معرّف، وأمّا غيره فلا تعيين فيه حتّى أدنى المراتب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مجال للتشكيك في دلالته على العموم، فلا يحتاج إلى مقدّمات الحكمة، فالميزان في الاحتياج إليها وعدمه دلالة اللفظ على العموم الأفرادي وعدمها</w:t>
      </w:r>
      <w:r>
        <w:rPr>
          <w:rFonts w:eastAsia="Amiri" w:cs="Amiri" w:ascii="Amiri" w:hAnsi="Amiri"/>
          <w:color w:val="111111"/>
          <w:sz w:val="28"/>
          <w:szCs w:val="28"/>
          <w:rtl w:val="true"/>
          <w:lang w:bidi="ar-SA"/>
        </w:rPr>
        <w:t xml:space="preserve">. </w:t>
      </w:r>
      <w:bookmarkStart w:id="451" w:name="pg15293_220273"/>
    </w:p>
    <w:p>
      <w:pPr>
        <w:pStyle w:val="Heading3"/>
        <w:numPr>
          <w:ilvl w:val="2"/>
          <w:numId w:val="1"/>
        </w:numPr>
        <w:rPr/>
      </w:pPr>
      <w:bookmarkStart w:id="452" w:name="__RefHeading___Toc4629078_2142443653"/>
      <w:bookmarkStart w:id="453" w:name="_Toc160"/>
      <w:bookmarkEnd w:id="451"/>
      <w:bookmarkEnd w:id="452"/>
      <w:r>
        <w:rPr>
          <w:rtl w:val="true"/>
        </w:rPr>
        <w:t>الفصل الأوّل في حجّية العامّ المخصّص في الباقي</w:t>
      </w:r>
      <w:bookmarkEnd w:id="453"/>
    </w:p>
    <w:p>
      <w:pPr>
        <w:pStyle w:val="BookText"/>
        <w:rPr/>
      </w:pPr>
      <w:r>
        <w:rPr>
          <w:rFonts w:ascii="Amiri" w:hAnsi="Amiri" w:eastAsia="Amiri" w:cs="Amiri"/>
          <w:color w:val="111111"/>
          <w:sz w:val="28"/>
          <w:sz w:val="28"/>
          <w:szCs w:val="28"/>
          <w:rtl w:val="true"/>
          <w:lang w:bidi="ar-SA"/>
        </w:rPr>
        <w:t>لا شبهة في حجّية العامّ المخصّص في الباقي متّصلاً كان المخصّص أو منفصلاً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بإجماله لتعدّد المجازات وعدم ترجيح لتعيّن الباقي</w:t>
      </w:r>
      <w:r>
        <w:rPr>
          <w:rStyle w:val="FootnoteAnchor"/>
          <w:rtl w:val="true"/>
        </w:rPr>
        <w:footnoteReference w:id="387"/>
      </w:r>
      <w:r>
        <w:rPr>
          <w:rFonts w:ascii="Amiri" w:hAnsi="Amiri" w:eastAsia="Amiri" w:cs="Amiri"/>
          <w:color w:val="111111"/>
          <w:sz w:val="28"/>
          <w:sz w:val="28"/>
          <w:szCs w:val="28"/>
          <w:rtl w:val="true"/>
          <w:lang w:bidi="ar-SA"/>
        </w:rPr>
        <w:t>ساقط؛ لأنّ المجاز كما عرفت في محلّه</w:t>
      </w:r>
      <w:r>
        <w:rPr>
          <w:rStyle w:val="FootnoteAnchor"/>
          <w:rtl w:val="true"/>
        </w:rPr>
        <w:footnoteReference w:id="388"/>
      </w:r>
      <w:r>
        <w:rPr>
          <w:rFonts w:ascii="Amiri" w:hAnsi="Amiri" w:eastAsia="Amiri" w:cs="Amiri"/>
          <w:color w:val="111111"/>
          <w:sz w:val="28"/>
          <w:sz w:val="28"/>
          <w:szCs w:val="28"/>
          <w:rtl w:val="true"/>
          <w:lang w:bidi="ar-SA"/>
        </w:rPr>
        <w:t>ليس استعمال اللفظ في غير ما وضع له، بل يكون استعماله فيما وضع له، وتطبيق المعنى الموضوع له على المعنى المجازي ادّعاءً، سواء في ذلك الاستعارة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المخصّص لا يجوز أن يكون من قبيل المجاز؛</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عدم ادّعاء وتأوّل فيه، فليس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ادّعاء كون جميع العقود هي العقود التي لم تخرج من تحته،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في المطلق الوارد عليه التقييد ذلك، كما تكون تلك الدعوى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جدّدت يوم الأربعين عزائي</w:t>
      </w:r>
    </w:p>
    <w:p>
      <w:pPr>
        <w:pStyle w:val="BookText"/>
        <w:rPr/>
      </w:pPr>
      <w:r>
        <w:rPr>
          <w:rFonts w:ascii="Amiri" w:hAnsi="Amiri" w:eastAsia="Amiri" w:cs="Amiri"/>
          <w:color w:val="111111"/>
          <w:sz w:val="28"/>
          <w:sz w:val="28"/>
          <w:szCs w:val="28"/>
          <w:rtl w:val="true"/>
          <w:lang w:bidi="ar-SA"/>
        </w:rPr>
        <w:t>والنوح نوحي والبكاء بكائي</w:t>
      </w:r>
    </w:p>
    <w:p>
      <w:pPr>
        <w:pStyle w:val="BookText"/>
        <w:rPr/>
      </w:pPr>
      <w:r>
        <w:rPr>
          <w:rFonts w:ascii="Amiri" w:hAnsi="Amiri" w:eastAsia="Amiri" w:cs="Amiri"/>
          <w:color w:val="111111"/>
          <w:sz w:val="28"/>
          <w:sz w:val="28"/>
          <w:szCs w:val="28"/>
          <w:rtl w:val="true"/>
          <w:lang w:bidi="ar-SA"/>
        </w:rPr>
        <w:t>حيث ادّعى أنّ حقيقة النوح والبكاء هي نوحه وبكاؤه، وليس غيرهما نوحاً وبكاء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محالة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جميع ألفاظه فيما وضعت له، لكن البعث المدلول عليه بالهيئة لم يكن في مورد التخصيص لداعي الانبعاث، بل إنّما إنشاؤه كلّياً وقانونياً بداعي الانبعاث إلى غير مورد التخصيص، والجعل الكلّي إنّما هو بداع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الاستعمالية في مقابل الجدّية هي بالنسبة إلى الحكم؛ فإنّه قد يكون إنشائياً، وقد يكون جدّياً لغرض الانبعاث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البعث على جميع العقود، وهو حجّة ما لم تدفعها حجّة أقوى منها، فإذا ورد مخصّص يكشف عن عدم مطابقة الجدّ للاستعمال في مورده، ولا ترفع اليد عن العامّ في غير مورده؛ لظهور الكلام وعدم انثلامه بورود المخصّص، وأصالة الجدّ التي هي من الاُصول العقلائية حجّة في غير ما قامت الحجّة على خلافه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تعلّق البعث الجدّي ببعض الأفراد والبعث الإنشائي بالآخر، أن يكون الواحد صادراً عن داعيين، وإنشاء البعث بالنحو الكلّي أمر واحد لا يمكن صدوره عن داعيين بلا جهة جامعة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جريان برهان امتناع صدور الواحد عن الكثير في مثل المقام، وإلى أنّ الوجدان حاكم بأنّ الدواعي المختلفة قد تجتمع على فعل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الدواعي ليست علّة فاعلية لشيء، بل الدواعي غايات لصدور الأفعال، وكون الغايات علل فاعلية الفاعل ليس معناه أ نّها مصدر فاعليته؛ بحيث تكون علّة فاعلية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في بيان المراد من الإرادة الاستعمالية والجدّية، يدفع إشكال بعض الأعاظم؛ حيث يظهر من تقريرات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مراد القوم من الإرادة الاستعمالية والجدّية هو بالنسبة إلى لفظ العامّ، وأنّ المراد الاستعمالي منه جميع العلماء والجدّي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حقيقة الاستعمال ليس إلاّ إلقاء المعنى بلفظه، والألفاظ مغفول عنها حينه؛ لأ نّها قنطرة ومرآة إلى المعاني، وليس للاستعمال إرادة مغايرة لإرادة المعنى الواقعي، فالمستعمل إن أراد المعنى الواقعي فهو، وإلاّ كان هازلاً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الاستعمالية والجدّية إنّما هي بالنسبة إلى الحكم، فما ذكره أجنبيّ عن مقصودهم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العامّ وإن كانت واحدة، لكن هذه الدلالة الواحدة إذا كانت حاكية عن مصاديق متعدّدة، فلا شبهة في أنّ هذه الحكاية بملاحظة تعدّد محكيّها بمنزلة حكايات متعدّدة؛ نظراً إلى أنّ شأن الحكاية والمرآة جذب لون محكيّها، فمع تعدّده كانت الحكاية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مجرّد رفع اليد عن حجّية الحكاية المزبورة بالنسبة إلى فرد لا يوجب رفع اليد عن حجّية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كلامه بالمخصّص المتّصل،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في الباقي مستند إلى وضعه الأوّل، غاية الأمر تمنع القرينة من إفادة الوضع لأعلى المراتب من الظهور، فيبقى اقتضاؤه للمرتبة الاُخرى دونها بحاله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لأنّ حديث جذب الألفاظ لون محكيّها أشبه بالخطابة والشعر؛ ضرورة أنّ الألفاظ لا تنقلب عمّا هي عليه، وتوهّم ركاكة بعضها ناشٍ من الخلط بين الحاكي والمحكيّ؛ فإنّ الركاكة للمحكيّ، والألفاظ آلة الانتقال إليها، فتعدّد المحكيّ لا يوجب تعدّد الحكاية بعد كون الحاكي عنواناً واحداً، فلفظ العامّ بعنوان واحد وحكاية واحدة يحكي عن الكثير، فإذا علم أنّ اللفظ لم يستعمل في معناه بدليل منفصل لم تبق حكاية بالنسبة إلى غيره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في المخصّص المتّصل من مراتب الظهور ممنوع؛ ضرورة أنّ كلّ لفظ في المخصّص المتّصل مستعمل في معناه، وأنّ إفادة المحدودية إنّما هي لأجل القيود والإخراج بالاستثناء،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لاستغراق مدخوله، فإذا كان مدخوله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إلاّ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يستغرقه من غير أن يكون الاستثناء مانعاً عن ظهوره؛ لعدم ظهوره إلاّ في استغراق المدخول؛ أيّ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القيد أو الاستثناء عن ظهوره صار مجملاً؛ لعدم مراتب للظهور، وهو واضح، تدبّر</w:t>
      </w:r>
      <w:r>
        <w:rPr>
          <w:rFonts w:eastAsia="Amiri" w:cs="Amiri" w:ascii="Amiri" w:hAnsi="Amiri"/>
          <w:color w:val="111111"/>
          <w:sz w:val="28"/>
          <w:szCs w:val="28"/>
          <w:rtl w:val="true"/>
          <w:lang w:bidi="ar-SA"/>
        </w:rPr>
        <w:t xml:space="preserve">. </w:t>
      </w:r>
      <w:bookmarkStart w:id="454" w:name="pg15293_220277"/>
    </w:p>
    <w:p>
      <w:pPr>
        <w:pStyle w:val="Heading3"/>
        <w:numPr>
          <w:ilvl w:val="2"/>
          <w:numId w:val="1"/>
        </w:numPr>
        <w:rPr/>
      </w:pPr>
      <w:bookmarkStart w:id="455" w:name="__RefHeading___Toc4629080_2142443653"/>
      <w:bookmarkStart w:id="456" w:name="_Toc161"/>
      <w:bookmarkEnd w:id="454"/>
      <w:bookmarkEnd w:id="455"/>
      <w:r>
        <w:rPr>
          <w:rtl w:val="true"/>
        </w:rPr>
        <w:t>الفصل الثاني في سراية إجمال المخصّص إلى العامّ</w:t>
      </w:r>
      <w:bookmarkEnd w:id="456"/>
    </w:p>
    <w:p>
      <w:pPr>
        <w:pStyle w:val="Heading4"/>
        <w:numPr>
          <w:ilvl w:val="3"/>
          <w:numId w:val="1"/>
        </w:numPr>
        <w:rPr/>
      </w:pPr>
      <w:bookmarkStart w:id="457" w:name="__RefHeading___Toc4629082_2142443653"/>
      <w:bookmarkStart w:id="458" w:name="_Toc162"/>
      <w:bookmarkEnd w:id="457"/>
      <w:r>
        <w:rPr>
          <w:rtl w:val="true"/>
        </w:rPr>
        <w:t>التمسّك بالعامّ في الشبهة المفهومية</w:t>
      </w:r>
      <w:bookmarkEnd w:id="458"/>
    </w:p>
    <w:p>
      <w:pPr>
        <w:pStyle w:val="BookText"/>
        <w:rPr/>
      </w:pPr>
      <w:r>
        <w:rPr>
          <w:rFonts w:ascii="Amiri" w:hAnsi="Amiri" w:eastAsia="Amiri" w:cs="Amiri"/>
          <w:color w:val="111111"/>
          <w:sz w:val="28"/>
          <w:sz w:val="28"/>
          <w:szCs w:val="28"/>
          <w:rtl w:val="true"/>
          <w:lang w:bidi="ar-SA"/>
        </w:rPr>
        <w:t>إذا خصّص العامّ بمجمل متّصل يسري إجماله إليه، من غير فرق بين المجمل مفهوماً وغيره، ولا بين الدائر بين المتباينين وغيره؛ لأنّ الحكم في العامّ الذي استثني منه، متعلّق بموضوع وحداني عرفاً، ويكون حال المستثنى منه والمستثنى حال المقيّد والموصوف، فكما أنّ الموضوع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الموصوف بما هو كذلك، فكذلك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لا ينقدح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البدوي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المستثنى والمستثنى منه كما ينقدح في المنفصل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الموضوع عنواناً واحداً يكون التمسّك به في الشبهات الموضوعية أو المفهومية للمستثنى كالتمسّك فيهما لنفسه، بل هو هو، فكما لا يجوز التمسّك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الإجمال بالنسبة إلى مورده، كذلك لا يجوز في العامّ المستثنى منه بلا فرق بينهما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خصّص به منفصلاً، فمع التردّد بين المتباينين يسري الإجمال إليه </w:t>
      </w:r>
    </w:p>
    <w:p>
      <w:pPr>
        <w:pStyle w:val="BookText"/>
        <w:rPr/>
      </w:pPr>
      <w:r>
        <w:rPr>
          <w:rFonts w:ascii="Amiri" w:hAnsi="Amiri" w:eastAsia="Amiri" w:cs="Amiri"/>
          <w:color w:val="111111"/>
          <w:sz w:val="28"/>
          <w:sz w:val="28"/>
          <w:szCs w:val="28"/>
          <w:rtl w:val="true"/>
          <w:lang w:bidi="ar-SA"/>
        </w:rPr>
        <w:t>حكماً؛ بمعنى عدم جواز التمسّك به في واحد منهما وإن كان العامّ حجّة في واحد معيّن واقعاً، ولازمه إعمال قواعد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الخاصّ مجملاً مفهوماً مردّداً بين الأقلّ والأكثر فلا يسري ويتمسّك به؛ وذلك لأنّ الخاصّ المجمل ليس بحجّة في مورد الإجمال، فلا ترفع اليد عن الحجّة بما ليس بحجّة، ولا يصير العامّ معنوناً بعنوان الخاصّ في المنفصلات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الخاصّ بلسان الحكومة على نحو التفسير والشرح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أنحاء الحكومات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فسراية إجماله إليه وصيرورة العامّ معنوناً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شيخنا 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صارت عادة المتكلّم على ذكر المخصّص منفصلاً، فحال المنفصل في كلامه حال المتّصل في كلام غيره</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عدم جواز العمل بالعامّ قبل الفحص، لا سراية الإجمال؛ لأنّ ظهور العامّ لا ينثلم لأجل جريان تلك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الأصل العقلائي بتطابق الاستعمال والجدّ حجّة بعد الفحص عن المخصّص، وعدم العثور إلاّ على المجمل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عدم جواز العمل بالعامّ قبل الفحص غير مسألة سراية الإجمال، والعادة المذكورة موجبة لعدم جوازه قبله، لا سراية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قدّس سرّه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رجع عمّا أفاده في كتابه</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الشبهة المفهومية</w:t>
      </w:r>
      <w:r>
        <w:rPr>
          <w:rFonts w:eastAsia="Amiri" w:cs="Amiri" w:ascii="Amiri" w:hAnsi="Amiri"/>
          <w:color w:val="111111"/>
          <w:sz w:val="28"/>
          <w:szCs w:val="28"/>
          <w:rtl w:val="true"/>
          <w:lang w:bidi="ar-SA"/>
        </w:rPr>
        <w:t xml:space="preserve">. </w:t>
      </w:r>
      <w:bookmarkStart w:id="459" w:name="pg15293_220279"/>
    </w:p>
    <w:p>
      <w:pPr>
        <w:pStyle w:val="Heading4"/>
        <w:numPr>
          <w:ilvl w:val="3"/>
          <w:numId w:val="1"/>
        </w:numPr>
        <w:rPr/>
      </w:pPr>
      <w:bookmarkStart w:id="460" w:name="__RefHeading___Toc4629084_2142443653"/>
      <w:bookmarkStart w:id="461" w:name="_Toc163"/>
      <w:bookmarkEnd w:id="459"/>
      <w:bookmarkEnd w:id="460"/>
      <w:r>
        <w:rPr>
          <w:rtl w:val="true"/>
        </w:rPr>
        <w:t>التمسّك بالعامّ في الشبهة المصداقية للمخصّص اللفظي</w:t>
      </w:r>
      <w:bookmarkEnd w:id="461"/>
    </w:p>
    <w:p>
      <w:pPr>
        <w:pStyle w:val="BookText"/>
        <w:rPr/>
      </w:pPr>
      <w:r>
        <w:rPr>
          <w:rFonts w:ascii="Amiri" w:hAnsi="Amiri" w:eastAsia="Amiri" w:cs="Amiri"/>
          <w:color w:val="111111"/>
          <w:sz w:val="28"/>
          <w:sz w:val="28"/>
          <w:szCs w:val="28"/>
          <w:rtl w:val="true"/>
          <w:lang w:bidi="ar-SA"/>
        </w:rPr>
        <w:t>وأمّا الاشتباه المصداقي بالشبهة الخارجية فقد يقال بجواز التمسّك به مع انفصال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محطّ البحث في المقام هو تخصيص العامّ، لا تقييد المطلق، وقد سبق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خلط بينهما بعضهم في المقام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تمام الموضوع في العامّ قبل التخصيص هو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ورد المخصّص يكشف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الموضوع، وبعضه الآخر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فالتمسّك في الشبهة المصداقية للخاصّ يرجع إلى التمسّك فيها لنفس العامّ من غير فرق بين القضايا الحقيقية وغيرها</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المطلق والمقيّد ما ذكره، وأمّا الحكم في العامّ فعلى أفراد مدخول أداته، لا على عنوان الطبيعة، والمخصّص مخرج لطائفة من أفراد العامّ، كأفراد الفسّاق منهم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صرّح به 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في القضايا الحقيقية على العنوان بما أ نّه مرآة لما ينطبق عليه، ولم يتعرّض للأفراد</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العنوان لا يمكن أن يكون مرآة للخصوصيات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ما ذكر أن تكون الأفراد موضوعاً للحكم؛ لأنّ المحكوم عليه المرئي لا المرآة</w:t>
      </w:r>
      <w:r>
        <w:rPr>
          <w:rFonts w:eastAsia="Amiri" w:cs="Amiri" w:ascii="Amiri" w:hAnsi="Amiri"/>
          <w:color w:val="111111"/>
          <w:sz w:val="28"/>
          <w:szCs w:val="28"/>
          <w:rtl w:val="true"/>
          <w:lang w:bidi="ar-SA"/>
        </w:rPr>
        <w:t xml:space="preserve">. </w:t>
      </w:r>
      <w:bookmarkStart w:id="462" w:name="pg15293_220280"/>
    </w:p>
    <w:p>
      <w:pPr>
        <w:pStyle w:val="BookText"/>
        <w:rPr/>
      </w:pPr>
      <w:bookmarkEnd w:id="462"/>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لم يكن مرآة إلاّ لنفس الطبيعة الموضوع لها، وأداة العموم تفيد أفرادها، والقضيّة الحقيقية متعرّضة للأفراد</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4629086_2142443653"/>
      <w:bookmarkStart w:id="464" w:name="_Toc164"/>
      <w:bookmarkEnd w:id="463"/>
      <w:r>
        <w:rPr>
          <w:rtl w:val="true"/>
        </w:rPr>
        <w:t>حول الاستدلال على جواز التمسّك بالعامّ في المقام</w:t>
      </w:r>
      <w:bookmarkEnd w:id="464"/>
    </w:p>
    <w:p>
      <w:pPr>
        <w:pStyle w:val="BookText"/>
        <w:rPr/>
      </w:pPr>
      <w:r>
        <w:rPr>
          <w:rFonts w:ascii="Amiri" w:hAnsi="Amiri" w:eastAsia="Amiri" w:cs="Amiri"/>
          <w:color w:val="111111"/>
          <w:sz w:val="28"/>
          <w:sz w:val="28"/>
          <w:szCs w:val="28"/>
          <w:rtl w:val="true"/>
          <w:lang w:bidi="ar-SA"/>
        </w:rPr>
        <w:t>فإذا تمحّض محطّ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استدلال القائل بجواز التمسّك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بعمومه شامل لكلّ فرد من الطبيعة وحجّة عليها، والفرد المشكوك فيه لا يكون الخاصّ حجّة بالنسبة إليه؛ للشكّ في فرديته، فمع القطع بفرديته للعامّ والشكّ في فرديته للخاصّ يكون رفع اليد عن العامّ الحجّة بغير حجّة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بكلام المتكلّم يتمّ بعد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كتمامية الظهور، وعدم الإجمال في المفهوم، وجريان أصالة الحقيقة، وغيرها، ومنها إحراز كون إنشاء الحكم على الموضوع على نحو الجدّ، ولو بالأصل العقلائي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إنّ ورود التخصيص على العامّ يكشف عن أنّ إنشاءه في مورد التخصيص لا يكون بنحو الجدّ، فيدور أمر المشتبه بين كونه مصداقاً للمخصّص حتّى يكون تحت الإرادة الجدّية لحكم المخصّص، وعدمه حتّى يكون تحت الإرادة الجدّية لحكم العامّ المخصّص، ومع هذه الشبهة لا أصل لإحراز أحد الطرفين؛ فإنّها كالشبهة المصداقية لأصالة الجدّ بالنسبة إلى العامّ والخاصّ كليهما، ومجرّد كون الفرد معلوم العالمية وداخلاً تحت العامّ لا يوجب تمامية الحجّة؛ لأنّ صرف ظهور اللفظ وجريان أصالة الحقيقة، لا يوجب تماميتها ما لم تحرز أصالة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ترى أنّ كلام من كان عادته على الدعابة غير صالح </w:t>
      </w:r>
    </w:p>
    <w:p>
      <w:pPr>
        <w:pStyle w:val="BookText"/>
        <w:rPr/>
      </w:pPr>
      <w:r>
        <w:rPr>
          <w:rFonts w:ascii="Amiri" w:hAnsi="Amiri" w:eastAsia="Amiri" w:cs="Amiri"/>
          <w:color w:val="111111"/>
          <w:sz w:val="28"/>
          <w:sz w:val="28"/>
          <w:szCs w:val="28"/>
          <w:rtl w:val="true"/>
          <w:lang w:bidi="ar-SA"/>
        </w:rPr>
        <w:t>للاحتجاج، لا لعدم ظهور فيه، ولا لعدم جريان أصالة الحقيقة، بل مع القطع بهما لا يكون حجّة؛ لعدم جريان أصالة الجدّ، فرفع اليد عن العامّ ليس رفع اليد عن الحجّة بغير حجّة، بل لقصور الحجّية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كلام المحقّق الخراساني</w:t>
      </w:r>
      <w:r>
        <w:rPr>
          <w:rStyle w:val="FootnoteAnchor"/>
          <w:rtl w:val="true"/>
        </w:rPr>
        <w:footnoteReference w:id="398"/>
      </w:r>
      <w:r>
        <w:rPr>
          <w:rFonts w:ascii="Amiri" w:hAnsi="Amiri" w:eastAsia="Amiri" w:cs="Amiri"/>
          <w:color w:val="111111"/>
          <w:sz w:val="28"/>
          <w:sz w:val="28"/>
          <w:szCs w:val="28"/>
          <w:rtl w:val="true"/>
          <w:lang w:bidi="ar-SA"/>
        </w:rPr>
        <w:t>يرجع إلى ما ذكرنا، وكذا كلام الشيخ الأعظم</w:t>
      </w:r>
      <w:r>
        <w:rPr>
          <w:rStyle w:val="FootnoteAnchor"/>
          <w:rtl w:val="true"/>
        </w:rPr>
        <w:footnoteReference w:id="399"/>
      </w:r>
      <w:r>
        <w:rPr>
          <w:rFonts w:ascii="Amiri" w:hAnsi="Amiri" w:eastAsia="Amiri" w:cs="Amiri"/>
          <w:color w:val="111111"/>
          <w:sz w:val="28"/>
          <w:sz w:val="28"/>
          <w:szCs w:val="28"/>
          <w:rtl w:val="true"/>
          <w:lang w:bidi="ar-SA"/>
        </w:rPr>
        <w:t>، وإن فسّر كلامه بعض المحقّقين بما يرد عليه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الحجّية بعد ما كانت منحصرة بالظهور التصديقي المبنيّ على كون المتكلّم في مقام الإفادة والاستفادة، فإنّما يتحقّق هذا المعنى في فرض تعلّق قصد المتكلّم بإبراز مرامه باللفظ، وهو فرع التفات المتكلّم إلى ما تعلّق به مرامه، وإلاّ فمع جهله به واحتمال خروجه عن مرامه فكيف يتعلّق قصده بلفظه كشفه وإبرازه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الشبهات الموضوعية طرّاً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شيخنا الأعظم فيما أفاد في وجه المنع بمثل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الوجه إلى منع كون المولى في مقام إفادة المراد بالنسبة إلى ما كان هو بنفسه مشتبِهاً فيه، فلا يكون الظهور حينئذٍ تصديقياً؛ كي يكون واجداً لشرائط الحجّية</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بما فيه؛ فإنّ الحجّية وإن كانت منحصرة في الظاهر الذي صدر من المتكلّم لأجل الإفادة ولا بدّ له أن يكون متيقّناً بما تعلّق به مرامه، لكن في مقام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الكبريات، لا في تشخيص صغرياتها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فالمتكلّم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الإخبار لا بدّ له من إحراز كون كلّ فرد منها حارّاً ببرهان أو غيره، وأمّا تشخيص كون شيء ناراً، أو كون مصداق كذائي له صفة كذائية، فليس متعلّقاً بمرامه، ولا يكون في مقام إبرازه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المتكلّم 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تشخيص أنّ كلّ فرد من العلماء فيه ملاك الحكم وإن اشتبه عليه الأفراد، ولو خصّص العامّ بمخصّص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تشخيص كون ملاكه في عدول العلماء، وأمّا كون فرد في الخارج عادلاً أو لا، فليس داخلاً في مرامه حتّى يكون بصدد إبرازه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المولى لمّا لم يكن بصدد إفادة المراد بالنسبة إلى ما كان بنفسه مشتبهاً فيه، فليس الظهور حجّة فيه، فلا بدّ من التزامه بعدم وجوب إكرام من اشتبه عند المولى، وإن لم يكن كذلك لدى المكلّف، فمع علم المكلّف بأنّ زيداً عالم عادل، لا بدّ من القول بعدم وجوب إكرامه إذا كان المتكلّم مشتبهاً فيه، ولا أظنّ بأحد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الأعظم فيظهر من تقريراته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المتكلّم بالعامّ غير صالح</w:t>
      </w:r>
    </w:p>
    <w:p>
      <w:pPr>
        <w:pStyle w:val="BookText"/>
        <w:rPr/>
      </w:pPr>
      <w:r>
        <w:rPr>
          <w:rFonts w:ascii="Amiri" w:hAnsi="Amiri" w:eastAsia="Amiri" w:cs="Amiri"/>
          <w:color w:val="111111"/>
          <w:sz w:val="28"/>
          <w:sz w:val="28"/>
          <w:szCs w:val="28"/>
          <w:rtl w:val="true"/>
          <w:lang w:bidi="ar-SA"/>
        </w:rPr>
        <w:t xml:space="preserve">لرفع الشبهة الموضوعية التي هو بنفسه أيضاً قد يكون مثل العبد فيها، فالعامّ مرجع لرفع الشبهة الحكمية لا الموضوعية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متين، ولا يرجع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يرجع ما ذكره إلى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ذكرنا، كما قد يظهر من بعض كلماته فيما سيأتي</w:t>
      </w:r>
      <w:r>
        <w:rPr>
          <w:rStyle w:val="FootnoteAnchor"/>
          <w:rtl w:val="true"/>
        </w:rPr>
        <w:footnoteReference w:id="402"/>
      </w:r>
      <w:r>
        <w:rPr>
          <w:rFonts w:ascii="Amiri" w:hAnsi="Amiri" w:eastAsia="Amiri" w:cs="Amiri"/>
          <w:color w:val="111111"/>
          <w:sz w:val="28"/>
          <w:sz w:val="28"/>
          <w:szCs w:val="28"/>
          <w:rtl w:val="true"/>
          <w:lang w:bidi="ar-SA"/>
        </w:rPr>
        <w:t xml:space="preserve">، وإغلاق البيان وسوء التعبير غير عزيزين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ربّما يستدلّ لجواز التمسّك بالعامّ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بعمومه الأفرادي يشمل كلّ فرد، وبإطلاقه الأحوالي يعمّ كلّ حالة من حالات الموضوع، ومنها مشكوكية الفسق، والذي كان الخاصّ حجّة فيه هو الأفراد المعلومة، والمشكوك فيها داخلة في إطلاقه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يرد على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بعمومه وإطلاقه إن كان كفيلاً للحكم الواقعي، فكيف يجتمع مع حكم الخاصّ في المشتبه إن كان فاسقاً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أن يكون الفاسق محرّم الإكرام وواجبه،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بإطلاقه لمشتبه الفسق ومعلومه، فلازمه اجتماع الحكمين في موضوع واحد 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كفيلاً للحكم الواقعي والظاهري، فلا بدّ من أخذ الشكّ في الحكم في موضوعه؛ لأنّ أخذ الشكّ في الموضوع لا يصحّح الحكم الظاهري، فكيف يمكن تكفّل العامّ بجعل واحد للحكم الواقعي على الموضوع الواقعي وللحكم الظاهري على مشتبه الحكم مع ترتّبهما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الإغماض عن أنّ الإطلاق ليس بمعنى أخذ جميع العناوين والحالات في الموضوع؛ فإنّ ذلك معنى العموم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كيف يمكن جعل الحكم الظاهري المتقوّم بأخذ الشكّ موضوعاً، وهل هذا إلاّ الجمع بين عدم لحاظ الشكّ موضوعاً ولحاظه كذلك ؟ </w:t>
      </w:r>
      <w:r>
        <w:rPr>
          <w:rFonts w:eastAsia="Amiri" w:cs="Amiri" w:ascii="Amiri" w:hAnsi="Amiri"/>
          <w:color w:val="111111"/>
          <w:sz w:val="28"/>
          <w:szCs w:val="28"/>
          <w:rtl w:val="true"/>
          <w:lang w:bidi="ar-SA"/>
        </w:rPr>
        <w:t xml:space="preserve">! </w:t>
      </w:r>
      <w:bookmarkStart w:id="465" w:name="pg15293_220284"/>
    </w:p>
    <w:p>
      <w:pPr>
        <w:pStyle w:val="Heading4"/>
        <w:numPr>
          <w:ilvl w:val="3"/>
          <w:numId w:val="1"/>
        </w:numPr>
        <w:rPr/>
      </w:pPr>
      <w:bookmarkStart w:id="466" w:name="__RefHeading___Toc4629088_2142443653"/>
      <w:bookmarkStart w:id="467" w:name="_Toc165"/>
      <w:bookmarkEnd w:id="465"/>
      <w:bookmarkEnd w:id="466"/>
      <w:r>
        <w:rPr>
          <w:rtl w:val="true"/>
        </w:rPr>
        <w:t>تتميم</w:t>
      </w:r>
      <w:r>
        <w:rPr>
          <w:rtl w:val="true"/>
        </w:rPr>
        <w:t xml:space="preserve">: </w:t>
      </w:r>
      <w:r>
        <w:rPr>
          <w:rtl w:val="true"/>
        </w:rPr>
        <w:t>في التمسّك بالعامّ في الشبهة المصداقية للمخصّص اللبّي</w:t>
      </w:r>
      <w:bookmarkEnd w:id="467"/>
    </w:p>
    <w:p>
      <w:pPr>
        <w:pStyle w:val="BookText"/>
        <w:rPr/>
      </w:pPr>
      <w:r>
        <w:rPr>
          <w:rFonts w:ascii="Amiri" w:hAnsi="Amiri" w:eastAsia="Amiri" w:cs="Amiri"/>
          <w:color w:val="111111"/>
          <w:sz w:val="28"/>
          <w:sz w:val="28"/>
          <w:szCs w:val="28"/>
          <w:rtl w:val="true"/>
          <w:lang w:bidi="ar-SA"/>
        </w:rPr>
        <w:t>ما مرّ كان حال المخصّصات اللفظية، وأمّا اللبّية فيظهر حالها ممّا مرّ، لكن</w:t>
      </w:r>
    </w:p>
    <w:p>
      <w:pPr>
        <w:pStyle w:val="BookText"/>
        <w:rPr/>
      </w:pPr>
      <w:r>
        <w:rPr>
          <w:rFonts w:ascii="Amiri" w:hAnsi="Amiri" w:eastAsia="Amiri" w:cs="Amiri"/>
          <w:color w:val="111111"/>
          <w:sz w:val="28"/>
          <w:sz w:val="28"/>
          <w:szCs w:val="28"/>
          <w:rtl w:val="true"/>
          <w:lang w:bidi="ar-SA"/>
        </w:rPr>
        <w:t xml:space="preserve">بعد تمحيض المقام في الشبهة المصداقية للمخصّص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متقوّمة بخروج عنوان بالإجماع أو العقل عن تحت حكم العامّ والشكّ في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الحكم الجدّي في العامّ على أفراد المخصّص دون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للتمسّك بالعامّ لرفع الشبهة الموضوعية؛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كلام المحقّق الخراساني، حيث فصّل بين اللبّي الذي يكون كالمخصّص المتّصل وغيره</w:t>
      </w:r>
      <w:r>
        <w:rPr>
          <w:rStyle w:val="FootnoteAnchor"/>
          <w:rtl w:val="true"/>
        </w:rPr>
        <w:footnoteReference w:id="404"/>
      </w:r>
      <w:r>
        <w:rPr>
          <w:rFonts w:ascii="Amiri" w:hAnsi="Amiri" w:eastAsia="Amiri" w:cs="Amiri"/>
          <w:color w:val="111111"/>
          <w:sz w:val="28"/>
          <w:sz w:val="28"/>
          <w:szCs w:val="28"/>
          <w:rtl w:val="true"/>
          <w:lang w:bidi="ar-SA"/>
        </w:rPr>
        <w:t>، مع أنّ الفارق بين اللفظي واللبّي من هذه الجهة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بناء العقلاء على التمسّك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اللبّيات</w:t>
      </w:r>
      <w:r>
        <w:rPr>
          <w:rStyle w:val="FootnoteAnchor"/>
          <w:rtl w:val="true"/>
        </w:rPr>
        <w:footnoteReference w:id="405"/>
      </w:r>
      <w:r>
        <w:rPr>
          <w:rFonts w:ascii="Amiri" w:hAnsi="Amiri" w:eastAsia="Amiri" w:cs="Amiri"/>
          <w:color w:val="111111"/>
          <w:sz w:val="28"/>
          <w:sz w:val="28"/>
          <w:szCs w:val="28"/>
          <w:rtl w:val="true"/>
          <w:lang w:bidi="ar-SA"/>
        </w:rPr>
        <w:t>عهدتها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النظر فيما يظهر من الشيخ الأعظم من التفصيل بين ما يوجب تنويع الموضوعين وتعدّدهما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وبين غيره، كما إذا لم يعتبر المتكلّم صفة في موضوع الحكم غير ما أخذه عنواناً في العامّ، وإن علمنا بأ نّه لو فرض في أفراد العامّ من هو فاسق لا يريد إكرامه، فيجوز التمسّك بالعامّ، وإحراز حال الفرد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بما لا مزيد عليه في بيانه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الذي يظهر من مجموع كلماته خروجه عن محطّ البحث، ووروده في وادي الشكّ في أصل التخصيص، ومحطّ الكلام في الشكّ في مصداق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المخصّص ربّما لا يكون معنوناً بعنوان، بل يكون مخرجاً لذوات الأفراد، لكن بحيثية تعليلية وعلّة سارية، فإذا شكّ في مصداق أ نّه محيّث بالحيثية التعليلية يتمسّك بالعامّ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الجهات التعليلية في الأحكام العقلية موضوع لها، فلا يكون المخرج هو الأفراد، بل العنوان، ومعه لا يجوز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التسليم بخروج ذوات الأفراد يخرج الكلام عن الشبهة المصداقية للمخصّص، مع أنّ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النظر في كلام بعض الأعاظم؛ حيث فصّل بين اللبّيات التي توجب تقييد موضوع الحكم وتضييقه، وبين ما هو من قبيل إدراك العقل ما هو ملاك حكم الشارع واقعاً من دون تقييد الموضوع؛ لعدم صلوح تقييد موضوع الحكم بما هو ملاكه، فاختار الجواز في الأوّل دون الثاني</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منه الخلط بين محلّ البحث وغيره، فراجع</w:t>
      </w:r>
      <w:r>
        <w:rPr>
          <w:rFonts w:eastAsia="Amiri" w:cs="Amiri" w:ascii="Amiri" w:hAnsi="Amiri"/>
          <w:color w:val="111111"/>
          <w:sz w:val="28"/>
          <w:szCs w:val="28"/>
          <w:rtl w:val="true"/>
          <w:lang w:bidi="ar-SA"/>
        </w:rPr>
        <w:t xml:space="preserve">. </w:t>
      </w:r>
      <w:bookmarkStart w:id="468" w:name="pg15293_220286"/>
    </w:p>
    <w:p>
      <w:pPr>
        <w:pStyle w:val="Heading4"/>
        <w:numPr>
          <w:ilvl w:val="3"/>
          <w:numId w:val="1"/>
        </w:numPr>
        <w:rPr/>
      </w:pPr>
      <w:bookmarkStart w:id="469" w:name="__RefHeading___Toc4629090_2142443653"/>
      <w:bookmarkStart w:id="470" w:name="_Toc166"/>
      <w:bookmarkEnd w:id="468"/>
      <w:bookmarkEnd w:id="469"/>
      <w:r>
        <w:rPr>
          <w:rtl w:val="true"/>
        </w:rPr>
        <w:t>تنبيهات</w:t>
      </w:r>
      <w:r>
        <w:rPr>
          <w:rtl w:val="true"/>
        </w:rPr>
        <w:t>:</w:t>
      </w:r>
      <w:bookmarkEnd w:id="470"/>
    </w:p>
    <w:p>
      <w:pPr>
        <w:pStyle w:val="Heading5"/>
        <w:numPr>
          <w:ilvl w:val="4"/>
          <w:numId w:val="1"/>
        </w:numPr>
        <w:rPr/>
      </w:pPr>
      <w:bookmarkStart w:id="471" w:name="__RefHeading___Toc4629092_2142443653"/>
      <w:bookmarkStart w:id="472" w:name="_Toc167"/>
      <w:bookmarkEnd w:id="471"/>
      <w:r>
        <w:rPr>
          <w:rtl w:val="true"/>
        </w:rPr>
        <w:t>التنبيه الأوّل في التمسّك بالعامّ إذا كان الخاصّ معلّلاً</w:t>
      </w:r>
      <w:bookmarkEnd w:id="472"/>
    </w:p>
    <w:p>
      <w:pPr>
        <w:pStyle w:val="BookText"/>
        <w:rPr/>
      </w:pPr>
      <w:r>
        <w:rPr>
          <w:rFonts w:ascii="Amiri" w:hAnsi="Amiri" w:eastAsia="Amiri" w:cs="Amiri"/>
          <w:color w:val="111111"/>
          <w:sz w:val="28"/>
          <w:sz w:val="28"/>
          <w:szCs w:val="28"/>
          <w:rtl w:val="true"/>
          <w:lang w:bidi="ar-SA"/>
        </w:rPr>
        <w:t>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تكرم زيداً وعمراً وبكراً؛</w:t>
      </w:r>
    </w:p>
    <w:p>
      <w:pPr>
        <w:pStyle w:val="BookText"/>
        <w:rPr/>
      </w:pPr>
      <w:r>
        <w:rPr>
          <w:rFonts w:ascii="Amiri" w:hAnsi="Amiri" w:eastAsia="Amiri" w:cs="Amiri"/>
          <w:color w:val="111111"/>
          <w:sz w:val="28"/>
          <w:sz w:val="28"/>
          <w:szCs w:val="28"/>
          <w:rtl w:val="true"/>
          <w:lang w:bidi="ar-SA"/>
        </w:rPr>
        <w:t>لأ نّهم 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يقال بجواز التمسّك بالعامّ في مورد الشكّ في مصداق الفاسق؛ فإنّه من قبيل التخصيص الزائد، لا الشبهة المصداقية للمخصّص</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الظاهر من إخراج أفراد بجهة تعليلية أنّ المخرج هو العنوان، لا الأشخاص برأسها، ومعه تكون الشبهة في مصداق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اللبّيات</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4629094_2142443653"/>
      <w:bookmarkStart w:id="474" w:name="_Toc168"/>
      <w:bookmarkEnd w:id="473"/>
      <w:r>
        <w:rPr>
          <w:rtl w:val="true"/>
        </w:rPr>
        <w:t>التنبيه الثاني في العامّين من وجه المتنافيي الحكم</w:t>
      </w:r>
      <w:bookmarkEnd w:id="47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حكمان متنافيان على عنوانين مستقلّين بينهما عموم من وجه، فقد يكون أحدهما حاكماً على الآخر، فيصير من قبيل المخصّص، فمع الشبهة المصداقية في مصداق الحاكم لا يجوز التمسّك بالعامّ المحكوم؛ لعين ما تقدّم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475" w:name="pg15293_220287"/>
    </w:p>
    <w:p>
      <w:pPr>
        <w:pStyle w:val="BookText"/>
        <w:rPr/>
      </w:pPr>
      <w:bookmarkEnd w:id="475"/>
      <w:r>
        <w:rPr>
          <w:rFonts w:ascii="Amiri" w:hAnsi="Amiri" w:eastAsia="Amiri" w:cs="Amiri"/>
          <w:color w:val="111111"/>
          <w:sz w:val="28"/>
          <w:sz w:val="28"/>
          <w:szCs w:val="28"/>
          <w:rtl w:val="true"/>
          <w:lang w:bidi="ar-SA"/>
        </w:rPr>
        <w:t>وإن لم تكن حكومة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العامّين من وجه مشمولان لأدلّة التعارض وقدّمنا أحدهما بأحد المرجّحات، أو كانا من قبيل المتزاحمين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ناظر إلى مقام التزاحم فكان حكمه إنشائياً بالنسبة إلى المرجوح، فيكون حاله حال المخصّص، فلا يجوز التمسّك؛ للملاك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الحكمين في المتزاحمين فعليان على موضوعهما، والانطباق الخارجي وعدم القدرة على إطاعتهما لا يوجبان شأنية المرجوح، بل العقل يحكم بمعذورية المكلّف عن امتثال كليهما من غير تغيير في ناحية الحكم، فالظاهر جواز التمسّك في مورد الشكّ في انطباق الدليل المزاحم الذي هو أقوى ملاكاً؛ لأنّ الحكم الفعلي على موضوعه حجّة على المكلّف ما لم يحرز العذر القاطع، ولا يجوز رفع اليد عن الخطاب الفعلي بلا حجّة، نظير الشكّ في القدرة، فإذا أمر المولى بشيء وشكّ المكلّف في قدرته عليه، لا يجوز عقلاً التقاعد عنه لاحتمال العجز؛ لعين ما ذكر</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4629096_2142443653"/>
      <w:bookmarkStart w:id="477" w:name="_Toc169"/>
      <w:bookmarkEnd w:id="476"/>
      <w:r>
        <w:rPr>
          <w:rtl w:val="true"/>
        </w:rPr>
        <w:t>التنبيه الثالث في إحراز المصداق بالأصل في الشبهة المصداقية</w:t>
      </w:r>
      <w:bookmarkEnd w:id="477"/>
    </w:p>
    <w:p>
      <w:pPr>
        <w:pStyle w:val="Heading6"/>
        <w:numPr>
          <w:ilvl w:val="5"/>
          <w:numId w:val="1"/>
        </w:numPr>
        <w:rPr/>
      </w:pPr>
      <w:bookmarkStart w:id="478" w:name="__RefHeading___Toc4629098_2142443653"/>
      <w:bookmarkStart w:id="479" w:name="_Toc170"/>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بعد البناء على عدم جواز التمسّك بالعامّ في الشبهة المصداقية، هل يمكن إحراز المصداق بالأصل وإجراء حكم العامّ عليه مطلقاً، أو لا مطلقاً، أو يفصّل بين المقامات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القائل بالنفي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بعد التخصيص يبقى على تمام الموضوعية </w:t>
      </w:r>
    </w:p>
    <w:p>
      <w:pPr>
        <w:pStyle w:val="BookText"/>
        <w:rPr/>
      </w:pPr>
      <w:r>
        <w:rPr>
          <w:rFonts w:ascii="Amiri" w:hAnsi="Amiri" w:eastAsia="Amiri" w:cs="Amiri"/>
          <w:color w:val="111111"/>
          <w:sz w:val="28"/>
          <w:sz w:val="28"/>
          <w:szCs w:val="28"/>
          <w:rtl w:val="true"/>
          <w:lang w:bidi="ar-SA"/>
        </w:rPr>
        <w:t>للحكم بلا انقلاب عمّا هو عليه، نظير موت الفرد؛ فرقاً بين التخصيص والتقييد،</w:t>
      </w:r>
    </w:p>
    <w:p>
      <w:pPr>
        <w:pStyle w:val="BookText"/>
        <w:rPr/>
      </w:pPr>
      <w:r>
        <w:rPr>
          <w:rFonts w:ascii="Amiri" w:hAnsi="Amiri" w:eastAsia="Amiri" w:cs="Amiri"/>
          <w:color w:val="111111"/>
          <w:sz w:val="28"/>
          <w:sz w:val="28"/>
          <w:szCs w:val="28"/>
          <w:rtl w:val="true"/>
          <w:lang w:bidi="ar-SA"/>
        </w:rPr>
        <w:t>فحينئذٍ لا مجال للأصل المذكور؛ إذ الأصل السلبي ليس شأنه إلاّ نفي حكم الخاصّ عنه، لا إثبات حكم العامّ عليه، والفرد مورد العلم الإجمالي بكونه محكوماً بحكم أحدهما بلا تغيير العنوان، ونفي أحد الحكمين بالأصل لا يثبت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بالتمسّك بالعامّ من غير احتياج إلى الأصل لو كانت الشبهة المصداقية ناشئة عن الجهل بالمخالفة الذي كان أمر رفعه بيد المولى، مثل الشكّ في مخالفة الشرط أو الصلح للكتاب، ولعلّ بناء المشهور في تمسّكهم بالشبهة المصداقية مختصّ بأمثال المورد</w:t>
      </w:r>
      <w:r>
        <w:rPr>
          <w:rStyle w:val="FootnoteAnchor"/>
          <w:rtl w:val="true"/>
        </w:rPr>
        <w:footnoteReference w:id="411"/>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كان المراد من عدم انقلاب العامّ عدمه بحسب مقام الظهور فلا إشكال فيه، لكن لا يمنع ذلك عن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الموضوع بحسب الجدّ بقيّة الأفراد بلا عنوان وتقيّد، فهو ممنوع؛ ضرورة أنّ الخاصّ يكشف عن أنّ الحكم الجدّي متعلّق بأفراد العالم الغير الفاسق، ولا سبيل لإنكار تضييق الموضوع بحسب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بموت الفرد مع الفارق؛ لعدم كون الأدلّة ناظرة إلى حالات الأفراد الخارجية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التمسّك في الشبهة المصداقية في مخالفة الكتاب؛ لأجل أنّ رفعها بيد المولى، ففي غاية الغرابة؛ لأنّ الكلام في الشبهة المصداقية للمخصّص، ولا شبهة في أنّ رفعها لم يكن بيد المولى، وما بيده رفعها هي الشبهة الحكمية، لا المصداقية ممّا فرضت من الاُمور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أنّ المثالين يكونان من الاستثناء المتّصل بحسب الأدلّة ممّا لا يجوز التمسّك فيه بالعامّ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بجريانه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تلك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القرشية والقابلية للذبح ومخالفة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الشيء في الوجود الخارجي، لا من لوازم الماهيات، فيمكن أن يشار إلى مرأة،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المرأة لم تكن قرشية قبل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فيستصحب عدمها، ويترتّب عليه حكم العامّ؛ لأنّ الخارج من العامّ هو المرأة التي من قريش، والتي لم تكن منه بقيت تحته، فيحرز موضوع حكم العامّ بالأصل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شامل لجميع العناوين، وما خرج منه هو عنوان</w:t>
      </w:r>
    </w:p>
    <w:p>
      <w:pPr>
        <w:pStyle w:val="BookText"/>
        <w:rPr/>
      </w:pPr>
      <w:r>
        <w:rPr>
          <w:rFonts w:ascii="Amiri" w:hAnsi="Amiri" w:eastAsia="Amiri" w:cs="Amiri"/>
          <w:color w:val="111111"/>
          <w:sz w:val="28"/>
          <w:sz w:val="28"/>
          <w:szCs w:val="28"/>
          <w:rtl w:val="true"/>
          <w:lang w:bidi="ar-SA"/>
        </w:rPr>
        <w:t>الخاصّ، وبقي سائرها تحته، فمع استصحاب عدم انتساب المرأة إلى قريش أو عدم قرشيتها ينقّح موضوع العامّ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عرض في موضوع حكم بنحو النعتية 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الناقصة، لا يقتضي أخذ عدمه نعتاً في موضوع عدم ذلك الحكم؛ ضرورة أنّ ارتفاع الموضوع المقيّد بما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إنّما يكون بعدم اتّصاف الذات بذلك القيد على نحو السالبة المحصّلة، لا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تحيض إلى خمسين إلاّ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التي لا تكون متّصفة بكونها من قريش تحيض إلى خمسين، لا المرأة المتّصفة بأن لا تكون </w:t>
      </w:r>
      <w:bookmarkStart w:id="480" w:name="pg15293_220290"/>
    </w:p>
    <w:p>
      <w:pPr>
        <w:pStyle w:val="BookText"/>
        <w:rPr/>
      </w:pPr>
      <w:bookmarkEnd w:id="480"/>
      <w:r>
        <w:rPr>
          <w:rFonts w:ascii="Amiri" w:hAnsi="Amiri" w:eastAsia="Amiri" w:cs="Amiri"/>
          <w:color w:val="111111"/>
          <w:sz w:val="28"/>
          <w:sz w:val="28"/>
          <w:szCs w:val="28"/>
          <w:rtl w:val="true"/>
          <w:lang w:bidi="ar-SA"/>
        </w:rPr>
        <w:t>منه، 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الاُولى سالبة محصّلة، والثانية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الناقصة، فلا مانع من جريان الأصل لإحراز موضوع العامّ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1" w:name="__RefHeading___Toc4629100_2142443653"/>
      <w:bookmarkStart w:id="482" w:name="_Toc171"/>
      <w:bookmarkEnd w:id="481"/>
      <w:r>
        <w:rPr>
          <w:rtl w:val="true"/>
        </w:rPr>
        <w:t>التحقيق في جريان الأصل المحرز لموضوع العامّ</w:t>
      </w:r>
      <w:bookmarkEnd w:id="482"/>
    </w:p>
    <w:p>
      <w:pPr>
        <w:pStyle w:val="Heading6"/>
        <w:numPr>
          <w:ilvl w:val="5"/>
          <w:numId w:val="1"/>
        </w:numPr>
        <w:rPr/>
      </w:pPr>
      <w:bookmarkStart w:id="483" w:name="__RefHeading___Toc4629102_2142443653"/>
      <w:bookmarkStart w:id="484" w:name="_Toc172"/>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ونحن قد استقصينا البحث عن هذا الأصل في البراءة</w:t>
      </w:r>
      <w:r>
        <w:rPr>
          <w:rStyle w:val="FootnoteAnchor"/>
          <w:rtl w:val="true"/>
        </w:rPr>
        <w:footnoteReference w:id="415"/>
      </w:r>
      <w:r>
        <w:rPr>
          <w:rFonts w:ascii="IRNazanin" w:hAnsi="IRNazanin" w:eastAsia="IRNazanin"/>
          <w:color w:val="111111"/>
          <w:sz w:val="28"/>
          <w:sz w:val="28"/>
          <w:szCs w:val="28"/>
          <w:rtl w:val="true"/>
          <w:lang w:bidi="fa-IR"/>
        </w:rPr>
        <w:t>والاستصحاب</w:t>
      </w:r>
      <w:r>
        <w:rPr>
          <w:rStyle w:val="FootnoteAnchor"/>
          <w:rtl w:val="true"/>
        </w:rPr>
        <w:footnoteReference w:id="416"/>
      </w:r>
      <w:r>
        <w:rPr>
          <w:rFonts w:ascii="Amiri" w:hAnsi="Amiri" w:eastAsia="Amiri" w:cs="Amiri"/>
          <w:color w:val="111111"/>
          <w:sz w:val="28"/>
          <w:sz w:val="28"/>
          <w:szCs w:val="28"/>
          <w:rtl w:val="true"/>
          <w:lang w:bidi="ar-SA"/>
        </w:rPr>
        <w:t>، لكن نشير إلى ما هو التحقيق إجمالاً، وهو يتوقّف على مقدّمات</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4629104_2142443653"/>
      <w:bookmarkStart w:id="486" w:name="_Toc173"/>
      <w:bookmarkEnd w:id="485"/>
      <w:r>
        <w:rPr>
          <w:rtl w:val="true"/>
        </w:rPr>
        <w:t>الاُولى</w:t>
      </w:r>
      <w:r>
        <w:rPr>
          <w:rtl w:val="true"/>
        </w:rPr>
        <w:t xml:space="preserve">: </w:t>
      </w:r>
      <w:r>
        <w:rPr>
          <w:rtl w:val="true"/>
        </w:rPr>
        <w:t>أقسام القضايا بلحاظ النسبة</w:t>
      </w:r>
      <w:bookmarkEnd w:id="486"/>
    </w:p>
    <w:p>
      <w:pPr>
        <w:pStyle w:val="BookText"/>
        <w:rPr/>
      </w:pPr>
      <w:r>
        <w:rPr>
          <w:rFonts w:ascii="Amiri" w:hAnsi="Amiri" w:eastAsia="Amiri" w:cs="Amiri"/>
          <w:color w:val="111111"/>
          <w:sz w:val="28"/>
          <w:sz w:val="28"/>
          <w:szCs w:val="28"/>
          <w:rtl w:val="true"/>
          <w:lang w:bidi="ar-SA"/>
        </w:rPr>
        <w:t>قد تقدّم</w:t>
      </w:r>
      <w:r>
        <w:rPr>
          <w:rStyle w:val="FootnoteAnchor"/>
          <w:rtl w:val="true"/>
        </w:rPr>
        <w:footnoteReference w:id="417"/>
      </w:r>
      <w:r>
        <w:rPr>
          <w:rFonts w:ascii="Amiri" w:hAnsi="Amiri" w:eastAsia="Amiri" w:cs="Amiri"/>
          <w:color w:val="111111"/>
          <w:sz w:val="28"/>
          <w:sz w:val="28"/>
          <w:szCs w:val="28"/>
          <w:rtl w:val="true"/>
          <w:lang w:bidi="ar-SA"/>
        </w:rPr>
        <w:t>في وضع الهيئات أنّ القضايا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حملية غير مؤوّلة، وحملية مؤوّلة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لا يشتمل على النسبة، لا موجباتها ولا سوالبها، بل تحكي القضيّة بهيئتها عن الهوهوية إيجاباً أو سلباً،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 أو موجود، أو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وأضرابها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 يشتمل على النسبة، لكن موجباتها تحكي عن تحقّق النسبة الواقعية، وفي السوالب تتخلّل أداة النسبة لورود السلب عليها، فتحكي السوالب عن عدم تحقّقها واقعاً،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تحقّق النسبة والكون الرابط،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عدمه</w:t>
      </w:r>
      <w:r>
        <w:rPr>
          <w:rFonts w:eastAsia="Amiri" w:cs="Amiri" w:ascii="Amiri" w:hAnsi="Amiri"/>
          <w:color w:val="111111"/>
          <w:sz w:val="28"/>
          <w:szCs w:val="28"/>
          <w:rtl w:val="true"/>
          <w:lang w:bidi="ar-SA"/>
        </w:rPr>
        <w:t xml:space="preserve">. </w:t>
      </w:r>
      <w:bookmarkStart w:id="487" w:name="pg15293_220291"/>
    </w:p>
    <w:p>
      <w:pPr>
        <w:pStyle w:val="BookText"/>
        <w:rPr/>
      </w:pPr>
      <w:bookmarkEnd w:id="487"/>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الرابط يختصّ بموجبات تلك القضايا، وأمّا القسم الأوّل فلا يشتمل عليه ولا يحكي عنه؛ لعدم تحقّق النسبة والكون الرابط بين الشيء ونفسه أو متّحداته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السوالب لا تحكي عنهما، بل تدلّ على رفعهما وقطعهما</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4629106_2142443653"/>
      <w:bookmarkStart w:id="489" w:name="_Toc174"/>
      <w:bookmarkEnd w:id="488"/>
      <w:r>
        <w:rPr>
          <w:rtl w:val="true"/>
        </w:rPr>
        <w:t>الثانية</w:t>
      </w:r>
      <w:r>
        <w:rPr>
          <w:rtl w:val="true"/>
        </w:rPr>
        <w:t xml:space="preserve">: </w:t>
      </w:r>
      <w:r>
        <w:rPr>
          <w:rtl w:val="true"/>
        </w:rPr>
        <w:t>مناط الصدق والكذب في القضايا</w:t>
      </w:r>
      <w:bookmarkEnd w:id="489"/>
    </w:p>
    <w:p>
      <w:pPr>
        <w:pStyle w:val="BookText"/>
        <w:rPr/>
      </w:pPr>
      <w:r>
        <w:rPr>
          <w:rFonts w:ascii="Amiri" w:hAnsi="Amiri" w:eastAsia="Amiri" w:cs="Amiri"/>
          <w:color w:val="111111"/>
          <w:sz w:val="28"/>
          <w:sz w:val="28"/>
          <w:szCs w:val="28"/>
          <w:rtl w:val="true"/>
          <w:lang w:bidi="ar-SA"/>
        </w:rPr>
        <w:t>إنّ المناط في احتمال الصدق والكذب في القضايا هو الحكاية التصديقية، سواء كانت عن الهوهوية إثباتاً ونفياً أو عن الكون الرابط كذلك، والدالّ على الحكاية التصديقية هيئات الجمل الخبرية،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موضوع ومحمول وهيئة حاكية عن الهوهوية الواقعية، ولا يشتمل على النسبة،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له القيام، أو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موضوع ومحمول وحرف دالّ على النسبة وهيئة دالّة على الحكاية التصديقية عن تحقّق القيام له أو كونه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الكلام محتملاً للصدق والكذب هو الحكاية التصديقية عن نفس الأمر، لا النسبة؛ ضرورة عدم إمكان اشتمال الحمليات الغير المؤوّلة على النسبة مع احتمال الصدق والكذب فيها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تامّة وناقصة، ليس على ما ينبغي؛ فإنّها في جميع الموارد على نهج واحد، فالنسبة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له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الذي له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وإنّما الفرق بين الجملتين بهيئتهما؛ فإنّ الهيئة الخبرية وضعت للحكاية التصديقية بخلاف غيرها</w:t>
      </w:r>
      <w:r>
        <w:rPr>
          <w:rFonts w:eastAsia="Amiri" w:cs="Amiri" w:ascii="Amiri" w:hAnsi="Amiri"/>
          <w:color w:val="111111"/>
          <w:sz w:val="28"/>
          <w:szCs w:val="28"/>
          <w:rtl w:val="true"/>
          <w:lang w:bidi="ar-SA"/>
        </w:rPr>
        <w:t xml:space="preserve">. </w:t>
      </w:r>
      <w:bookmarkStart w:id="490" w:name="pg15293_220292"/>
    </w:p>
    <w:p>
      <w:pPr>
        <w:pStyle w:val="BookText"/>
        <w:rPr/>
      </w:pPr>
      <w:bookmarkEnd w:id="490"/>
      <w:r>
        <w:rPr>
          <w:rFonts w:ascii="Amiri" w:hAnsi="Amiri" w:eastAsia="Amiri" w:cs="Amiri"/>
          <w:color w:val="111111"/>
          <w:sz w:val="28"/>
          <w:sz w:val="28"/>
          <w:szCs w:val="28"/>
          <w:rtl w:val="true"/>
          <w:lang w:bidi="ar-SA"/>
        </w:rPr>
        <w:t>ثمّ إنّ مناط الصدق والكذب هو مطابقة الحكاية لنفس الأمر وعدمها،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تصديقية عن الهوهوية بين الموضوع والمحمول، ومطابق لنفس الأمر، بخلاف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حكاية تصديقية عن عروض الوجود له تعالى، وهو مخالف للواقع،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الباري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لنفس الأمر؛ لأ نّه حكاية عن خلوّ صفحة الوجود عنه، والواقع كذلك، بخلاف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الباري غير موجود، أو لا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الإيجاب العدولي؛ لأنّ الموجبة مطلقاً تحتاج إلى وجود الموضوع في ظرف الإخبار، وشريك الباري ليس في نفس الأمر شيئاً ثابتاً له غير الموجودية، إلاّ أن يؤوّل بالسالبة المحصّلة، كالتأوّل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الباري ممتنع، أو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الصدق والكذب في السوالب مطابقة الحكاية التصديقية لنفس الأمر؛ بمعنى أنّ الحكاية عن سلب الهوهوية أو سلب الكون الرابط كانت مطابقة للواقع، لا بمعنى أنّ لمحكيّها نحو واقعية بحسب نفس الأمر؛ ضرورة عدم واقعية للأعدام</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4629108_2142443653"/>
      <w:bookmarkStart w:id="492" w:name="_Toc175"/>
      <w:bookmarkEnd w:id="491"/>
      <w:r>
        <w:rPr>
          <w:rtl w:val="true"/>
        </w:rPr>
        <w:t>الثالثة</w:t>
      </w:r>
      <w:r>
        <w:rPr>
          <w:rtl w:val="true"/>
        </w:rPr>
        <w:t xml:space="preserve">: </w:t>
      </w:r>
      <w:r>
        <w:rPr>
          <w:rtl w:val="true"/>
        </w:rPr>
        <w:t>القضايا المفتقرة إلى وجود الموضوع</w:t>
      </w:r>
      <w:bookmarkEnd w:id="49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موجبة وسالبة، وكلّ منهما بسيطة ومركّبة، وكلّ منهما محصّلة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والموجبة المحصّلة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والمعدولة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والموجبة السالبة المحمول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الذي ليس بقائم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تحتاج إلى وجود الموضوع؛ لأنّ ثبوت شيء لشيء فرع ثبوت المثبت له، سواء كان الثابت وجودياً أو لا، وكذا اتّحاد شيء مع شيء في ظرف، فرع تحقّقهما فيه</w:t>
      </w:r>
      <w:r>
        <w:rPr>
          <w:rFonts w:eastAsia="Amiri" w:cs="Amiri" w:ascii="Amiri" w:hAnsi="Amiri"/>
          <w:color w:val="111111"/>
          <w:sz w:val="28"/>
          <w:szCs w:val="28"/>
          <w:rtl w:val="true"/>
          <w:lang w:bidi="ar-SA"/>
        </w:rPr>
        <w:t xml:space="preserve">. </w:t>
      </w:r>
      <w:bookmarkStart w:id="493" w:name="pg15293_220293"/>
    </w:p>
    <w:p>
      <w:pPr>
        <w:pStyle w:val="BookText"/>
        <w:rPr/>
      </w:pPr>
      <w:bookmarkEnd w:id="493"/>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الهوهوية بين زيد وعنوان اللا قائم، والاتّحاد في ظرف فرع تحقّق المتّحدين بنحو، 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المعدولات كون الأعدام من قبيل أعدام الملكات؛ حتّى يكون لملكاتها نحو تحقّق، فلا يصدق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الجدار لا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لا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يتّحد مع حيثية هي لا بصيرية قابلة للفعلية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الموجبة السالبة المحمول؛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الذي ليس له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توصيف زيد بثبوت وصف عدمي له، أو توصيفه بعدم ثبوت وصف له، فلا بدّ له من وجود الموضوع، وكون المحمول جائز الثبوت له ممّا له نحو ثبوت، كأعدام الملكات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الموجبات معتبر فيها وجود الموضوع، حتّى التي تكون محمولاتها سالبة</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4629110_2142443653"/>
      <w:bookmarkStart w:id="495" w:name="_Toc176"/>
      <w:bookmarkEnd w:id="494"/>
      <w:r>
        <w:rPr>
          <w:rtl w:val="true"/>
        </w:rPr>
        <w:t>الرابعة</w:t>
      </w:r>
      <w:r>
        <w:rPr>
          <w:rtl w:val="true"/>
        </w:rPr>
        <w:t xml:space="preserve">: </w:t>
      </w:r>
      <w:r>
        <w:rPr>
          <w:rtl w:val="true"/>
        </w:rPr>
        <w:t>ضرورية كون موضوع الحكم مفرداً</w:t>
      </w:r>
      <w:bookmarkEnd w:id="495"/>
    </w:p>
    <w:p>
      <w:pPr>
        <w:pStyle w:val="BookText"/>
        <w:rPr/>
      </w:pPr>
      <w:r>
        <w:rPr>
          <w:rFonts w:ascii="Amiri" w:hAnsi="Amiri" w:eastAsia="Amiri" w:cs="Amiri"/>
          <w:color w:val="111111"/>
          <w:sz w:val="28"/>
          <w:sz w:val="28"/>
          <w:szCs w:val="28"/>
          <w:rtl w:val="true"/>
          <w:lang w:bidi="ar-SA"/>
        </w:rPr>
        <w:t xml:space="preserve">موضوع الحكم سواء كان في الجملة الخبرية أو الإنشائية لا بدّ وأن يكون مفرداً أو في حكمه، كالجمل الناقصة، ولا يمكن جعل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كانت أو 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إخباري أو إنشائي؛ لأنّ الحكاية عن موضوع الحكم لا بدّ وأن تكون تصوّرية مقدّمة للحكاية التصديقية المتقوّمة بالهيئة الخبرية، ومقدّمة لجعل الحكم عليه، وهي لا تجتمع مع الحكاية التصديقية التي بها تمّت الجملة، ولا يجتمع النقص والتمام والحكاية التصديقية والتصوّرية في جملة واحدة وحال واحد ولو بتكثّر الاعتبار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غير عمرو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تكن الحكاية التصديقية فيه إلاّ </w:t>
      </w:r>
      <w:bookmarkStart w:id="496" w:name="pg15293_220294"/>
    </w:p>
    <w:p>
      <w:pPr>
        <w:pStyle w:val="BookText"/>
        <w:rPr/>
      </w:pPr>
      <w:bookmarkEnd w:id="496"/>
      <w:r>
        <w:rPr>
          <w:rFonts w:ascii="Amiri" w:hAnsi="Amiri" w:eastAsia="Amiri" w:cs="Amiri"/>
          <w:color w:val="111111"/>
          <w:sz w:val="28"/>
          <w:sz w:val="28"/>
          <w:szCs w:val="28"/>
          <w:rtl w:val="true"/>
          <w:lang w:bidi="ar-SA"/>
        </w:rPr>
        <w:t>عن مغايرة الجملتين، لا عن قيام زيد وقعود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موضوع الأحكام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يجعل موضوعهما جملاً ناقصة إذا خرجت عن النقص تكون موجبة أو سالبة محصّلة،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بقائم غير عمرو ليس بقاعد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موجبة وسالبة معدولة أو سالبة المحمول،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الغير القرشية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ليست بقرشية كذا</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4629112_2142443653"/>
      <w:bookmarkStart w:id="498" w:name="_Toc177"/>
      <w:bookmarkEnd w:id="497"/>
      <w:r>
        <w:rPr>
          <w:rtl w:val="true"/>
        </w:rPr>
        <w:t>الخامسة</w:t>
      </w:r>
      <w:r>
        <w:rPr>
          <w:rtl w:val="true"/>
        </w:rPr>
        <w:t xml:space="preserve">: </w:t>
      </w:r>
      <w:r>
        <w:rPr>
          <w:rtl w:val="true"/>
        </w:rPr>
        <w:t>في اعتبارات موضوع العامّ المخصَّص</w:t>
      </w:r>
      <w:bookmarkEnd w:id="498"/>
    </w:p>
    <w:p>
      <w:pPr>
        <w:pStyle w:val="BookText"/>
        <w:rPr/>
      </w:pPr>
      <w:r>
        <w:rPr>
          <w:rFonts w:ascii="Amiri" w:hAnsi="Amiri" w:eastAsia="Amiri" w:cs="Amiri"/>
          <w:color w:val="111111"/>
          <w:sz w:val="28"/>
          <w:sz w:val="28"/>
          <w:szCs w:val="28"/>
          <w:rtl w:val="true"/>
          <w:lang w:bidi="ar-SA"/>
        </w:rPr>
        <w:t>قد عرفت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سواء كان بنحو الاستثناء أو الانفصال يكشف عن تضييق ما هو موضوع العامّ، وتقييده بحسب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تعلّق الحكم الفعلي الجدّي بوجوب إكرام كلّ عالم بلا قيد، مع كونه مخصّصاً بعدم إكرام الفسّاق منهم، لا لأجل التضادّ بين الحكمين؛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مرفوع بتكثّر الموضوع في ذاتهما، بل لأجل أنّ المولى الملتفت إلى موضوع حكمه لا تتعلّق إرادته الجدّية بالحكم عليه إلاّ بعد تحقّق المقتضي 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أنّ في إكرام العلماء العدول مصلحة لا غيرهم فلا تتعلّق إرادته إلاّ بإكرامهم، أو رأى أنّ في إكرام عدولهم مصلحة بلا مفسدة، وفي إكرام فسّاقهم مصلحة مع مفسدة راجحة، تتعلّق إرادته بإكرام عدولهم، أو ما عدا فسّاقهم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باب التخصيص كباب التزاحم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المزاحمة في مقام العمل لا توجب رفع فعلية الحكم عن موضوعه</w:t>
      </w:r>
      <w:r>
        <w:rPr>
          <w:rFonts w:eastAsia="Amiri" w:cs="Amiri" w:ascii="Amiri" w:hAnsi="Amiri"/>
          <w:color w:val="111111"/>
          <w:sz w:val="28"/>
          <w:szCs w:val="28"/>
          <w:rtl w:val="true"/>
          <w:lang w:bidi="ar-SA"/>
        </w:rPr>
        <w:t xml:space="preserve">. </w:t>
      </w:r>
      <w:bookmarkStart w:id="499" w:name="pg15293_220295"/>
    </w:p>
    <w:p>
      <w:pPr>
        <w:pStyle w:val="BookText"/>
        <w:rPr/>
      </w:pPr>
      <w:bookmarkEnd w:id="499"/>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العامّ بعد التخصيص بحسب الحكم الفعلي الجدّي يمكن أن يكون متقيّداً بنحو العدم النعتي على حذو العدول،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الغير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الغير القرشية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بنحو العدم النعتي على حذو الموجبة السالبة المحمول،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الذين لا يكونون فسّاقاً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لا تتّصف بأ نّها قرشية، أو لا تكون 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الموضوع على حذو السالبة المحصّلة الصادقة مع عدم الموضوع، فغير معقول؛ للزوم جعل الحكم على المعدوم بما هو معدوم، فهل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ترى الدم إلى خمسين إذا لم تكن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السلب التحصيلي الصادق مع سلب الموضوع، فيرجع إلى أنّ المرأة التي لم توجد ترى الدم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وجود الموضوع، فيكون الحكم متعلّقاً بالمرأة الموجودة إذا لم تكن من قريش، وهذا إن لم يرجع إلى التقييد بهذا السلب يكون قسماً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فالاعتبارات التي يمكن أن تؤخذ في موضوع العامّ المخصّص لا تخلو عن العدم النعتي العدولي، أو السالبة المحمول، أو السلب التحصيلي مع اعتبار وجود الموضوع لو لم يرجع إلى التقييد والنعت</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4629114_2142443653"/>
      <w:bookmarkStart w:id="501" w:name="_Toc178"/>
      <w:bookmarkEnd w:id="500"/>
      <w:r>
        <w:rPr>
          <w:rtl w:val="true"/>
        </w:rPr>
        <w:t>التحقيق في المقام</w:t>
      </w:r>
      <w:bookmarkEnd w:id="50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وإحراز مصداق العامّ فيما إذا كان الفرد موجوداً متّصفاً بعنوان العامّ أو بغير عنوان الخاصّ سابقاً، كما لو كان فرد من العلماء عادلاً، فشكّ في بقاء عدالته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يجري ويحرز فيما إذا علم بوجود العالِم متّصفاً بعدم الفسق وشكّ في بقاء علمه،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كان عالماً غير فاسق، فشكّ في بقاء علمه، فيستصحب عنوان العامّ المخصّص، ويحرز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زيد غير فاسق، وشكّ في بقاء عدمه النعتي، ولكن لم يكن علمه في حال عدم فسقه متيقّناً حتّى يكون المعلوم العالم الغير الفاسق، ولكن علم أ نّه عالم في الحال، لم يمكن إحراز موضوع العامّ بالأصل والوجدان؛ لأنّ استصحاب عدم كون زيد فاسقاً، أو كونه غير فاسق، مع العلم بأ نّه عالم في الحال، لا يثبت زيداً العالم الغير الفاسق لإحراز موضوع العامّ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موضوعه هو العالم المتّصف بعدم كونه فاسقاً، فجزؤه عدم نعتي للعالم، وهو غير مسبوق باليقين، وما هو مسبوق به هو زيد المتّصف بعدم الفسق، وهو ليس جزءه، واستصحاب العدم النعتي لعنوان لا يثبت العدم النعتي لعنوان متّحد معه إلاّ بحكم العقل، وهو مثبت، وتعلّق العلم بأنّ زيداً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فاسقاً بنحو السلب التحصيلي لا يفيد؛ لعدم كونه بهذا الاعتبار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ظهر عدم إمكان إحراز جزأي الموضوع بالأصل، إذا شكّ في علمه وعدالته مع العلم باتّصافه بهما سابقاً لو لم يعلم اتّصافه بهما في زمان واحد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مسبوقاً باليقين، فالمناط في صحّة الإحراز هو مسبوقية العدم النعتي لعنوان العامّ، لا العدم النعتي مطلقاً، فتبصّر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الاتّصاف واللا اتّصاف ملازمين لوجوده، كالقابلية واللا قابلية للذبح في الحيوان، والقرشية واللا قرشية في المرأة، والمخالفة وعدمها للكتاب </w:t>
      </w:r>
    </w:p>
    <w:p>
      <w:pPr>
        <w:pStyle w:val="BookText"/>
        <w:rPr/>
      </w:pPr>
      <w:r>
        <w:rPr>
          <w:rFonts w:ascii="Amiri" w:hAnsi="Amiri" w:eastAsia="Amiri" w:cs="Amiri"/>
          <w:color w:val="111111"/>
          <w:sz w:val="28"/>
          <w:sz w:val="28"/>
          <w:szCs w:val="28"/>
          <w:rtl w:val="true"/>
          <w:lang w:bidi="ar-SA"/>
        </w:rPr>
        <w:t>في الشرط، فجريان الأصل لإحراز مصداق العامّ ممّا لا مجال له،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الوصف من قبيل العدم النعتي بنحو العدول،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العامّ بعد التخصيص كون الموضوع هو المرأة الغير القرشية، والشرط الغير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أو بنحو الموجبة السالبة المحمول، كالمرأة التي ليست بالقرشية، والشرط الذي ليس 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الإيجاب العدولي والموجبة السالبة المحمول يحتاجان إلى الموضوع؛ فإنّ في كلّ منهما يكون الموضوع متّصفاً بوصف، فكما أنّ المرأة الغير القرشية تتّصف بهذه الصفة، كذلك المرأة التي لم تتّصف بالقرشية، أو لم تكن قرشية، موصوفة بوصف أ نّها لم تتّصف بذلك، أو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بالعدول وسلب المحمول غير فارق فيما نحن فيه، فالمرأة قبل وجودها كما لا تتّصف بأ نّها غير قرشية؛ لأنّ الاتّصاف بشيء فرع وجود الموصوف، كذلك لا تتّصف بأ نّها هي التي لا تتّصف بها؛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الثاني من قبيل السلب التحصيلي ناشٍ من الخلط بين الموجبة السالبة المحمول وبين السالبة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والقيد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بين التقييد بنحو الإيجاب العدولي والموجبة السالبة المحمول، ولا يكون من قبيل السلب التحصيلي؛ ممّا لا يوجب تقييداً في الموضوع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 الموضوع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مسلوباً عنه الفسق بالسلب التحصيلي، فلا يجري فيه الأصل أيضاً لإحرازه؛ إذ قد عرفت أنّ السلب التحصيلي الأعمّ من وجود الموضوع لا يعقل جعله موضوعاً، فلا بدّ من أخذ الموضوع مفروض الوجود، فيكون العالم الموجود إذا لم يكن فاسقاً موضوعاً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مجرّد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الاستصحاب فيه منوطة بوحدة القضيّة المتيقّنة مع المشكوك فيها، وهي مفقودة؛ لأنّ الشيء لم يكن قبل وجوده شيئاً لا ماهيةً ولا وجوداً، والمعدوم لا يقبل الإشارة لا حسّاً ولا عقلاً، فلا تكون هذه المرأة الموجودة قبل وجودها هذه المرأة، بل تكون تلك الإشارة من اُكذوبة الواهمة واختراعاتها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المشار إليها في حال الوجود ليست موضوعة للقضيّة المتيقّنة الحاكية عن ظرف العدم؛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السالبة لا تحكي عن النسبة، ولا عن الوجود الرابط، ولا عن الهوهوية بوجه، فلا تكون للنسبة السلبية واقعية حتّى تكون القضيّة حاكية عنها، فانتساب هذه المرأة إلى قريش مسلوب أزلاً؛ بمعنى مسلوبية هذية المرأة وقريش والانتساب، لا بمعنى مسلوبية الانتساب عن هذه المرأة وقريش، وإلاّ يلزم كون الأعدام متمايزة حال عدمها، وهو واضح الفساد، فالقضيّة المتيقّنة غير القضيّة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سلّم وحدتهما كان الأصل مثبتاً؛ لأنّ المتيقّن هو عدم كون هذه المرأة</w:t>
      </w:r>
    </w:p>
    <w:p>
      <w:pPr>
        <w:pStyle w:val="BookText"/>
        <w:rPr/>
      </w:pPr>
      <w:r>
        <w:rPr>
          <w:rFonts w:ascii="Amiri" w:hAnsi="Amiri" w:eastAsia="Amiri" w:cs="Amiri"/>
          <w:color w:val="111111"/>
          <w:sz w:val="28"/>
          <w:sz w:val="28"/>
          <w:szCs w:val="28"/>
          <w:rtl w:val="true"/>
          <w:lang w:bidi="ar-SA"/>
        </w:rPr>
        <w:t xml:space="preserve">قرشية باعتبار سلب الموضوع، أو الأعمّ منه ومن سلب المحمول، واستصحاب ذلك وإثبات الحكم للقسم المقابل أو للأخصّ مثبت؛ لأنّ انطباق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وهذا كاستصحاب بقاء الحيوان في الدار وإثبات حكم قسم منه بواسطة العلم بالانحصار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استصحاب الأعدام الأزلية في أمثال المقام مطلقاً</w:t>
      </w:r>
      <w:r>
        <w:rPr>
          <w:rFonts w:eastAsia="Amiri" w:cs="Amiri" w:ascii="Amiri" w:hAnsi="Amiri"/>
          <w:color w:val="111111"/>
          <w:sz w:val="28"/>
          <w:szCs w:val="28"/>
          <w:rtl w:val="true"/>
          <w:lang w:bidi="ar-SA"/>
        </w:rPr>
        <w:t xml:space="preserve">. </w:t>
      </w:r>
      <w:bookmarkStart w:id="502" w:name="pg15293_220299"/>
    </w:p>
    <w:p>
      <w:pPr>
        <w:pStyle w:val="Heading5"/>
        <w:numPr>
          <w:ilvl w:val="4"/>
          <w:numId w:val="1"/>
        </w:numPr>
        <w:rPr/>
      </w:pPr>
      <w:bookmarkStart w:id="503" w:name="__RefHeading___Toc4629116_2142443653"/>
      <w:bookmarkStart w:id="504" w:name="_Toc179"/>
      <w:bookmarkEnd w:id="502"/>
      <w:bookmarkEnd w:id="503"/>
      <w:r>
        <w:rPr>
          <w:rtl w:val="true"/>
        </w:rPr>
        <w:t>التنبيه الرابع في التمسّك بعمومات النذر وأمثاله لكشف حال الفرد</w:t>
      </w:r>
      <w:bookmarkEnd w:id="504"/>
    </w:p>
    <w:p>
      <w:pPr>
        <w:pStyle w:val="BookText"/>
        <w:rPr/>
      </w:pPr>
      <w:r>
        <w:rPr>
          <w:rFonts w:ascii="Amiri" w:hAnsi="Amiri" w:eastAsia="Amiri" w:cs="Amiri"/>
          <w:color w:val="111111"/>
          <w:sz w:val="28"/>
          <w:sz w:val="28"/>
          <w:szCs w:val="28"/>
          <w:rtl w:val="true"/>
          <w:lang w:bidi="ar-SA"/>
        </w:rPr>
        <w:t>قد عرفت عدم جواز التمسّك بالعامّ في الشبهة المصداقية للمخصّص، فلا مجال للتمسّك بعموم وجوب الوفاء بالنذر إذا شكّ في صحّة الوضوء بمائع مضاف، فضلاً عن دعوى كشف حال الفرد والحكم بصحّته مطلقاً؛ ضرورة أنّ العموم قد خصّ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إلاّ في طاعة الله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أو قيّد به، فلا بدّ من إحراز الموضوع للحكم بالوجوب، والعامّ غير كفيل له، فضلاً عن كفالته لكشف الصحّة وكونه طاعةً لله، أو لكشف إطلاق الماء مع الشكّ فيه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أيّد المحقّق الخراساني</w:t>
      </w:r>
      <w:r>
        <w:rPr>
          <w:rStyle w:val="FootnoteAnchor"/>
          <w:rtl w:val="true"/>
        </w:rPr>
        <w:footnoteReference w:id="419"/>
      </w:r>
      <w:r>
        <w:rPr>
          <w:rFonts w:ascii="Amiri" w:hAnsi="Amiri" w:eastAsia="Amiri" w:cs="Amiri"/>
          <w:color w:val="111111"/>
          <w:sz w:val="28"/>
          <w:sz w:val="28"/>
          <w:szCs w:val="28"/>
          <w:rtl w:val="true"/>
          <w:lang w:bidi="ar-SA"/>
        </w:rPr>
        <w:t>تلك الدعوى بما ورد من صحّة الإحرام قبل الميقات</w:t>
      </w:r>
      <w:r>
        <w:rPr>
          <w:rStyle w:val="FootnoteAnchor"/>
          <w:rtl w:val="true"/>
        </w:rPr>
        <w:footnoteReference w:id="420"/>
      </w:r>
      <w:r>
        <w:rPr>
          <w:rFonts w:ascii="Amiri" w:hAnsi="Amiri" w:eastAsia="Amiri" w:cs="Amiri"/>
          <w:color w:val="111111"/>
          <w:sz w:val="28"/>
          <w:sz w:val="28"/>
          <w:szCs w:val="28"/>
          <w:rtl w:val="true"/>
          <w:lang w:bidi="ar-SA"/>
        </w:rPr>
        <w:t>والصوم في السفر</w:t>
      </w:r>
      <w:r>
        <w:rPr>
          <w:rStyle w:val="FootnoteAnchor"/>
          <w:rtl w:val="true"/>
        </w:rPr>
        <w:footnoteReference w:id="421"/>
      </w:r>
      <w:r>
        <w:rPr>
          <w:rFonts w:ascii="Amiri" w:hAnsi="Amiri" w:eastAsia="Amiri" w:cs="Amiri"/>
          <w:color w:val="111111"/>
          <w:sz w:val="28"/>
          <w:sz w:val="28"/>
          <w:szCs w:val="28"/>
          <w:rtl w:val="true"/>
          <w:lang w:bidi="ar-SA"/>
        </w:rPr>
        <w:t xml:space="preserve">إذا تعلّق بهما النذر، وأضاف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النافلة قبل</w:t>
      </w:r>
      <w:r>
        <w:rPr>
          <w:rStyle w:val="FootnoteAnchor"/>
          <w:rtl w:val="true"/>
        </w:rPr>
        <w:footnoteReference w:id="422"/>
      </w:r>
      <w:r>
        <w:rPr>
          <w:rFonts w:ascii="Amiri" w:hAnsi="Amiri" w:eastAsia="Amiri" w:cs="Amiri"/>
          <w:color w:val="111111"/>
          <w:sz w:val="28"/>
          <w:sz w:val="28"/>
          <w:szCs w:val="28"/>
          <w:rtl w:val="true"/>
          <w:lang w:bidi="ar-SA"/>
        </w:rPr>
        <w:t>الفريضة</w:t>
      </w:r>
      <w:r>
        <w:rPr>
          <w:rStyle w:val="FootnoteAnchor"/>
          <w:rtl w:val="true"/>
        </w:rPr>
        <w:footnoteReference w:id="423"/>
      </w:r>
      <w:r>
        <w:rPr>
          <w:rFonts w:ascii="Amiri" w:hAnsi="Amiri" w:eastAsia="Amiri" w:cs="Amiri"/>
          <w:color w:val="111111"/>
          <w:sz w:val="28"/>
          <w:sz w:val="28"/>
          <w:szCs w:val="28"/>
          <w:rtl w:val="true"/>
          <w:lang w:bidi="ar-SA"/>
        </w:rPr>
        <w:t xml:space="preserve">، مع أنّ الأمثلة غير مربوطة بالدعوى؛ لأنّ المدّعى التمسّك بالعامّ المخصّص لكشف حال الفرد، وهي ليست من هذا القبيل؛ فإنّ الإحرام قبل الميقات حرام، وبالنذر يصير واجباً </w:t>
      </w:r>
      <w:bookmarkStart w:id="505" w:name="pg15293_220300"/>
    </w:p>
    <w:p>
      <w:pPr>
        <w:pStyle w:val="BookText"/>
        <w:rPr/>
      </w:pPr>
      <w:bookmarkEnd w:id="505"/>
      <w:r>
        <w:rPr>
          <w:rFonts w:ascii="Amiri" w:hAnsi="Amiri" w:eastAsia="Amiri" w:cs="Amiri"/>
          <w:color w:val="111111"/>
          <w:sz w:val="28"/>
          <w:sz w:val="28"/>
          <w:szCs w:val="28"/>
          <w:rtl w:val="true"/>
          <w:lang w:bidi="ar-SA"/>
        </w:rPr>
        <w:t>بدلالة الأخبار، وكذا الصوم في السفر، وصيرورة الشيء بالنذر واجباً بدليل خاصّ غير التمسّك بالعموم لكشف حال الفرد</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4629118_2142443653"/>
      <w:bookmarkStart w:id="507" w:name="_Toc180"/>
      <w:bookmarkEnd w:id="506"/>
      <w:r>
        <w:rPr>
          <w:rtl w:val="true"/>
        </w:rPr>
        <w:t>التنبيه الخامس التمسّك بالعامّ لكشف حال الفرد عند الشكّ بين التخصيص والتخصّص</w:t>
      </w:r>
      <w:bookmarkEnd w:id="507"/>
    </w:p>
    <w:p>
      <w:pPr>
        <w:pStyle w:val="BookText"/>
        <w:rPr/>
      </w:pPr>
      <w:r>
        <w:rPr>
          <w:rFonts w:ascii="Amiri" w:hAnsi="Amiri" w:eastAsia="Amiri" w:cs="Amiri"/>
          <w:color w:val="111111"/>
          <w:sz w:val="28"/>
          <w:sz w:val="28"/>
          <w:szCs w:val="28"/>
          <w:rtl w:val="true"/>
          <w:lang w:bidi="ar-SA"/>
        </w:rPr>
        <w:t>لو علم عدم محكومية فرد بحكم العامّ، ودار أمره بين التخصيص والتخصّص، فهل يجوز التمسّك بأصالة العموم لكشف حال الفرد،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إكرام جميع العلماء واجب بحكم أصالة العموم، فإذا لم يجب إكرام شخص يستكشف أ نّه ليس بعالم بحكم عكس النقيض، كما 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يكن حارّاً لم يكن ناراً</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لا لما ذكره المحقّق الخراساني</w:t>
      </w:r>
      <w:r>
        <w:rPr>
          <w:rStyle w:val="FootnoteAnchor"/>
          <w:rtl w:val="true"/>
        </w:rPr>
        <w:footnoteReference w:id="425"/>
      </w:r>
      <w:r>
        <w:rPr>
          <w:rFonts w:ascii="Amiri" w:hAnsi="Amiri" w:eastAsia="Amiri" w:cs="Amiri"/>
          <w:color w:val="111111"/>
          <w:sz w:val="28"/>
          <w:sz w:val="28"/>
          <w:szCs w:val="28"/>
          <w:rtl w:val="true"/>
          <w:lang w:bidi="ar-SA"/>
        </w:rPr>
        <w:t>، وقرّره تلميذه المحقّق في 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العموم وإن كانت حجّة، لكن غير قابلة لإثبات اللوازم، ومثبتات هذا الأصل كسائر الاُصول المثبتة؛ مع كونه أمارة في نفسه، فحينئذٍ لا مجال للتمسّك بعكس النقيض؛ فإنّه وإن كان لازماً عقلياً للعامّ، لكن ذلك اللازم إنّما يترتّب عليه لو فرض حجّية أصالة العموم لإثبات لازم المدلول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التفكيك بين اللازم والملزوم عدم نظر العموم إلى تعيين صغرى الحكم نفياً وإثباتاً، وإنّما نظره إلى إثبات الكبرى، كما هو المبنى في عدم </w:t>
      </w:r>
      <w:bookmarkStart w:id="508" w:name="pg15293_220301"/>
    </w:p>
    <w:p>
      <w:pPr>
        <w:pStyle w:val="BookText"/>
        <w:rPr/>
      </w:pPr>
      <w:bookmarkEnd w:id="508"/>
      <w:r>
        <w:rPr>
          <w:rFonts w:ascii="Amiri" w:hAnsi="Amiri" w:eastAsia="Amiri" w:cs="Amiri"/>
          <w:color w:val="111111"/>
          <w:sz w:val="28"/>
          <w:sz w:val="28"/>
          <w:szCs w:val="28"/>
          <w:rtl w:val="true"/>
          <w:lang w:bidi="ar-SA"/>
        </w:rPr>
        <w:t>جواز التمسّك بالعامّ في الشبهة المصداقية، وما نحن فيه أيضاً مبنيّ على</w:t>
      </w:r>
    </w:p>
    <w:p>
      <w:pPr>
        <w:pStyle w:val="BookText"/>
        <w:rPr/>
      </w:pPr>
      <w:r>
        <w:rPr>
          <w:rFonts w:ascii="Amiri" w:hAnsi="Amiri" w:eastAsia="Amiri" w:cs="Amiri"/>
          <w:color w:val="111111"/>
          <w:sz w:val="28"/>
          <w:sz w:val="28"/>
          <w:szCs w:val="28"/>
          <w:rtl w:val="true"/>
          <w:lang w:bidi="ar-SA"/>
        </w:rPr>
        <w:t>هذه الجهة</w:t>
      </w:r>
      <w:r>
        <w:rPr>
          <w:rStyle w:val="FootnoteAnchor"/>
          <w:rtl w:val="true"/>
        </w:rPr>
        <w:footnoteReference w:id="426"/>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عكس النقيض لازم للكبرى الكلّية، ولا يلزم أن يكون العامّ ناظراً</w:t>
      </w:r>
    </w:p>
    <w:p>
      <w:pPr>
        <w:pStyle w:val="BookText"/>
        <w:rPr/>
      </w:pPr>
      <w:r>
        <w:rPr>
          <w:rFonts w:ascii="Amiri" w:hAnsi="Amiri" w:eastAsia="Amiri" w:cs="Amiri"/>
          <w:color w:val="111111"/>
          <w:sz w:val="28"/>
          <w:sz w:val="28"/>
          <w:szCs w:val="28"/>
          <w:rtl w:val="true"/>
          <w:lang w:bidi="ar-SA"/>
        </w:rPr>
        <w:t xml:space="preserve">إلى تعيين الصغرى في لزومه لها، فإذا سلّم جريان أصالة العموم وكونها أمارة، فلا مجال لإنكار حجّيتها بالنسبة إلى لازمها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يحكمون بأنّ كلّ فرد من العامّ محكوم بحكم العامّ واقعاً ومراد جدّاً من غير استثناء، ومعه يحتمل عندهم أن يكون فرد منه غير محكوم بحكمه، إلاّ أن يلتزم بأ نّها أصل تعبّدي لا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عدم الصحّة لأجل عدم جريانها في مثل المقام؛ لأنّ المتيقّن من جريانها إنّما هو لكشف مراد المتكلّم، وأمّا مع العلم بمراده والشكّ في جهات اُخر فلا تجري، لا أ نّها جارية ومنفكّة عن لازمها، وهذا نظير أصالة الحقيقة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مع الشكّ في المراد لا لكشف الوضع، فبعد العلم بعدم وجوب إكرام شخص لا أصل يحرز أ نّه من قبيل التخصيص أو التخصّص، فتدبّر</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4629120_2142443653"/>
      <w:bookmarkStart w:id="510" w:name="_Toc181"/>
      <w:bookmarkEnd w:id="509"/>
      <w:r>
        <w:rPr>
          <w:rtl w:val="true"/>
        </w:rPr>
        <w:t>التنبيه السادس في دوران الأمر بين التخصيص والتخصّص لإجمال الخاصّ</w:t>
      </w:r>
      <w:bookmarkEnd w:id="51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دلّ دليل منفصلاً على عدم وجوب إكرام زيد وكان مردّداً بين الجاهل والعالم، فالظاهر جواز التمسّك بالعامّ لوجوب إكرام العالم منهما؛ لأنّ المجمل </w:t>
      </w:r>
    </w:p>
    <w:p>
      <w:pPr>
        <w:pStyle w:val="BookText"/>
        <w:rPr/>
      </w:pPr>
      <w:r>
        <w:rPr>
          <w:rFonts w:ascii="Amiri" w:hAnsi="Amiri" w:eastAsia="Amiri" w:cs="Amiri"/>
          <w:color w:val="111111"/>
          <w:sz w:val="28"/>
          <w:sz w:val="28"/>
          <w:szCs w:val="28"/>
          <w:rtl w:val="true"/>
          <w:lang w:bidi="ar-SA"/>
        </w:rPr>
        <w:t>المردّد ليس بحجّة بالنسبة إلى العالم، والعامّ حجّة بلا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كان الخاصّ حكماً إلزامياً كحرمة الإكرام، أمكن أن يقال بانحلال</w:t>
      </w:r>
    </w:p>
    <w:p>
      <w:pPr>
        <w:pStyle w:val="BookText"/>
        <w:rPr/>
      </w:pPr>
      <w:r>
        <w:rPr>
          <w:rFonts w:ascii="Amiri" w:hAnsi="Amiri" w:eastAsia="Amiri" w:cs="Amiri"/>
          <w:color w:val="111111"/>
          <w:sz w:val="28"/>
          <w:sz w:val="28"/>
          <w:szCs w:val="28"/>
          <w:rtl w:val="true"/>
          <w:lang w:bidi="ar-SA"/>
        </w:rPr>
        <w:t xml:space="preserve">العلم؛ بمعنى أنّ أصالة العموم حاكمة بأنّ زيداً العالم يجب إكرامه، ولازمه عدم حرمة إكرامه، ولازمه حرمة إكرام زيد الجاهل؛ لحجّية مثبتات الاُصول اللفظية، فتنحلّ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الإجمالية التي لولا العامّ لوجب بحكم العقل متابعتها، وعدم جواز إكرام واحد منهما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سوّى الشيخ الأعظم بين الفرض والذي تقدّم في الأمر الخامس،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ديدن العلماء في مباحثهم الفقهية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511" w:name="pg15293_220303"/>
    </w:p>
    <w:p>
      <w:pPr>
        <w:pStyle w:val="Heading3"/>
        <w:numPr>
          <w:ilvl w:val="2"/>
          <w:numId w:val="1"/>
        </w:numPr>
        <w:rPr/>
      </w:pPr>
      <w:bookmarkStart w:id="512" w:name="__RefHeading___Toc4629122_2142443653"/>
      <w:bookmarkStart w:id="513" w:name="_Toc182"/>
      <w:bookmarkEnd w:id="511"/>
      <w:bookmarkEnd w:id="512"/>
      <w:r>
        <w:rPr>
          <w:rtl w:val="true"/>
        </w:rPr>
        <w:t>الفصل الثالث هل يجوز العمل بالعامّ قبل الفحص ؟</w:t>
      </w:r>
      <w:bookmarkEnd w:id="513"/>
    </w:p>
    <w:p>
      <w:pPr>
        <w:pStyle w:val="Heading4"/>
        <w:numPr>
          <w:ilvl w:val="3"/>
          <w:numId w:val="1"/>
        </w:numPr>
        <w:rPr/>
      </w:pPr>
      <w:bookmarkStart w:id="514" w:name="__RefHeading___Toc4629124_2142443653"/>
      <w:bookmarkStart w:id="515" w:name="_Toc183"/>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ينبغي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البحث على ما صرّح به المحقّق الخراساني</w:t>
      </w:r>
      <w:r>
        <w:rPr>
          <w:rStyle w:val="FootnoteAnchor"/>
          <w:rtl w:val="true"/>
        </w:rPr>
        <w:footnoteReference w:id="428"/>
      </w:r>
      <w:r>
        <w:rPr>
          <w:rFonts w:ascii="Amiri" w:hAnsi="Amiri" w:eastAsia="Amiri" w:cs="Amiri"/>
          <w:color w:val="111111"/>
          <w:sz w:val="28"/>
          <w:sz w:val="28"/>
          <w:szCs w:val="28"/>
          <w:rtl w:val="true"/>
          <w:lang w:bidi="ar-SA"/>
        </w:rPr>
        <w:t>إنّما هو بعد الفراغ عن أنّ حجّية أصالة العموم من باب الظنّ النوعي لا الظنّ الخاصّ، وبعد الفراغ عن حجّيتها بالنسبة إلى المشافه وغيره، وبعد الفراغ عن عدم العلم الإجمالي بالتخصيص؛ ضرورة أ نّه لو كانت الحجّية للظنّ الشخصي لكانت تابعة لحصوله، ولا مدخل للفحص وعدمه فيه، وأ نّه مع العلم الإجمالي لا مجال لإنكار الفحص إلى أن ينحلّ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ظاهرهم أعمّية البحث هاهنا؛ لتمسّكهم بالعلم الإجمالي بالمخصّص، ونحن نبحث على فرض العلم وعدمه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البحث منحصر بالمنفصلات، دون المتّصلات </w:t>
      </w:r>
      <w:bookmarkStart w:id="516" w:name="pg15293_220304"/>
    </w:p>
    <w:p>
      <w:pPr>
        <w:pStyle w:val="BookText"/>
        <w:rPr/>
      </w:pPr>
      <w:bookmarkEnd w:id="516"/>
      <w:r>
        <w:rPr>
          <w:rFonts w:ascii="Amiri" w:hAnsi="Amiri" w:eastAsia="Amiri" w:cs="Amiri"/>
          <w:color w:val="111111"/>
          <w:sz w:val="28"/>
          <w:sz w:val="28"/>
          <w:szCs w:val="28"/>
          <w:rtl w:val="true"/>
          <w:lang w:bidi="ar-SA"/>
        </w:rPr>
        <w:t>باحتمال عدم الوصول؛ لعدم اعتناء العقلاء به؛ لأنّ احتماله منحصر بسقوطه عمداً أو خطأً أو نسياناً، والأوّل مخالف لفرض وثاقة الراوي، والأخيران مخالفان للأصل العقلائي، وسيظهر أنّ مناط لزوم الفحص ليس في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المحقّق الخراساني بين الفحص هاهنا وبينه في الاُصول العملية،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الفحص هاهنا عمّا يزاحم الحجّة، بخلافه هناك؛ فإنّه من متمّماتها؛ ضرورة أنّ العقل لا يستقلّ بقبح العقاب مع البيان الواصل بنحو متعارف، وإن لم يصل إلى المكلّف بواسطة عدم فحصه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هاهنا أيضاً عن متمّم الحجّية، لا عن مزاحمها، ويتّضح بعد بيان دليل لزوم الفحص</w:t>
      </w:r>
      <w:r>
        <w:rPr>
          <w:rStyle w:val="FootnoteAnchor"/>
          <w:rtl w:val="true"/>
        </w:rPr>
        <w:footnoteReference w:id="430"/>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لا يختصّ بالعامّ ولا بالأدلّة اللفظية، بل يجري في المطلق قبل الفحص عن المقيّد، وفي الظاهر قبل الفحص عن معارضه، وفي الاُصول العقلية قبل الفحص عن الأدلّة، ومناط الجميع واحد، كما سيتّضح لك</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629126_2142443653"/>
      <w:bookmarkStart w:id="518" w:name="_Toc184"/>
      <w:bookmarkEnd w:id="517"/>
      <w:r>
        <w:rPr>
          <w:rtl w:val="true"/>
        </w:rPr>
        <w:t>الاستدلال على وجوب الفحص عن المخصّص بمعرضية العامّ للتخصيص</w:t>
      </w:r>
      <w:bookmarkEnd w:id="51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ما أفاد المحقّق الخراساني في المقام</w:t>
      </w:r>
      <w:r>
        <w:rPr>
          <w:rStyle w:val="FootnoteAnchor"/>
          <w:rtl w:val="true"/>
        </w:rPr>
        <w:footnoteReference w:id="431"/>
      </w:r>
      <w:r>
        <w:rPr>
          <w:rFonts w:ascii="Amiri" w:hAnsi="Amiri" w:eastAsia="Amiri" w:cs="Amiri"/>
          <w:color w:val="111111"/>
          <w:sz w:val="28"/>
          <w:sz w:val="28"/>
          <w:szCs w:val="28"/>
          <w:rtl w:val="true"/>
          <w:lang w:bidi="ar-SA"/>
        </w:rPr>
        <w:t>،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يسلك في مخاطباته غير ما سلك العقلاء، بل جرى في قوانينه على ما جرت به عادة العقلاء وسيرتهم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ديدنهم في المخاطبات </w:t>
      </w:r>
    </w:p>
    <w:p>
      <w:pPr>
        <w:pStyle w:val="BookText"/>
        <w:rPr/>
      </w:pPr>
      <w:r>
        <w:rPr>
          <w:rFonts w:ascii="Amiri" w:hAnsi="Amiri" w:eastAsia="Amiri" w:cs="Amiri"/>
          <w:color w:val="111111"/>
          <w:sz w:val="28"/>
          <w:sz w:val="28"/>
          <w:szCs w:val="28"/>
          <w:rtl w:val="true"/>
          <w:lang w:bidi="ar-SA"/>
        </w:rPr>
        <w:t xml:space="preserve">العادية والمحاورات الشخصية بين الموالي والعبيد وغيرهم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المخصّصات والمقيّدات والقرائن، ولهذا تكون العمومات والمطلقات الصادرة منهم في محيط المحاورات حجّة بلا احتياج إلى الفحص، ولا يعتني العقلاء باحتمال المخصّص والمقيّد المنفصلين، ويعملون بالعمومات والإطلاقات بلا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المحاورات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 وضع القوانين وتشريع الشرائع لدى جميع العقلاء، فغير حال المحاورات الشخصية، فترى أنّ ديدنهم في وضع القوانين ذكر العمومات والمطلقات في فصل ومادّة، وذكر مخصّصاتها ومقيّداتها وحدودها تدريجاً ونجوماً في فصول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والشارع الصادع جرى في ذلك على ما جرت به طريقة كافّة العقلاء، فترى أنّ القوانين الكلّية في الكتاب والسنّة منفصلة عن مخصّصاتها ومقيّداتها، فالأحكام والقوانين نزلت على رسول الله صلی الله علیه و آله وسلم نجوماً في سنين متمادية، وبلّغها حسب المتعارف في تبليغ القوانين للاُمّة، وجمع علماؤها بتعليم أهل بيت الوحي القوانين في اُصولهم وكتبهم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تكون أحكامه تعالى قوانين مدوّنة في الكتاب والسنّة، والعمومات والمطلقات التي فيها في معرض التخصيص والتقييد حسب ديدن العقلاء في وضع القوانين السياسية والمدنية، وما هذا حاله ليس بناء العقلاء على التمسّك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بالاُصول بمجرّد العثور على العمومات والمطلقات من غير فحص؛ لأنّ كونهما في معرض المعارضات يمنعهم عن إجراء أصالة التطابق بين الاستعمال والجدّ، ولا يكون العامّ حجّة إلاّ بعد جريان هذا الأصل العقلائي، وإلاّ فبمجرّد </w:t>
      </w:r>
    </w:p>
    <w:p>
      <w:pPr>
        <w:pStyle w:val="BookText"/>
        <w:rPr/>
      </w:pPr>
      <w:r>
        <w:rPr>
          <w:rFonts w:ascii="Amiri" w:hAnsi="Amiri" w:eastAsia="Amiri" w:cs="Amiri"/>
          <w:color w:val="111111"/>
          <w:sz w:val="28"/>
          <w:sz w:val="28"/>
          <w:szCs w:val="28"/>
          <w:rtl w:val="true"/>
          <w:lang w:bidi="ar-SA"/>
        </w:rPr>
        <w:t>ظهور الكلام وإجراء أصالة الحقيقة والظهور لا تتمّ الحجّية، فأصالة التطابق من متمّماتها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الفحص ليس العلم الإجمالي، بل مع عدم العلم أيضاً يجب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هاهنا أيضاً عن متمّم الحجّة، لا عن مزاحمها، فكما أنّ قاعدة قبح العقاب بلا بيان لا تجري إلاّ بعد الفحص؛ لتحقّق التبليغ من قِبل الشارع وعلماء الاُ مّة بالجمع في الكتب، ولا عذر للعبد في ترك الفحص، كذلك الاحتجاج بالعمومات والمطلقات والعمل بها لا يجوز إلاّ بعد الفحص، فيكون ذلك مقدّمة لإجراء الأصل العقلائي، وبه تتمّ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غير صحيح؛ لما ذكرت في باب 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المطلقات حجّة فعلية غير معلّقة على المقيّدات الواقعية، بل هي بعد وصولها من قبيل المزاحم، ويتمّ بها أمد الحجّية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البحث ها هنا غيرها هناك؛ لأنّ الكلام هاهنا في لزوم الفحص، وقد عرفت عدم حجّية عامّ ولا مطلق إلاّ بعده، وأمّا بعد الفحص المتعارف فيصيران حجّة فعلية، فلو عثرنا بعده على مقيّد ينتهي به أمد الحجّية، ولا يكون المطلق معلّقاً على عدم البيان الواقعي؛ بحيث يكون العثور عليه كاشفاً عن 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العامّ والمطلق من هذه الجهة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كان المستند غير العلم الإجمالي</w:t>
      </w:r>
      <w:r>
        <w:rPr>
          <w:rFonts w:eastAsia="Amiri" w:cs="Amiri" w:ascii="Amiri" w:hAnsi="Amiri"/>
          <w:color w:val="111111"/>
          <w:sz w:val="28"/>
          <w:szCs w:val="28"/>
          <w:rtl w:val="true"/>
          <w:lang w:bidi="ar-SA"/>
        </w:rPr>
        <w:t xml:space="preserve">. </w:t>
      </w:r>
      <w:bookmarkStart w:id="519" w:name="pg15293_220307"/>
    </w:p>
    <w:p>
      <w:pPr>
        <w:pStyle w:val="Heading4"/>
        <w:numPr>
          <w:ilvl w:val="3"/>
          <w:numId w:val="1"/>
        </w:numPr>
        <w:rPr/>
      </w:pPr>
      <w:bookmarkStart w:id="520" w:name="__RefHeading___Toc4629128_2142443653"/>
      <w:bookmarkStart w:id="521" w:name="_Toc185"/>
      <w:bookmarkEnd w:id="519"/>
      <w:bookmarkEnd w:id="520"/>
      <w:r>
        <w:rPr>
          <w:rtl w:val="true"/>
        </w:rPr>
        <w:t>الاستدلال على وجوب الفحص عن المخصّص بالعلم الإجمالي</w:t>
      </w:r>
      <w:bookmarkEnd w:id="521"/>
    </w:p>
    <w:p>
      <w:pPr>
        <w:pStyle w:val="BookText"/>
        <w:rPr/>
      </w:pPr>
      <w:r>
        <w:rPr>
          <w:rFonts w:ascii="Amiri" w:hAnsi="Amiri" w:eastAsia="Amiri" w:cs="Amiri"/>
          <w:color w:val="111111"/>
          <w:sz w:val="28"/>
          <w:sz w:val="28"/>
          <w:szCs w:val="28"/>
          <w:rtl w:val="true"/>
          <w:lang w:bidi="ar-SA"/>
        </w:rPr>
        <w:t>وأمّا الكلام فيه 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نّا نعلم إجمالاً بورود مخصّصات ومقيّدات</w:t>
      </w:r>
    </w:p>
    <w:p>
      <w:pPr>
        <w:pStyle w:val="BookText"/>
        <w:rPr/>
      </w:pPr>
      <w:r>
        <w:rPr>
          <w:rFonts w:ascii="Amiri" w:hAnsi="Amiri" w:eastAsia="Amiri" w:cs="Amiri"/>
          <w:color w:val="111111"/>
          <w:sz w:val="28"/>
          <w:sz w:val="28"/>
          <w:szCs w:val="28"/>
          <w:rtl w:val="true"/>
          <w:lang w:bidi="ar-SA"/>
        </w:rPr>
        <w:t>في الشريعة، فلا محيص عن الفحص عنها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أعمّ من المدّعى؛ لأنّ الفحص اللازم في الكتب التي بأيدينا لا يرفع أثر العلم؛ لكونه متعلّقاً بالمخصّصات في الشريعة، لا في الكتب فقط، فلا بدّ من الاحتياط حتّى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أخصّ منه؛ لأنّ العلم إذا صار منحلاًّ بمقدار العثور على المتيقّن لا بدّ من الالتزام بجواز التمسّك، والقوم لا يلتزمون به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فأجابوا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لا يتعلّق إلاّ بما في الكتب التي بأيدينا دون غيرها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الدعوى قريبة؛ فإنّ العلم بالمخصّصات الصالحة للاحتجاج وجداني بالنسبة إلى الكتب التي بأيدينا، وأمّا في غيرها فلا علم لنا بوجود اُصول مفقودة ضائعة، فضلاً عن العلم باشتمالها على المخصّصات الكذائية، فضلاً عن كونها غير ما في الكتب الموجودة، وإنّما ادّعى بعض فقدان بعض الاُصول على نحو الإجمال، ومثله لا يورث علماً بأصلها، فضلاً عن مشتملاتها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بعض المحقّقين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مقدار المعلوم وإن كان معلوماً بحيث </w:t>
      </w:r>
    </w:p>
    <w:p>
      <w:pPr>
        <w:pStyle w:val="BookText"/>
        <w:rPr/>
      </w:pPr>
      <w:r>
        <w:rPr>
          <w:rFonts w:ascii="Amiri" w:hAnsi="Amiri" w:eastAsia="Amiri" w:cs="Amiri"/>
          <w:color w:val="111111"/>
          <w:sz w:val="28"/>
          <w:sz w:val="28"/>
          <w:szCs w:val="28"/>
          <w:rtl w:val="true"/>
          <w:lang w:bidi="ar-SA"/>
        </w:rPr>
        <w:t>ينتهي الزائد إلى الشكّ البدوي، لكن هذا المقدار إذا كان مردّداً بين محتملات</w:t>
      </w:r>
    </w:p>
    <w:p>
      <w:pPr>
        <w:pStyle w:val="BookText"/>
        <w:rPr/>
      </w:pPr>
      <w:r>
        <w:rPr>
          <w:rFonts w:ascii="Amiri" w:hAnsi="Amiri" w:eastAsia="Amiri" w:cs="Amiri"/>
          <w:color w:val="111111"/>
          <w:sz w:val="28"/>
          <w:sz w:val="28"/>
          <w:szCs w:val="28"/>
          <w:rtl w:val="true"/>
          <w:lang w:bidi="ar-SA"/>
        </w:rPr>
        <w:t xml:space="preserve">متباينات منتشرات في أبواب الفقه من أوّله إلى آخره تصير جميع الشكوك في تمام الأبواب طرف العلم، فيمنع عن الأخذ به قبل الفحص، وفي هذه الصورة لا يفيد الظفر بالمعارض بمقدار المعلوم؛ إذ مثل هذا العلم الحاصل جديداً بكون المعلوم بالإجمال في غير الشكوك الباقية التي كانت طرفاً من الأوّل للاحتمال في المتباينات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العلوم الحاصلة بعد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قابلة للانحلال، فالاحتمال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منجّز</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الاعتراف بأنّ للمعلوم قدراً متيقّناً، فإن كان العلم تعلّق بانتشاره في جميع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في كلّ باب طائفة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بأصل المخصّص بمقدار محدود، وثانيهما بانتشاره في الأبواب من الأوّل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إن عثر على المقدار المعلوم في ضمن الفحص في جميع الأبواب، فلا مجال لعدم الانحلال ولو حكماً؛ ضرورة احتمال انطباق المعلوم من الأوّل على هذا المقدار، فلا يبقى أثر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عثر عليه في بعض الأبواب قبل الفحص في سائرها فلا محالة يخطأ أحد 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علمه بالمقدار المحدود، فيتجدّد له علم آخر بوجود المخصّص في سائر الأبواب، وهو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علمه بالانتشار في جميع الأبواب، فلا محيص عن الانحلال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بعض الأعاظم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غير </w:t>
      </w:r>
    </w:p>
    <w:p>
      <w:pPr>
        <w:pStyle w:val="BookText"/>
        <w:rPr/>
      </w:pPr>
      <w:r>
        <w:rPr>
          <w:rFonts w:ascii="Amiri" w:hAnsi="Amiri" w:eastAsia="Amiri" w:cs="Amiri"/>
          <w:color w:val="111111"/>
          <w:sz w:val="28"/>
          <w:sz w:val="28"/>
          <w:szCs w:val="28"/>
          <w:rtl w:val="true"/>
          <w:lang w:bidi="ar-SA"/>
        </w:rPr>
        <w:t>معلّم بعلامة، ومثله ينحلّ بعد العثور على المقدار المتيقّن؛ لأنّ هذا المقدار من أوّل الأمر معلوم، والزائد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معلّماً بعلامة، ومثله لا ينحلّ بذلك؛ لعدم الرجوع إلى العلم بالأقلّ والشكّ في الأكثر من أوّل الأمر، بل يتعلّق العلم بجميع الأطراف؛ بحيث لو كان الأكثر واجباً لكان ممّا تعلّق به وتنجّز بسببه، وليس الأكثر مشكوكاً فيه من أوّل الأمر، كما إذا علم بأ نّه مديون لزيد بما في الدفتر، فإنّ جميع ما فيه من دين زيد تعلّق به العلم؛ لمكان وجوده فيه، وتعلّق العلم بجميع ما فيه، وأين هذا ممّا كان دينه من أوّل الأمر مردّداً بين الأقلّ والأكثر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فلنا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تعلّق بما في الدفتر، ومقتضٍ للتنجّز بجميع ما فيه، والثاني بأنّ دين زيد عشرة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يقتضي الاحتياط، واللا مقتضي لا يزاحم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بأنّ البيض في هذا القطيع موطوءة، فأوجب العلم التنجيز بالنسبة إلى كلّ أبيض فيه، فلو عثر على مقدار متيقّن من البيض الموطوءة، فليس له إجراء أصالة الحلّ بالنسبة إلى الزائد</w:t>
      </w:r>
      <w:r>
        <w:rPr>
          <w:rStyle w:val="FootnoteAnchor"/>
          <w:rtl w:val="true"/>
        </w:rPr>
        <w:footnoteReference w:id="4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 ضرورة أنّ العلم الإجمالي إذا تعلّق بعنوان غير ذي أثر لا يوجب التنجّز بذلك العنوان، فلا بدّ من لحاظ ما له أثر، فإن دار أمره بين الأقلّ والأكثر ينحلّ العلم بلا ريب، وما نحن فيه من هذا القبيل؛ لأنّ الكون في الكتب كالكون في الدفتر ممّا لم يكن موضوعاً ولا جزء موضوع لحكم، وما هو الموضوع للأثر نفس المخصّصات، والكتب ظرفها بلا دخالة في التأثير</w:t>
      </w:r>
      <w:r>
        <w:rPr>
          <w:rFonts w:eastAsia="Amiri" w:cs="Amiri" w:ascii="Amiri" w:hAnsi="Amiri"/>
          <w:color w:val="111111"/>
          <w:sz w:val="28"/>
          <w:szCs w:val="28"/>
          <w:rtl w:val="true"/>
          <w:lang w:bidi="ar-SA"/>
        </w:rPr>
        <w:t xml:space="preserve">. </w:t>
      </w:r>
      <w:bookmarkStart w:id="522" w:name="pg15293_220310"/>
    </w:p>
    <w:p>
      <w:pPr>
        <w:pStyle w:val="BookText"/>
        <w:rPr/>
      </w:pPr>
      <w:bookmarkEnd w:id="522"/>
      <w:r>
        <w:rPr>
          <w:rFonts w:ascii="Amiri" w:hAnsi="Amiri" w:eastAsia="Amiri" w:cs="Amiri"/>
          <w:color w:val="111111"/>
          <w:sz w:val="28"/>
          <w:sz w:val="28"/>
          <w:szCs w:val="28"/>
          <w:rtl w:val="true"/>
          <w:lang w:bidi="ar-SA"/>
        </w:rPr>
        <w:t>وهذا نظير ما إذا كانت دنانير مردّدة بين الأقلّ والأكثر في كيس فأتلفه، فلا إشكال في تعلّق علمه بأنّ ما في الكيس صار مضموناً عليه، سواء كان أقلّ أو أكثر، لكن مجرّد ذلك لا يوجب إصابة العلم بالأكثر، بل لا يزيد عن الدوران بين الأقلّ والأكثر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أمثال تلك العلامات موجبة لتنجّز الأكثر فما من مورد إلاّ وينطبق على المعلوم عنوان نظير ما ذكر،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إذا تعلّق بما في الدفتر يوجب إصابة العلم بالأكثر،</w:t>
      </w:r>
    </w:p>
    <w:p>
      <w:pPr>
        <w:pStyle w:val="BookText"/>
        <w:rPr/>
      </w:pPr>
      <w:r>
        <w:rPr>
          <w:rFonts w:ascii="Amiri" w:hAnsi="Amiri" w:eastAsia="Amiri" w:cs="Amiri"/>
          <w:color w:val="111111"/>
          <w:sz w:val="28"/>
          <w:sz w:val="28"/>
          <w:szCs w:val="28"/>
          <w:rtl w:val="true"/>
          <w:lang w:bidi="ar-SA"/>
        </w:rPr>
        <w:t>فاسد؛ لأنّ ما في الدفتر المردّد بين الأقلّ والأكثر لا يعقل أن يكون أكثره متعلّقاً</w:t>
      </w:r>
    </w:p>
    <w:p>
      <w:pPr>
        <w:pStyle w:val="BookText"/>
        <w:rPr/>
      </w:pPr>
      <w:r>
        <w:rPr>
          <w:rFonts w:ascii="Amiri" w:hAnsi="Amiri" w:eastAsia="Amiri" w:cs="Amiri"/>
          <w:color w:val="111111"/>
          <w:sz w:val="28"/>
          <w:sz w:val="28"/>
          <w:szCs w:val="28"/>
          <w:rtl w:val="true"/>
          <w:lang w:bidi="ar-SA"/>
        </w:rPr>
        <w:t xml:space="preserve">للعلم، ولا صيرورته منجّزاً به، بل لو كان العنوان المتعلّق للعلم ذا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عنوان الموطوء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منحلاًّ إلى التكاليف الدائرة بين الأقلّ والأكثر، لم يوجب العلم تنجيز غير ما هو المتيقّن؛ أي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العنوان بسيطاً، وكان الأقلّ والأكثر من محصّلاته، وجب الاحتياط، لكنّه أجنبيّ عمّا نحن فيه</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4629130_2142443653"/>
      <w:bookmarkStart w:id="524" w:name="_Toc186"/>
      <w:bookmarkEnd w:id="523"/>
      <w:r>
        <w:rPr>
          <w:rtl w:val="true"/>
        </w:rPr>
        <w:t>مقدار الفحص عن المخصّص</w:t>
      </w:r>
      <w:bookmarkEnd w:id="524"/>
    </w:p>
    <w:p>
      <w:pPr>
        <w:pStyle w:val="BookText"/>
        <w:rPr/>
      </w:pPr>
      <w:r>
        <w:rPr>
          <w:rFonts w:ascii="Amiri" w:hAnsi="Amiri" w:eastAsia="Amiri" w:cs="Amiri"/>
          <w:color w:val="111111"/>
          <w:sz w:val="28"/>
          <w:sz w:val="28"/>
          <w:szCs w:val="28"/>
          <w:rtl w:val="true"/>
          <w:lang w:bidi="ar-SA"/>
        </w:rPr>
        <w:t xml:space="preserve">ثمّ إنّ مقدار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مبنى وجوبه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ينحلّ العلم، وقد عرفت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كون مبناه معرضية العمومات للتخصيص إلى مقدار اليأس عن المخصّص والمعارض، فلا بدّ من بذل الجهد بالمقدار الميسور حتّى يخرج العامّ عن معرضيته ويجري الأصل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باب الاجتهاد والتقليد</w:t>
      </w:r>
      <w:r>
        <w:rPr>
          <w:rStyle w:val="FootnoteAnchor"/>
          <w:rtl w:val="true"/>
        </w:rPr>
        <w:footnoteReference w:id="438"/>
      </w:r>
      <w:r>
        <w:rPr>
          <w:rFonts w:ascii="IRNazanin" w:hAnsi="IRNazanin" w:eastAsia="IRNazanin"/>
          <w:color w:val="111111"/>
          <w:sz w:val="28"/>
          <w:sz w:val="28"/>
          <w:szCs w:val="28"/>
          <w:rtl w:val="true"/>
          <w:lang w:bidi="fa-IR"/>
        </w:rPr>
        <w:t>ما له نفع بالمقام</w:t>
      </w:r>
      <w:r>
        <w:rPr>
          <w:rFonts w:eastAsia="IRNazanin" w:cs="IRNazanin"/>
          <w:color w:val="111111"/>
          <w:sz w:val="28"/>
          <w:szCs w:val="28"/>
          <w:rtl w:val="true"/>
          <w:lang w:bidi="fa-IR"/>
        </w:rPr>
        <w:t xml:space="preserve">. </w:t>
      </w:r>
      <w:bookmarkStart w:id="525" w:name="pg15293_220311"/>
    </w:p>
    <w:p>
      <w:pPr>
        <w:pStyle w:val="Heading3"/>
        <w:numPr>
          <w:ilvl w:val="2"/>
          <w:numId w:val="1"/>
        </w:numPr>
        <w:rPr/>
      </w:pPr>
      <w:bookmarkStart w:id="526" w:name="__RefHeading___Toc4629132_2142443653"/>
      <w:bookmarkStart w:id="527" w:name="_Toc187"/>
      <w:bookmarkEnd w:id="525"/>
      <w:bookmarkEnd w:id="526"/>
      <w:r>
        <w:rPr>
          <w:rtl w:val="true"/>
        </w:rPr>
        <w:t>الفصل الرابع في عموم الخطابات الشفاهية لغير الحاضرين</w:t>
      </w:r>
      <w:bookmarkEnd w:id="527"/>
    </w:p>
    <w:p>
      <w:pPr>
        <w:pStyle w:val="Heading4"/>
        <w:numPr>
          <w:ilvl w:val="3"/>
          <w:numId w:val="1"/>
        </w:numPr>
        <w:rPr/>
      </w:pPr>
      <w:bookmarkStart w:id="528" w:name="__RefHeading___Toc4629134_2142443653"/>
      <w:bookmarkStart w:id="529" w:name="_Toc188"/>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هل الخطابات الشفاهية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غير الحاضرين، حتّى المعدومين ؟</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العنوان كظاهر بعض استدلالاتهم هو أنّ النزاع في جواز خطاب المعدوم والغائب، ويكون النزاع على فرض عقليته في إمكانه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لا يبعد عن مثل الحنابلة</w:t>
      </w:r>
      <w:r>
        <w:rPr>
          <w:rStyle w:val="FootnoteAnchor"/>
          <w:rtl w:val="true"/>
        </w:rPr>
        <w:footnoteReference w:id="439"/>
      </w:r>
      <w:r>
        <w:rPr>
          <w:rFonts w:ascii="Amiri" w:hAnsi="Amiri" w:eastAsia="Amiri" w:cs="Amiri"/>
          <w:color w:val="111111"/>
          <w:sz w:val="28"/>
          <w:sz w:val="28"/>
          <w:szCs w:val="28"/>
          <w:rtl w:val="true"/>
          <w:lang w:bidi="ar-SA"/>
        </w:rPr>
        <w:t xml:space="preserve">، لكن النزاع العقلي المعقول يمكن أن يكون في أنّ ألفاظ العموم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 أداة النداء وأشباهها ممّا تكون خطاباً، هل تعمّ المعدومين والغائبين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تعمّهم ولو في ظرف وجودهم لو لم تكن مقرونة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حتّى يرجع النزاع العقلي إلى أ نّه هل يستلزم التعميم</w:t>
      </w:r>
    </w:p>
    <w:p>
      <w:pPr>
        <w:pStyle w:val="BookText"/>
        <w:rPr/>
      </w:pPr>
      <w:r>
        <w:rPr>
          <w:rFonts w:ascii="Amiri" w:hAnsi="Amiri" w:eastAsia="Amiri" w:cs="Amiri"/>
          <w:color w:val="111111"/>
          <w:sz w:val="28"/>
          <w:sz w:val="28"/>
          <w:szCs w:val="28"/>
          <w:rtl w:val="true"/>
          <w:lang w:bidi="ar-SA"/>
        </w:rPr>
        <w:t>مخاطبتهما حتّى يمتنع، أو لا ؟ فيكون النزاع في الملازمة وعدمها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يناسب مبحث العامّ لا ظاهر العنوان؛ لأنّ إمكان مخاطبتهما وعدمه </w:t>
      </w:r>
    </w:p>
    <w:p>
      <w:pPr>
        <w:pStyle w:val="BookText"/>
        <w:rPr/>
      </w:pPr>
      <w:r>
        <w:rPr>
          <w:rFonts w:ascii="Amiri" w:hAnsi="Amiri" w:eastAsia="Amiri" w:cs="Amiri"/>
          <w:color w:val="111111"/>
          <w:sz w:val="28"/>
          <w:sz w:val="28"/>
          <w:szCs w:val="28"/>
          <w:rtl w:val="true"/>
          <w:lang w:bidi="ar-SA"/>
        </w:rPr>
        <w:t>غير مربوط به، بل المناسب له هو شمول ألفاظ العموم لهم وعدمه، بعد كونها تلو الخطابات الشفاهية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الشيخ الأعظم خروج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ممّا لم يصدّر بألفاظ النداء وأداة الخطاب عن محطّ النزاع، وأ نّه لم يعهد من أحد إنكار شموله لهما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 مناط النزاع العقلي يعمّه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من شمول أمثال تلك العناوين والأحكام لغير الموجودين تعلّق التكليف الفعلي بهم في حال العدم، وصدق العناوين عليهم كذلك، أو لا ؟ فعلى الأوّل تختصّ بالموجودين، وعلى الثاني تعمّ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أسماء الأجناس تشمل غير الموجودين بلا ريب</w:t>
      </w:r>
      <w:r>
        <w:rPr>
          <w:rStyle w:val="FootnoteAnchor"/>
          <w:rtl w:val="true"/>
        </w:rPr>
        <w:footnoteReference w:id="443"/>
      </w:r>
      <w:r>
        <w:rPr>
          <w:rFonts w:ascii="Amiri" w:hAnsi="Amiri" w:eastAsia="Amiri" w:cs="Amiri"/>
          <w:color w:val="111111"/>
          <w:sz w:val="28"/>
          <w:sz w:val="28"/>
          <w:szCs w:val="28"/>
          <w:rtl w:val="true"/>
          <w:lang w:bidi="ar-SA"/>
        </w:rPr>
        <w:t>إن كان المراد منه شمولها لهم حال عدمهم فهو ضروري البطلان، وإن كان المراد منه انطباقها عليهم في ظرف الوجود فهو حقّ، لكنّه راجع إلى القضيّة الحقيقية، وهو جواب الإشكال، كما سيأتي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 الإشكال في بعض الصور لمّا كان مبنيّاً على بيان القضيّة الحقيقية لا بأس بالإشارة إليها، وإلى الفرق بينها وبين الخارجية إجمالاً،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التقسيم للقضايا الكلّية، وأمّا الشخصية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فخارجة عن</w:t>
      </w:r>
    </w:p>
    <w:p>
      <w:pPr>
        <w:pStyle w:val="BookText"/>
        <w:rPr/>
      </w:pPr>
      <w:r>
        <w:rPr>
          <w:rFonts w:ascii="Amiri" w:hAnsi="Amiri" w:eastAsia="Amiri" w:cs="Amiri"/>
          <w:color w:val="111111"/>
          <w:sz w:val="28"/>
          <w:sz w:val="28"/>
          <w:szCs w:val="28"/>
          <w:rtl w:val="true"/>
          <w:lang w:bidi="ar-SA"/>
        </w:rPr>
        <w:t>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القضايا الكلّية قد يكون الحكم على الأفراد الموجودة للعنوان؛ بحيث يختصّ الحكم بما وجد فقط، من غير أن يشمل ما سيوجد أو ما كان موجوداً، وذلك بأن يتقيّد مدخول أداة العموم بحيث لا ينطبق إلاّ عليها،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عالم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هذا العسكر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الحكم على أفراد عنوان ذاتي أو انتزاعي أو عرضي،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لاستغراق أفراد مدخوله، والعنوان المتلوّ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إلاّ على الأفراد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القضيّة الحقيقية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الحكم فيها على أفراد الطبيعة القابلة</w:t>
      </w:r>
    </w:p>
    <w:p>
      <w:pPr>
        <w:pStyle w:val="BookText"/>
        <w:rPr/>
      </w:pPr>
      <w:r>
        <w:rPr>
          <w:rFonts w:ascii="Amiri" w:hAnsi="Amiri" w:eastAsia="Amiri" w:cs="Amiri"/>
          <w:color w:val="111111"/>
          <w:sz w:val="28"/>
          <w:sz w:val="28"/>
          <w:szCs w:val="28"/>
          <w:rtl w:val="true"/>
          <w:lang w:bidi="ar-SA"/>
        </w:rPr>
        <w:t>للصدق على الموجود في الحال وغيره،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نار 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نفس الطبيعة، وهي قابلة للصدق على كلّ فرد، لا بمعنى وضعها للأفراد، ولا بمعنى كون الطبيعة حاكية عنها، بل لا تدلّ إلاّ على نفس الطبيعة، وهي قابلة للصدق على الأفراد، ومتّحدة معها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استغراق أفراد مدخوله من غير أن يدلّ على الوجود أو العدم،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يوضع للأفراد بقيد الوجود أو في حاله، ولهذا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فرد من الطبيعة إمّا موجود أو معدوم، بلا تأوّل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الطبيعة تدلّ على كون الاستغراق متعلّقاً بما يتلوه، ولمّا لم يتقيّد بما يجعله منحصر الانطباق على الأفراد المحقّقة، فلا محالة يكون الحكم على كلّ فرد منه في الماضي والحال والاستقبال؛ كلّ في موطنه، فالعقل يحكم بامتناع الصدق على المعدوم، فلم تكن الطبيعة طبيعةً ولا أفرادها أفراداً حال </w:t>
      </w:r>
    </w:p>
    <w:p>
      <w:pPr>
        <w:pStyle w:val="BookText"/>
        <w:rPr/>
      </w:pPr>
      <w:r>
        <w:rPr>
          <w:rFonts w:ascii="Amiri" w:hAnsi="Amiri" w:eastAsia="Amiri" w:cs="Amiri"/>
          <w:color w:val="111111"/>
          <w:sz w:val="28"/>
          <w:sz w:val="28"/>
          <w:szCs w:val="28"/>
          <w:rtl w:val="true"/>
          <w:lang w:bidi="ar-SA"/>
        </w:rPr>
        <w:t xml:space="preserve">العدم، فلا محالة يكون الحكم في ظرف صدق الطبيعة على الأفراد،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مصاديق النار دلالةً تصديقية، والمعدوم ليس مصداقاً لشيء، كما أنّ الموجود الذهني ليس فرداً بالحمل الشائع، فينحصر الصدق في ظرف الوجود الخارجي من غير أن يكون الوجود قيداً، ومن غير أن يفرض للمعدوم وجود، أو ينزّل منزلة الوجود، ومن غير أن تكون القضيّة متضمّنة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تلك التكلّفات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خلاف الوجدان في إخباراتنا؛ ضرورة أنّ كلّ من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يخطر بباله الأفراد المعدومة، فضلاً عن تنزيلها منزلة الوجود، أو الاشتراط بأ نّه إذا وجدت كانت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من تخيّل أنّ للطبيعة أفراداً معدومة، وتكون الطبيعة صادقة عليها حال العدم، ولمّا لم يصدق عليها الحكم لا بدّ من تنزيلها منزلة الموجود، أو اشتراط الوجود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ذلك كلّه في غاية السقوط؛ لأنّ العدم ليس بشيء، فلا تكون القضايا الحقيقية إخباراً عن الأفراد المعدومة، بل إخبار عن أفراد الطبيعة بلا قيد، وهي لا تصدق إلاّ على الأفراد الموجودة في ظرف وجودها، فيكون الإخبار كذلك بحكم العقل من غير تقييد واشتراط</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القضيّة الحقيقية يكون الحكم على الأفراد المتصوّرة بالوجه الإجمالي،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للحكم، ولمّا كان هذا العنوان موضوعاً للكثرات بنحو الإجمال فبإضافته إلى الطبيعة يفيد أفرادها بنحو الإجمال، فالحكم في المحصورة على أفراد الطبيعة بنحو الإجمال، لا على نفس الطبيعة، ولا على الأفراد تفصيلاً،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على الطبيعة التي هي مرآة للأفراد ليس بشيء</w:t>
      </w:r>
      <w:r>
        <w:rPr>
          <w:rFonts w:eastAsia="Amiri" w:cs="Amiri" w:ascii="Amiri" w:hAnsi="Amiri"/>
          <w:color w:val="111111"/>
          <w:sz w:val="28"/>
          <w:szCs w:val="28"/>
          <w:rtl w:val="true"/>
          <w:lang w:bidi="ar-SA"/>
        </w:rPr>
        <w:t xml:space="preserve">. </w:t>
      </w:r>
      <w:bookmarkStart w:id="530" w:name="pg15293_220315"/>
    </w:p>
    <w:p>
      <w:pPr>
        <w:pStyle w:val="BookText"/>
        <w:rPr/>
      </w:pPr>
      <w:bookmarkEnd w:id="530"/>
      <w:r>
        <w:rPr>
          <w:rFonts w:ascii="Amiri" w:hAnsi="Amiri" w:eastAsia="Amiri" w:cs="Amiri"/>
          <w:color w:val="111111"/>
          <w:sz w:val="28"/>
          <w:sz w:val="28"/>
          <w:szCs w:val="28"/>
          <w:rtl w:val="true"/>
          <w:lang w:bidi="ar-SA"/>
        </w:rPr>
        <w:t>فاتّضح ممّا ذكرنا مواقع النظر في كلام بعض الأعاظم</w:t>
      </w:r>
      <w:r>
        <w:rPr>
          <w:rStyle w:val="FootnoteAnchor"/>
          <w:rtl w:val="true"/>
        </w:rPr>
        <w:footnoteReference w:id="444"/>
      </w:r>
      <w:r>
        <w:rPr>
          <w:rFonts w:ascii="Amiri" w:hAnsi="Amiri" w:eastAsia="Amiri" w:cs="Amiri"/>
          <w:color w:val="111111"/>
          <w:sz w:val="28"/>
          <w:sz w:val="28"/>
          <w:szCs w:val="28"/>
          <w:rtl w:val="true"/>
          <w:lang w:bidi="ar-SA"/>
        </w:rPr>
        <w:t>في القضايا الخارجية والحقيقية، والفرق بينهما، فراجع</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4629136_2142443653"/>
      <w:bookmarkStart w:id="532" w:name="_Toc189"/>
      <w:bookmarkEnd w:id="531"/>
      <w:r>
        <w:rPr>
          <w:rtl w:val="true"/>
        </w:rPr>
        <w:t>التحقيق في المقام</w:t>
      </w:r>
      <w:bookmarkEnd w:id="532"/>
    </w:p>
    <w:p>
      <w:pPr>
        <w:pStyle w:val="BookText"/>
        <w:rPr/>
      </w:pPr>
      <w:r>
        <w:rPr>
          <w:rFonts w:ascii="Amiri" w:hAnsi="Amiri" w:eastAsia="Amiri" w:cs="Amiri"/>
          <w:color w:val="111111"/>
          <w:sz w:val="28"/>
          <w:sz w:val="28"/>
          <w:szCs w:val="28"/>
          <w:rtl w:val="true"/>
          <w:lang w:bidi="ar-SA"/>
        </w:rPr>
        <w:t>إذا عرفت ما تقدّم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في المقام إن كان من جهة أنّ التكليف الفعلي لا يمكن أن يتوجّه إلى المعدوم، وهو لازم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مفروضة على العباد</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الخمر حرام</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 إنّما هو بنحو القضيّة الحقيقية، والجعل القانوني على مصاديق العناوين بنحو الإجمال فيما إذا كانت القضيّة محصورة، أو على نفس العناوين في غيرها، فلا يكون المعدوم مصداقاً لها حال العدم، فلا يتوجّه إليه التكليف، وأمّا إذا صار المصداق موجوداً فيشمله الحكم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رأى المكلّف أنّ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البيت على الناس إذا استطاعوا، من غير تقييد بما يخصّصه بالموجودين في زمن الرسول، ويكون نفسه مصداقاً للمستطيع، يرى أ نّه مأمور بالحجّ من غير توهّم أنّ ذلك الحكم </w:t>
      </w:r>
    </w:p>
    <w:p>
      <w:pPr>
        <w:pStyle w:val="BookText"/>
        <w:rPr/>
      </w:pPr>
      <w:r>
        <w:rPr>
          <w:rFonts w:ascii="Amiri" w:hAnsi="Amiri" w:eastAsia="Amiri" w:cs="Amiri"/>
          <w:color w:val="111111"/>
          <w:sz w:val="28"/>
          <w:sz w:val="28"/>
          <w:szCs w:val="28"/>
          <w:rtl w:val="true"/>
          <w:lang w:bidi="ar-SA"/>
        </w:rPr>
        <w:t>على هذا العنوان مستلزم لتوجّه التكليف إلى المعدوم؛ ضرورة أ نّه ليس ناساً، ولا مستطيعاً، ولا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الإشكال من جهة لزوم مخاطبة المعدوم؛ حيث إنّ معنى الخطاب توجيه الكلام إلى المخاطب، سواء اشتمل الكلام على كاف الخطاب أو أداة النداء، أو كان التوجيه إليه بالحمل الشائع من غير ما يدلّ وضعاً على التخاطب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خطابات الله النازلة إلى رسول الله صلی الله علیه و آله وسلم بأيّ نحوٍ كانت لم تكن متوجّهة إلى العباد، سواء كانوا حاضرين في مجلس الوحي أو في مسجد النبي، أم لا؛ ضرورة أنّ الوحي إنّما نزل على شخص رسول الله صلی الله علیه و آله وسلم وكلام الله وخطاباته لم تكن مسموعة لأحدٍ من الاُمّة، بل الظاهر من الآيات والروايات أنّ الوحي إنّما كان بتوسّط جبرئيل، فهو الحاكي لرسول الله، وهو صلی الله علیه و آله وسلم حاكٍ</w:t>
      </w:r>
    </w:p>
    <w:p>
      <w:pPr>
        <w:pStyle w:val="BookText"/>
        <w:rPr/>
      </w:pPr>
      <w:r>
        <w:rPr>
          <w:rFonts w:ascii="Amiri" w:hAnsi="Amiri" w:eastAsia="Amiri" w:cs="Amiri"/>
          <w:color w:val="111111"/>
          <w:sz w:val="28"/>
          <w:sz w:val="28"/>
          <w:szCs w:val="28"/>
          <w:rtl w:val="true"/>
          <w:lang w:bidi="ar-SA"/>
        </w:rPr>
        <w:t>بالواسطة، فإذن يكون حال الحاضرين في زمن النبي ومجلس الوحي حال غيرهم من حيث عدم توجّه خطاب لفظي من الله تعالى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فالخطابات القرآنية كسائر الأحكام إنّما هي بطريق الوحي إلى رسول الله بلا واسطة أو معها، وتلك الخطابات المحكيّة باقية إلى زماننا، ونسبة الأوّلين والآخرين إليها سواء؛ من غير اختصاص بالحاضرين في مجلس الوحي؛ ضرورة أنّ اختصاصها بهم وتعميمها بدليل آخر لغو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الدليل عليه بعد كون العنوان عامّاً أو مطلقاً، وبعد كون الخطاب الكتبي إلى كلّ من يرى الكتابة متعارفاً، كما ترى في الكتب،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يا إخواني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المقنّن لم يكن طرف المخاطبة في القوانين الإسلامية، بل يكون المقنّن غير المبلّغ؛ لأنّ الأوّل هو الله تعالى، والثاني هو الرسول أوّلاً </w:t>
      </w:r>
    </w:p>
    <w:p>
      <w:pPr>
        <w:pStyle w:val="BookText"/>
        <w:rPr/>
      </w:pPr>
      <w:r>
        <w:rPr>
          <w:rFonts w:ascii="Amiri" w:hAnsi="Amiri" w:eastAsia="Amiri" w:cs="Amiri"/>
          <w:color w:val="111111"/>
          <w:sz w:val="28"/>
          <w:sz w:val="28"/>
          <w:szCs w:val="28"/>
          <w:rtl w:val="true"/>
          <w:lang w:bidi="ar-SA"/>
        </w:rPr>
        <w:t>وذو الوسائط ثانياً بتوسّط الكتب وغيرها من وسائل التبليغ؛ سنّة جارية في جميع العالم؛ لأنّ المقنّن في القوانين العرفية والسياسية إمّا شخص أو هيئة وجماعة، ولم يتعارف أن يكون الواضع مبلّغاً، بل وسائل التبليغ هي الكتب والجرائد والآلات المستحدثة في هذه الأزمنة، فالقانون الإسلامي كسائر القوانين العرفية، ولم يتّخذ الإسلام طرزاً حادثاً، فقوانينه عامّة لكلّ من بلغت إليه بأيّ نحو كان من غير لزوم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التخلّص عن إشكال توجّه التكليف إلى المعدوم في غير الخطابات يمكن أن يكون بنحو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إشكال توجّه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 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 يُّهَا الَّذِينَ</w:t>
      </w:r>
    </w:p>
    <w:p>
      <w:pPr>
        <w:pStyle w:val="BookText"/>
        <w:rPr/>
      </w:pP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بذلك؛ لأنّ في القضيّة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على أفراد عنوان قابل للصدق على كلّ مصداق وجد أو سيوجد في ظرفه، وأمّا الخطاب فليس كذلك، بل لا بدّ لصحّته من أن يتوجّه إلى حاضر ملتفت؛ فإنّ الخطاب نحو توجّه تكويني نحو المخاطب لغرض التفهيم، ومثله لا يمكن أن يتعلّق بعنوان أو أفراده ولو لم تكن حاضرة في مجلس التخاطب، ولهذا لا بدّ لتصحيحه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التشبّث بتنزيل المعدوم منزلة الموجود، أو غير الشاعر منزلة الشاعر الملتفت، كالخطاب للقمر والجبل، وهذا التنزيل ليس لازم القضيّة الحقيقية، كما تُوهّم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الإنشائيات ليست من القضايا الحقيقية؛ لأنّ الخطاب العمومي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 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متوجّهاً بنحو الخطاب الحقيقي إلى </w:t>
      </w:r>
      <w:bookmarkStart w:id="533" w:name="pg15293_220318"/>
    </w:p>
    <w:p>
      <w:pPr>
        <w:pStyle w:val="BookText"/>
        <w:rPr/>
      </w:pPr>
      <w:bookmarkEnd w:id="533"/>
      <w:r>
        <w:rPr>
          <w:rFonts w:ascii="IRNazanin" w:hAnsi="IRNazanin" w:eastAsia="IRNazanin"/>
          <w:color w:val="111111"/>
          <w:sz w:val="28"/>
          <w:sz w:val="28"/>
          <w:szCs w:val="28"/>
          <w:rtl w:val="true"/>
          <w:lang w:bidi="fa-IR"/>
        </w:rPr>
        <w:t>أفراد العنوان حتّى يكون كلّ فرد مخاطباً بالخطاب اللفظي في ظرف وجوده؛ لأنّ أدوات النداء وضعت لإيجاد النداء لا لمفهومه، والمخاطبة نحو توجّه إلى المخاطب توجّهاً جزئياً مشخّصاً، فمع الالتزام بأنّ الخطابات حال الوحي كانت خطاباً إلهياً متوجّهاً نحو المخلوق، وكان مثل رسول الله مثل شجرة موسى علیه السلام</w:t>
      </w:r>
    </w:p>
    <w:p>
      <w:pPr>
        <w:pStyle w:val="BookText"/>
        <w:rPr/>
      </w:pPr>
      <w:r>
        <w:rPr>
          <w:rFonts w:ascii="Amiri" w:hAnsi="Amiri" w:eastAsia="Amiri" w:cs="Amiri"/>
          <w:color w:val="111111"/>
          <w:sz w:val="28"/>
          <w:sz w:val="28"/>
          <w:szCs w:val="28"/>
          <w:rtl w:val="true"/>
          <w:lang w:bidi="ar-SA"/>
        </w:rPr>
        <w:t>لا محيص عن الالتزام بتنزيل المعدوم وغير الحاضر منزلة الموجود الحاضر، وهو يحتاج إلى الدليل بعد عدم كونه لازم القضيّة الحقيقية كما تقدّم، فالتخلّص حينئذٍ عن الإشكال هو ما تقدّم، فتبصّر</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4629138_2142443653"/>
      <w:bookmarkStart w:id="535" w:name="_Toc190"/>
      <w:bookmarkEnd w:id="534"/>
      <w:r>
        <w:rPr>
          <w:rtl w:val="true"/>
        </w:rPr>
        <w:t>تتمّة</w:t>
      </w:r>
      <w:r>
        <w:rPr>
          <w:rtl w:val="true"/>
        </w:rPr>
        <w:t xml:space="preserve">: </w:t>
      </w:r>
      <w:r>
        <w:rPr>
          <w:rtl w:val="true"/>
        </w:rPr>
        <w:t>في ثمرة النزاع</w:t>
      </w:r>
      <w:bookmarkEnd w:id="535"/>
    </w:p>
    <w:p>
      <w:pPr>
        <w:pStyle w:val="BookText"/>
        <w:rPr/>
      </w:pPr>
      <w:r>
        <w:rPr>
          <w:rFonts w:ascii="Amiri" w:hAnsi="Amiri" w:eastAsia="Amiri" w:cs="Amiri"/>
          <w:color w:val="111111"/>
          <w:sz w:val="28"/>
          <w:sz w:val="28"/>
          <w:szCs w:val="28"/>
          <w:rtl w:val="true"/>
          <w:lang w:bidi="ar-SA"/>
        </w:rPr>
        <w:t>نقل المحقّق الخراساني ثمرتين في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ظهور خطابات الكتاب لهم كالمشافهين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مبنيّة على اختصاص حجّية الظواهر بالمقصودين بالإفهام، وهو باطل، مع أنّ غير المخاطبين أيضاً مقصودون به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الثمرة لا تبتني عليه؛ فإنّ الخطابات لو كانت مقصورة على المشافهين فلا معنى للرجوع إليها وحجّيتها في حقّ الغير، قلنا بمقالة المحقّق القمّي أو لم نقل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بمقالة المحقّق القمّي</w:t>
      </w:r>
      <w:r>
        <w:rPr>
          <w:rStyle w:val="FootnoteAnchor"/>
          <w:rtl w:val="true"/>
        </w:rPr>
        <w:footnoteReference w:id="452"/>
      </w:r>
      <w:r>
        <w:rPr>
          <w:rFonts w:ascii="Amiri" w:hAnsi="Amiri" w:eastAsia="Amiri" w:cs="Amiri"/>
          <w:color w:val="111111"/>
          <w:sz w:val="28"/>
          <w:sz w:val="28"/>
          <w:szCs w:val="28"/>
          <w:rtl w:val="true"/>
          <w:lang w:bidi="ar-SA"/>
        </w:rPr>
        <w:t xml:space="preserve">تكون الظواهر قابلة للرجوع إليها </w:t>
      </w:r>
    </w:p>
    <w:p>
      <w:pPr>
        <w:pStyle w:val="BookText"/>
        <w:rPr/>
      </w:pPr>
      <w:r>
        <w:rPr>
          <w:rFonts w:ascii="Amiri" w:hAnsi="Amiri" w:eastAsia="Amiri" w:cs="Amiri"/>
          <w:color w:val="111111"/>
          <w:sz w:val="28"/>
          <w:sz w:val="28"/>
          <w:szCs w:val="28"/>
          <w:rtl w:val="true"/>
          <w:lang w:bidi="ar-SA"/>
        </w:rPr>
        <w:t>لتعيين تكليف المخاطبين، ثمّ التمسّك بدليل الاشتراك لإثباته في حقّنا، بخلاف</w:t>
      </w:r>
    </w:p>
    <w:p>
      <w:pPr>
        <w:pStyle w:val="BookText"/>
        <w:rPr/>
      </w:pPr>
      <w:r>
        <w:rPr>
          <w:rFonts w:ascii="Amiri" w:hAnsi="Amiri" w:eastAsia="Amiri" w:cs="Amiri"/>
          <w:color w:val="111111"/>
          <w:sz w:val="28"/>
          <w:sz w:val="28"/>
          <w:szCs w:val="28"/>
          <w:rtl w:val="true"/>
          <w:lang w:bidi="ar-SA"/>
        </w:rPr>
        <w:t>ما لو قلنا بمقالته، فظهور الثمرة موقوف على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تلك الثمرة التي في الكفاية غير ما ذكرت في الفصول</w:t>
      </w:r>
      <w:r>
        <w:rPr>
          <w:rStyle w:val="FootnoteAnchor"/>
          <w:rtl w:val="true"/>
        </w:rPr>
        <w:footnoteReference w:id="453"/>
      </w:r>
      <w:r>
        <w:rPr>
          <w:rFonts w:ascii="Amiri" w:hAnsi="Amiri" w:eastAsia="Amiri" w:cs="Amiri"/>
          <w:color w:val="111111"/>
          <w:sz w:val="28"/>
          <w:sz w:val="28"/>
          <w:szCs w:val="28"/>
          <w:rtl w:val="true"/>
          <w:lang w:bidi="ar-SA"/>
        </w:rPr>
        <w:t>والتقريرات</w:t>
      </w:r>
      <w:r>
        <w:rPr>
          <w:rStyle w:val="FootnoteAnchor"/>
          <w:rtl w:val="true"/>
        </w:rPr>
        <w:footnoteReference w:id="454"/>
      </w:r>
      <w:r>
        <w:rPr>
          <w:rFonts w:ascii="Amiri" w:hAnsi="Amiri" w:eastAsia="Amiri" w:cs="Amiri"/>
          <w:color w:val="111111"/>
          <w:sz w:val="28"/>
          <w:sz w:val="28"/>
          <w:szCs w:val="28"/>
          <w:rtl w:val="true"/>
          <w:lang w:bidi="ar-SA"/>
        </w:rPr>
        <w:t>، وإن فهم صاحب الفصول أيضاً ما فهم المحقّق الخراساني،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بإطلاق الكتاب بناءً على التعميم لإثبات الحكم لنا، وإن لم نكن متّحدين في الصنف مع المشافهين، وعدم صحّته بناءً على الاختصاص؛ لعدم الإجماع مع الاختلاف الصنفي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التمسّك بالإطلاق لرفع الشكّ فيما يمكن أن يتطرّق إليه الفقدان، وإن لم يصحّ في غيره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ظهور الثمرة في بعض الأحيان، كالتمسّك بالآية لوجوب صلاة الجمعة علينا إذا احتملنا اشتراط وجوبها أو جوازها بوجود الإمام علیه السلام ، ولو كان الحكم مختصّاً بالمخاطبين أو الحاضرين في زمن الخطاب لما ضرّ الإطلاق بالمقصود؛ لتحقّق الشرط، وهو حضوره إلى آخر عمر الحاضرين؛ ضرورة عدم بقائهم إلى غيبة وليّ العصر عجّل الله فرجه، فلا يرد عليه ما أورد شيخنا العلاّمة</w:t>
      </w:r>
      <w:r>
        <w:rPr>
          <w:rStyle w:val="FootnoteAnchor"/>
          <w:rtl w:val="true"/>
        </w:rPr>
        <w:footnoteReference w:id="45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536" w:name="pg15293_220320"/>
    </w:p>
    <w:p>
      <w:pPr>
        <w:pStyle w:val="Heading3"/>
        <w:numPr>
          <w:ilvl w:val="2"/>
          <w:numId w:val="1"/>
        </w:numPr>
        <w:rPr/>
      </w:pPr>
      <w:bookmarkStart w:id="537" w:name="__RefHeading___Toc4629140_2142443653"/>
      <w:bookmarkStart w:id="538" w:name="_Toc191"/>
      <w:bookmarkEnd w:id="536"/>
      <w:bookmarkEnd w:id="537"/>
      <w:r>
        <w:rPr>
          <w:rtl w:val="true"/>
        </w:rPr>
        <w:t>الفصل الخامس في تخصيص العامّ بالضمير الراجع إلى بعض أفراده</w:t>
      </w:r>
      <w:bookmarkEnd w:id="538"/>
    </w:p>
    <w:p>
      <w:pPr>
        <w:pStyle w:val="BookText"/>
        <w:rPr/>
      </w:pPr>
      <w:r>
        <w:rPr>
          <w:rFonts w:ascii="Amiri" w:hAnsi="Amiri" w:eastAsia="Amiri" w:cs="Amiri"/>
          <w:color w:val="111111"/>
          <w:sz w:val="28"/>
          <w:sz w:val="28"/>
          <w:szCs w:val="28"/>
          <w:rtl w:val="true"/>
          <w:lang w:bidi="ar-SA"/>
        </w:rPr>
        <w:t>إذا تعقّب العامّ ضمير يرجع إلى بعض أفراده، هل يوجب تخصيصه به أو لا ؟</w:t>
      </w:r>
    </w:p>
    <w:p>
      <w:pPr>
        <w:pStyle w:val="BookText"/>
        <w:rPr/>
      </w:pPr>
      <w:r>
        <w:rPr>
          <w:rFonts w:ascii="Amiri" w:hAnsi="Amiri" w:eastAsia="Amiri" w:cs="Amiri"/>
          <w:color w:val="111111"/>
          <w:sz w:val="28"/>
          <w:sz w:val="28"/>
          <w:szCs w:val="28"/>
          <w:rtl w:val="true"/>
          <w:lang w:bidi="ar-SA"/>
        </w:rPr>
        <w:t>ولا يخلو هذا العنوان عن مسامحة؛ لما سيتّضح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الضمير لا يرجع إلى بعض الأفراد في مورد، بل الحكم بحسب الجدّ يختصّ ببعضها، فعوده إلى بعضها لم يكن مفروغاً عنه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صرّحوا به</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الحكم الثابت لمدخول الضمير مغايراً للثابت لنفس المرجع، سواء كان الحكمان في كلام واحد،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وخدّامهم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وجوب الإكرام في الخدّام مختصّاً بخدّام عدولهم، أو في كلامين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وسواء كان الحكمان من سنخ واحد كالمثال الأوّل، أو لا كالثاني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الحكم واحداً،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حكم التربّص ليس لجميعهنّ، فلا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يتّضح من كلامهم أنّ النزاع يختصّ بما إذا علم من الخارج أنّ الحكم غير عامّ لجميع أفراد المرجع كالآية الشريفة، أو يختصّ بما إذا علم ذلك بقرينة عقلية أو لفظية حافّة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 الفسّاق واقتلهم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علم المخاطب حين إلقاء الكلام إليه أنّ حكم القتل ليس لجميع أفراد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التمثيل بالآية الشريفة عدم الاختصاص بالثاني، بل لا يبعد أن يكون ذيل كلام المحقّق الخراساني</w:t>
      </w:r>
      <w:r>
        <w:rPr>
          <w:rStyle w:val="FootnoteAnchor"/>
          <w:rtl w:val="true"/>
        </w:rPr>
        <w:footnoteReference w:id="459"/>
      </w:r>
      <w:r>
        <w:rPr>
          <w:rFonts w:ascii="Amiri" w:hAnsi="Amiri" w:eastAsia="Amiri" w:cs="Amiri"/>
          <w:color w:val="111111"/>
          <w:sz w:val="28"/>
          <w:sz w:val="28"/>
          <w:szCs w:val="28"/>
          <w:rtl w:val="true"/>
          <w:lang w:bidi="ar-SA"/>
        </w:rPr>
        <w:t>شاهداً على التعميم لهما على تأمّل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إن كان محطّ البحث أعمّ منهما فالتحقيق التفصيل بينهما،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الدالّ على اختصاص الحكم ببعض الأفراد منفصلاً كالآية الشريفة؛ حيث تكون في نفسها ظاهرة في عموم الحكم لجميع أفراد العامّ، وأنّ بعولة جميع المطلّقات أحقّ بردّهنّ، لكن دلّ دليل خارجي بأن لا رجوع في طلاق البائن، فلا إشكال في بقاء العامّ على عمومه بالنسبة إلى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المقام من قبيل الدوران بين تخصيص لعامّ أو تخصيصين لعامّين؛ ضرورة أنّ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مخصّصاً بما دلّ على اختصاص الحكم بالرجعيات، وشكّ في عروض التخصيص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العموم فيه ممّا لا معارض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المقام من قبيل الدوران بين التخصيص والاستخدام في الضمير</w:t>
      </w:r>
      <w:r>
        <w:rPr>
          <w:rStyle w:val="FootnoteAnchor"/>
          <w:rtl w:val="true"/>
        </w:rPr>
        <w:footnoteReference w:id="460"/>
      </w:r>
      <w:r>
        <w:rPr>
          <w:rFonts w:ascii="Amiri" w:hAnsi="Amiri" w:eastAsia="Amiri" w:cs="Amiri"/>
          <w:color w:val="111111"/>
          <w:sz w:val="28"/>
          <w:sz w:val="28"/>
          <w:szCs w:val="28"/>
          <w:rtl w:val="true"/>
          <w:lang w:bidi="ar-SA"/>
        </w:rPr>
        <w:t>، من غريب الأمر؛ لأ نّه يخالف مذاق المتأخّرين في باب التخصيص من عدم كونه تصرّفاً في ظهور العامّ</w:t>
      </w:r>
      <w:r>
        <w:rPr>
          <w:rStyle w:val="FootnoteAnchor"/>
          <w:rtl w:val="true"/>
        </w:rPr>
        <w:footnoteReference w:id="461"/>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العموم، وضمير بعولتهنّ أيضاً يرجع إليها من غير استخدام وتجوّز، والمخصّص الخارجي في المقام ليس حاله إلاّ كسائر المخصّصات من كشفه عن عدم تعلّق الإرادة الجدّية إلاّ ببعض الأفراد في الحكم الثاني؛ أي الأحقّية، وذلك لا يوجب أن يكون الحكم الأوّل كذلك بوجه، بل هذا أولى بعدم رفع اليد عنه من العامّ الواحد إذا خصّص بالنسبة إلى البقيّة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الاستخدام والمجازية في الإسناد أو في اللفظ، فليس بشيء؛ لأنّ الضمائر على ما تقدّم في باب الوضع</w:t>
      </w:r>
      <w:r>
        <w:rPr>
          <w:rStyle w:val="FootnoteAnchor"/>
          <w:rtl w:val="true"/>
        </w:rPr>
        <w:footnoteReference w:id="462"/>
      </w:r>
      <w:r>
        <w:rPr>
          <w:rFonts w:ascii="Amiri" w:hAnsi="Amiri" w:eastAsia="Amiri" w:cs="Amiri"/>
          <w:color w:val="111111"/>
          <w:sz w:val="28"/>
          <w:sz w:val="28"/>
          <w:szCs w:val="28"/>
          <w:rtl w:val="true"/>
          <w:lang w:bidi="ar-SA"/>
        </w:rPr>
        <w:t>، وضعت لإيقاع الإشارة الخارجية، فلا بدّ لها من مرجع مشار إليه، والرجعيات لم تذكر في الكلام، ولم تعهد في الذهن، فلا معنى للرجوع إليها، وقد عرفت في المجاز أ نّه متقوّم بالدعوى</w:t>
      </w:r>
      <w:r>
        <w:rPr>
          <w:rStyle w:val="FootnoteAnchor"/>
          <w:rtl w:val="true"/>
        </w:rPr>
        <w:footnoteReference w:id="463"/>
      </w:r>
      <w:r>
        <w:rPr>
          <w:rFonts w:ascii="Amiri" w:hAnsi="Amiri" w:eastAsia="Amiri" w:cs="Amiri"/>
          <w:color w:val="111111"/>
          <w:sz w:val="28"/>
          <w:sz w:val="28"/>
          <w:szCs w:val="28"/>
          <w:rtl w:val="true"/>
          <w:lang w:bidi="ar-SA"/>
        </w:rPr>
        <w:t>، وليس المقام مناسباً لدعوى كون الرجعيات جميع المطلّقات، فما في كلام بعضهم من الدوران بين الاستخدام والتخصيص، وترجيح أحدهما على الآخر، خلاف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ما في كلام المحقّق الخراساني في وجه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بناء العقلاء</w:t>
      </w:r>
    </w:p>
    <w:p>
      <w:pPr>
        <w:pStyle w:val="BookText"/>
        <w:rPr/>
      </w:pPr>
      <w:r>
        <w:rPr>
          <w:rFonts w:ascii="Amiri" w:hAnsi="Amiri" w:eastAsia="Amiri" w:cs="Amiri"/>
          <w:color w:val="111111"/>
          <w:sz w:val="28"/>
          <w:sz w:val="28"/>
          <w:szCs w:val="28"/>
          <w:rtl w:val="true"/>
          <w:lang w:bidi="ar-SA"/>
        </w:rPr>
        <w:t>هو اتّباع الظهور في تعيين المراد لا في كيفية الاستعمال</w:t>
      </w:r>
      <w:r>
        <w:rPr>
          <w:rStyle w:val="FootnoteAnchor"/>
          <w:rtl w:val="true"/>
        </w:rPr>
        <w:footnoteReference w:id="464"/>
      </w:r>
      <w:r>
        <w:rPr>
          <w:rFonts w:ascii="Amiri" w:hAnsi="Amiri" w:eastAsia="Amiri" w:cs="Amiri"/>
          <w:color w:val="111111"/>
          <w:sz w:val="28"/>
          <w:sz w:val="28"/>
          <w:szCs w:val="28"/>
          <w:rtl w:val="true"/>
          <w:lang w:bidi="ar-SA"/>
        </w:rPr>
        <w:t>، أجنبيّ عن محطّ البحث؛ لأنّ الدوران على فرضه بين الظهور السياقي والتخصيص، وقد عرفت أ نّه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الكلام مقترناً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يجعل الحكم خاصّاً ببعض</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الأفراد، فالظاهر طروّ الإجمال في الغالب؛ لعدم إحراز بناء العقلاء على إجراء أصالة التطابق في مثل ما حفّ الكلام بما يصلح للاعتماد عليه، فصحّة الاحتجاج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 الفسّاق واقتلهم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لإهانة غير الكفّار، مشكلة</w:t>
      </w:r>
      <w:r>
        <w:rPr>
          <w:rFonts w:eastAsia="Amiri" w:cs="Amiri" w:ascii="Amiri" w:hAnsi="Amiri"/>
          <w:color w:val="111111"/>
          <w:sz w:val="28"/>
          <w:szCs w:val="28"/>
          <w:rtl w:val="true"/>
          <w:lang w:bidi="ar-SA"/>
        </w:rPr>
        <w:t xml:space="preserve">. </w:t>
      </w:r>
      <w:bookmarkStart w:id="539" w:name="pg15293_220324"/>
    </w:p>
    <w:p>
      <w:pPr>
        <w:pStyle w:val="Heading3"/>
        <w:numPr>
          <w:ilvl w:val="2"/>
          <w:numId w:val="1"/>
        </w:numPr>
        <w:rPr/>
      </w:pPr>
      <w:bookmarkStart w:id="540" w:name="__RefHeading___Toc4629142_2142443653"/>
      <w:bookmarkStart w:id="541" w:name="_Toc192"/>
      <w:bookmarkEnd w:id="539"/>
      <w:bookmarkEnd w:id="540"/>
      <w:r>
        <w:rPr>
          <w:rtl w:val="true"/>
        </w:rPr>
        <w:t>الفصل السادس في تخصيص العامّ بالمفهوم</w:t>
      </w:r>
      <w:bookmarkEnd w:id="541"/>
    </w:p>
    <w:p>
      <w:pPr>
        <w:pStyle w:val="Heading4"/>
        <w:numPr>
          <w:ilvl w:val="3"/>
          <w:numId w:val="1"/>
        </w:numPr>
        <w:rPr/>
      </w:pPr>
      <w:bookmarkStart w:id="542" w:name="__RefHeading___Toc4629144_2142443653"/>
      <w:bookmarkStart w:id="543" w:name="_Toc193"/>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التخصيص بالمفهوم المخالف بعد إطباقهم على التخصيص بالمفهوم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المسألة ليست من التي يكون الإجماع فيها حجّة، فلا بدّ من النظر في كلّ من المفهوم الموافق والمخالف، فيقع 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4629146_2142443653"/>
      <w:bookmarkStart w:id="545" w:name="_Toc194"/>
      <w:bookmarkEnd w:id="544"/>
      <w:r>
        <w:rPr>
          <w:rtl w:val="true"/>
        </w:rPr>
        <w:t>المقام الأوّل</w:t>
      </w:r>
      <w:r>
        <w:rPr>
          <w:rtl w:val="true"/>
        </w:rPr>
        <w:t xml:space="preserve">: </w:t>
      </w:r>
      <w:r>
        <w:rPr>
          <w:rtl w:val="true"/>
        </w:rPr>
        <w:t>في المفهوم الموافق</w:t>
      </w:r>
      <w:bookmarkEnd w:id="545"/>
    </w:p>
    <w:p>
      <w:pPr>
        <w:pStyle w:val="BookText"/>
        <w:rPr/>
      </w:pPr>
      <w:r>
        <w:rPr>
          <w:rFonts w:ascii="Amiri" w:hAnsi="Amiri" w:eastAsia="Amiri" w:cs="Amiri"/>
          <w:color w:val="111111"/>
          <w:sz w:val="28"/>
          <w:sz w:val="28"/>
          <w:szCs w:val="28"/>
          <w:rtl w:val="true"/>
          <w:lang w:bidi="ar-SA"/>
        </w:rPr>
        <w:t>واختلفت التعبيرات في تفسيره، ونحن نذكر الاحتمالات ونتكلّم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عنه المتأخّرون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بين الثلاث والأربع</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ولا شبهة في أنّ العرف يرى أنّ الحكم إنّما هو </w:t>
      </w:r>
    </w:p>
    <w:p>
      <w:pPr>
        <w:pStyle w:val="BookText"/>
        <w:rPr/>
      </w:pPr>
      <w:r>
        <w:rPr>
          <w:rFonts w:ascii="Amiri" w:hAnsi="Amiri" w:eastAsia="Amiri" w:cs="Amiri"/>
          <w:color w:val="111111"/>
          <w:sz w:val="28"/>
          <w:sz w:val="28"/>
          <w:szCs w:val="28"/>
          <w:rtl w:val="true"/>
          <w:lang w:bidi="ar-SA"/>
        </w:rPr>
        <w:t>للشكّ بينهما من غير دخالة للرجولية فيه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الكنائي الذي سيق الكلام لأجله، مع عدم ثبوت الحكم للمنطوق،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إذا فرض كونه كناية عن حرمة إيذائهما، ولم يكن الاُفّ محكوماً بحكم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سيق الكلام لأجل إفادة حكمٍ فاُتي بأخفّ المصاديق مثلاً للانتقال إلى سائرها، مثل الآية المتقدّمة إذا كان الاُفّ محكوماً بالحرمة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الغير المذكور الذي يقطع العقل به بالمناط القطعي من الحكم المذكور،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بالمناط القطعي وجوب إكرام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المستفاد من القضيّة التعليلية،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لأ نّه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يكون المراد من الموافق بعض هذه الاحتمالات أو جميعها، والجامع بينها هو الحكم في غير محلّ النطق الموافق للحكم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محطّ البحث لا يبعد أن يكون في تخصيص العامّ به إذا كان أخصّ مطلقاً منه، لا ما إذا كان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 بعضهم</w:t>
      </w:r>
      <w:r>
        <w:rPr>
          <w:rStyle w:val="FootnoteAnchor"/>
          <w:rtl w:val="true"/>
        </w:rPr>
        <w:footnoteReference w:id="468"/>
      </w:r>
      <w:r>
        <w:rPr>
          <w:rFonts w:ascii="Amiri" w:hAnsi="Amiri" w:eastAsia="Amiri" w:cs="Amiri"/>
          <w:color w:val="111111"/>
          <w:sz w:val="28"/>
          <w:sz w:val="28"/>
          <w:szCs w:val="28"/>
          <w:rtl w:val="true"/>
          <w:lang w:bidi="ar-SA"/>
        </w:rPr>
        <w:t>، وسنشير إليه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المفهوم ما عدا الرابع فلا إشكال في </w:t>
      </w:r>
    </w:p>
    <w:p>
      <w:pPr>
        <w:pStyle w:val="BookText"/>
        <w:rPr/>
      </w:pPr>
      <w:r>
        <w:rPr>
          <w:rFonts w:ascii="Amiri" w:hAnsi="Amiri" w:eastAsia="Amiri" w:cs="Amiri"/>
          <w:color w:val="111111"/>
          <w:sz w:val="28"/>
          <w:sz w:val="28"/>
          <w:szCs w:val="28"/>
          <w:rtl w:val="true"/>
          <w:lang w:bidi="ar-SA"/>
        </w:rPr>
        <w:t>تخصيص العامّ به إذا كان المفهوم أخصّ منه مطلقاً؛ ضرورة أنّ حال هذا المفهوم</w:t>
      </w:r>
    </w:p>
    <w:p>
      <w:pPr>
        <w:pStyle w:val="BookText"/>
        <w:rPr/>
      </w:pPr>
      <w:r>
        <w:rPr>
          <w:rFonts w:ascii="Amiri" w:hAnsi="Amiri" w:eastAsia="Amiri" w:cs="Amiri"/>
          <w:color w:val="111111"/>
          <w:sz w:val="28"/>
          <w:sz w:val="28"/>
          <w:szCs w:val="28"/>
          <w:rtl w:val="true"/>
          <w:lang w:bidi="ar-SA"/>
        </w:rPr>
        <w:t>حال اللفظ الملقى إلى المخاطب، بل تسمية بعضها مفهوماً لمجرّد الاصطلاح، وإلاّ فالعرف يفهم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ثوبي دم رعاف</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أنّ ذكر الرجل والثوب لمجرّد التمثيل، ويكون منظور السائل والمجيب حال الشكّ والدم، فيخصّص به العامّ بلا ريب، وكذا الحال في المعنى الكنائي وغيره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محطّ كلام القدماء مثل هذه الأقسام إذا كان المفهوم أخصّ مطلقاً، ومنه يظهر وجه كون المسألة اتّفاقية؛ ضرورة عدم الخلاف في تقديم الخاصّ، وهذا من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بينهما عموم من وجه، فيعامل معاملتهما مثل المنطوقين، والوجه ظاهر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رابع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فيه بتقديم المفهوم على العامّ مطلقاً، سواء كان أخصّ مطلقاً منه أو من وجه إذا كان المعارض نفس المفهوم؛ لأنّ رفع اليد عن المفهوم مع عدم التصرّف في المنطوق غير ممكن؛ للزوم التفكيك بين الملزوم واللازم؛ فإنّ المفروض لزومه له بنحو الأولوية، كما أنّ رفع اليد عن المنطوق مع عدم كونه معارضاً للعموم لا وجه له، فيتعيّن التصرّف في العموم وتخصيصه بغير مورد المفهوم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فرض لزوم تقديم العامّ على المفهوم بحسب القواعد مع قطع النظر عن محذور لزوم التفكيك، كما لو فرض كون العامّ في العموم أظهر من القضيّة في المفهوم، فيمكن تقديمه عليه ورفع اليد عن حكم المنطوق بمقداره، وليس هذا بلا وجه؛ لأنّ وجهه لزوم تقديم العامّ على المفهوم الكاشف عن عدم الحكم للمنطوق، وإلاّ يلزم التفكيك بين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رفع المحذور العقلي بتخصيص العامّ يمكن رفعه برفع اليد عن حكم المنطوق والمفهوم، بل المعارضة وإن كانت ابتداءً بين العامّ والمفهوم، لكن لمّا كان رفع اليد عن اللازم مستلزماً لرفع اليد عن ملزومه يقع التعارض بينهما عرضاً،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كون المفهوم معارضاً للعامّ دون منطوقه؛ لأ نّا فرضنا أنّ المفهوم موافق للمنطوق، وأ نّه سيق لأجل الدلالة عليه، ومعه كيف يعقل أن يكون المنطوق غير معارض للعامّ مع كون المفهوم معارضاً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في المفهوم الموافق يقع ابتداءً بين المنطوق والعامّ ويتبعه وقوعه بين المفهوم والعامّ، ولا بدّ أوّلاً من علاج التعارض بين المنطوق والعامّ، ويلزمه العلاج بين المفهوم والعامّ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يكون وقوع التعارض بين المفهوم والعامّ ابتداءً ويتبعه بين المنطوق والعامّ،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جهّال خدّام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منه بالأولوية وجوب إكرام النحويين،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الصرفيين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bookmarkStart w:id="546" w:name="pg15293_220328"/>
    </w:p>
    <w:p>
      <w:pPr>
        <w:pStyle w:val="BookText"/>
        <w:rPr/>
      </w:pPr>
      <w:bookmarkEnd w:id="546"/>
      <w:r>
        <w:rPr>
          <w:rFonts w:ascii="Amiri" w:hAnsi="Amiri" w:eastAsia="Amiri" w:cs="Amiri"/>
          <w:color w:val="111111"/>
          <w:sz w:val="28"/>
          <w:sz w:val="28"/>
          <w:szCs w:val="28"/>
          <w:rtl w:val="true"/>
          <w:lang w:bidi="ar-SA"/>
        </w:rPr>
        <w:t>المنطوق أجنبيّاً عن العامّ، وكان التعارض ابتداءً بين العامّ والمفهوم، والنسبة</w:t>
      </w:r>
    </w:p>
    <w:p>
      <w:pPr>
        <w:pStyle w:val="BookText"/>
        <w:rPr/>
      </w:pPr>
      <w:r>
        <w:rPr>
          <w:rFonts w:ascii="Amiri" w:hAnsi="Amiri" w:eastAsia="Amiri" w:cs="Amiri"/>
          <w:color w:val="111111"/>
          <w:sz w:val="28"/>
          <w:sz w:val="28"/>
          <w:szCs w:val="28"/>
          <w:rtl w:val="true"/>
          <w:lang w:bidi="ar-SA"/>
        </w:rPr>
        <w:t>بينهما عموم من وجه، فحينئذٍ لا بدّ من علاج التعارض ابتداءً بين العامّ والمفهوم، ويتبعه بين المنطوق والعامّ، فإذا فرض تقدّم العامّ على المفهوم حسب القواعد يتبعه رفع اليد عن المنطوق لا محالة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هذا القسم من المنطوق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التعارض بين المنطوق والعامّ ويكون أخصّ منه مطلقاً، فلا محالة يقدّم على العامّ ويتبعه تقديم المفهوم عليه ولو كان بينهما عموم من وجه؛ لعدم جواز رفع اليد عنه بعد القطع بالتلازم، وعدم جواز تقديم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أعمّ من وجه منه يعامل معهما معاملتهما، ومع تقديمه على العامّ بحسب القواعد أو القرائن يقدّم المفهوم أيضاً؛ لما عرفت</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4629148_2142443653"/>
      <w:bookmarkStart w:id="548" w:name="_Toc195"/>
      <w:bookmarkEnd w:id="547"/>
      <w:r>
        <w:rPr>
          <w:rtl w:val="true"/>
        </w:rPr>
        <w:t>المقام الثاني</w:t>
      </w:r>
      <w:r>
        <w:rPr>
          <w:rtl w:val="true"/>
        </w:rPr>
        <w:t xml:space="preserve">: </w:t>
      </w:r>
      <w:r>
        <w:rPr>
          <w:rtl w:val="true"/>
        </w:rPr>
        <w:t>في المفهوم المخالف</w:t>
      </w:r>
      <w:bookmarkEnd w:id="548"/>
    </w:p>
    <w:p>
      <w:pPr>
        <w:pStyle w:val="BookText"/>
        <w:rPr/>
      </w:pPr>
      <w:r>
        <w:rPr>
          <w:rFonts w:ascii="Amiri" w:hAnsi="Amiri" w:eastAsia="Amiri" w:cs="Amiri"/>
          <w:color w:val="111111"/>
          <w:sz w:val="28"/>
          <w:sz w:val="28"/>
          <w:szCs w:val="28"/>
          <w:rtl w:val="true"/>
          <w:lang w:bidi="ar-SA"/>
        </w:rPr>
        <w:t>ويتّضح الكلام فيه بعد توضيح محلّ 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الكلام بعد الفراغ عن المفهوم، وأن يكون التعارض بين عامّ ومفهوم، كما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لا تهن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مفهومه أخصّ من العامّ مطلقاً،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أ 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مفهومه أعمّ من وجه معه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الكلام في تخصيص العامّ بالمفهوم عند القدماء هو الكلام في باب الإطلاق والتقييد، ومثّل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الماء طهوراً لا ينجّسه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حيث دلّ الأوّل على أنّ الماء تمام الموضوع لعدم الانفعال، والثاني على أنّ للكرّية دخالة، فيحكّم القيد على الإطلاق</w:t>
      </w:r>
      <w:r>
        <w:rPr>
          <w:rStyle w:val="FootnoteAnchor"/>
          <w:rtl w:val="true"/>
        </w:rPr>
        <w:footnoteReference w:id="474"/>
      </w:r>
      <w:r>
        <w:rPr>
          <w:rFonts w:ascii="Amiri" w:hAnsi="Amiri" w:eastAsia="Amiri" w:cs="Amiri"/>
          <w:color w:val="111111"/>
          <w:sz w:val="28"/>
          <w:sz w:val="28"/>
          <w:szCs w:val="28"/>
          <w:rtl w:val="true"/>
          <w:lang w:bidi="ar-SA"/>
        </w:rPr>
        <w:t>، ويظهر ذلك من شيخنا العلاّمة</w:t>
      </w:r>
      <w:r>
        <w:rPr>
          <w:rStyle w:val="FootnoteAnchor"/>
          <w:rtl w:val="true"/>
        </w:rPr>
        <w:footnoteReference w:id="475"/>
      </w:r>
      <w:r>
        <w:rPr>
          <w:rFonts w:ascii="Amiri" w:hAnsi="Amiri" w:eastAsia="Amiri" w:cs="Amiri"/>
          <w:color w:val="111111"/>
          <w:sz w:val="28"/>
          <w:sz w:val="28"/>
          <w:szCs w:val="28"/>
          <w:rtl w:val="true"/>
          <w:lang w:bidi="ar-SA"/>
        </w:rPr>
        <w:t>أيضاً؛ فهو خروج عن ظاهر البحث وعنوانه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لمّا كان دلالته بالوضع، فإن كانت الدلالة على المفهوم أيضاً بالوضع، يقع التعارض بين الظاهرين، فمع عدم الترجيح يرجع إلى أخبار العلاج أو يحكم بالإجمال، وإن كانت بمقدّمات الحكمة يرفع اليد عن المفهوم إن كانا في كلام واحد؛ لتحكيم الظهور المنجّز على الإطلاق المعلّق على عدم البيان، ومع انفصالهما يصيران متعارضين، ولا ترجيح للظهور الوضعي على الإطلاقي في مثله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المناط في المفهوم أن يكون التقييد راجعاً إلى الحكم لا إلى الموضوع، والقضيّة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كانت ظاهرة في كون القيد راجعاً إلى الحكم؛ لأ نّها وضعت لتقييد جملة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حاكمة على مقدّمات الحكمة في العامّ، فظهورها في المفهوم يوجب عدم جريان مقدّمات الحكمة </w:t>
      </w:r>
    </w:p>
    <w:p>
      <w:pPr>
        <w:pStyle w:val="BookText"/>
        <w:rPr/>
      </w:pPr>
      <w:r>
        <w:rPr>
          <w:rFonts w:ascii="Amiri" w:hAnsi="Amiri" w:eastAsia="Amiri" w:cs="Amiri"/>
          <w:color w:val="111111"/>
          <w:sz w:val="28"/>
          <w:sz w:val="28"/>
          <w:szCs w:val="28"/>
          <w:rtl w:val="true"/>
          <w:lang w:bidi="ar-SA"/>
        </w:rPr>
        <w:t>في العامّ؛ لأنّ كون القضيّة ذات مفهوم وإن كانت بمقدّمات الحكمة، إلاّ أنّ</w:t>
      </w:r>
    </w:p>
    <w:p>
      <w:pPr>
        <w:pStyle w:val="BookText"/>
        <w:rPr/>
      </w:pPr>
      <w:r>
        <w:rPr>
          <w:rFonts w:ascii="Amiri" w:hAnsi="Amiri" w:eastAsia="Amiri" w:cs="Amiri"/>
          <w:color w:val="111111"/>
          <w:sz w:val="28"/>
          <w:sz w:val="28"/>
          <w:szCs w:val="28"/>
          <w:rtl w:val="true"/>
          <w:lang w:bidi="ar-SA"/>
        </w:rPr>
        <w:t>المقدّمات الجارية في طرف المفهوم تكون بمنزلة القرينة على أنّ المراد من العامّ هو الخاصّ، والعامّ لا يصلح أن يكون قرينة على أنّ الشرطية سيقت لفرض وجود الموضوع، فلا بدّ فيه من دليل يدلّ عليه، هذا إذا كان المفهوم أخصّ مطلقاً</w:t>
      </w:r>
      <w:r>
        <w:rPr>
          <w:rStyle w:val="FootnoteAnchor"/>
          <w:rtl w:val="true"/>
        </w:rPr>
        <w:footnoteReference w:id="4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الغضّ عن أنّ العامّ لا يحتاج إلى مقدّمات الحكمة كما سبق الكلام فيه</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القضيّة وضعاً هو مجرّد إناطة الحكم بالقيد، وهو ليس مناط المفهوم، بل مناطه إثبات الانحصار، وهو بمقدّمات الحكمة كما اعترف به، فحينئذٍ لا وجه لتقديم أحد الإطلاقين على الآخر، وجريان مقدّمات الحكمة في العامّ لا يلزم أن يثبت رجوع القيد إلى الموضوع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لذلك، بل يمنع عن جريانها في الشرطية لإثبات الانحصار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جريانها في المفهوم بمنزلة القرينة للعامّ، لا يرجع إلى محصّل، والتحقيق ما عرفت</w:t>
      </w:r>
      <w:r>
        <w:rPr>
          <w:rFonts w:eastAsia="Amiri" w:cs="Amiri" w:ascii="Amiri" w:hAnsi="Amiri"/>
          <w:color w:val="111111"/>
          <w:sz w:val="28"/>
          <w:szCs w:val="28"/>
          <w:rtl w:val="true"/>
          <w:lang w:bidi="ar-SA"/>
        </w:rPr>
        <w:t xml:space="preserve">. </w:t>
      </w:r>
      <w:bookmarkStart w:id="549" w:name="pg15293_220331"/>
    </w:p>
    <w:p>
      <w:pPr>
        <w:pStyle w:val="Heading3"/>
        <w:numPr>
          <w:ilvl w:val="2"/>
          <w:numId w:val="1"/>
        </w:numPr>
        <w:rPr/>
      </w:pPr>
      <w:bookmarkStart w:id="550" w:name="__RefHeading___Toc4629150_2142443653"/>
      <w:bookmarkStart w:id="551" w:name="_Toc196"/>
      <w:bookmarkEnd w:id="549"/>
      <w:bookmarkEnd w:id="550"/>
      <w:r>
        <w:rPr>
          <w:rtl w:val="true"/>
        </w:rPr>
        <w:t>الفصل السابع في الاستثناء المتعقّب لجمل متعدّدة</w:t>
      </w:r>
      <w:bookmarkEnd w:id="551"/>
    </w:p>
    <w:p>
      <w:pPr>
        <w:pStyle w:val="Heading4"/>
        <w:numPr>
          <w:ilvl w:val="3"/>
          <w:numId w:val="1"/>
        </w:numPr>
        <w:rPr/>
      </w:pPr>
      <w:bookmarkStart w:id="552" w:name="__RefHeading___Toc4629152_2142443653"/>
      <w:bookmarkStart w:id="553" w:name="_Toc197"/>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الاستثناء المتعقّب لجمل متعدّدة هل يرجع إلى خصوص الأخيرة، أو إلى الجميع، أو لا ظهور فيه وإن كان الرجوع إلى الأخيرة متيقّناً ؟</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4629154_2142443653"/>
      <w:bookmarkStart w:id="555" w:name="_Toc198"/>
      <w:bookmarkEnd w:id="554"/>
      <w:r>
        <w:rPr>
          <w:rtl w:val="true"/>
        </w:rPr>
        <w:t>المقام الأوّل</w:t>
      </w:r>
      <w:r>
        <w:rPr>
          <w:rtl w:val="true"/>
        </w:rPr>
        <w:t xml:space="preserve">: </w:t>
      </w:r>
      <w:r>
        <w:rPr>
          <w:rtl w:val="true"/>
        </w:rPr>
        <w:t>في إمكان الرجوع إلى الجميع</w:t>
      </w:r>
      <w:bookmarkEnd w:id="555"/>
    </w:p>
    <w:p>
      <w:pPr>
        <w:pStyle w:val="BookText"/>
        <w:rPr/>
      </w:pPr>
      <w:r>
        <w:rPr>
          <w:rFonts w:ascii="Amiri" w:hAnsi="Amiri" w:eastAsia="Amiri" w:cs="Amiri"/>
          <w:color w:val="111111"/>
          <w:sz w:val="28"/>
          <w:sz w:val="28"/>
          <w:szCs w:val="28"/>
          <w:rtl w:val="true"/>
          <w:lang w:bidi="ar-SA"/>
        </w:rPr>
        <w:t>فربّما يستشكل فيما إذا كان الاستثناء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لمّا وضعت للإخراج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الموضوع له في الحروف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استعمالها في الإخراجات استعمالُ اللفظ في أكثر من معنىً واحد، وهو في الحروف أشكل؛ لأ نّها آلات لملاحظة الغير، فيلزم أن يكون شيء واحد فانياً في شيئين أو أكثر</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الإشكال في المستثنى إذا 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بين أشخاص، </w:t>
      </w:r>
      <w:bookmarkStart w:id="556" w:name="pg15293_220332"/>
    </w:p>
    <w:p>
      <w:pPr>
        <w:pStyle w:val="BookText"/>
        <w:rPr/>
      </w:pPr>
      <w:bookmarkEnd w:id="556"/>
      <w:r>
        <w:rPr>
          <w:rFonts w:ascii="Amiri" w:hAnsi="Amiri" w:eastAsia="Amiri" w:cs="Amiri"/>
          <w:color w:val="111111"/>
          <w:sz w:val="28"/>
          <w:sz w:val="28"/>
          <w:szCs w:val="28"/>
          <w:rtl w:val="true"/>
          <w:lang w:bidi="ar-SA"/>
        </w:rPr>
        <w:t>ويكون في كلّ جملة شخص مسمّى به، فإخراج كلّ منهم بلفظ واحد مستلزم للإشكال المتقدّم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 قد مرّ في باب الاستعمال، ولقد تصدّينا لدفع الإشكالات العقلية في الأسماء والحروف، فراجع</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منع لزوم استعمال الأداة في أكثر من معنىً؛ فإنّ المستثنى إذا كان كلّياً قابلاً للصدق على الكثيرين فاُخرج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يكون الاستثناء بإخراج واحد مخرجاً للكثيرين،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وأضف التجّار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واحد للفسّاق قابل للانطباق على فسّاق العلماء والتجّار، فلا يكون استعمال الأداة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إذا كان المستثنى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واستثني المتعدّد؛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مستعمل في المسمّى، فيكون الحال كالكلّي، وإمّا مستعمل في الكثير، فتخرج أداة الاستثناء الكثيرَ بإخراج واحد، كما قلنا في حروف النداء مع كثرة المنادى</w:t>
      </w:r>
      <w:r>
        <w:rPr>
          <w:rStyle w:val="FootnoteAnchor"/>
          <w:rtl w:val="true"/>
        </w:rPr>
        <w:footnoteReference w:id="481"/>
      </w:r>
      <w:r>
        <w:rPr>
          <w:rFonts w:ascii="Amiri" w:hAnsi="Amiri" w:eastAsia="Amiri" w:cs="Amiri"/>
          <w:color w:val="111111"/>
          <w:sz w:val="28"/>
          <w:sz w:val="28"/>
          <w:szCs w:val="28"/>
          <w:rtl w:val="true"/>
          <w:lang w:bidi="ar-SA"/>
        </w:rPr>
        <w:t>، فلا يلزم في شيء من الموارد استعمال أداة الاستثناء في أكثر من معنىً</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4629156_2142443653"/>
      <w:bookmarkStart w:id="558" w:name="_Toc199"/>
      <w:bookmarkEnd w:id="557"/>
      <w:r>
        <w:rPr>
          <w:rtl w:val="true"/>
        </w:rPr>
        <w:t>المقام الثاني</w:t>
      </w:r>
      <w:r>
        <w:rPr>
          <w:rtl w:val="true"/>
        </w:rPr>
        <w:t xml:space="preserve">: </w:t>
      </w:r>
      <w:r>
        <w:rPr>
          <w:rtl w:val="true"/>
        </w:rPr>
        <w:t>في حاله إثباتاً</w:t>
      </w:r>
      <w:bookmarkEnd w:id="55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رجوع الاستثناء إلى جميع الجمل إذا ذكر الاسم الظاهر في الجملة الاُولى، وعطف سائر الجمل عليها مشتملاً على الضمير الراجع إليه، واشتمل </w:t>
      </w:r>
    </w:p>
    <w:p>
      <w:pPr>
        <w:pStyle w:val="BookText"/>
        <w:rPr/>
      </w:pPr>
      <w:r>
        <w:rPr>
          <w:rFonts w:ascii="Amiri" w:hAnsi="Amiri" w:eastAsia="Amiri" w:cs="Amiri"/>
          <w:color w:val="111111"/>
          <w:sz w:val="28"/>
          <w:sz w:val="28"/>
          <w:szCs w:val="28"/>
          <w:rtl w:val="true"/>
          <w:lang w:bidi="ar-SA"/>
        </w:rPr>
        <w:t>المستثنى أيضاً على الضمير،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وسلِّم عليهم وأ لبسهم إلاّ</w:t>
      </w:r>
    </w:p>
    <w:p>
      <w:pPr>
        <w:pStyle w:val="BookText"/>
        <w:rPr/>
      </w:pPr>
      <w:r>
        <w:rPr>
          <w:rFonts w:ascii="Amiri" w:hAnsi="Amiri" w:eastAsia="Amiri" w:cs="Amiri"/>
          <w:color w:val="111111"/>
          <w:sz w:val="28"/>
          <w:sz w:val="28"/>
          <w:szCs w:val="28"/>
          <w:rtl w:val="true"/>
          <w:lang w:bidi="ar-SA"/>
        </w:rPr>
        <w:t>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لنفس الإشارة إلى الغائب، كما أنّ أسماء الإشارة موضوعة للإشارة إلى الحاضر، فإذا اشتمل المستثنى على الضمير يكون إشارة إلى شيء، ولم يكن في الجمل شيء صالح للإشارة إليه إلاّ الاسم الظاهر المذكور في صدرها، وأمّا سائر الجمل فلا تصلح لإرجاع الضمير إليها؛ لعدم عود الضمير إلى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الاسم الظاهر مرجعاً للضمائر التي في جميع الجمل، فإذا رجع ضمير الاستثناء إليه يخرجه عن تحت جميع الأحكام المتعلّقة به، كما هو المتفاهم به 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يبعد أن يكون الاستثناء من الجميع إذا لم يشتمل المستثنى على الضمير مع اشتمال الجمل عليه، كما لو قال في المثال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 بأنّ الضمير في مثله منويّ فلما ذكرنا، وإن قلنا بعدم النيّة فلأنّ الضمائر في سائر الجمل غير صالحة لتعلّق الاستثناء بها؛ فإنّها بنفسها غير محكومة بشيء، فلا محالة يرجع الاستثناء إلى ما هو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تكرّر الاسم الظاهر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وأضف التجّار وألبس الفقراء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فرجوعه إلى الجميع وإلى الأخيرة محتمل، ولا يكون ظاهراً في واحد منهما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رجوعه إلى الأخيرة؛ لأنّ تكرار عقد الوضع في </w:t>
      </w:r>
    </w:p>
    <w:p>
      <w:pPr>
        <w:pStyle w:val="BookText"/>
        <w:rPr/>
      </w:pPr>
      <w:r>
        <w:rPr>
          <w:rFonts w:ascii="Amiri" w:hAnsi="Amiri" w:eastAsia="Amiri" w:cs="Amiri"/>
          <w:color w:val="111111"/>
          <w:sz w:val="28"/>
          <w:sz w:val="28"/>
          <w:szCs w:val="28"/>
          <w:rtl w:val="true"/>
          <w:lang w:bidi="ar-SA"/>
        </w:rPr>
        <w:t>الجملة الأخيرة مستقلاًّ يوجب أخذ الاستثناء محلّه من الكلام</w:t>
      </w:r>
      <w:r>
        <w:rPr>
          <w:rStyle w:val="FootnoteAnchor"/>
          <w:rtl w:val="true"/>
        </w:rPr>
        <w:footnoteReference w:id="483"/>
      </w:r>
      <w:r>
        <w:rPr>
          <w:rFonts w:ascii="Amiri" w:hAnsi="Amiri" w:eastAsia="Amiri" w:cs="Amiri"/>
          <w:color w:val="111111"/>
          <w:sz w:val="28"/>
          <w:sz w:val="28"/>
          <w:szCs w:val="28"/>
          <w:rtl w:val="true"/>
          <w:lang w:bidi="ar-SA"/>
        </w:rPr>
        <w:t>، لا يرجع إلى محصّل، بل المستثنى إن اشتمل على الضمير يكون الاستثناء تابعاً له في السعة والضيق، وهو محتمل الرجوع إلى الأخيرة وإلى الجميع من غير تأوّل وتجوّز، ومع عدم الاشتمال يحتمل الأمرين أيضاً بانطباق العنوان على الجميع أو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رجوع الضمير وانطباق العنوان على الجميع لو لم يكن أولى، فلا أقلّ من المساواة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حال ما إذا اشتمل بعض الجمل المتوسّطة على الاسم الظاهر، وما بعده على الضمير الراجع إليه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وسلّم عليهم، وأضف التجّار، وأكرمهم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الرجوع إلى المشتمل على الاسم الظاهر في الجملة الأخيرة وما بعدها، وإلى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فيما إذا لم يظهر رجوعه إلى الأخيرة أو الجميع فالأخيرة متيقّنة؛ لأنّ الرجوع إلى غيرها خلاف قانون المحاورة، فهل يجوز التمسّك بالعامّ في سائر الجمل التي شكّ في رجوعه إليها أو لا، أو يفصّل بين ما إذا قلنا باحتياج العموم إلى مقدّمات الحكمة وعدمه ؟</w:t>
      </w:r>
    </w:p>
    <w:p>
      <w:pPr>
        <w:pStyle w:val="BookText"/>
        <w:rPr/>
      </w:pPr>
      <w:r>
        <w:rPr>
          <w:rFonts w:ascii="Amiri" w:hAnsi="Amiri" w:eastAsia="Amiri" w:cs="Amiri"/>
          <w:color w:val="111111"/>
          <w:sz w:val="28"/>
          <w:sz w:val="28"/>
          <w:szCs w:val="28"/>
          <w:rtl w:val="true"/>
          <w:lang w:bidi="ar-SA"/>
        </w:rPr>
        <w:t>الظاهر عدم الجواز مطلقاً؛ لعدم إحراز بناء العقلاء على التمسّك بأصالة الجدّ فيما إذا حفّ الكلام بشيء صالح لتقييد مدخول أداة العموم، فلا محالة يصير الكلام مجملاً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مخلّ بغرض المتكلّم</w:t>
      </w:r>
      <w:r>
        <w:rPr>
          <w:rStyle w:val="FootnoteAnchor"/>
          <w:rtl w:val="true"/>
        </w:rPr>
        <w:footnoteReference w:id="484"/>
      </w:r>
      <w:r>
        <w:rPr>
          <w:rFonts w:ascii="Amiri" w:hAnsi="Amiri" w:eastAsia="Amiri" w:cs="Amiri"/>
          <w:color w:val="111111"/>
          <w:sz w:val="28"/>
          <w:sz w:val="28"/>
          <w:szCs w:val="28"/>
          <w:rtl w:val="true"/>
          <w:lang w:bidi="ar-SA"/>
        </w:rPr>
        <w:t xml:space="preserve">، منظور فيه؛ لإمكان تعلّق </w:t>
      </w:r>
    </w:p>
    <w:p>
      <w:pPr>
        <w:pStyle w:val="BookText"/>
        <w:rPr/>
      </w:pPr>
      <w:r>
        <w:rPr>
          <w:rFonts w:ascii="Amiri" w:hAnsi="Amiri" w:eastAsia="Amiri" w:cs="Amiri"/>
          <w:color w:val="111111"/>
          <w:sz w:val="28"/>
          <w:sz w:val="28"/>
          <w:szCs w:val="28"/>
          <w:rtl w:val="true"/>
          <w:lang w:bidi="ar-SA"/>
        </w:rPr>
        <w:t>غرضه بإلقاء الكلام المجمل، وإلاّ لوجب أن لا يصدر منه المجملات،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الإطلاق في الاستثناء والمستثنى جارية لولا حكومة أصالة العموم عليها، ومعها لا مجال لقرينية الإطلاق؛ لأ نّه دوري</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إن اشتمل على الضمير يتبع إطلاقه له، ولا يكون الإطلاق مشخّصاً لمرجع الضمير؛ للزوم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وإن لم يحتج إلى المقدّمات، لكن يتوقّف الاحتجاج به على جريان أصالة الجدّ، وفي مثل الكلام المحفوف بما ذكر، جريانها غير محرز</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عدم اشتماله على الضمير أيضاً محلّ إشكال؛ لصحّة انطباق عنوانه على الجميع، كان الضمير منويّاً أو لا، ومعه لا تكون أصالة الجدّ محرزة، فتدبّر</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5293_220337"/>
      <w:bookmarkStart w:id="560" w:name="pg15293_220337"/>
      <w:bookmarkEnd w:id="560"/>
    </w:p>
    <w:p>
      <w:pPr>
        <w:pStyle w:val="Heading2"/>
        <w:numPr>
          <w:ilvl w:val="1"/>
          <w:numId w:val="1"/>
        </w:numPr>
        <w:rPr/>
      </w:pPr>
      <w:bookmarkStart w:id="561" w:name="pg15293_220337"/>
      <w:bookmarkStart w:id="562" w:name="__RefHeading___Toc4629158_2142443653"/>
      <w:bookmarkStart w:id="563" w:name="_Toc200"/>
      <w:bookmarkEnd w:id="561"/>
      <w:bookmarkEnd w:id="562"/>
      <w:r>
        <w:rPr>
          <w:rtl w:val="true"/>
        </w:rPr>
        <w:t>المقصد الخامس في المطلق والمقيّد</w:t>
      </w:r>
      <w:bookmarkEnd w:id="563"/>
    </w:p>
    <w:p>
      <w:pPr>
        <w:pStyle w:val="Heading3"/>
        <w:numPr>
          <w:ilvl w:val="2"/>
          <w:numId w:val="1"/>
        </w:numPr>
        <w:rPr/>
      </w:pPr>
      <w:bookmarkStart w:id="564" w:name="__RefHeading___Toc4629160_2142443653"/>
      <w:bookmarkStart w:id="565" w:name="_Toc201"/>
      <w:bookmarkEnd w:id="564"/>
      <w:r>
        <w:rPr>
          <w:rtl w:val="true"/>
        </w:rPr>
        <w:t>اشارة</w:t>
      </w:r>
      <w:bookmarkEnd w:id="56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5293_220339"/>
      <w:bookmarkStart w:id="567" w:name="pg15293_220339"/>
      <w:bookmarkEnd w:id="567"/>
    </w:p>
    <w:p>
      <w:pPr>
        <w:pStyle w:val="Heading3"/>
        <w:numPr>
          <w:ilvl w:val="2"/>
          <w:numId w:val="1"/>
        </w:numPr>
        <w:rPr/>
      </w:pPr>
      <w:bookmarkStart w:id="568" w:name="pg15293_220339"/>
      <w:bookmarkStart w:id="569" w:name="__RefHeading___Toc4629162_2142443653"/>
      <w:bookmarkStart w:id="570" w:name="_Toc202"/>
      <w:bookmarkEnd w:id="568"/>
      <w:bookmarkEnd w:id="569"/>
      <w:r>
        <w:rPr>
          <w:rtl w:val="true"/>
        </w:rPr>
        <w:t>الفصل الأوّل في تعريف المطلق والمقيّد</w:t>
      </w:r>
      <w:bookmarkEnd w:id="570"/>
    </w:p>
    <w:p>
      <w:pPr>
        <w:pStyle w:val="BookText"/>
        <w:rPr/>
      </w:pPr>
      <w:r>
        <w:rPr>
          <w:rFonts w:ascii="Amiri" w:hAnsi="Amiri" w:eastAsia="Amiri" w:cs="Amiri"/>
          <w:color w:val="111111"/>
          <w:sz w:val="28"/>
          <w:sz w:val="28"/>
          <w:szCs w:val="28"/>
          <w:rtl w:val="true"/>
          <w:lang w:bidi="ar-SA"/>
        </w:rPr>
        <w:t>قد عرّف المطلق بأ نّه ما دلّ على شائع في جنسه، والمقيّد بخلافه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 أنّ الإطلاق والتقييد من صفات اللفظ، مع أنّ الظاهر أ نّهما من صفات المعنى، ولو جعلا من صفات اللفظ كانا تبعاً له؛ ضرورة أنّ نفس الطبيعة التي جعلت موضوع الحكم قد تكون مطلقة وقد تكون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الشيوع في جنسه الذي جعل صفة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منه أ نّه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جزء مدلول اللفظ؛ بحيث يكون الإطلاق دالاًّ على الشيوع، فهو فاسد جدّاً؛ لأنّ المطلق هو ما لا قيد فيه بالإضافة إلى كلّ قيد لوحظ فيه، من غير دلالة على الخصوصيات الفردية، أو الحالات الشخصية، كما مرّ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كان المراد أ نّه صفة المعنى وأنّ اللفظ لا يدلّ إلاّ على نفس المعنى وهو</w:t>
      </w:r>
    </w:p>
    <w:p>
      <w:pPr>
        <w:pStyle w:val="BookText"/>
        <w:rPr/>
      </w:pPr>
      <w:r>
        <w:rPr>
          <w:rFonts w:ascii="Amiri" w:hAnsi="Amiri" w:eastAsia="Amiri" w:cs="Amiri"/>
          <w:color w:val="111111"/>
          <w:sz w:val="28"/>
          <w:sz w:val="28"/>
          <w:szCs w:val="28"/>
          <w:rtl w:val="true"/>
          <w:lang w:bidi="ar-SA"/>
        </w:rPr>
        <w:t xml:space="preserve">شائع في جنسه، فلا محالة يكون الشيوع في الجنس عبارة عن سريانه في أفراده الذاتية حتّى يصدق بوجه شيوعه في مجانسه، وإلاّ فالجنس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صحيح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عليه الإشكال المتقدّم، لكن يخرج منه إطلاق أفراد العموم،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وكذا الإطلاق في الأعلام الشخصية،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وإن تكلّف بعض أهل التحقيق</w:t>
      </w:r>
      <w:r>
        <w:rPr>
          <w:rStyle w:val="FootnoteAnchor"/>
          <w:rtl w:val="true"/>
        </w:rPr>
        <w:footnoteReference w:id="490"/>
      </w:r>
      <w:r>
        <w:rPr>
          <w:rFonts w:ascii="Amiri" w:hAnsi="Amiri" w:eastAsia="Amiri" w:cs="Amiri"/>
          <w:color w:val="111111"/>
          <w:sz w:val="28"/>
          <w:sz w:val="28"/>
          <w:szCs w:val="28"/>
          <w:rtl w:val="true"/>
          <w:lang w:bidi="ar-SA"/>
        </w:rPr>
        <w:t>بإدراج الأشخاص فيه بما لا يخفى ما فيه، وكذا يخرج إطلاق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عكسه دخول بعض المقيّدات فيه، كالرقبة المؤمنة؛ فإنّه أيضاً شائع في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في جميع الموارد لا يكون إلاّ بمعنىً واحد، كما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اُمور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لا يختصّ بالماهيات الكلّية، بل قد يكون في الأعلام الشخصية، فالقول بأنّ المطلق هو اللا بشرط المقسمي أو القسمي</w:t>
      </w:r>
      <w:r>
        <w:rPr>
          <w:rStyle w:val="FootnoteAnchor"/>
          <w:rtl w:val="true"/>
        </w:rPr>
        <w:footnoteReference w:id="491"/>
      </w:r>
      <w:r>
        <w:rPr>
          <w:rFonts w:ascii="Amiri" w:hAnsi="Amiri" w:eastAsia="Amiri" w:cs="Amiri"/>
          <w:color w:val="111111"/>
          <w:sz w:val="28"/>
          <w:sz w:val="28"/>
          <w:szCs w:val="28"/>
          <w:rtl w:val="true"/>
          <w:lang w:bidi="ar-SA"/>
        </w:rPr>
        <w:t>، ليس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والتقييد أمران إضافيان، فكلّ شيء قيس إلى موضوع الحكم فإمّا قيد له أو لا، فعلى الثاني يكون مطلقاً وإن كان بالنسبة إلى شيء آخر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الإطلاق والتقييد شبه العدم والملكة؛ لأنّ الإطلاق متقوّم بعدم التقييد ممّا كان من شأنه ذلك، وما لا يكون من شأنه التقييد لا يكون مطلقاً ولا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شبههما؛ لأنّ التقابل الحقيقي إنّما يكون فيما إذا كان للشيء استعداد حقيقة؛ بحيث يخرج من القوّة إلى الفعل بحصول ما يستعدّ له، فالأعمى إذا صار بصيراً خرج من القوّة إلى الفعل، وفي باب المطلق والمقيّد ليس الأمر كذلك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الشيوع والسريان لا يستفاد من الإطلاق حتّى بعد مقدّمات الحكمة، بل معنى الإطلاق ليس إلاّ عدم دخالة القيد، وهذا غير السريان والشياع</w:t>
      </w:r>
      <w:r>
        <w:rPr>
          <w:rFonts w:eastAsia="Amiri" w:cs="Amiri" w:ascii="Amiri" w:hAnsi="Amiri"/>
          <w:color w:val="111111"/>
          <w:sz w:val="28"/>
          <w:szCs w:val="28"/>
          <w:rtl w:val="true"/>
          <w:lang w:bidi="ar-SA"/>
        </w:rPr>
        <w:t xml:space="preserve">. </w:t>
      </w:r>
      <w:bookmarkStart w:id="571" w:name="pg15293_220342"/>
    </w:p>
    <w:p>
      <w:pPr>
        <w:pStyle w:val="Heading3"/>
        <w:numPr>
          <w:ilvl w:val="2"/>
          <w:numId w:val="1"/>
        </w:numPr>
        <w:rPr/>
      </w:pPr>
      <w:bookmarkStart w:id="572" w:name="__RefHeading___Toc4629164_2142443653"/>
      <w:bookmarkStart w:id="573" w:name="_Toc203"/>
      <w:bookmarkEnd w:id="571"/>
      <w:bookmarkEnd w:id="572"/>
      <w:r>
        <w:rPr>
          <w:rtl w:val="true"/>
        </w:rPr>
        <w:t>الفصل الثاني في اسم الجنس والماهية وأقسامها</w:t>
      </w:r>
      <w:bookmarkEnd w:id="573"/>
    </w:p>
    <w:p>
      <w:pPr>
        <w:pStyle w:val="Heading4"/>
        <w:numPr>
          <w:ilvl w:val="3"/>
          <w:numId w:val="1"/>
        </w:numPr>
        <w:rPr/>
      </w:pPr>
      <w:bookmarkStart w:id="574" w:name="__RefHeading___Toc4629166_2142443653"/>
      <w:bookmarkStart w:id="575" w:name="_Toc204"/>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بناءً على ما مرّ يكون تحقيق اسم الجنس وعلمه وغيرهما وكذا تحقيق الماهية اللابشرط وأقسامها والفرق بين المقسمي والقسمي، غير محتاج إليه، بل أجنبيّاً عن مبحث الإطلاق والتقييد، لكن نذكر إجمالاً منه تبعاً للقوم، فنقول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اسم الجنس كالإنسان والفرس والسواد والبياض وغيرها موضوع لنفس الماهيات بلا اعتبار شيء ومن غير دخالة قيد وجودي أو عدمي أو اعتباري فيها، فالموضوع لها نفس الماهية من حيث هي، وهذه الماهية وإن لم تكن مجرّدة عن كافّة الوجودات قابلةً للتعقّل والتحقّق، لكن يمكن تصوّرها مع الغفلة عن كافّة الوجودات واللواحق؛ لأنّ الماهية الملحوظة وإن كانت موجودة بالوجود اللحاظي، لكن لحاظ هذا اللحاظ يحتاج إلى لحاظ آخر، ولا يمكن أن يكون ملحوظاً بهذا اللحاظ، فلا محالة يكون مغفولاً عنه، فيصير المعنى الموضوع له هو نفس الماهية، لا بما هي موجودة في الذهن وملحوظة، </w:t>
      </w:r>
    </w:p>
    <w:p>
      <w:pPr>
        <w:pStyle w:val="BookText"/>
        <w:rPr/>
      </w:pPr>
      <w:r>
        <w:rPr>
          <w:rFonts w:ascii="Amiri" w:hAnsi="Amiri" w:eastAsia="Amiri" w:cs="Amiri"/>
          <w:color w:val="111111"/>
          <w:sz w:val="28"/>
          <w:sz w:val="28"/>
          <w:szCs w:val="28"/>
          <w:rtl w:val="true"/>
          <w:lang w:bidi="ar-SA"/>
        </w:rPr>
        <w:t>فاللفظ موضوع للماهية بلا لحاظ السريان واللاسريان فيها، وإن كانت بنفسها سارية في المصاديق ومتّحدة معها، لا بمعنى انطباق الماهية الذهنية على الخارج، بل بمعنى كون نفس الماهية متكثّرة الوجود توجد في الخارج بعين وجود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بعض أهل التدقيق؛ حيث زعم أنّ الموضوع له نفس المعنى لا المعنى المطلق بما هو مطلق، لكن وجب لحاظه مطلقاً تسرية للوضع إلى الأفراد</w:t>
      </w:r>
      <w:r>
        <w:rPr>
          <w:rStyle w:val="FootnoteAnchor"/>
          <w:rtl w:val="true"/>
        </w:rPr>
        <w:footnoteReference w:id="492"/>
      </w:r>
      <w:r>
        <w:rPr>
          <w:rFonts w:ascii="Amiri" w:hAnsi="Amiri" w:eastAsia="Amiri" w:cs="Amiri"/>
          <w:color w:val="111111"/>
          <w:sz w:val="28"/>
          <w:sz w:val="28"/>
          <w:szCs w:val="28"/>
          <w:rtl w:val="true"/>
          <w:lang w:bidi="ar-SA"/>
        </w:rPr>
        <w:t xml:space="preserve">، كما أ نّه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لوحظت الرقبة مرسلة مطلقة لتسرية الحكم إلى جميع أفراد موضوعه، إلاّ أنّ ذات المحكوم بالوجوب عتق طبيعة الرقبة، لا عتق أيّة رقبة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 في المقامين؛ لأنّ الموضوع له إذا كان نفس المعنى لا يعقل سرايته إلى الأفراد، ويكون لحاظ الواضع لغواً بلا أثر، إلاّ أن يجعل اللفظ بإزاء الأفراد، وكذا إذا كان موضوع الحكم نفس الطبيعة لا يمكن سرايته إلى خصوصيات الأفراد، لاحظ الحاكم أفرادها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قسّموا الماهية إلى لا بشرط وبشرط شيء وبشرط لا، وظاهر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أكابر فنّ المعقول أنّ تقسيمها إليها وكذا إلى الجنس والمادّة والنوع بالاعتبار واللحاظ، وكذا الافتراق بينها، وأ نّها إن لوحظت مجرّدة عن اللواحق تكون بشرط لا، وإن لوحظت مقترنة بشيء تكون بشرط شيء، وإن لوحظت </w:t>
      </w:r>
    </w:p>
    <w:p>
      <w:pPr>
        <w:pStyle w:val="BookText"/>
        <w:rPr/>
      </w:pPr>
      <w:r>
        <w:rPr>
          <w:rFonts w:ascii="Amiri" w:hAnsi="Amiri" w:eastAsia="Amiri" w:cs="Amiri"/>
          <w:color w:val="111111"/>
          <w:sz w:val="28"/>
          <w:sz w:val="28"/>
          <w:szCs w:val="28"/>
          <w:rtl w:val="true"/>
          <w:lang w:bidi="ar-SA"/>
        </w:rPr>
        <w:t>بذاتها لا مقترنة ولا غير مقترنة تكون لا بشرط شيء، وأنّ الفرق بين اللا بشرط</w:t>
      </w:r>
    </w:p>
    <w:p>
      <w:pPr>
        <w:pStyle w:val="BookText"/>
        <w:rPr/>
      </w:pPr>
      <w:r>
        <w:rPr>
          <w:rFonts w:ascii="Amiri" w:hAnsi="Amiri" w:eastAsia="Amiri" w:cs="Amiri"/>
          <w:color w:val="111111"/>
          <w:sz w:val="28"/>
          <w:sz w:val="28"/>
          <w:szCs w:val="28"/>
          <w:rtl w:val="true"/>
          <w:lang w:bidi="ar-SA"/>
        </w:rPr>
        <w:t>المقسمي والقسمي بتقييد الثاني باللا بشرطية دون الأوّل، وكذا حال الجنس وأخويه وأنّ الفرق بينها باللحاظ، فإذا لوحظ الحيوان بشرط لا يكون مادّة، ولا بشرط يكون جنساً، وبشرط شيء يكون نوعاً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اغترّ بظاهر كلماتهم أعاظم فنّ الاُصول ووقعوا في حيص بيص في أقسام الماهية، والفرق بين اللا بشرط المقسمي والقسمي</w:t>
      </w:r>
      <w:r>
        <w:rPr>
          <w:rStyle w:val="FootnoteAnchor"/>
          <w:rtl w:val="true"/>
        </w:rPr>
        <w:footnoteReference w:id="495"/>
      </w:r>
      <w:r>
        <w:rPr>
          <w:rFonts w:ascii="Amiri" w:hAnsi="Amiri" w:eastAsia="Amiri" w:cs="Amiri"/>
          <w:color w:val="111111"/>
          <w:sz w:val="28"/>
          <w:sz w:val="28"/>
          <w:szCs w:val="28"/>
          <w:rtl w:val="true"/>
          <w:lang w:bidi="ar-SA"/>
        </w:rPr>
        <w:t>، حتّى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التقسيم إنّما هو للحاظ الماهية، لا لنفسها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يسع لنا الإذعان بأنّ أعاظم الفلاسفة قد اقترحوا هذه التقسيمات في باب الماهية والجنس والفصل من غير نظر إلى نفس الأمر ونظام الكون، وإنّما كان نظرهم صرف التلاعب بالمفاهيم ومحض اعتبارات ذهنية من غير أن تكون حاكية عن الواقع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ينقضي تعجّبي من أنّ صرف اعتبار شيء لا بشرط كيف يؤثّر في الواقع ويجعل الشيء قابلاً للاتّحاد والحمل، وأخذه بشرط لا، يوجب انقلاب الواقع عمّا هو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هذه التقسيمات بصرف الاعتبار لجاز أن يعتبرها أشخاص مختلفون، ويصير الواقع مختلفاً بحسب اعتبارهم، فتكون ماهية </w:t>
      </w:r>
    </w:p>
    <w:p>
      <w:pPr>
        <w:pStyle w:val="BookText"/>
        <w:rPr/>
      </w:pPr>
      <w:r>
        <w:rPr>
          <w:rFonts w:ascii="Amiri" w:hAnsi="Amiri" w:eastAsia="Amiri" w:cs="Amiri"/>
          <w:color w:val="111111"/>
          <w:sz w:val="28"/>
          <w:sz w:val="28"/>
          <w:szCs w:val="28"/>
          <w:rtl w:val="true"/>
          <w:lang w:bidi="ar-SA"/>
        </w:rPr>
        <w:t>واحدة متّحدة مع شيء ولا متّحدة معه بعينه،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يؤدّي إليه النظر الدقيق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أرَ المصرّح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كلّية التقسيمات</w:t>
      </w:r>
    </w:p>
    <w:p>
      <w:pPr>
        <w:pStyle w:val="BookText"/>
        <w:rPr/>
      </w:pPr>
      <w:r>
        <w:rPr>
          <w:rFonts w:ascii="Amiri" w:hAnsi="Amiri" w:eastAsia="Amiri" w:cs="Amiri"/>
          <w:color w:val="111111"/>
          <w:sz w:val="28"/>
          <w:sz w:val="28"/>
          <w:szCs w:val="28"/>
          <w:rtl w:val="true"/>
          <w:lang w:bidi="ar-SA"/>
        </w:rPr>
        <w:t>التي في باب الماهية والأجناس والفصول تكون بلحاظ نفس الأمر ومرآةً إلى الواقع، والاختلاف بين المادّة والجنس والنوع واقعي؛ لأنّ المادّة متّحدة مع الصورة التي تبدّلت بها، والتركيب بينهما اتّحادي، وتكون المادّة المتّحدة بالصورة نوعاً من الأنواع، والمادّة القابلة لصورة اُخرى تكون منضمّة إلى الصورة الموجودة، والتركيب بينهما انضمامي لا اتّحادي، وتكون بالنسبة إلى الصورة المتحقّقة بشرط لا؛ لعدم إمكان اتّحادها بها، وبالنسبة إلى الصورة التي تستعدّ لتبدّلها إليها لا بشرط شيء، فالمادّة التي تبدّلت بصورة النواة نوع، وتركيبها معها اتّحادي، وبالنسبة إليها بشرط شيء، والمادّة المستعدّة في النواة لقبول الصورة الشجرية تكون منضمّة إلى الصورة النواتية، وتركيبهما انضمامي، وتكون لا بشرط بالنسبة إلى الصورة الشجرية وما فوقها، وبشرط لا بالنسبة إلى تلك الصورة النواتية المتحقّقة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أهله ومحلّه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أقسام الماهية، فإنّها أيضاً بحسب حالها في نفس الأمر؛ فإنّها إذا قيست إلى أيّ شيء فلا يخلو إمّا أن يكون لازم الالتحاق بها بحسب ذاتها أو وجودها، أو ممتنع الالتحاق بها، أو ممكن الالتحاق، فالأوّل كالزوجية بالنسبة إلى الأربعة، وكالتحيّز بالنسبة إلى الجسم الخارجي، والثاني كالفردية بالنسبة إلى الأربعة، وكالتجرّد بالنسبة إلى الجسم الخارجي، والثالث كالوجود بالنسبة إلى الماهية، وكالبياض بالنسبة إلى الجسم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فالماهية بحسب الواقع لا تخلو عن أحد الأقسام، وهو مناط صحيح في تقسيمها إلى بشرط شيء ولا بشرط وبشرط لا، من غير ورود إشكال عليه، ومن غير أن تصير الأقسام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الفرق بين المقسم واللا بشرط القسمي واضحاً؛ لأنّ المقسم نفس ذات الماهية، وهي أعمّ من الأقسام، واللا بشرط القسمي مقابل للقسمين بحسب نفس الأمر ومضادّ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وإن خالف ظاهر كلماتهم في البابين، لكن التأمّل الصادق في كلمات المحقّقين يرفع الاستبعاد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 نّه تقسيم صحيح معتبر في العلوم موافق لنفس الأمر، بخلاف ما ذكروا؛ فإنّه صرف اعتبار وتلاعب، مع ما عرفت من الإشكال العقلي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شيء في المقام هو توهّم كون التقسيم للحاظ الماهية لا نفسها</w:t>
      </w:r>
      <w:r>
        <w:rPr>
          <w:rStyle w:val="FootnoteAnchor"/>
          <w:rtl w:val="true"/>
        </w:rPr>
        <w:footnoteReference w:id="497"/>
      </w:r>
      <w:r>
        <w:rPr>
          <w:rFonts w:ascii="Amiri" w:hAnsi="Amiri" w:eastAsia="Amiri" w:cs="Amiri"/>
          <w:color w:val="111111"/>
          <w:sz w:val="28"/>
          <w:sz w:val="28"/>
          <w:szCs w:val="28"/>
          <w:rtl w:val="true"/>
          <w:lang w:bidi="ar-SA"/>
        </w:rPr>
        <w:t>، فلا أدري أ نّه أيّة فائدة في تقسيم اللحاظ، ثمّ أيّ ربط بين تقسيمه وصيرورة الماهية باعتباره قابلة للحمل وعدمه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التقسيم كما يجري في نفس الماهية، يجري في الماهية الموجودة، بل في وجودها، وقد أجراه بعض أهل الذوق في نفس حقيقة الوجود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576" w:name="pg15293_220347"/>
    </w:p>
    <w:p>
      <w:pPr>
        <w:pStyle w:val="Heading4"/>
        <w:numPr>
          <w:ilvl w:val="3"/>
          <w:numId w:val="1"/>
        </w:numPr>
        <w:rPr/>
      </w:pPr>
      <w:bookmarkStart w:id="577" w:name="__RefHeading___Toc4629168_2142443653"/>
      <w:bookmarkStart w:id="578" w:name="_Toc205"/>
      <w:bookmarkEnd w:id="576"/>
      <w:bookmarkEnd w:id="577"/>
      <w:r>
        <w:rPr>
          <w:rtl w:val="true"/>
        </w:rPr>
        <w:t>تتميم</w:t>
      </w:r>
      <w:r>
        <w:rPr>
          <w:rtl w:val="true"/>
        </w:rPr>
        <w:t xml:space="preserve">: </w:t>
      </w:r>
      <w:r>
        <w:rPr>
          <w:rtl w:val="true"/>
        </w:rPr>
        <w:t>في اسم الجنس وعلمه</w:t>
      </w:r>
      <w:bookmarkEnd w:id="578"/>
    </w:p>
    <w:p>
      <w:pPr>
        <w:pStyle w:val="BookText"/>
        <w:rPr/>
      </w:pPr>
      <w:r>
        <w:rPr>
          <w:rFonts w:ascii="Amiri" w:hAnsi="Amiri" w:eastAsia="Amiri" w:cs="Amiri"/>
          <w:color w:val="111111"/>
          <w:sz w:val="28"/>
          <w:sz w:val="28"/>
          <w:szCs w:val="28"/>
          <w:rtl w:val="true"/>
          <w:lang w:bidi="ar-SA"/>
        </w:rPr>
        <w:t xml:space="preserve">واعلم أنّ القوم لمّا رأوا أنّ بعض أسماء الأجناس عومل معه معاملة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كاُسامة وثعالة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فوقعوا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 إلى أنّ أمثالها معارف لفظية، والتعريف اللفظي كالتأنيث اللفظي متصوّر من غير فرق بين معانيها مع أسماء الأجناس</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 إلى أنّ أعلام الأجناس وضعت للطبيعة المتعيّنة بالتعيّن الذهني</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فأورد عليه المحقّق الخراساني بلزوم التجريد عند الاستعمال أو عدم إمكان التطبيق على الخارج، والوضع لذلك لغو</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شيخنا العلاّمة بأنّ اللحاظ حرفي لا يوجب عدم التطبيق</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تامّ؛ لأنّ علم الجنس إذا كان متقوّماً باللحاظ وبه يفترق عن اسمه، فلا يعقل انطباقه على الخارج بما هو ملحوظ مفترق؛ لأنّ اللحاظ ولو كان حرفياً موطنه الذهن، وما ينطبق على الخارج هو نفس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الوضع للماهية الملحوظة مستلزم للّحاظ الاسمي واعتبار التعيّن الذهني فيه بنحو الاستقلال، والاستعمال لا بدّ وأن يكون تابعاً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الجنس المجرّد عن اللام والتنوين وغيرهما موضوع لنفس الطبيعة من حيث هي، وهي ليست معرفة ولا نكرة، وهما تلحقانها في رتبة متأخّرة عن ذاتها؛ لأنّ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التعيّن الواقعي المناسب لوعائه، والتنكير عبارة عن اللا تعيّن كذلك، فالماهية بذاتها لا تكون متعيّنة ولا لا متعيّنة، ولهذا تصلح لعروضهما عليها، فلو كانت متعيّنة ومعرفة بذاتها لم يمكن أن يعرضها ما يضادّها، وبالعكس، هذا مع أنّ لازم ذلك كونهما جزءها أو عينها،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يفرّق بينهما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موضوع لنفس الماهية التي ليست نكرة ولا معرفة، وعلمه موضوع للماهية المتعيّنة بالتعيّن العارض لها متأخّراً عن ذاتها في غير حال عروض التنكير عليها، والفرق بين علم الجنس واسم الجنس المعرّف أنّ الأوّل يفيد بدالّ واحد ما يفيد الثاني بتعدّد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التعريف والتنكير غير متقوّمين باللحاظ حتّى يرد عليه الإشكال المتقدّم، بل مع قطع النظر عنه، بعض المعاني معروف معيّن وبعضها منكور غير معيّن، فالماهية بذاتها لا معروفة ولا غيرها، وبما أ نّها معنىً معيّن بين سائر المعاني وطبيعة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فاُسامة موضوعة لهذه المرتبة، واسم الجنس لمرتبة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وتنوين التنكير يفيد نكارتها، واللا تعيّن ملحق بها كالتعيّن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اللام وضعت مطلقاً للتعريف، وإفادة العهد وغيره بدالّ آخر، فإذا دخلت على الجنس وعلى الجمع تفيد تعريفهما، وإفادة الاستغراق لأجل أنّ </w:t>
      </w:r>
    </w:p>
    <w:p>
      <w:pPr>
        <w:pStyle w:val="BookText"/>
        <w:rPr/>
      </w:pPr>
      <w:r>
        <w:rPr>
          <w:rFonts w:ascii="Amiri" w:hAnsi="Amiri" w:eastAsia="Amiri" w:cs="Amiri"/>
          <w:color w:val="111111"/>
          <w:sz w:val="28"/>
          <w:sz w:val="28"/>
          <w:szCs w:val="28"/>
          <w:rtl w:val="true"/>
          <w:lang w:bidi="ar-SA"/>
        </w:rPr>
        <w:t>غير الاستغراق من سائر المراتب لم يكن معيّناً، والتعريف هو التعيين، وهو حاصل في استغراق الأفراد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غير بعيد عن الصواب، وإن لم يقم دليل على كون علم الجنس كذلك، لكن مع هذا الاحتمال لا داعي للذهاب إلى التعريف اللفظي البعيد عن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ينبغي الإشكال في أنّ النكرة دالّة بتعدّد الدالّ على الطبيعة اللامعيّنة؛ أي المتقيّدة بالوحدة بالمعنى الحرفي والحمل الشائع، من غير فرق بين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 بمعنى واحد، وأ نّه قابل للصدق على الكثيرين، وأنّ إفادة البدلية عقلية لا لفظية، كلّ ذلك بحكم التبادر، والفرق بين المثالين إنّما هو بدلالة خارجية ودالّ آخر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أفاده شيخنا العلاّمة من أ نّهما جزئيان</w:t>
      </w:r>
      <w:r>
        <w:rPr>
          <w:rStyle w:val="FootnoteAnchor"/>
          <w:rtl w:val="true"/>
        </w:rPr>
        <w:footnoteReference w:id="503"/>
      </w:r>
      <w:r>
        <w:rPr>
          <w:rFonts w:ascii="Amiri" w:hAnsi="Amiri" w:eastAsia="Amiri" w:cs="Amiri"/>
          <w:color w:val="111111"/>
          <w:sz w:val="28"/>
          <w:sz w:val="28"/>
          <w:szCs w:val="28"/>
          <w:rtl w:val="true"/>
          <w:lang w:bidi="ar-SA"/>
        </w:rPr>
        <w:t>، وبعض آخر من أنّ الأوّل جزئي دون الثاني</w:t>
      </w:r>
      <w:r>
        <w:rPr>
          <w:rStyle w:val="FootnoteAnchor"/>
          <w:rtl w:val="true"/>
        </w:rPr>
        <w:footnoteReference w:id="504"/>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 xml:space="preserve">. </w:t>
      </w:r>
      <w:bookmarkStart w:id="579" w:name="pg15293_220350"/>
    </w:p>
    <w:p>
      <w:pPr>
        <w:pStyle w:val="Heading3"/>
        <w:numPr>
          <w:ilvl w:val="2"/>
          <w:numId w:val="1"/>
        </w:numPr>
        <w:rPr/>
      </w:pPr>
      <w:bookmarkStart w:id="580" w:name="__RefHeading___Toc4629170_2142443653"/>
      <w:bookmarkStart w:id="581" w:name="_Toc206"/>
      <w:bookmarkEnd w:id="579"/>
      <w:bookmarkEnd w:id="580"/>
      <w:r>
        <w:rPr>
          <w:rtl w:val="true"/>
        </w:rPr>
        <w:t>الفصل الثالث في مقدّمات الحكمة</w:t>
      </w:r>
      <w:bookmarkEnd w:id="581"/>
    </w:p>
    <w:p>
      <w:pPr>
        <w:pStyle w:val="Heading4"/>
        <w:numPr>
          <w:ilvl w:val="3"/>
          <w:numId w:val="1"/>
        </w:numPr>
        <w:rPr/>
      </w:pPr>
      <w:bookmarkStart w:id="582" w:name="__RefHeading___Toc4629172_2142443653"/>
      <w:bookmarkStart w:id="583" w:name="_Toc207"/>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بناءً على ما تقدّم في معنى الإطلاق لا مجال لما ذكره المحقّق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الحكمة تثبت الشياع والسريان</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بعد تماميتها لا تفيد إلاّ كون الموضوع أو المتعلّق تمامهما من غير دخالة قيد فيهما،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وتمّت المقدّمات، يحكم العقلاء بأنّ موضوع حكمه هو نفس الرقبة من غير دخالة شيء فيه، ومتعلّق الحكم هو نفس العتق كذلك، من غير كون ذلك بدلالة لفظية، ومن غير دلالة على الشيوع والسريان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صَرف الكلام إلى مقدّمات الحكمة، والظاهر عدم الاحتياج إلى شيء في الحكم المذكور، إلاّ إحراز كون المتكلّم في مقام بيان تمام المراد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فهاهنا دعويان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هذه المقدّمة،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الاحتياج إلى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فيها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ظهور الإرادة في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الحكم بالإطلاق</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هذا ليس ظهوراً لفظياً مستنداً إلى الوضع، بل هو لأجل حكم العقلاء بأنّ ما جعل موضوع حكمه يكون تمامه لا بعضه، وهو لا يثبت ولا يحكم العقلاء به إلاّ بعد كون المتكلّم في مقام بيان تمام المراد، وإلاّ فلو فرض كونه في مقام بيان حكم آخر، أو كان بصدد الإهمال، لم يمكن إثبات كون الإرادة ظاهرة في الأصالة، فهذه المقدّمة ممّا لا مناص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معنى الإطلاق هو كون ما جعل الموضوع مثلاً، تمام الموضوع من غير دخالة قيد في موضوعيته للحكم، فلا يحكم العقلاء بأ نّه تمام الموضوع، ولا تتمّ الحجّة العقلائية إلاّ بعد كون المتكلّم في مقام البيان، فيحتجّ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نّك كنت في مقام البيان، فلو كان شيء دخيلاً في موضوعيته له كان عليك البيان، فجعل هذا موضوعاً يكشف عن تماميته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انتفاء ما يوجب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المقدّمات، بل هي محقّقة محلّ البحث؛ فإنّه مع وجود ما يوجب التعيين سواء كان في الكلام أو كان بسبب الانصراف لا معنى للإطلاق؛ لأنّ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جعل شيء موضوعاً لحكم وشكّ في دخالة شيء آخر فيه، فيرفع بالإطلاق، وأمّا مع ما يوجب التعيين فلا يبقى شكّ حتّى يتمسّك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انتفاء القدر المتيقّن، فعلى ما ذكرنا في معنى الإطلاق لا ريب في عدم الاحتياج إليه، بل لا معنى له؛ لأنّ القدر المتيقّن إنّما يكون في مورد يتردّد الأمر</w:t>
      </w:r>
    </w:p>
    <w:p>
      <w:pPr>
        <w:pStyle w:val="BookText"/>
        <w:rPr/>
      </w:pPr>
      <w:r>
        <w:rPr>
          <w:rFonts w:ascii="Amiri" w:hAnsi="Amiri" w:eastAsia="Amiri" w:cs="Amiri"/>
          <w:color w:val="111111"/>
          <w:sz w:val="28"/>
          <w:sz w:val="28"/>
          <w:szCs w:val="28"/>
          <w:rtl w:val="true"/>
          <w:lang w:bidi="ar-SA"/>
        </w:rPr>
        <w:t>بين الأقلّ والأكثر، بأن يتردّد بين تعلّق الحكم ببعض الأفراد أو جميعها، مع أنّ الأمر في باب الإطلاق دائر بين تعلّق الحكم بنفس الموضوع من غير دخالة شيء آخر فيه، أو بالمقيّد، فيدور الأمر بين كون الطبيعة تمام الموضوع أو المقيّد تمامه، فإذا كانت الطبيعة تمام الموضوع لم يكن القيد دخيلاً، ومع دخالته يكون الموضوع هو المقيّد بما هو مقيّد، ولا يكون ذات الموضوع محكوماً والقيد محكوماً آخر حتّى يكون من قبيل الأقلّ والأكثر، وكذا لو جعل المتقيّد موضوعاً وشكّ في دخالة قيد آخر لا يكون من قبيلهما، فلا يدور الأمر بين الأقلّ والأكثر في شيء من الموارد حتّى يعتبر انتفاء القدر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بناءً على ما ذكره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عبارة عن جعل الطبيعة مرسلة ومرآة لجميع الأفراد، والمقيّد عبارة عن جعلها مرآة لبعضها</w:t>
      </w:r>
      <w:r>
        <w:rPr>
          <w:rStyle w:val="FootnoteAnchor"/>
          <w:rtl w:val="true"/>
        </w:rPr>
        <w:footnoteReference w:id="507"/>
      </w:r>
      <w:r>
        <w:rPr>
          <w:rFonts w:ascii="Amiri" w:hAnsi="Amiri" w:eastAsia="Amiri" w:cs="Amiri"/>
          <w:color w:val="111111"/>
          <w:sz w:val="28"/>
          <w:sz w:val="28"/>
          <w:szCs w:val="28"/>
          <w:rtl w:val="true"/>
          <w:lang w:bidi="ar-SA"/>
        </w:rPr>
        <w:t>، يتصوّر القدر المتيقّن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اعتبار انتفائه في مقدّمات الحكمة محلّ إشكال؛ لأنّ المتكلّم إذا كان في مقام البيان، وجعل الطبيعة موضوع حكمه، وتكون الطبيعة بلا قيد مرآةً بذاتها إلى جميع الأفراد، ولا يمكن أن تصير مرآةً لبعضها إلاّ مع القيد، فلا محالة يحكم العقلاء بأنّ موضوع حكمه هو الطبيعة السارية في جميع المصاديق لا المتقيّدة، ولهذا ترى أنّ العرف لا يعتني بالقدر المتيقّن في مقام التخاطب وغيره، فلا يضرّ ذلك بالإطلاق إذا لم يصل إلى حدّ الانصراف، قيل بمقالتنا أو لا</w:t>
      </w:r>
      <w:r>
        <w:rPr>
          <w:rFonts w:eastAsia="Amiri" w:cs="Amiri" w:ascii="Amiri" w:hAnsi="Amiri"/>
          <w:color w:val="111111"/>
          <w:sz w:val="28"/>
          <w:szCs w:val="28"/>
          <w:rtl w:val="true"/>
          <w:lang w:bidi="ar-SA"/>
        </w:rPr>
        <w:t xml:space="preserve">. </w:t>
      </w:r>
      <w:bookmarkStart w:id="584" w:name="pg15293_220353"/>
    </w:p>
    <w:p>
      <w:pPr>
        <w:pStyle w:val="BookText"/>
        <w:rPr/>
      </w:pPr>
      <w:bookmarkEnd w:id="584"/>
      <w:r>
        <w:rPr>
          <w:rFonts w:ascii="Amiri" w:hAnsi="Amiri" w:eastAsia="Amiri" w:cs="Amiri"/>
          <w:color w:val="111111"/>
          <w:sz w:val="28"/>
          <w:sz w:val="28"/>
          <w:szCs w:val="28"/>
          <w:rtl w:val="true"/>
          <w:lang w:bidi="ar-SA"/>
        </w:rPr>
        <w:t>ثمّ لا يخفى أنّ ورود القيد على المطلق لا يوجب عدم جواز التمسّك به في سائر القيود المشكوك فيها؛ ضرورة أنّ العثور على قيد لا يوجب تصرّفاً في ظاهر المطلق، بل يكشف عن أنّ الموضوع بحسب الإرادة الجدّية هو الطبيعة مع القيد، ودخالة قيد آخر تحتاج إلى الدليل، فصرف جعل الطبيعة في مقام بيان الحكم موضوعاً يكون حجّة عند العقلاء على عدم دخالة قيد فيه، فقيام الحجّة على دخالة قيد لا يوجب الإهمال والإجمال وسقوط المطلق عن الحجّية بالنسبة إلى سائر القيود، ولا إشكال في أنّ العقلاء بناؤهم على التمسّك به في سائر القيود، كما أنّ بناءهم على التمسّك بالعامّ المخصّص في الشكّ في التخصيص الزائد</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4629174_2142443653"/>
      <w:bookmarkStart w:id="586" w:name="_Toc208"/>
      <w:bookmarkEnd w:id="585"/>
      <w:r>
        <w:rPr>
          <w:rtl w:val="true"/>
        </w:rPr>
        <w:t>تتميم</w:t>
      </w:r>
      <w:r>
        <w:rPr>
          <w:rtl w:val="true"/>
        </w:rPr>
        <w:t xml:space="preserve">: </w:t>
      </w:r>
      <w:r>
        <w:rPr>
          <w:rtl w:val="true"/>
        </w:rPr>
        <w:t>في الأصل عند الشكّ في مقام البيان</w:t>
      </w:r>
      <w:bookmarkEnd w:id="586"/>
    </w:p>
    <w:p>
      <w:pPr>
        <w:pStyle w:val="BookText"/>
        <w:rPr/>
      </w:pPr>
      <w:r>
        <w:rPr>
          <w:rFonts w:ascii="Amiri" w:hAnsi="Amiri" w:eastAsia="Amiri" w:cs="Amiri"/>
          <w:color w:val="111111"/>
          <w:sz w:val="28"/>
          <w:sz w:val="28"/>
          <w:szCs w:val="28"/>
          <w:rtl w:val="true"/>
          <w:lang w:bidi="ar-SA"/>
        </w:rPr>
        <w:t xml:space="preserve">لا شبهة في أ نّه إذا شكّ في أنّ المتكلّم هل هو في مقام بيان جميع ما هو دخيل في مراده بعد إحراز كونه في مقام بيان الحكم أو أ نّه بصدد الإجمال والإهمال، يكون الأصل العقلائي هو كونه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وبه جرت سيرة العقلاء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شكّ في أ نّه في مقام بيان هذا الحكم أو حكم آخر، فلا أصل لإحراز كونه في مقامه، فالأصل بعد إحراز كونه بصدد بيان الحكم يقتضي أن يكون بصدد بيان تمام ما يدخل في الموضوع في مقابل الإهمال والإجمال، لا كونه بصدد بيان هذا الحكم دون غيره، فلا بدّ فيه من الإحراز الوجداني أو بدليل آخر</w:t>
      </w:r>
      <w:r>
        <w:rPr>
          <w:rFonts w:eastAsia="Amiri" w:cs="Amiri" w:ascii="Amiri" w:hAnsi="Amiri"/>
          <w:color w:val="111111"/>
          <w:sz w:val="28"/>
          <w:szCs w:val="28"/>
          <w:rtl w:val="true"/>
          <w:lang w:bidi="ar-SA"/>
        </w:rPr>
        <w:t xml:space="preserve">. </w:t>
      </w:r>
      <w:bookmarkStart w:id="587" w:name="pg15293_220354"/>
    </w:p>
    <w:p>
      <w:pPr>
        <w:pStyle w:val="Heading3"/>
        <w:numPr>
          <w:ilvl w:val="2"/>
          <w:numId w:val="1"/>
        </w:numPr>
        <w:rPr/>
      </w:pPr>
      <w:bookmarkStart w:id="588" w:name="__RefHeading___Toc4629176_2142443653"/>
      <w:bookmarkStart w:id="589" w:name="_Toc209"/>
      <w:bookmarkEnd w:id="587"/>
      <w:bookmarkEnd w:id="588"/>
      <w:r>
        <w:rPr>
          <w:rtl w:val="true"/>
        </w:rPr>
        <w:t>الفصل الرابع في حمل المطلق على المقيّد</w:t>
      </w:r>
      <w:bookmarkEnd w:id="589"/>
    </w:p>
    <w:p>
      <w:pPr>
        <w:pStyle w:val="Heading4"/>
        <w:numPr>
          <w:ilvl w:val="3"/>
          <w:numId w:val="1"/>
        </w:numPr>
        <w:rPr/>
      </w:pPr>
      <w:bookmarkStart w:id="590" w:name="__RefHeading___Toc4629178_2142443653"/>
      <w:bookmarkStart w:id="591" w:name="_Toc210"/>
      <w:bookmarkEnd w:id="590"/>
      <w:r>
        <w:rPr>
          <w:rtl w:val="true"/>
        </w:rPr>
        <w:t>الصور المتصوّرة في ورود المطلق والمقيّد</w:t>
      </w:r>
      <w:bookmarkEnd w:id="591"/>
    </w:p>
    <w:p>
      <w:pPr>
        <w:pStyle w:val="BookText"/>
        <w:rPr/>
      </w:pPr>
      <w:r>
        <w:rPr>
          <w:rFonts w:ascii="Amiri" w:hAnsi="Amiri" w:eastAsia="Amiri" w:cs="Amiri"/>
          <w:color w:val="111111"/>
          <w:sz w:val="28"/>
          <w:sz w:val="28"/>
          <w:szCs w:val="28"/>
          <w:rtl w:val="true"/>
          <w:lang w:bidi="ar-SA"/>
        </w:rPr>
        <w:t>إذا ورد مطلق ومقيّد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يكونا متكفّلين بالحكم التكليفي أو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يكونا مثبتين أو نافيين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يعلم وحدة التكليف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يعلم وحدته من الخارج أو من نفس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يذكر السبب فيهما أو في واحد منهما أو لا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السبب واحداً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إلزامي في الدليلين أو غير إلزامي فيهما أو مختلف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الإطلاق والتقييد في الحكم ومتعلّقه وموضوعه، وقد يكونان في اثنين منها، وقد يكونان في واحدٍ، فهذه جملة الصور المتصوّرة في المقام</w:t>
      </w:r>
      <w:r>
        <w:rPr>
          <w:rFonts w:eastAsia="Amiri" w:cs="Amiri" w:ascii="Amiri" w:hAnsi="Amiri"/>
          <w:color w:val="111111"/>
          <w:sz w:val="28"/>
          <w:szCs w:val="28"/>
          <w:rtl w:val="true"/>
          <w:lang w:bidi="ar-SA"/>
        </w:rPr>
        <w:t xml:space="preserve">. </w:t>
      </w:r>
      <w:bookmarkStart w:id="592" w:name="pg15293_220355"/>
    </w:p>
    <w:p>
      <w:pPr>
        <w:pStyle w:val="Heading4"/>
        <w:numPr>
          <w:ilvl w:val="3"/>
          <w:numId w:val="1"/>
        </w:numPr>
        <w:rPr/>
      </w:pPr>
      <w:bookmarkStart w:id="593" w:name="__RefHeading___Toc4629180_2142443653"/>
      <w:bookmarkStart w:id="594" w:name="_Toc211"/>
      <w:bookmarkEnd w:id="592"/>
      <w:bookmarkEnd w:id="593"/>
      <w:r>
        <w:rPr>
          <w:rtl w:val="true"/>
        </w:rPr>
        <w:t>تحرير محطّ البحث</w:t>
      </w:r>
      <w:bookmarkEnd w:id="594"/>
    </w:p>
    <w:p>
      <w:p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البحث إنّما هو في المطلق والمقيّد المنفصلين، وأمّا القيود المتّصلة بالكلام فلا كلام فيها؛ ضرورة أنّ مثلها يمنع عن تحقّق الإطلاق، فلا يكون من باب تعارض المطلق والمقيّد وحمله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تقريرات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جعلها محلّ البحث، وقاس المتّصلين بالقرينة وذي القرينة في أنّ ظهور القرينة كما يكون حاكماً على ذي القرينة يكون ظهور القيد حاكماً على الإطلاق، ثمّ قاس المقيّد المنفصل بالمتّصل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وجوه من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مع الفارق؛ لأنّ الإطلاق لا يكون من قبيل الظهور اللفظي حتّى يقع التعارض بين الظهورين ويقدّم أحدهما بالحكومة، وقد حقّق في محلّه أنّ الحكومة متقوّمة بلسان الدليل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حكومة ظهور القرينة على ذي القرينة ممّا لا أساس لها؛ ضرورة أنّ الشكّ في ذي القرينة لا يكون ناشئاً عن الشكّ في القرينة،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الشكّ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عن الشكّ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ادّعى القائل، بل الشكّان متلازمان، فلا حكومة بينهما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المنفصلين بالمتّصلين مع الفارق؛ لأنّ المنفصل ينعقد إطلاقه، ولا يكون وجه تقديم المقيّد هو الحكومة، بل المطلق إنّما يكون </w:t>
      </w:r>
      <w:bookmarkStart w:id="595" w:name="pg15293_220356"/>
    </w:p>
    <w:p>
      <w:pPr>
        <w:pStyle w:val="BookText"/>
        <w:rPr/>
      </w:pPr>
      <w:bookmarkEnd w:id="595"/>
      <w:r>
        <w:rPr>
          <w:rFonts w:ascii="Amiri" w:hAnsi="Amiri" w:eastAsia="Amiri" w:cs="Amiri"/>
          <w:color w:val="111111"/>
          <w:sz w:val="28"/>
          <w:sz w:val="28"/>
          <w:szCs w:val="28"/>
          <w:rtl w:val="true"/>
          <w:lang w:bidi="ar-SA"/>
        </w:rPr>
        <w:t>حجّة إن لم يرد من المتكلّم بيان، وبعد ورود البيان ينتهي أمد الحجّية،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يقدّم المقيّد لأظهرية القيد في الدخالة من المطلق في الإطلاق، وهذه الأظهرية المدّعاة هي أظهرية فعل المتكلّم لا الأظهرية اللفظية كما أنّ تقديم ظهور القرينة على ذي القرينة إنّما هو للأظهرية ومناسبات المقام لا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فلنتعرّض لمهمّات الصور؛ ليتّضح بها حال غيرها</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4629182_2142443653"/>
      <w:bookmarkStart w:id="597" w:name="_Toc212"/>
      <w:bookmarkEnd w:id="596"/>
      <w:r>
        <w:rPr>
          <w:rtl w:val="true"/>
        </w:rPr>
        <w:t>أحكام الصور المهمّة في المسألة</w:t>
      </w:r>
      <w:bookmarkEnd w:id="597"/>
    </w:p>
    <w:p>
      <w:pPr>
        <w:pStyle w:val="BookText"/>
        <w:rPr/>
      </w:pPr>
      <w:r>
        <w:rPr>
          <w:rFonts w:ascii="Amiri" w:hAnsi="Amiri" w:eastAsia="Amiri" w:cs="Amiri"/>
          <w:color w:val="111111"/>
          <w:sz w:val="28"/>
          <w:sz w:val="28"/>
          <w:szCs w:val="28"/>
          <w:rtl w:val="true"/>
          <w:lang w:bidi="ar-SA"/>
        </w:rPr>
        <w:t>فالصورة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الحكم تكليفياً ويكون المطلق نافياً والمقيّد مثبتاً،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المطلق لا العموم كما هو التحقيق، ففي هذه الصورة لا إشكال في حمل المطلق على المقيّد، كان الحكم إلزامياً أو لا؛ ضرورة تحقّق التنافي بينهما عرفاً؛ لما عرفت في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الزجر إذا تعلّق بالطبيعة يرى العرف أنّ امتثاله بتركها مطلقاً</w:t>
      </w:r>
      <w:r>
        <w:rPr>
          <w:rStyle w:val="FootnoteAnchor"/>
          <w:rtl w:val="true"/>
        </w:rPr>
        <w:footnoteReference w:id="510"/>
      </w:r>
      <w:r>
        <w:rPr>
          <w:rFonts w:ascii="Amiri" w:hAnsi="Amiri" w:eastAsia="Amiri" w:cs="Amiri"/>
          <w:color w:val="111111"/>
          <w:sz w:val="28"/>
          <w:sz w:val="28"/>
          <w:szCs w:val="28"/>
          <w:rtl w:val="true"/>
          <w:lang w:bidi="ar-SA"/>
        </w:rPr>
        <w:t>، فحينئذٍ لا محيص عن الجمع بين الدليلين بحمل المطلق</w:t>
      </w:r>
    </w:p>
    <w:p>
      <w:pPr>
        <w:pStyle w:val="BookText"/>
        <w:rPr/>
      </w:pPr>
      <w:r>
        <w:rPr>
          <w:rFonts w:ascii="Amiri" w:hAnsi="Amiri" w:eastAsia="Amiri" w:cs="Amiri"/>
          <w:color w:val="111111"/>
          <w:sz w:val="28"/>
          <w:sz w:val="28"/>
          <w:szCs w:val="28"/>
          <w:rtl w:val="true"/>
          <w:lang w:bidi="ar-SA"/>
        </w:rPr>
        <w:t>على المقيّد مطلقاً؛ فإنّ وجوب عتق الرقبة المؤمنة أو استحبابه لا يجتمع مع حرمة عتق مطلقها أو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الاُولى، وهو تعلّق الأمر بالمطلق والنهي بالمقيّد،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فاسقة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النهي تحريمي فلا إشكال في حمل المطلق على المقيّد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 نّه تنزيهي فالظاهر عدم الحمل؛ لأنّ لازم التنزيهي الترخيص </w:t>
      </w:r>
    </w:p>
    <w:p>
      <w:pPr>
        <w:pStyle w:val="BookText"/>
        <w:rPr/>
      </w:pPr>
      <w:r>
        <w:rPr>
          <w:rFonts w:ascii="Amiri" w:hAnsi="Amiri" w:eastAsia="Amiri" w:cs="Amiri"/>
          <w:color w:val="111111"/>
          <w:sz w:val="28"/>
          <w:sz w:val="28"/>
          <w:szCs w:val="28"/>
          <w:rtl w:val="true"/>
          <w:lang w:bidi="ar-SA"/>
        </w:rPr>
        <w:t>بإتيان المتعلّق، فلا يبقى التنافي بينهما، بل يحمل النهي على المرجوحية الإضافية أو الإرشاد إلى أرجحية الغير،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أنّ النهي تنزيهي لازمه الترخيص في إتيانها فيه، فلا إشكال في أنّ العرف يجمع بينهما بأنّ إتيانها فيه راجح ذاتاً وصحيح، ومرجوح بالإضافة إلى سائر الأفراد، فلا وجه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اجتماع الراجحية والمرجوحية في مورد واحد فلا بدّ من الحمل</w:t>
      </w:r>
      <w:r>
        <w:rPr>
          <w:rStyle w:val="FootnoteAnchor"/>
          <w:rtl w:val="true"/>
        </w:rPr>
        <w:footnoteReference w:id="511"/>
      </w:r>
      <w:r>
        <w:rPr>
          <w:rFonts w:ascii="Amiri" w:hAnsi="Amiri" w:eastAsia="Amiri" w:cs="Amiri"/>
          <w:color w:val="111111"/>
          <w:sz w:val="28"/>
          <w:sz w:val="28"/>
          <w:szCs w:val="28"/>
          <w:rtl w:val="true"/>
          <w:lang w:bidi="ar-SA"/>
        </w:rPr>
        <w:t>،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شيئاً منهما، فيدور الأمر بين حمل النهي على الكراهة وحفظ الإطلاق وجعله ترخيصاً وقرينةً على هذا الحمل، وبين رفع اليد عن الإطلاق وحمله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ظهور النهي في التحريم وضعي مقدّم على الظهور الإطلاقي</w:t>
      </w:r>
      <w:r>
        <w:rPr>
          <w:rStyle w:val="FootnoteAnchor"/>
          <w:rtl w:val="true"/>
        </w:rPr>
        <w:footnoteReference w:id="512"/>
      </w:r>
      <w:r>
        <w:rPr>
          <w:rFonts w:ascii="Amiri" w:hAnsi="Amiri" w:eastAsia="Amiri" w:cs="Amiri"/>
          <w:color w:val="111111"/>
          <w:sz w:val="28"/>
          <w:sz w:val="28"/>
          <w:szCs w:val="28"/>
          <w:rtl w:val="true"/>
          <w:lang w:bidi="ar-SA"/>
        </w:rPr>
        <w:t>منظور فيه؛ لما عرفت في باب الأوامر أنّ الهيئات لم توضع إلاّ للبعث والزجر، وأنّ الإيجاب والتحريم خارجان عن الموضوع 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الأظهر حمل المطلق على المقيّد في هذه الصورة وإبقاء النهي على التحريم؛ لأنّ معيار الجمع بين الأدلّة مساعدة العرف، ولا إشكال في أنّ ذهن العرف لو خلّي وطبعه لا يتوجّه عند سماع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فاسقة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تقييد الإطلاق، ولا يختلج بباله الحمل على التنزيه بقرينة </w:t>
      </w:r>
    </w:p>
    <w:p>
      <w:pPr>
        <w:pStyle w:val="BookText"/>
        <w:rPr/>
      </w:pPr>
      <w:r>
        <w:rPr>
          <w:rFonts w:ascii="Amiri" w:hAnsi="Amiri" w:eastAsia="Amiri" w:cs="Amiri"/>
          <w:color w:val="111111"/>
          <w:sz w:val="28"/>
          <w:sz w:val="28"/>
          <w:szCs w:val="28"/>
          <w:rtl w:val="true"/>
          <w:lang w:bidi="ar-SA"/>
        </w:rPr>
        <w:t>الإطلاق، وإنّما هو احتمال عقلي، ولعلّ وجهه تعارف الإطلاق والتقييد في محيط التشريع وعدم معهودية جعل الإطلاق قرينة على النهي، أو كون الهيئات بما أ نّها حرفية لا يلتفت إليها الذهن وإلى طريق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حمل المطلق على المقيّد في هذه الصورة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بكون المطلق والمقيّد داخلين في نزاع اجتماع الأمر والنهي، وقلنا بالجواز هناك، لرفع التعارض بين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اجتماع الأمر والنهي عقلية غير مربوطة بالجمع بين الأدلّة؛ لأنّ مناط الجمع بينها هو فهم العرف، ولا شبهة في وقوع التعارض بين المطلق والمقيّد عرفاً، وطريق الجمع عرفي لا عقلي، فلا يكون أحد وجوه الجمع بين الأدلّة الجمع العقلي، وهذا واضح جدّاً، وإن التبس على بعض الأعاظم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الدليلان مثبتين إلزاميين،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الحمل فيها من إحراز التنافي بينهما، وهو يتوقّف على وحدة الحكم، ففي هذه الصورة إن اُحرزت وحدته فلا إشكال، وإلاّ فتارةً يحرز كون الحكم في المطلق على نفس الطبيعة، ولم يحتمل دخالة قيد آخر في الموضوع غير القيد الذي في دليل المقيّد، وتارةً يحتمل 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المطلق على المقيّد؛ لإحراز الوحدة عقلاً؛ لامتناع تعلّق الإرادتين بالمطلق والمقيّد؛ لأنّ المقيّد هو نفس الطبيعة مع قيد، فاجتماع الحكمين المتماثلين فيهما ممتنع، فيقع التنافي بينهما، فيحمل المطلق على المقيّد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في وجه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في المقيّد إذا كان إلزامياً متعلّقاً </w:t>
      </w:r>
    </w:p>
    <w:p>
      <w:pPr>
        <w:pStyle w:val="BookText"/>
        <w:rPr/>
      </w:pPr>
      <w:r>
        <w:rPr>
          <w:rFonts w:ascii="Amiri" w:hAnsi="Amiri" w:eastAsia="Amiri" w:cs="Amiri"/>
          <w:color w:val="111111"/>
          <w:sz w:val="28"/>
          <w:sz w:val="28"/>
          <w:szCs w:val="28"/>
          <w:rtl w:val="true"/>
          <w:lang w:bidi="ar-SA"/>
        </w:rPr>
        <w:t>بصرف الوجود، فمفاده عدم الرضا بعتق المطلق، ومفاد دليل المطلق هو الترخيص بعتقه، فيقع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دليل المقيّد دخالة القيد، ومفاد دليل المطلق عدم دخالته، فيقع التنافي</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غاية السقوط؛ لأنّ التنافي بين الترخيص واللا ترخيص، وكذا بين الدخالة وعدمها، يتوقّف على وحدة الحكم، فلا يمكن إحراز الوحدة بهما إلاّ على 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لم يحرز عدم قيد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فيتردّد الأمر بين حمل المطلق على المقيّد ورفع اليد عن ظهور الأمر في استقلال البعث، وبين حفظ ظهور الأمر وكشف قيد آخر في المطلق يجعله مخالفاً للمقيّد وقابلاً لتعلّق حكم مستقلّ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حمل المطلق على المقيّد في هذه الصورة أيضاً؛ لأنّ ظهور الأمر في الاستقلال ظهور ضعيف لا يكشف به قيد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بتعدّد الحكم لا محيص عن كشف قيد مقابل للمقيّد؛ لما عرفت من امتناع تعلّقهما بالمطلق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الدليلان نافيين،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العنبي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في عدم الحمل إلاّ مع قيام القرينة؛ لعدم التنافي بينهما، وعدم المفهوم للقيد، تأمّل</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الصور هي التي لم يذكر السبب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ذكر؛ فإمّا أن يذكر فيهما وكانا مختلفين،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أفطرت فأعتق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ومع اتّحادهما يحمل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الحمل، 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تقييد كلّ من إطلاق الوجوب والواجب مستلزم للدور؛ لأنّ حمل المطلق على المقيّد يتوقّف على وحدة الحكم، ففي المثال تقييد الوجوب يتوقّف على وحدة المتعلّق؛ إذ مع تعدّدهما لا موجب للتقييد، ووحدة المتعلّق تتوقّف على حمل أحد التكليفين على الآخر؛ إذ مع عدم وحدة التكليف لا تتحقّق وحدة المتعلّق؛ لأنّ أحد المتعلّقين عتق الرقبة المطلقة، والآخر عتق الرقبة المؤمنة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وحدة الحكم وإن توقّفت على وحدة المتعلّق، لكن وحدة المتعلّق لا تتوقّف على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ثبوتاً؛ لأنّ لوحدة الأشياء وكثرتها واقعيةً، تعلّق بها الحكم أو لا، وفي المقام يكون المقيّد هو المطلق مع قيد، وفي مثله لا يمكن تعلّق الإرادتين والحكمين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إثباتاً؛ لأنّ تعلّق الحكم في المطلق بنفس الطبيعة يكشف عن كونها تمام الموضوع للحكم، فإذا تعلّق حكم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أ نّه نفس الطبيعة مع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كون النسبة بين الموضوعين بالإطلاق والتقييد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عدم الحمل لأجل أنّ التكليف الذي لم يذكر فيه السبب حجّة على العبد </w:t>
      </w:r>
    </w:p>
    <w:p>
      <w:pPr>
        <w:pStyle w:val="BookText"/>
        <w:rPr/>
      </w:pPr>
      <w:r>
        <w:rPr>
          <w:rFonts w:ascii="Amiri" w:hAnsi="Amiri" w:eastAsia="Amiri" w:cs="Amiri"/>
          <w:color w:val="111111"/>
          <w:sz w:val="28"/>
          <w:sz w:val="28"/>
          <w:szCs w:val="28"/>
          <w:rtl w:val="true"/>
          <w:lang w:bidi="ar-SA"/>
        </w:rPr>
        <w:t>في ظرف عدم تحقّق سبب المقيّد،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رفع اليد والتخلّف عنه إلى وقت فعلية حكم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بإيجاد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يحكم بأنّ عتق الرقبة مطلوب المولى؛ حصل الظهار أو لا، وبعد حصوله يكون عتق رقبة اُخرى مطلوباً له من قِبل سببية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الأمر في الوضعي، ففي بعض الموارد يحمل المطلق على المقيّد،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وبر السباع ممّا لا يؤكل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البول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لا يحمل،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المنافاة بين مانعية مطلق أجزاء ما لا يؤكل، ومانعية وبره، ولا مفهوم للقيد حتّى يجيء التنافي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بالتأمّل في سائر الموارد، واستخراج حكمها ممّا ذكر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وظاهراً وباطناً وقد وقع الفراغ في يوم السبت الرابع والعشرين من شهر شوّال المُكرّم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5293_220363"/>
      <w:bookmarkStart w:id="599" w:name="pg15293_220363"/>
      <w:bookmarkEnd w:id="599"/>
    </w:p>
    <w:p>
      <w:pPr>
        <w:pStyle w:val="Heading2"/>
        <w:numPr>
          <w:ilvl w:val="1"/>
          <w:numId w:val="1"/>
        </w:numPr>
        <w:rPr/>
      </w:pPr>
      <w:bookmarkStart w:id="600" w:name="pg15293_220363"/>
      <w:bookmarkStart w:id="601" w:name="__RefHeading___Toc4629184_2142443653"/>
      <w:bookmarkStart w:id="602" w:name="_Toc213"/>
      <w:bookmarkEnd w:id="600"/>
      <w:bookmarkEnd w:id="601"/>
      <w:r>
        <w:rPr>
          <w:rtl w:val="true"/>
        </w:rPr>
        <w:t>الفهارس العامّة</w:t>
      </w:r>
      <w:bookmarkEnd w:id="602"/>
    </w:p>
    <w:p>
      <w:pPr>
        <w:pStyle w:val="Heading3"/>
        <w:numPr>
          <w:ilvl w:val="2"/>
          <w:numId w:val="1"/>
        </w:numPr>
        <w:rPr/>
      </w:pPr>
      <w:bookmarkStart w:id="603" w:name="__RefHeading___Toc4629186_2142443653"/>
      <w:bookmarkStart w:id="604" w:name="_Toc214"/>
      <w:bookmarkEnd w:id="603"/>
      <w:r>
        <w:rPr>
          <w:rtl w:val="true"/>
        </w:rPr>
        <w:t>اشارة</w:t>
      </w:r>
      <w:bookmarkEnd w:id="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5293_220365"/>
      <w:bookmarkStart w:id="606" w:name="pg15293_220365"/>
      <w:bookmarkEnd w:id="606"/>
    </w:p>
    <w:p>
      <w:pPr>
        <w:pStyle w:val="Heading3"/>
        <w:numPr>
          <w:ilvl w:val="2"/>
          <w:numId w:val="1"/>
        </w:numPr>
        <w:rPr/>
      </w:pPr>
      <w:bookmarkStart w:id="607" w:name="pg15293_220365"/>
      <w:bookmarkStart w:id="608" w:name="__RefHeading___Toc4629188_2142443653"/>
      <w:bookmarkStart w:id="609" w:name="_Toc215"/>
      <w:bookmarkEnd w:id="607"/>
      <w:bookmarkEnd w:id="608"/>
      <w:r>
        <w:rPr/>
        <w:t>1</w:t>
      </w:r>
      <w:r>
        <w:rPr>
          <w:rtl w:val="true"/>
        </w:rPr>
        <w:t xml:space="preserve"> - </w:t>
      </w:r>
      <w:r>
        <w:rPr>
          <w:rtl w:val="true"/>
        </w:rPr>
        <w:t>فهرس الآيات الكريمة</w:t>
      </w:r>
      <w:bookmarkEnd w:id="609"/>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حَتَّى يَتَبَيَّنَ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حَتَّى يَتَبَيَّنَ لَكُمُ الْخَيْطُ</w:t>
      </w:r>
    </w:p>
    <w:p>
      <w:pPr>
        <w:pStyle w:val="BookText"/>
        <w:rPr/>
      </w:pPr>
      <w:r>
        <w:rPr>
          <w:rFonts w:ascii="Amiri" w:hAnsi="Amiri" w:eastAsia="Amiri" w:cs="Amiri"/>
          <w:color w:val="111111"/>
          <w:sz w:val="28"/>
          <w:sz w:val="28"/>
          <w:szCs w:val="28"/>
          <w:rtl w:val="true"/>
          <w:lang w:bidi="ar-SA"/>
        </w:rPr>
        <w:t>الْأَبْيَضُ مِنَ الْخَيْطِ الْأَسْوَدِ مِنَ</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تَرَكَ الْوَالِدَانِ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يُّكُمْ يَأتِينِى بِعَرْشِهَا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فَأَىَّ آيَاتِ الله تُنكِرُونَ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610" w:name="pg15293_220367"/>
    </w:p>
    <w:p>
      <w:pPr>
        <w:pStyle w:val="Heading3"/>
        <w:numPr>
          <w:ilvl w:val="2"/>
          <w:numId w:val="1"/>
        </w:numPr>
        <w:rPr/>
      </w:pPr>
      <w:bookmarkStart w:id="611" w:name="__RefHeading___Toc4629190_2142443653"/>
      <w:bookmarkStart w:id="612" w:name="_Toc216"/>
      <w:bookmarkEnd w:id="610"/>
      <w:bookmarkEnd w:id="611"/>
      <w:r>
        <w:rPr/>
        <w:t>2</w:t>
      </w:r>
      <w:r>
        <w:rPr>
          <w:rtl w:val="true"/>
        </w:rPr>
        <w:t xml:space="preserve"> - </w:t>
      </w:r>
      <w:r>
        <w:rPr>
          <w:rtl w:val="true"/>
        </w:rPr>
        <w:t>فهرس الأحاديث الشريفة</w:t>
      </w:r>
      <w:bookmarkEnd w:id="612"/>
    </w:p>
    <w:p>
      <w:pPr>
        <w:pStyle w:val="BookText"/>
        <w:rPr/>
      </w:pP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إنّما أتى شيئاً حلالاً، وليس بعاصٍ لله، إنّما عصى سيّده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إنّما عصى سيّده ولم يعص الله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إنّه لم يعص الله، إنّما عصى سيّده، فإذا أجازه فهو له جائز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خلق الله الماء طهوراً لا ينجّسه شيء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ذاك إلى سيّده، إن شاء أجازه، وإن شاء فرّق بينهما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ذاك لمولاه، إن شاء فرّق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لا يحلّ لأحد أن يتصرّف في مال غيره بغير إذنه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لَيّ الواجد يُحِلّ عقوبَتَهُ وعِرضَه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ما أزعم أ نّه حرام،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يفعل إلاّ بإذن مولاه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مَطْلُ الغنيّ ظلم </w:t>
      </w:r>
      <w:r>
        <w:rPr>
          <w:rFonts w:eastAsia="Amiri" w:cs="Amiri" w:ascii="Amiri" w:hAnsi="Amiri"/>
          <w:color w:val="111111"/>
          <w:sz w:val="28"/>
          <w:szCs w:val="28"/>
          <w:lang w:bidi="ar-SA"/>
        </w:rPr>
        <w:t>188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المغصوب كلّه مردود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5293_220369"/>
      <w:bookmarkStart w:id="614" w:name="pg15293_220369"/>
      <w:bookmarkEnd w:id="614"/>
    </w:p>
    <w:p>
      <w:pPr>
        <w:pStyle w:val="Heading3"/>
        <w:numPr>
          <w:ilvl w:val="2"/>
          <w:numId w:val="1"/>
        </w:numPr>
        <w:rPr/>
      </w:pPr>
      <w:bookmarkStart w:id="615" w:name="pg15293_220369"/>
      <w:bookmarkStart w:id="616" w:name="__RefHeading___Toc4629192_2142443653"/>
      <w:bookmarkStart w:id="617" w:name="_Toc217"/>
      <w:bookmarkEnd w:id="615"/>
      <w:bookmarkEnd w:id="616"/>
      <w:r>
        <w:rPr/>
        <w:t>3</w:t>
      </w:r>
      <w:r>
        <w:rPr>
          <w:rtl w:val="true"/>
        </w:rPr>
        <w:t xml:space="preserve"> - </w:t>
      </w:r>
      <w:r>
        <w:rPr>
          <w:rtl w:val="true"/>
        </w:rPr>
        <w:t>فهرس أسماء المعصومين علیهم السلام</w:t>
      </w:r>
      <w:bookmarkEnd w:id="617"/>
    </w:p>
    <w:p>
      <w:pPr>
        <w:pStyle w:val="BookText"/>
        <w:rPr/>
      </w:pPr>
      <w:r>
        <w:rPr>
          <w:rFonts w:ascii="IRNazanin" w:hAnsi="IRNazanin" w:eastAsia="IRNazanin"/>
          <w:color w:val="111111"/>
          <w:sz w:val="28"/>
          <w:sz w:val="28"/>
          <w:szCs w:val="28"/>
          <w:rtl w:val="true"/>
          <w:lang w:bidi="fa-IR"/>
        </w:rPr>
        <w:t xml:space="preserve">النبي،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رسول الله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وليّ العصر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الثاني عشر</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الخليل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النبي</w:t>
      </w:r>
    </w:p>
    <w:p>
      <w:p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51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5293_220371"/>
      <w:bookmarkStart w:id="619" w:name="pg15293_220371"/>
      <w:bookmarkEnd w:id="619"/>
    </w:p>
    <w:p>
      <w:pPr>
        <w:pStyle w:val="Heading3"/>
        <w:numPr>
          <w:ilvl w:val="2"/>
          <w:numId w:val="1"/>
        </w:numPr>
        <w:rPr/>
      </w:pPr>
      <w:bookmarkStart w:id="620" w:name="pg15293_220371"/>
      <w:bookmarkStart w:id="621" w:name="__RefHeading___Toc4629194_2142443653"/>
      <w:bookmarkStart w:id="622" w:name="_Toc218"/>
      <w:bookmarkEnd w:id="620"/>
      <w:bookmarkEnd w:id="621"/>
      <w:r>
        <w:rPr/>
        <w:t>4</w:t>
      </w:r>
      <w:r>
        <w:rPr>
          <w:rtl w:val="true"/>
        </w:rPr>
        <w:t xml:space="preserve"> - </w:t>
      </w:r>
      <w:r>
        <w:rPr>
          <w:rtl w:val="true"/>
        </w:rPr>
        <w:t>فهرس الأعلام</w:t>
      </w:r>
      <w:bookmarkEnd w:id="622"/>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الآغا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إبراهيم</w:t>
      </w:r>
    </w:p>
    <w:p>
      <w:pPr>
        <w:pStyle w:val="BookText"/>
        <w:rPr/>
      </w:pPr>
      <w:r>
        <w:rPr>
          <w:rFonts w:ascii="IRNazanin" w:hAnsi="IRNazanin" w:eastAsia="IRNazanin"/>
          <w:color w:val="111111"/>
          <w:sz w:val="28"/>
          <w:sz w:val="28"/>
          <w:szCs w:val="28"/>
          <w:rtl w:val="true"/>
          <w:lang w:bidi="fa-IR"/>
        </w:rPr>
        <w:t xml:space="preserve">ابن الحاجب، عثمان بن عمر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ابن سينا، الحسين بن عبدالله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زياد بن عيسى</w:t>
      </w:r>
    </w:p>
    <w:p>
      <w:pPr>
        <w:pStyle w:val="BookText"/>
        <w:rPr/>
      </w:pPr>
      <w:r>
        <w:rPr>
          <w:rFonts w:ascii="Amiri" w:hAnsi="Amiri" w:eastAsia="Amiri" w:cs="Amiri"/>
          <w:color w:val="111111"/>
          <w:sz w:val="28"/>
          <w:sz w:val="28"/>
          <w:szCs w:val="28"/>
          <w:rtl w:val="true"/>
          <w:lang w:bidi="ar-SA"/>
        </w:rPr>
        <w:t xml:space="preserve">أبو هاشم، عبدالسلام الجبّائي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الأراكي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البروجردي، الحسين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بعض أجلّة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البروجردي، الحسين</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بعض المدقّقين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مدقّقي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بعض مدقّقي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محمّد بن الحسين</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الحاجبي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الحاجب، عثمان بن عمر</w:t>
      </w:r>
    </w:p>
    <w:p>
      <w:pPr>
        <w:pStyle w:val="BookText"/>
        <w:rPr/>
      </w:pPr>
      <w:r>
        <w:rPr>
          <w:rFonts w:ascii="Amiri" w:hAnsi="Amiri" w:eastAsia="Amiri" w:cs="Amiri"/>
          <w:color w:val="111111"/>
          <w:sz w:val="28"/>
          <w:sz w:val="28"/>
          <w:szCs w:val="28"/>
          <w:rtl w:val="true"/>
          <w:lang w:bidi="ar-SA"/>
        </w:rPr>
        <w:t xml:space="preserve">الحذّاء، زياد بن عيسى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الشيرازي، محمّد حسن بن المحمود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علي بن الحسين </w:t>
      </w:r>
    </w:p>
    <w:p>
      <w:pPr>
        <w:pStyle w:val="BookText"/>
        <w:rPr/>
      </w:pPr>
      <w:r>
        <w:rPr>
          <w:rFonts w:ascii="Amiri" w:hAnsi="Amiri" w:eastAsia="Amiri" w:cs="Amiri"/>
          <w:color w:val="111111"/>
          <w:sz w:val="28"/>
          <w:sz w:val="28"/>
          <w:szCs w:val="28"/>
          <w:rtl w:val="true"/>
          <w:lang w:bidi="ar-SA"/>
        </w:rPr>
        <w:t xml:space="preserve">الشيباني، محمّد بن الحسن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الشيخ البهائي، محمّد بن الحسين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الحسين بن عبدالله</w:t>
      </w:r>
    </w:p>
    <w:p>
      <w:pPr>
        <w:pStyle w:val="BookText"/>
        <w:rPr/>
      </w:pPr>
      <w:r>
        <w:rPr>
          <w:rFonts w:ascii="Amiri" w:hAnsi="Amiri" w:eastAsia="Amiri" w:cs="Amiri"/>
          <w:color w:val="111111"/>
          <w:sz w:val="28"/>
          <w:sz w:val="28"/>
          <w:szCs w:val="28"/>
          <w:rtl w:val="true"/>
          <w:lang w:bidi="ar-SA"/>
        </w:rPr>
        <w:t>شيخ المشّائين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الحسين بن عبدالله</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صاحب الفصول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صاحب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العراقي، ضياء الدين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الفشاركي، محمّد باقر بن محمّد جعفر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 أبو القاسم بن محمّد حسن</w:t>
      </w:r>
    </w:p>
    <w:p>
      <w:pPr>
        <w:pStyle w:val="BookText"/>
        <w:rPr/>
      </w:pP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علي بن الحسين</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الميرزا الشيرازي، محمّد حسن بن المحمود </w:t>
      </w:r>
      <w:r>
        <w:rPr>
          <w:rFonts w:eastAsia="Amiri" w:cs="Amiri" w:ascii="Amiri" w:hAnsi="Amiri"/>
          <w:color w:val="111111"/>
          <w:sz w:val="28"/>
          <w:szCs w:val="28"/>
          <w:lang w:bidi="ar-SA"/>
        </w:rPr>
        <w:t>23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القمّي، أبو القاسم بن محمّد حسن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النخعي، إبراهيم </w:t>
      </w:r>
      <w:r>
        <w:rPr>
          <w:rFonts w:eastAsia="Amiri" w:cs="Amiri" w:ascii="Amiri" w:hAnsi="Amiri"/>
          <w:color w:val="111111"/>
          <w:sz w:val="28"/>
          <w:szCs w:val="28"/>
          <w:lang w:bidi="ar-SA"/>
        </w:rPr>
        <w:t>144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رضا بن محمّد هادى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623" w:name="pg15293_220375"/>
    </w:p>
    <w:p>
      <w:pPr>
        <w:pStyle w:val="Heading3"/>
        <w:numPr>
          <w:ilvl w:val="2"/>
          <w:numId w:val="1"/>
        </w:numPr>
        <w:rPr/>
      </w:pPr>
      <w:bookmarkStart w:id="624" w:name="__RefHeading___Toc4629196_2142443653"/>
      <w:bookmarkStart w:id="625" w:name="_Toc219"/>
      <w:bookmarkEnd w:id="623"/>
      <w:bookmarkEnd w:id="624"/>
      <w:r>
        <w:rPr/>
        <w:t>5</w:t>
      </w:r>
      <w:r>
        <w:rPr>
          <w:rtl w:val="true"/>
        </w:rPr>
        <w:t xml:space="preserve"> - </w:t>
      </w:r>
      <w:r>
        <w:rPr>
          <w:rtl w:val="true"/>
        </w:rPr>
        <w:t>فهرس الكتب الواردة في المتن</w:t>
      </w:r>
      <w:bookmarkEnd w:id="625"/>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الاجتهاد والتقليد،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الاستصحاب،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التعادل والترجيح،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تقريرات بحث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مطارح الأنظار</w:t>
      </w:r>
    </w:p>
    <w:p>
      <w:pPr>
        <w:pStyle w:val="BookText"/>
        <w:rPr/>
      </w:pPr>
      <w:r>
        <w:rPr>
          <w:rFonts w:ascii="Amiri" w:hAnsi="Amiri" w:eastAsia="Amiri" w:cs="Amiri"/>
          <w:color w:val="111111"/>
          <w:sz w:val="28"/>
          <w:sz w:val="28"/>
          <w:szCs w:val="28"/>
          <w:rtl w:val="true"/>
          <w:lang w:bidi="ar-SA"/>
        </w:rPr>
        <w:t>تقريرات بحث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الاُصول</w:t>
      </w:r>
    </w:p>
    <w:p>
      <w:pPr>
        <w:pStyle w:val="BookText"/>
        <w:rPr/>
      </w:pP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الغروية</w:t>
      </w:r>
    </w:p>
    <w:p>
      <w:p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مطارح الأنظار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الاُصول</w:t>
      </w:r>
    </w:p>
    <w:p>
      <w:pPr>
        <w:pStyle w:val="BookText"/>
        <w:rPr/>
      </w:pPr>
      <w:r>
        <w:rPr>
          <w:rFonts w:ascii="IRNazanin" w:hAnsi="IRNazanin" w:eastAsia="IRNazanin"/>
          <w:color w:val="111111"/>
          <w:sz w:val="28"/>
          <w:sz w:val="28"/>
          <w:szCs w:val="28"/>
          <w:rtl w:val="true"/>
          <w:lang w:bidi="fa-IR"/>
        </w:rPr>
        <w:t xml:space="preserve">مقالات الاُصول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15293_220377"/>
      <w:bookmarkStart w:id="627" w:name="pg15293_220377"/>
      <w:bookmarkEnd w:id="627"/>
    </w:p>
    <w:p>
      <w:pPr>
        <w:pStyle w:val="Heading3"/>
        <w:numPr>
          <w:ilvl w:val="2"/>
          <w:numId w:val="1"/>
        </w:numPr>
        <w:rPr/>
      </w:pPr>
      <w:bookmarkStart w:id="628" w:name="pg15293_220377"/>
      <w:bookmarkStart w:id="629" w:name="__RefHeading___Toc4629198_2142443653"/>
      <w:bookmarkStart w:id="630" w:name="_Toc220"/>
      <w:bookmarkEnd w:id="628"/>
      <w:bookmarkEnd w:id="629"/>
      <w:r>
        <w:rPr/>
        <w:t>6</w:t>
      </w:r>
      <w:r>
        <w:rPr>
          <w:rtl w:val="true"/>
        </w:rPr>
        <w:t xml:space="preserve"> - </w:t>
      </w:r>
      <w:r>
        <w:rPr>
          <w:rtl w:val="true"/>
        </w:rPr>
        <w:t>فهرس مصادر التحقيق</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 عشرية في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الحسين بن عبدالصمد الحارثي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الطبعة الاُولى، قم، مكتبة آية الله العظمى المرعشي النجفي،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ستارة،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محمّد إبراهيم بن محمّد حسن الكافي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مجلّدان، طهران، مكتبة المعتمدية،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 مع الشرح للمحقّق نصير الدين الطوسي وشرح الشرح للعلاّمة قطب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البعثة، الطبعة الاُولى،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الأفكار في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بهمنيار بن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 و تصحيح استاد شهيد مرتضى مطهرى، چاپ دوم، تهران، مؤسسه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مولى علي بن مولى فتح الله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طهران، دار الخلافة،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والترجيح،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آية الله المجدّد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علي الروزدري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قم، مطبعة مهر،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التقوي الاشتهاردي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تنظيم ونشر آثار الإمام الخميني قدّس سرّه ،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تنظيم ونشر آثار الإمام الخميني قدّس سرّه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 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آل البيت علیهم السلام لإحياء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كفاية الاُصول المطبوع بهامش كفاية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القوچاني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مكتبة الوجداني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المصطفوي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الكريم الحائري اليزدي، تعليق آية الله الشيخ محمّد علي الأراكي والمؤلّف، تحقيق الشيخ محمّد المؤمن القمّي، الطبعة الخامسة، جزءان في مجلّد واحد، قم،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اُصول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الموسوي المعروف بالشريف المرتضى وعلم الهدى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أبو القاسم گرجي، مجلّدان، الطبعة الاُولى، طهران، مؤسّسه انتشارات و چاپ دانشگاه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الفشاركية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الطباطبائي الفشاركي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مؤسّسة النشر الإسلامي، الطبعة الاُولى،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المسائل في بيان أحكام الشرع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بهاء الدين محمّد بن الحسين بن عبد الصمد الحارثي العاملي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فارس حسون كريم، الطبعة الاُولى، مدرسة وليّ العصر علیه السلام</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مؤسّسة النشر الإسلامي،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الوهّاب عبد اللطيف، الطبعة الثانية،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للطباعة والنشر،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الرحمان 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الفكر للطباع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والنشر،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العضدي على مختصر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الرحمان بن أحمد بن عبد الغفّار، تصحيح أحمد رامز الشهير بشهري المدرّس بدار الخلافة، إسلامبول، مطبعة العالم،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بن عبدالله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الرحمان عميرة،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الشريف الرضيّ،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وتحقيق حسن حسن‌زاده الآملي ومسعود الطالبي،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نشر ناب،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محمّد بدرالدين النسعاني،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فصول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 قيصري 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 جلال الدين آشتياني، چاپ اول، طهران، شركت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عدّة من الأساتذة،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شوارق الإلهام في شرح تجريد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عبد الرزّاق بن علي بن الحسين اللاهيجي الفيّاض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أكبر أسد عليزاده، الطبعة الاُولى،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مؤسّسة الإمام الصادق علیه السلام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مؤسّسة عزّ الدين،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الأنصاري القمّي، الطبعة الاُولى، مجلّدان، قم، مطبعة ستارة،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الطبعة الاُولى، قم، 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العوائد من 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الثقفي الطهراني، مطبعة الحيدرية،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تحقيق تراث الشيخ الأعظم،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مجمع الفكر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الغروية في الاُصول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 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إحياء العلوم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النجف الأشرف، دار الكتب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المشتهر بالوحيد البهبهاني، تحقيق لجنة تحقيق مجمع الفكر الإسلامي، الطبعة الاُولى، قم، مجمع الفكر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الطبعة الحجرية، المجلّد الأوّل، طهران، المكتبة العلمية الإسلامية،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والمجلّد الثاني، طهران، المستنسخة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الخامسة،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تحقيق الشيخ حسن حسن زاده الآملي،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النشر الإسلامي، قم،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الاُولى، طهران، مكتبة الصدوق،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لمحات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المحصول في علم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بن الحسين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عبدالموجود وعلي محمّد معوض، الطبعة الثانية،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المكتبة العصرية،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الطبعة الاُولى،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قم، مكتب الإعلام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المعارف الإسلامية، الطبعة الاُولى،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المعارف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آل البيت علیهم السلام لإحياء التراث،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المستصفى من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مجلّدان، قم، انتشارات دار الذخائر،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أحمد محمّد شاكر وحمزة أحمد الزين، الطبعة الاُولى،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القاهرة، دار الحديث،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الشموس في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بن جمال الدين محمّد الخوانساري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الصلاة، الزكاة، الخمس، الصوم،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المؤسّسة الجعفرية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والخمس والصوم والرهن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الفكر الإسلامي، الطبعة الاُولى، مجلّدان، قم، مجمع الفكر الإسلامي،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جمال الدين الحسن بن زين‌الدين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الطبعة الحادي عشر،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نجم الدين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عدّة من الأفاضل، الطبعة الاُولى، مجلّدان، قم، مؤسّسة سيّد الشهداء علیه السلام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معتمد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الفاضل اللنكراني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تنظيم ونشر آثار الإمام الخميني قدّس سرّه ، الطبعة الاُولى، جزءان، طهران، مؤسّسة تنظيم ونشر آثار الإمام الخميني قدّس سرّه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مغني اللبيب عن كتب الأعاريب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أبو محمّد عبدالله بن يوسف بن هشام الأنصاري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عدّة من العلماء، الطبعة الخامسة، قم، مكتبة سيّد الشهداء علیه السلام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محسن العراقي والسيّد منذر الحكيم والشيخ مجتبى المحمودي، الطبعة الاُولى، مجلّدان، قم، مجمع الفكر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والطبعة الحجرية منه مجلّدان، قم، كتابفروشى كتبى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بالاُفست عن طبع النجف الأشرف</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المنخول من تعليقات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حسن هيتو، الطبعة الثالثة، بيروت، دار الفكر المعاصر،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قم،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بيروت، 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مؤسّسة آل البيت علیهم السلام لإحياء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منصور الحسن بن يوسف بن المطهّر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الإمام الصادق،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عبدالله بن محمّد البُشروي الخراساني المعروف بالفاضل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حسين الرضوي الكشميري، الطبعة الاُولى، قم، مجمع الفكر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آل البيت علیهم السلام لإحياء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وقاية الأذهان مع رسالتي سمطا اللآل في مسألتي الوضع والاستعمال وإماطة الغين عن </w:t>
      </w:r>
    </w:p>
    <w:p>
      <w:pPr>
        <w:pStyle w:val="BookText"/>
        <w:rPr/>
      </w:pPr>
      <w:r>
        <w:rPr>
          <w:rFonts w:ascii="IRNazanin" w:hAnsi="IRNazanin" w:eastAsia="IRNazanin"/>
          <w:color w:val="111111"/>
          <w:sz w:val="28"/>
          <w:sz w:val="28"/>
          <w:szCs w:val="28"/>
          <w:rtl w:val="true"/>
          <w:lang w:bidi="fa-IR"/>
        </w:rPr>
        <w:t>استعمال العين في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المجد محمّد رضا بن محمّد حسين النجفي الأصفهاني، تحقيق مؤسّسة آل البيت علیهم السلام لإحياء التراث، الطبعة الاُولى، قم، مؤسّسة آل البيت علیهم السلام لإحياء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المسترشدين في شرح اُصول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15293_220389"/>
      <w:bookmarkStart w:id="632" w:name="pg15293_220389"/>
      <w:bookmarkEnd w:id="632"/>
    </w:p>
    <w:p>
      <w:pPr>
        <w:pStyle w:val="Heading3"/>
        <w:numPr>
          <w:ilvl w:val="2"/>
          <w:numId w:val="1"/>
        </w:numPr>
        <w:rPr/>
      </w:pPr>
      <w:bookmarkStart w:id="633" w:name="pg15293_220389"/>
      <w:bookmarkStart w:id="634" w:name="__RefHeading___Toc4629200_2142443653"/>
      <w:bookmarkStart w:id="635" w:name="_Toc221"/>
      <w:bookmarkEnd w:id="633"/>
      <w:bookmarkEnd w:id="634"/>
      <w:r>
        <w:rPr/>
        <w:t>7</w:t>
      </w:r>
      <w:r>
        <w:rPr>
          <w:rtl w:val="true"/>
        </w:rPr>
        <w:t xml:space="preserve"> - </w:t>
      </w:r>
      <w:r>
        <w:rPr>
          <w:rtl w:val="true"/>
        </w:rPr>
        <w:t>فهرس الموضوعات</w:t>
      </w:r>
      <w:bookmarkEnd w:id="635"/>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الأمر بالشيء للنهي عن ضدّه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تحقيق الحال يستدعي رسم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اُصولية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الاقتضاء في عنوان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القول بالاقتضاء في الضدّ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قد 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المقدّمية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الاستلزام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مقالة الشيخ البهائي في إنكار الثمرة بعدم الأمر بالمهمّ وما اُجيب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تصوير المحقّق الثاني الأمر بالمهمّ بالأمر المتعلّق بنفس 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التحقيق في تصوير الأمر بالمهمّ بلا تشبّث بالترتّب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تصوير المحقّق النائيني الأمر بالمهمّ بنحو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تمسّك المحقّق النائيني ببعض الفروع الفقهية على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تقرير الذي أورده المحقّق الأصفهاني لتصحيح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المحقّق العراقي لتصحيح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الأمر مع العلم بانتفاء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الأوامر والنواهي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الأوامر والنواهي بالطبائع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المراد من البعث نحو المأموربه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الأمر بنفس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نقد وتحصيل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سراية الأمر من العنوان إلى الأفراد والحصص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الكلّي الطبيعي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الجواز بعد نسخ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والكلام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بقائه عقلاً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الأدلّة إثباتاً بعد فرض إمكانه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الجواز عند الشكّ في بقائه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التخيير بين الأقلّ والأكثر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التخيير بين الأقلّ والأكثر في التدريجيات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التخيير بين الأقلّ والأكثر في الدفعيات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العيني والكفائي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المطلق والموقّت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كون القضاء بالأمر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هيئة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 الطلب في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دلالة النهي على 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اجتماع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وقبل الخوض في المقصود لابدّ من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المقام وبين النهي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اُصولية مسألة جواز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قيد المندوحة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ابتناء النزاع على تعلّق الأحكام بالطبائع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ابتناء النزاع على إحراز المناط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النزاع على القول بالجواز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النزاع على القول بالامتناع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جريان النزاع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مقتضى التحقيق هو القول بجواز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دفع الإشكالات الواردة على القول بالجواز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التضادّ بين الأحكام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استدلال المجوّزين بوقوع العبادات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كيفية العبادات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توسّط الأرض المغصوبة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النهي عن الشيء هل يكشف عن فساده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وقبل تحقيق المقام يقدّم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الاختلاف في عنوان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المسألة عقلية 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العبادات والمعاملات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مساوقة الصحّة والفساد للنقص والتمام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مجعولية الصحّة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الأصل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التحقيق في دلالة النهي على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دلالة النهي على الفساد عرفاً مع عدم إحراز حال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 اقتضاء النهي الفساد عقلاً مع إحراز حال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 التمسّك بالروايات على فساد المعاملة المنهيّ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دلالة النهي على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تعلّق النهي بجزء العبادة أو شرطها أو وصفها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w:t>
      </w:r>
    </w:p>
    <w:p>
      <w:pPr>
        <w:pStyle w:val="BookText"/>
        <w:rPr/>
      </w:pPr>
      <w:r>
        <w:rPr>
          <w:rFonts w:ascii="Amiri" w:hAnsi="Amiri" w:eastAsia="Amiri" w:cs="Amiri"/>
          <w:color w:val="111111"/>
          <w:sz w:val="28"/>
          <w:sz w:val="28"/>
          <w:szCs w:val="28"/>
          <w:rtl w:val="true"/>
          <w:lang w:bidi="ar-SA"/>
        </w:rPr>
        <w:t>وفيه مقدّمة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الجمل الشرطية على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بقي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فيما إذا كان مفاد الجزاء معنىً حرفياً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تعدّد الشرط واتّحاد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تداخل الأسباب والمسبّبات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ينبغي تقديم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تداخل الأسباب والمسبّبات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النزاع بالماهية القابلة للتكثّر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التداخل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تعدّد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تداخل الأسباب والمسبّبات فيما إذا تعدّدت الأسباب نوعاً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الاستدلال على عدم تداخل الأسباب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الاستدلال على تداخل المسبّبات ثبوتاً وإثباتاً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تداخل الأسباب والمسبّبات فيما إذا تعدّدت الأسباب شخصاً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العامّ الاستغراقي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والبحث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الغاية على ارتفاع الحكم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الغاية داخلة في المغيّا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الاستثناء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w:t>
      </w:r>
    </w:p>
    <w:p>
      <w:pPr>
        <w:pStyle w:val="BookText"/>
        <w:rPr/>
      </w:pPr>
      <w:r>
        <w:rPr>
          <w:rFonts w:ascii="Amiri" w:hAnsi="Amiri" w:eastAsia="Amiri" w:cs="Amiri"/>
          <w:color w:val="111111"/>
          <w:sz w:val="28"/>
          <w:sz w:val="28"/>
          <w:szCs w:val="28"/>
          <w:rtl w:val="true"/>
          <w:lang w:bidi="ar-SA"/>
        </w:rPr>
        <w:t>وقبل الخوض في المقصود لابأس بذكر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المطلق والعامّ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احتياج العامّ إلى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 كلام المحقّق الخراساني في وجه انقسام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الألفاظ الدالّة على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العامّ المخصّص في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سراية إجمال المخصّص إلى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التمسّك بالعامّ في الشبهة المفهومية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التمسّك بالعامّ في الشبهة المصداقية للمخصّص 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حول الاستدلال على جواز التمسّك بالعامّ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بالعامّ في الشبهة المصداقية للمخصّص اللبّي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بالعامّ إذا كان الخاصّ معلّلاً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العامّين من وجه المتنافيي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إحراز المصداق بالأصل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التحقيق في جريان الأصل المحرز لموضوع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نشير إلى ما هو التحقيق إجمالاً، وهو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القضايا بلحاظ 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الصدق والكذب في القضايا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المفتقرة إلى وجود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كون موضوع الحكم مفرداً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اعتبارات موضوع العامّ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التحقيق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بعمومات النذر وأمثاله لكشف حال الفرد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بالعامّ عند الشكّ بين التخصيص والتخصّص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التخصيص والتخصّص لإجمال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العمل بالعامّ قبل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الاستدلال على وجوب الفحص عن المخصّص بمعرضية العامّ للتخصيص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الاستدلال على وجوب الفحص عن المخصّص بالعلم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الفحص عن المخصّص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الخطابات الشفاهية لغير الحاضرين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التحقيق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العامّ بالضمير الراجع إلى بعض أفراده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العامّ بالمفهوم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الموافق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المتعقّب لجمل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الرجوع إلى الجميع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حاله إثباتاً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المطلق والمقيّد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الجنس والماهية وأقسامها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الجنس وعلمه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عند الشكّ في مقام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المطلق على 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الصور المتصوّرة في ورود المطلق والمقيّد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تحرير محطّ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الصور المهمّة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اُنظر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 القاضي عبدالجبّار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 القاضي عبدالجبّار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المغني في أبواب التوحيد والعدل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اُنظر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قسم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كلمات مكنونة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الشيخ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التوحيد والعدل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اُنظر 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اُنظر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اُنظر 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شرح توحيد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ميرداماد، الإيقاضات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الإيقاظات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ميرداماد، الإيقاضات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الإيقاظات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امام خميني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والثلاثون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الخير والشرّ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اُنظر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مصنّفات ميرداماد، الإيقاضات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الإيقاظات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مصنّفات ميرداماد، الإيقاضات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الإيقاظات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الإشارات والتنبيهات، شرح المحقّق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المطالب العالية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الشفاء،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 القاضي عبدالجبّار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وراجع 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المبدأ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السعادة والشقاوة؛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طينة المؤمن والكافر؛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السعادة والشقاوة،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طينة المؤمن والكافر؛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فطرة الخلق على التوحيد؛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چهل حديث، امام خميني قدّس سرّه ، الحديث الحادي عشر؛ و آداب الصلوة، مقاله دوم، مقصد اول، فصل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اشاره به مراتب طهور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ومقصد پنجم، فصل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بعضى از آداب قلبيه استقبال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حديث جنود عقل وجهل، مقاله ششم، مقصد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بيان خير و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مقصد دوم، فصل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بيان آنكه ايمان بر طبق فطرت است و كفر خارج از طريقه فطرت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المنطق، الفنّ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حاشية كفاية الاُصول، المحقّق القوچاني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الاثنا عشرية في الصلاة اليومية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الاثنا عشرية في الصلاة اليومية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مع الغضّ عن أنّ تلك العناوين ليست بذاتها واجبة أو محرّمة، ومع تعلّق النذر وشبهه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تصرْ واجبةً أو محرّمةً كما مرّ نظيره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نهاية الوصول إلى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المستصفى من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المحصول في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اُنظر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نهاية الأفكار، القسم الأوّل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 الأراكي في المرّة والتكرارأ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اُنظر شرح العضدي على مختصر ابن 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العضدي على مختصر ابن 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لباس المصلّي،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في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جزءاً أو شرطاً أو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المسافر،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الصلاة،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الصلاة،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القراءة في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اُنظر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اُنظر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أفاده المحقّق الحائري في مجلس درسه على ما حكي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معتمد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كتاب النذر والعهد،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المواقيت،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الفريضة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والترجيح،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اُنظر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أعداد الفرائض،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الأشربة المحرّمة،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المحقّق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اُنظر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يأتي فيها ما يأتي في الصورة المتقدّمة،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44827</Words>
  <Characters>203086</Characters>
  <CharactersWithSpaces>246410</CharactersWithSpaces>
  <Paragraphs>1765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2026-08-24T22:37:21Z</dcterms:created>
  <dc:creator>ghaemiyeh.com</dc:creator>
  <dc:description/>
  <dc:language>en-US</dc:language>
  <cp:lastModifiedBy/>
  <dcterms:modified xsi:type="dcterms:W3CDTF">2026-08-25T02:07:32Z</dcterms:modified>
  <cp:revision>1</cp:revision>
  <dc:subject/>
  <dc:title>موسوعة الامام الخمینی قدس سرة الشریف المجلد 1 و 2 منهاج الوصول الی علم الاصول جلد 2</dc:title>
</cp:coreProperties>
</file>

<file path=docProps/custom.xml><?xml version="1.0" encoding="utf-8"?>
<Properties xmlns="http://schemas.openxmlformats.org/officeDocument/2006/custom-properties" xmlns:vt="http://schemas.openxmlformats.org/officeDocument/2006/docPropsVTypes"/>
</file>