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26</w:t>
      </w:r>
      <w:r>
        <w:rPr>
          <w:rtl w:val="true"/>
        </w:rPr>
        <w:t xml:space="preserve"> </w:t>
      </w:r>
      <w:r>
        <w:rPr>
          <w:rtl w:val="true"/>
        </w:rPr>
        <w:t xml:space="preserve">و </w:t>
      </w:r>
      <w:r>
        <w:rPr/>
        <w:t>27</w:t>
      </w:r>
      <w:r>
        <w:rPr>
          <w:rtl w:val="true"/>
        </w:rPr>
        <w:t xml:space="preserve"> </w:t>
      </w:r>
      <w:r>
        <w:rPr>
          <w:rtl w:val="true"/>
        </w:rPr>
        <w:t xml:space="preserve">وسیلة النجاة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7573_340678995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87575_34067899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87577_3406789950">
            <w:r>
              <w:rPr>
                <w:webHidden/>
                <w:rStyle w:val="IndexLink"/>
                <w:rtl w:val="true"/>
              </w:rPr>
              <w:t>مقدّمة التحقيق</w:t>
            </w:r>
            <w:r>
              <w:rPr>
                <w:rStyle w:val="IndexLink"/>
                <w:rtl w:val="true"/>
              </w:rPr>
              <w:tab/>
            </w:r>
            <w:r>
              <w:rPr>
                <w:rStyle w:val="IndexLink"/>
              </w:rPr>
              <w:t>12</w:t>
            </w:r>
          </w:hyperlink>
        </w:p>
        <w:p>
          <w:pPr>
            <w:pStyle w:val="Contents2"/>
            <w:tabs>
              <w:tab w:val="clear" w:pos="8743"/>
              <w:tab w:val="right" w:pos="9026" w:leader="dot"/>
            </w:tabs>
            <w:rPr/>
          </w:pPr>
          <w:hyperlink w:anchor="__RefHeading___Toc487579_3406789950">
            <w:r>
              <w:rPr>
                <w:webHidden/>
                <w:rStyle w:val="IndexLink"/>
                <w:rtl w:val="true"/>
              </w:rPr>
              <w:t>مقدّمة</w:t>
            </w:r>
            <w:r>
              <w:rPr>
                <w:rStyle w:val="IndexLink"/>
                <w:rtl w:val="true"/>
              </w:rPr>
              <w:tab/>
            </w:r>
            <w:r>
              <w:rPr>
                <w:rStyle w:val="IndexLink"/>
              </w:rPr>
              <w:t>18</w:t>
            </w:r>
          </w:hyperlink>
        </w:p>
        <w:p>
          <w:pPr>
            <w:pStyle w:val="Contents2"/>
            <w:tabs>
              <w:tab w:val="clear" w:pos="8743"/>
              <w:tab w:val="right" w:pos="9026" w:leader="dot"/>
            </w:tabs>
            <w:rPr/>
          </w:pPr>
          <w:hyperlink w:anchor="__RefHeading___Toc487581_3406789950">
            <w:r>
              <w:rPr>
                <w:webHidden/>
                <w:rStyle w:val="IndexLink"/>
                <w:rtl w:val="true"/>
              </w:rPr>
              <w:t>کتاب الطهارة</w:t>
            </w:r>
            <w:r>
              <w:rPr>
                <w:rStyle w:val="IndexLink"/>
                <w:rtl w:val="true"/>
              </w:rPr>
              <w:tab/>
            </w:r>
            <w:r>
              <w:rPr>
                <w:rStyle w:val="IndexLink"/>
              </w:rPr>
              <w:t>26</w:t>
            </w:r>
          </w:hyperlink>
        </w:p>
        <w:p>
          <w:pPr>
            <w:pStyle w:val="Contents3"/>
            <w:tabs>
              <w:tab w:val="clear" w:pos="8459"/>
              <w:tab w:val="right" w:pos="9026" w:leader="dot"/>
            </w:tabs>
            <w:rPr/>
          </w:pPr>
          <w:hyperlink w:anchor="__RefHeading___Toc487583_3406789950">
            <w:r>
              <w:rPr>
                <w:webHidden/>
                <w:rStyle w:val="IndexLink"/>
                <w:rtl w:val="true"/>
              </w:rPr>
              <w:t xml:space="preserve">فصل </w:t>
            </w:r>
            <w:r>
              <w:rPr>
                <w:rStyle w:val="IndexLink"/>
                <w:rtl w:val="true"/>
              </w:rPr>
              <w:t xml:space="preserve">: </w:t>
            </w:r>
            <w:r>
              <w:rPr>
                <w:rStyle w:val="IndexLink"/>
                <w:rtl w:val="true"/>
              </w:rPr>
              <w:t>في المياه</w:t>
            </w:r>
            <w:r>
              <w:rPr>
                <w:rStyle w:val="IndexLink"/>
                <w:rtl w:val="true"/>
              </w:rPr>
              <w:tab/>
            </w:r>
            <w:r>
              <w:rPr>
                <w:rStyle w:val="IndexLink"/>
              </w:rPr>
              <w:t>26</w:t>
            </w:r>
          </w:hyperlink>
        </w:p>
        <w:p>
          <w:pPr>
            <w:pStyle w:val="Contents3"/>
            <w:tabs>
              <w:tab w:val="clear" w:pos="8459"/>
              <w:tab w:val="right" w:pos="9026" w:leader="dot"/>
            </w:tabs>
            <w:rPr/>
          </w:pPr>
          <w:hyperlink w:anchor="__RefHeading___Toc487585_3406789950">
            <w:r>
              <w:rPr>
                <w:webHidden/>
                <w:rStyle w:val="IndexLink"/>
                <w:rtl w:val="true"/>
              </w:rPr>
              <w:t xml:space="preserve">فصل </w:t>
            </w:r>
            <w:r>
              <w:rPr>
                <w:rStyle w:val="IndexLink"/>
                <w:rtl w:val="true"/>
              </w:rPr>
              <w:t xml:space="preserve">: </w:t>
            </w:r>
            <w:r>
              <w:rPr>
                <w:rStyle w:val="IndexLink"/>
                <w:rtl w:val="true"/>
              </w:rPr>
              <w:t>في أحكام التخلّي</w:t>
            </w:r>
            <w:r>
              <w:rPr>
                <w:rStyle w:val="IndexLink"/>
                <w:rtl w:val="true"/>
              </w:rPr>
              <w:tab/>
            </w:r>
            <w:r>
              <w:rPr>
                <w:rStyle w:val="IndexLink"/>
              </w:rPr>
              <w:t>33</w:t>
            </w:r>
          </w:hyperlink>
        </w:p>
        <w:p>
          <w:pPr>
            <w:pStyle w:val="Contents3"/>
            <w:tabs>
              <w:tab w:val="clear" w:pos="8459"/>
              <w:tab w:val="right" w:pos="9026" w:leader="dot"/>
            </w:tabs>
            <w:rPr/>
          </w:pPr>
          <w:hyperlink w:anchor="__RefHeading___Toc487587_3406789950">
            <w:r>
              <w:rPr>
                <w:webHidden/>
                <w:rStyle w:val="IndexLink"/>
                <w:rtl w:val="true"/>
              </w:rPr>
              <w:t xml:space="preserve">فصل </w:t>
            </w:r>
            <w:r>
              <w:rPr>
                <w:rStyle w:val="IndexLink"/>
                <w:rtl w:val="true"/>
              </w:rPr>
              <w:t xml:space="preserve">: </w:t>
            </w:r>
            <w:r>
              <w:rPr>
                <w:rStyle w:val="IndexLink"/>
                <w:rtl w:val="true"/>
              </w:rPr>
              <w:t>في الاستنجاء</w:t>
            </w:r>
            <w:r>
              <w:rPr>
                <w:rStyle w:val="IndexLink"/>
                <w:rtl w:val="true"/>
              </w:rPr>
              <w:tab/>
            </w:r>
            <w:r>
              <w:rPr>
                <w:rStyle w:val="IndexLink"/>
              </w:rPr>
              <w:t>34</w:t>
            </w:r>
          </w:hyperlink>
        </w:p>
        <w:p>
          <w:pPr>
            <w:pStyle w:val="Contents3"/>
            <w:tabs>
              <w:tab w:val="clear" w:pos="8459"/>
              <w:tab w:val="right" w:pos="9026" w:leader="dot"/>
            </w:tabs>
            <w:rPr/>
          </w:pPr>
          <w:hyperlink w:anchor="__RefHeading___Toc487589_3406789950">
            <w:r>
              <w:rPr>
                <w:webHidden/>
                <w:rStyle w:val="IndexLink"/>
                <w:rtl w:val="true"/>
              </w:rPr>
              <w:t xml:space="preserve">فصل </w:t>
            </w:r>
            <w:r>
              <w:rPr>
                <w:rStyle w:val="IndexLink"/>
                <w:rtl w:val="true"/>
              </w:rPr>
              <w:t xml:space="preserve">: </w:t>
            </w:r>
            <w:r>
              <w:rPr>
                <w:rStyle w:val="IndexLink"/>
                <w:rtl w:val="true"/>
              </w:rPr>
              <w:t>في الاستبراء</w:t>
            </w:r>
            <w:r>
              <w:rPr>
                <w:rStyle w:val="IndexLink"/>
                <w:rtl w:val="true"/>
              </w:rPr>
              <w:tab/>
            </w:r>
            <w:r>
              <w:rPr>
                <w:rStyle w:val="IndexLink"/>
              </w:rPr>
              <w:t>35</w:t>
            </w:r>
          </w:hyperlink>
        </w:p>
        <w:p>
          <w:pPr>
            <w:pStyle w:val="Contents3"/>
            <w:tabs>
              <w:tab w:val="clear" w:pos="8459"/>
              <w:tab w:val="right" w:pos="9026" w:leader="dot"/>
            </w:tabs>
            <w:rPr/>
          </w:pPr>
          <w:hyperlink w:anchor="__RefHeading___Toc487591_3406789950">
            <w:r>
              <w:rPr>
                <w:webHidden/>
                <w:rStyle w:val="IndexLink"/>
                <w:rtl w:val="true"/>
              </w:rPr>
              <w:t xml:space="preserve">فصل </w:t>
            </w:r>
            <w:r>
              <w:rPr>
                <w:rStyle w:val="IndexLink"/>
                <w:rtl w:val="true"/>
              </w:rPr>
              <w:t xml:space="preserve">: </w:t>
            </w:r>
            <w:r>
              <w:rPr>
                <w:rStyle w:val="IndexLink"/>
                <w:rtl w:val="true"/>
              </w:rPr>
              <w:t>في الوضوء</w:t>
            </w:r>
            <w:r>
              <w:rPr>
                <w:rStyle w:val="IndexLink"/>
                <w:rtl w:val="true"/>
              </w:rPr>
              <w:tab/>
            </w:r>
            <w:r>
              <w:rPr>
                <w:rStyle w:val="IndexLink"/>
              </w:rPr>
              <w:t>37</w:t>
            </w:r>
          </w:hyperlink>
        </w:p>
        <w:p>
          <w:pPr>
            <w:pStyle w:val="Contents4"/>
            <w:tabs>
              <w:tab w:val="clear" w:pos="8176"/>
              <w:tab w:val="right" w:pos="9026" w:leader="dot"/>
            </w:tabs>
            <w:rPr/>
          </w:pPr>
          <w:hyperlink w:anchor="__RefHeading___Toc487593_340678995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87595_3406789950">
            <w:r>
              <w:rPr>
                <w:webHidden/>
                <w:rStyle w:val="IndexLink"/>
                <w:rtl w:val="true"/>
              </w:rPr>
              <w:t xml:space="preserve">القول </w:t>
            </w:r>
            <w:r>
              <w:rPr>
                <w:rStyle w:val="IndexLink"/>
                <w:rtl w:val="true"/>
              </w:rPr>
              <w:t xml:space="preserve">: </w:t>
            </w:r>
            <w:r>
              <w:rPr>
                <w:rStyle w:val="IndexLink"/>
                <w:rtl w:val="true"/>
              </w:rPr>
              <w:t>في الواجبات</w:t>
            </w:r>
            <w:r>
              <w:rPr>
                <w:rStyle w:val="IndexLink"/>
                <w:rtl w:val="true"/>
              </w:rPr>
              <w:tab/>
            </w:r>
            <w:r>
              <w:rPr>
                <w:rStyle w:val="IndexLink"/>
              </w:rPr>
              <w:t>37</w:t>
            </w:r>
          </w:hyperlink>
        </w:p>
        <w:p>
          <w:pPr>
            <w:pStyle w:val="Contents4"/>
            <w:tabs>
              <w:tab w:val="clear" w:pos="8176"/>
              <w:tab w:val="right" w:pos="9026" w:leader="dot"/>
            </w:tabs>
            <w:rPr/>
          </w:pPr>
          <w:hyperlink w:anchor="__RefHeading___Toc487597_3406789950">
            <w:r>
              <w:rPr>
                <w:webHidden/>
                <w:rStyle w:val="IndexLink"/>
                <w:rtl w:val="true"/>
              </w:rPr>
              <w:t xml:space="preserve">القول </w:t>
            </w:r>
            <w:r>
              <w:rPr>
                <w:rStyle w:val="IndexLink"/>
                <w:rtl w:val="true"/>
              </w:rPr>
              <w:t xml:space="preserve">: </w:t>
            </w:r>
            <w:r>
              <w:rPr>
                <w:rStyle w:val="IndexLink"/>
                <w:rtl w:val="true"/>
              </w:rPr>
              <w:t>في شرائط الوضوء</w:t>
            </w:r>
            <w:r>
              <w:rPr>
                <w:rStyle w:val="IndexLink"/>
                <w:rtl w:val="true"/>
              </w:rPr>
              <w:tab/>
            </w:r>
            <w:r>
              <w:rPr>
                <w:rStyle w:val="IndexLink"/>
              </w:rPr>
              <w:t>41</w:t>
            </w:r>
          </w:hyperlink>
        </w:p>
        <w:p>
          <w:pPr>
            <w:pStyle w:val="Contents3"/>
            <w:tabs>
              <w:tab w:val="clear" w:pos="8459"/>
              <w:tab w:val="right" w:pos="9026" w:leader="dot"/>
            </w:tabs>
            <w:rPr/>
          </w:pPr>
          <w:hyperlink w:anchor="__RefHeading___Toc487599_3406789950">
            <w:r>
              <w:rPr>
                <w:webHidden/>
                <w:rStyle w:val="IndexLink"/>
                <w:rtl w:val="true"/>
              </w:rPr>
              <w:t xml:space="preserve">فصل </w:t>
            </w:r>
            <w:r>
              <w:rPr>
                <w:rStyle w:val="IndexLink"/>
                <w:rtl w:val="true"/>
              </w:rPr>
              <w:t xml:space="preserve">: </w:t>
            </w:r>
            <w:r>
              <w:rPr>
                <w:rStyle w:val="IndexLink"/>
                <w:rtl w:val="true"/>
              </w:rPr>
              <w:t>في موجبات الوضوء وغاياته</w:t>
            </w:r>
            <w:r>
              <w:rPr>
                <w:rStyle w:val="IndexLink"/>
                <w:rtl w:val="true"/>
              </w:rPr>
              <w:tab/>
            </w:r>
            <w:r>
              <w:rPr>
                <w:rStyle w:val="IndexLink"/>
              </w:rPr>
              <w:t>47</w:t>
            </w:r>
          </w:hyperlink>
        </w:p>
        <w:p>
          <w:pPr>
            <w:pStyle w:val="Contents4"/>
            <w:tabs>
              <w:tab w:val="clear" w:pos="8176"/>
              <w:tab w:val="right" w:pos="9026" w:leader="dot"/>
            </w:tabs>
            <w:rPr/>
          </w:pPr>
          <w:hyperlink w:anchor="__RefHeading___Toc487601_340678995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487603_3406789950">
            <w:r>
              <w:rPr>
                <w:webHidden/>
                <w:rStyle w:val="IndexLink"/>
                <w:rtl w:val="true"/>
              </w:rPr>
              <w:t>فصل</w:t>
            </w:r>
            <w:r>
              <w:rPr>
                <w:rStyle w:val="IndexLink"/>
                <w:rtl w:val="true"/>
              </w:rPr>
              <w:tab/>
            </w:r>
            <w:r>
              <w:rPr>
                <w:rStyle w:val="IndexLink"/>
              </w:rPr>
              <w:t>49</w:t>
            </w:r>
          </w:hyperlink>
        </w:p>
        <w:p>
          <w:pPr>
            <w:pStyle w:val="Contents4"/>
            <w:tabs>
              <w:tab w:val="clear" w:pos="8176"/>
              <w:tab w:val="right" w:pos="9026" w:leader="dot"/>
            </w:tabs>
            <w:rPr/>
          </w:pPr>
          <w:hyperlink w:anchor="__RefHeading___Toc487605_3406789950">
            <w:r>
              <w:rPr>
                <w:webHidden/>
                <w:rStyle w:val="IndexLink"/>
                <w:rtl w:val="true"/>
              </w:rPr>
              <w:t xml:space="preserve">القول </w:t>
            </w:r>
            <w:r>
              <w:rPr>
                <w:rStyle w:val="IndexLink"/>
                <w:rtl w:val="true"/>
              </w:rPr>
              <w:t xml:space="preserve">: </w:t>
            </w:r>
            <w:r>
              <w:rPr>
                <w:rStyle w:val="IndexLink"/>
                <w:rtl w:val="true"/>
              </w:rPr>
              <w:t>في أحكام الخلل</w:t>
            </w:r>
            <w:r>
              <w:rPr>
                <w:rStyle w:val="IndexLink"/>
                <w:rtl w:val="true"/>
              </w:rPr>
              <w:tab/>
            </w:r>
            <w:r>
              <w:rPr>
                <w:rStyle w:val="IndexLink"/>
              </w:rPr>
              <w:t>51</w:t>
            </w:r>
          </w:hyperlink>
        </w:p>
        <w:p>
          <w:pPr>
            <w:pStyle w:val="Contents3"/>
            <w:tabs>
              <w:tab w:val="clear" w:pos="8459"/>
              <w:tab w:val="right" w:pos="9026" w:leader="dot"/>
            </w:tabs>
            <w:rPr/>
          </w:pPr>
          <w:hyperlink w:anchor="__RefHeading___Toc487607_3406789950">
            <w:r>
              <w:rPr>
                <w:webHidden/>
                <w:rStyle w:val="IndexLink"/>
                <w:rtl w:val="true"/>
              </w:rPr>
              <w:t xml:space="preserve">فصل </w:t>
            </w:r>
            <w:r>
              <w:rPr>
                <w:rStyle w:val="IndexLink"/>
                <w:rtl w:val="true"/>
              </w:rPr>
              <w:t xml:space="preserve">: </w:t>
            </w:r>
            <w:r>
              <w:rPr>
                <w:rStyle w:val="IndexLink"/>
                <w:rtl w:val="true"/>
              </w:rPr>
              <w:t>في وضوء الجبيرة</w:t>
            </w:r>
            <w:r>
              <w:rPr>
                <w:rStyle w:val="IndexLink"/>
                <w:rtl w:val="true"/>
              </w:rPr>
              <w:tab/>
            </w:r>
            <w:r>
              <w:rPr>
                <w:rStyle w:val="IndexLink"/>
              </w:rPr>
              <w:t>52</w:t>
            </w:r>
          </w:hyperlink>
        </w:p>
        <w:p>
          <w:pPr>
            <w:pStyle w:val="Contents3"/>
            <w:tabs>
              <w:tab w:val="clear" w:pos="8459"/>
              <w:tab w:val="right" w:pos="9026" w:leader="dot"/>
            </w:tabs>
            <w:rPr/>
          </w:pPr>
          <w:hyperlink w:anchor="__RefHeading___Toc487609_3406789950">
            <w:r>
              <w:rPr>
                <w:webHidden/>
                <w:rStyle w:val="IndexLink"/>
                <w:rtl w:val="true"/>
              </w:rPr>
              <w:t xml:space="preserve">فصل </w:t>
            </w:r>
            <w:r>
              <w:rPr>
                <w:rStyle w:val="IndexLink"/>
                <w:rtl w:val="true"/>
              </w:rPr>
              <w:t xml:space="preserve">: </w:t>
            </w:r>
            <w:r>
              <w:rPr>
                <w:rStyle w:val="IndexLink"/>
                <w:rtl w:val="true"/>
              </w:rPr>
              <w:t>في الأغسال</w:t>
            </w:r>
            <w:r>
              <w:rPr>
                <w:rStyle w:val="IndexLink"/>
                <w:rtl w:val="true"/>
              </w:rPr>
              <w:tab/>
            </w:r>
            <w:r>
              <w:rPr>
                <w:rStyle w:val="IndexLink"/>
              </w:rPr>
              <w:t>55</w:t>
            </w:r>
          </w:hyperlink>
        </w:p>
        <w:p>
          <w:pPr>
            <w:pStyle w:val="Contents3"/>
            <w:tabs>
              <w:tab w:val="clear" w:pos="8459"/>
              <w:tab w:val="right" w:pos="9026" w:leader="dot"/>
            </w:tabs>
            <w:rPr/>
          </w:pPr>
          <w:hyperlink w:anchor="__RefHeading___Toc487611_3406789950">
            <w:r>
              <w:rPr>
                <w:webHidden/>
                <w:rStyle w:val="IndexLink"/>
                <w:rtl w:val="true"/>
              </w:rPr>
              <w:t xml:space="preserve">فصل </w:t>
            </w:r>
            <w:r>
              <w:rPr>
                <w:rStyle w:val="IndexLink"/>
                <w:rtl w:val="true"/>
              </w:rPr>
              <w:t xml:space="preserve">: </w:t>
            </w:r>
            <w:r>
              <w:rPr>
                <w:rStyle w:val="IndexLink"/>
                <w:rtl w:val="true"/>
              </w:rPr>
              <w:t>في غسل الجنابة</w:t>
            </w:r>
            <w:r>
              <w:rPr>
                <w:rStyle w:val="IndexLink"/>
                <w:rtl w:val="true"/>
              </w:rPr>
              <w:tab/>
            </w:r>
            <w:r>
              <w:rPr>
                <w:rStyle w:val="IndexLink"/>
              </w:rPr>
              <w:t>55</w:t>
            </w:r>
          </w:hyperlink>
        </w:p>
        <w:p>
          <w:pPr>
            <w:pStyle w:val="Contents4"/>
            <w:tabs>
              <w:tab w:val="clear" w:pos="8176"/>
              <w:tab w:val="right" w:pos="9026" w:leader="dot"/>
            </w:tabs>
            <w:rPr/>
          </w:pPr>
          <w:hyperlink w:anchor="__RefHeading___Toc487613_340678995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87615_3406789950">
            <w:r>
              <w:rPr>
                <w:webHidden/>
                <w:rStyle w:val="IndexLink"/>
                <w:rtl w:val="true"/>
              </w:rPr>
              <w:t xml:space="preserve">القول </w:t>
            </w:r>
            <w:r>
              <w:rPr>
                <w:rStyle w:val="IndexLink"/>
                <w:rtl w:val="true"/>
              </w:rPr>
              <w:t xml:space="preserve">: </w:t>
            </w:r>
            <w:r>
              <w:rPr>
                <w:rStyle w:val="IndexLink"/>
                <w:rtl w:val="true"/>
              </w:rPr>
              <w:t>في السبب</w:t>
            </w:r>
            <w:r>
              <w:rPr>
                <w:rStyle w:val="IndexLink"/>
                <w:rtl w:val="true"/>
              </w:rPr>
              <w:tab/>
            </w:r>
            <w:r>
              <w:rPr>
                <w:rStyle w:val="IndexLink"/>
              </w:rPr>
              <w:t>55</w:t>
            </w:r>
          </w:hyperlink>
        </w:p>
        <w:p>
          <w:pPr>
            <w:pStyle w:val="Contents4"/>
            <w:tabs>
              <w:tab w:val="clear" w:pos="8176"/>
              <w:tab w:val="right" w:pos="9026" w:leader="dot"/>
            </w:tabs>
            <w:rPr/>
          </w:pPr>
          <w:hyperlink w:anchor="__RefHeading___Toc487617_3406789950">
            <w:r>
              <w:rPr>
                <w:webHidden/>
                <w:rStyle w:val="IndexLink"/>
                <w:rtl w:val="true"/>
              </w:rPr>
              <w:t xml:space="preserve">القول </w:t>
            </w:r>
            <w:r>
              <w:rPr>
                <w:rStyle w:val="IndexLink"/>
                <w:rtl w:val="true"/>
              </w:rPr>
              <w:t xml:space="preserve">: </w:t>
            </w:r>
            <w:r>
              <w:rPr>
                <w:rStyle w:val="IndexLink"/>
                <w:rtl w:val="true"/>
              </w:rPr>
              <w:t>في أحكام الجنب</w:t>
            </w:r>
            <w:r>
              <w:rPr>
                <w:rStyle w:val="IndexLink"/>
                <w:rtl w:val="true"/>
              </w:rPr>
              <w:tab/>
            </w:r>
            <w:r>
              <w:rPr>
                <w:rStyle w:val="IndexLink"/>
              </w:rPr>
              <w:t>57</w:t>
            </w:r>
          </w:hyperlink>
        </w:p>
        <w:p>
          <w:pPr>
            <w:pStyle w:val="Contents4"/>
            <w:tabs>
              <w:tab w:val="clear" w:pos="8176"/>
              <w:tab w:val="right" w:pos="9026" w:leader="dot"/>
            </w:tabs>
            <w:rPr/>
          </w:pPr>
          <w:hyperlink w:anchor="__RefHeading___Toc487619_3406789950">
            <w:r>
              <w:rPr>
                <w:webHidden/>
                <w:rStyle w:val="IndexLink"/>
                <w:rtl w:val="true"/>
              </w:rPr>
              <w:t>فصل</w:t>
            </w:r>
            <w:r>
              <w:rPr>
                <w:rStyle w:val="IndexLink"/>
                <w:rtl w:val="true"/>
              </w:rPr>
              <w:tab/>
            </w:r>
            <w:r>
              <w:rPr>
                <w:rStyle w:val="IndexLink"/>
              </w:rPr>
              <w:t>57</w:t>
            </w:r>
          </w:hyperlink>
        </w:p>
        <w:p>
          <w:pPr>
            <w:pStyle w:val="Contents4"/>
            <w:tabs>
              <w:tab w:val="clear" w:pos="8176"/>
              <w:tab w:val="right" w:pos="9026" w:leader="dot"/>
            </w:tabs>
            <w:rPr/>
          </w:pPr>
          <w:hyperlink w:anchor="__RefHeading___Toc487621_3406789950">
            <w:r>
              <w:rPr>
                <w:webHidden/>
                <w:rStyle w:val="IndexLink"/>
                <w:rtl w:val="true"/>
              </w:rPr>
              <w:t>فصل</w:t>
            </w:r>
            <w:r>
              <w:rPr>
                <w:rStyle w:val="IndexLink"/>
                <w:rtl w:val="true"/>
              </w:rPr>
              <w:tab/>
            </w:r>
            <w:r>
              <w:rPr>
                <w:rStyle w:val="IndexLink"/>
              </w:rPr>
              <w:t>58</w:t>
            </w:r>
          </w:hyperlink>
        </w:p>
        <w:p>
          <w:pPr>
            <w:pStyle w:val="Contents4"/>
            <w:tabs>
              <w:tab w:val="clear" w:pos="8176"/>
              <w:tab w:val="right" w:pos="9026" w:leader="dot"/>
            </w:tabs>
            <w:rPr/>
          </w:pPr>
          <w:hyperlink w:anchor="__RefHeading___Toc487623_3406789950">
            <w:r>
              <w:rPr>
                <w:webHidden/>
                <w:rStyle w:val="IndexLink"/>
                <w:rtl w:val="true"/>
              </w:rPr>
              <w:t xml:space="preserve">القول </w:t>
            </w:r>
            <w:r>
              <w:rPr>
                <w:rStyle w:val="IndexLink"/>
                <w:rtl w:val="true"/>
              </w:rPr>
              <w:t xml:space="preserve">: </w:t>
            </w:r>
            <w:r>
              <w:rPr>
                <w:rStyle w:val="IndexLink"/>
                <w:rtl w:val="true"/>
              </w:rPr>
              <w:t>في واجبات الغسل</w:t>
            </w:r>
            <w:r>
              <w:rPr>
                <w:rStyle w:val="IndexLink"/>
                <w:rtl w:val="true"/>
              </w:rPr>
              <w:tab/>
            </w:r>
            <w:r>
              <w:rPr>
                <w:rStyle w:val="IndexLink"/>
              </w:rPr>
              <w:t>59</w:t>
            </w:r>
          </w:hyperlink>
        </w:p>
        <w:p>
          <w:pPr>
            <w:pStyle w:val="Contents3"/>
            <w:tabs>
              <w:tab w:val="clear" w:pos="8459"/>
              <w:tab w:val="right" w:pos="9026" w:leader="dot"/>
            </w:tabs>
            <w:rPr/>
          </w:pPr>
          <w:hyperlink w:anchor="__RefHeading___Toc487625_3406789950">
            <w:r>
              <w:rPr>
                <w:webHidden/>
                <w:rStyle w:val="IndexLink"/>
                <w:rtl w:val="true"/>
              </w:rPr>
              <w:t xml:space="preserve">فصل </w:t>
            </w:r>
            <w:r>
              <w:rPr>
                <w:rStyle w:val="IndexLink"/>
                <w:rtl w:val="true"/>
              </w:rPr>
              <w:t xml:space="preserve">: </w:t>
            </w:r>
            <w:r>
              <w:rPr>
                <w:rStyle w:val="IndexLink"/>
                <w:rtl w:val="true"/>
              </w:rPr>
              <w:t>في غسل الحيض</w:t>
            </w:r>
            <w:r>
              <w:rPr>
                <w:rStyle w:val="IndexLink"/>
                <w:rtl w:val="true"/>
              </w:rPr>
              <w:tab/>
            </w:r>
            <w:r>
              <w:rPr>
                <w:rStyle w:val="IndexLink"/>
              </w:rPr>
              <w:t>65</w:t>
            </w:r>
          </w:hyperlink>
        </w:p>
        <w:p>
          <w:pPr>
            <w:pStyle w:val="Contents4"/>
            <w:tabs>
              <w:tab w:val="clear" w:pos="8176"/>
              <w:tab w:val="right" w:pos="9026" w:leader="dot"/>
            </w:tabs>
            <w:rPr/>
          </w:pPr>
          <w:hyperlink w:anchor="__RefHeading___Toc487627_340678995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487629_3406789950">
            <w:r>
              <w:rPr>
                <w:webHidden/>
                <w:rStyle w:val="IndexLink"/>
                <w:rtl w:val="true"/>
              </w:rPr>
              <w:t xml:space="preserve">القول </w:t>
            </w:r>
            <w:r>
              <w:rPr>
                <w:rStyle w:val="IndexLink"/>
                <w:rtl w:val="true"/>
              </w:rPr>
              <w:t xml:space="preserve">: </w:t>
            </w:r>
            <w:r>
              <w:rPr>
                <w:rStyle w:val="IndexLink"/>
                <w:rtl w:val="true"/>
              </w:rPr>
              <w:t>في أحكام الحيض</w:t>
            </w:r>
            <w:r>
              <w:rPr>
                <w:rStyle w:val="IndexLink"/>
                <w:rtl w:val="true"/>
              </w:rPr>
              <w:tab/>
            </w:r>
            <w:r>
              <w:rPr>
                <w:rStyle w:val="IndexLink"/>
              </w:rPr>
              <w:t>74</w:t>
            </w:r>
          </w:hyperlink>
        </w:p>
        <w:p>
          <w:pPr>
            <w:pStyle w:val="Contents3"/>
            <w:tabs>
              <w:tab w:val="clear" w:pos="8459"/>
              <w:tab w:val="right" w:pos="9026" w:leader="dot"/>
            </w:tabs>
            <w:rPr/>
          </w:pPr>
          <w:hyperlink w:anchor="__RefHeading___Toc487631_3406789950">
            <w:r>
              <w:rPr>
                <w:webHidden/>
                <w:rStyle w:val="IndexLink"/>
                <w:rtl w:val="true"/>
              </w:rPr>
              <w:t xml:space="preserve">فصل </w:t>
            </w:r>
            <w:r>
              <w:rPr>
                <w:rStyle w:val="IndexLink"/>
                <w:rtl w:val="true"/>
              </w:rPr>
              <w:t xml:space="preserve">: </w:t>
            </w:r>
            <w:r>
              <w:rPr>
                <w:rStyle w:val="IndexLink"/>
                <w:rtl w:val="true"/>
              </w:rPr>
              <w:t>في الاستحاضة</w:t>
            </w:r>
            <w:r>
              <w:rPr>
                <w:rStyle w:val="IndexLink"/>
                <w:rtl w:val="true"/>
              </w:rPr>
              <w:tab/>
            </w:r>
            <w:r>
              <w:rPr>
                <w:rStyle w:val="IndexLink"/>
              </w:rPr>
              <w:t>79</w:t>
            </w:r>
          </w:hyperlink>
        </w:p>
        <w:p>
          <w:pPr>
            <w:pStyle w:val="Contents4"/>
            <w:tabs>
              <w:tab w:val="clear" w:pos="8176"/>
              <w:tab w:val="right" w:pos="9026" w:leader="dot"/>
            </w:tabs>
            <w:rPr/>
          </w:pPr>
          <w:hyperlink w:anchor="__RefHeading___Toc487633_3406789950">
            <w:r>
              <w:rPr>
                <w:webHidden/>
                <w:rStyle w:val="IndexLink"/>
                <w:rtl w:val="true"/>
              </w:rPr>
              <w:t xml:space="preserve">الكلام </w:t>
            </w:r>
            <w:r>
              <w:rPr>
                <w:rStyle w:val="IndexLink"/>
                <w:rtl w:val="true"/>
              </w:rPr>
              <w:t xml:space="preserve">: </w:t>
            </w:r>
            <w:r>
              <w:rPr>
                <w:rStyle w:val="IndexLink"/>
                <w:rtl w:val="true"/>
              </w:rPr>
              <w:t>في دم الاستحاضة وأحكامها</w:t>
            </w:r>
            <w:r>
              <w:rPr>
                <w:rStyle w:val="IndexLink"/>
                <w:rtl w:val="true"/>
              </w:rPr>
              <w:tab/>
            </w:r>
            <w:r>
              <w:rPr>
                <w:rStyle w:val="IndexLink"/>
              </w:rPr>
              <w:t>79</w:t>
            </w:r>
          </w:hyperlink>
        </w:p>
        <w:p>
          <w:pPr>
            <w:pStyle w:val="Contents3"/>
            <w:tabs>
              <w:tab w:val="clear" w:pos="8459"/>
              <w:tab w:val="right" w:pos="9026" w:leader="dot"/>
            </w:tabs>
            <w:rPr/>
          </w:pPr>
          <w:hyperlink w:anchor="__RefHeading___Toc487635_3406789950">
            <w:r>
              <w:rPr>
                <w:webHidden/>
                <w:rStyle w:val="IndexLink"/>
                <w:rtl w:val="true"/>
              </w:rPr>
              <w:t xml:space="preserve">فصل </w:t>
            </w:r>
            <w:r>
              <w:rPr>
                <w:rStyle w:val="IndexLink"/>
                <w:rtl w:val="true"/>
              </w:rPr>
              <w:t xml:space="preserve">: </w:t>
            </w:r>
            <w:r>
              <w:rPr>
                <w:rStyle w:val="IndexLink"/>
                <w:rtl w:val="true"/>
              </w:rPr>
              <w:t>في النفاس</w:t>
            </w:r>
            <w:r>
              <w:rPr>
                <w:rStyle w:val="IndexLink"/>
                <w:rtl w:val="true"/>
              </w:rPr>
              <w:tab/>
            </w:r>
            <w:r>
              <w:rPr>
                <w:rStyle w:val="IndexLink"/>
              </w:rPr>
              <w:t>85</w:t>
            </w:r>
          </w:hyperlink>
        </w:p>
        <w:p>
          <w:pPr>
            <w:pStyle w:val="Contents3"/>
            <w:tabs>
              <w:tab w:val="clear" w:pos="8459"/>
              <w:tab w:val="right" w:pos="9026" w:leader="dot"/>
            </w:tabs>
            <w:rPr/>
          </w:pPr>
          <w:hyperlink w:anchor="__RefHeading___Toc487637_3406789950">
            <w:r>
              <w:rPr>
                <w:webHidden/>
                <w:rStyle w:val="IndexLink"/>
                <w:rtl w:val="true"/>
              </w:rPr>
              <w:t xml:space="preserve">فصل </w:t>
            </w:r>
            <w:r>
              <w:rPr>
                <w:rStyle w:val="IndexLink"/>
                <w:rtl w:val="true"/>
              </w:rPr>
              <w:t xml:space="preserve">: </w:t>
            </w:r>
            <w:r>
              <w:rPr>
                <w:rStyle w:val="IndexLink"/>
                <w:rtl w:val="true"/>
              </w:rPr>
              <w:t>في غسل مسّ الميّت</w:t>
            </w:r>
            <w:r>
              <w:rPr>
                <w:rStyle w:val="IndexLink"/>
                <w:rtl w:val="true"/>
              </w:rPr>
              <w:tab/>
            </w:r>
            <w:r>
              <w:rPr>
                <w:rStyle w:val="IndexLink"/>
              </w:rPr>
              <w:t>87</w:t>
            </w:r>
          </w:hyperlink>
        </w:p>
        <w:p>
          <w:pPr>
            <w:pStyle w:val="Contents3"/>
            <w:tabs>
              <w:tab w:val="clear" w:pos="8459"/>
              <w:tab w:val="right" w:pos="9026" w:leader="dot"/>
            </w:tabs>
            <w:rPr/>
          </w:pPr>
          <w:hyperlink w:anchor="__RefHeading___Toc487639_3406789950">
            <w:r>
              <w:rPr>
                <w:webHidden/>
                <w:rStyle w:val="IndexLink"/>
                <w:rtl w:val="true"/>
              </w:rPr>
              <w:t xml:space="preserve">فصل </w:t>
            </w:r>
            <w:r>
              <w:rPr>
                <w:rStyle w:val="IndexLink"/>
                <w:rtl w:val="true"/>
              </w:rPr>
              <w:t xml:space="preserve">: </w:t>
            </w:r>
            <w:r>
              <w:rPr>
                <w:rStyle w:val="IndexLink"/>
                <w:rtl w:val="true"/>
              </w:rPr>
              <w:t>في أحكام الأموات</w:t>
            </w:r>
            <w:r>
              <w:rPr>
                <w:rStyle w:val="IndexLink"/>
                <w:rtl w:val="true"/>
              </w:rPr>
              <w:tab/>
            </w:r>
            <w:r>
              <w:rPr>
                <w:rStyle w:val="IndexLink"/>
              </w:rPr>
              <w:t>89</w:t>
            </w:r>
          </w:hyperlink>
        </w:p>
        <w:p>
          <w:pPr>
            <w:pStyle w:val="Contents4"/>
            <w:tabs>
              <w:tab w:val="clear" w:pos="8176"/>
              <w:tab w:val="right" w:pos="9026" w:leader="dot"/>
            </w:tabs>
            <w:rPr/>
          </w:pPr>
          <w:hyperlink w:anchor="__RefHeading___Toc487641_340678995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87643_3406789950">
            <w:r>
              <w:rPr>
                <w:webHidden/>
                <w:rStyle w:val="IndexLink"/>
                <w:rtl w:val="true"/>
              </w:rPr>
              <w:t xml:space="preserve">القول </w:t>
            </w:r>
            <w:r>
              <w:rPr>
                <w:rStyle w:val="IndexLink"/>
                <w:rtl w:val="true"/>
              </w:rPr>
              <w:t xml:space="preserve">: </w:t>
            </w:r>
            <w:r>
              <w:rPr>
                <w:rStyle w:val="IndexLink"/>
                <w:rtl w:val="true"/>
              </w:rPr>
              <w:t>فيما يتعلّق بحال الاحتضار</w:t>
            </w:r>
            <w:r>
              <w:rPr>
                <w:rStyle w:val="IndexLink"/>
                <w:rtl w:val="true"/>
              </w:rPr>
              <w:tab/>
            </w:r>
            <w:r>
              <w:rPr>
                <w:rStyle w:val="IndexLink"/>
              </w:rPr>
              <w:t>89</w:t>
            </w:r>
          </w:hyperlink>
        </w:p>
        <w:p>
          <w:pPr>
            <w:pStyle w:val="Contents4"/>
            <w:tabs>
              <w:tab w:val="clear" w:pos="8176"/>
              <w:tab w:val="right" w:pos="9026" w:leader="dot"/>
            </w:tabs>
            <w:rPr/>
          </w:pPr>
          <w:hyperlink w:anchor="__RefHeading___Toc487645_3406789950">
            <w:r>
              <w:rPr>
                <w:webHidden/>
                <w:rStyle w:val="IndexLink"/>
                <w:rtl w:val="true"/>
              </w:rPr>
              <w:t xml:space="preserve">القول </w:t>
            </w:r>
            <w:r>
              <w:rPr>
                <w:rStyle w:val="IndexLink"/>
                <w:rtl w:val="true"/>
              </w:rPr>
              <w:t xml:space="preserve">: </w:t>
            </w:r>
            <w:r>
              <w:rPr>
                <w:rStyle w:val="IndexLink"/>
                <w:rtl w:val="true"/>
              </w:rPr>
              <w:t>في غسل الميّت</w:t>
            </w:r>
            <w:r>
              <w:rPr>
                <w:rStyle w:val="IndexLink"/>
                <w:rtl w:val="true"/>
              </w:rPr>
              <w:tab/>
            </w:r>
            <w:r>
              <w:rPr>
                <w:rStyle w:val="IndexLink"/>
              </w:rPr>
              <w:t>90</w:t>
            </w:r>
          </w:hyperlink>
        </w:p>
        <w:p>
          <w:pPr>
            <w:pStyle w:val="Contents4"/>
            <w:tabs>
              <w:tab w:val="clear" w:pos="8176"/>
              <w:tab w:val="right" w:pos="9026" w:leader="dot"/>
            </w:tabs>
            <w:rPr/>
          </w:pPr>
          <w:hyperlink w:anchor="__RefHeading___Toc487647_3406789950">
            <w:r>
              <w:rPr>
                <w:webHidden/>
                <w:rStyle w:val="IndexLink"/>
                <w:rtl w:val="true"/>
              </w:rPr>
              <w:t xml:space="preserve">القول </w:t>
            </w:r>
            <w:r>
              <w:rPr>
                <w:rStyle w:val="IndexLink"/>
                <w:rtl w:val="true"/>
              </w:rPr>
              <w:t xml:space="preserve">: </w:t>
            </w:r>
            <w:r>
              <w:rPr>
                <w:rStyle w:val="IndexLink"/>
                <w:rtl w:val="true"/>
              </w:rPr>
              <w:t>في كيفية غُسل الميّت</w:t>
            </w:r>
            <w:r>
              <w:rPr>
                <w:rStyle w:val="IndexLink"/>
                <w:rtl w:val="true"/>
              </w:rPr>
              <w:tab/>
            </w:r>
            <w:r>
              <w:rPr>
                <w:rStyle w:val="IndexLink"/>
              </w:rPr>
              <w:t>95</w:t>
            </w:r>
          </w:hyperlink>
        </w:p>
        <w:p>
          <w:pPr>
            <w:pStyle w:val="Contents4"/>
            <w:tabs>
              <w:tab w:val="clear" w:pos="8176"/>
              <w:tab w:val="right" w:pos="9026" w:leader="dot"/>
            </w:tabs>
            <w:rPr/>
          </w:pPr>
          <w:hyperlink w:anchor="__RefHeading___Toc487649_3406789950">
            <w:r>
              <w:rPr>
                <w:webHidden/>
                <w:rStyle w:val="IndexLink"/>
                <w:rtl w:val="true"/>
              </w:rPr>
              <w:t xml:space="preserve">القول </w:t>
            </w:r>
            <w:r>
              <w:rPr>
                <w:rStyle w:val="IndexLink"/>
                <w:rtl w:val="true"/>
              </w:rPr>
              <w:t xml:space="preserve">: </w:t>
            </w:r>
            <w:r>
              <w:rPr>
                <w:rStyle w:val="IndexLink"/>
                <w:rtl w:val="true"/>
              </w:rPr>
              <w:t>في آداب الغُسل</w:t>
            </w:r>
            <w:r>
              <w:rPr>
                <w:rStyle w:val="IndexLink"/>
                <w:rtl w:val="true"/>
              </w:rPr>
              <w:tab/>
            </w:r>
            <w:r>
              <w:rPr>
                <w:rStyle w:val="IndexLink"/>
              </w:rPr>
              <w:t>98</w:t>
            </w:r>
          </w:hyperlink>
        </w:p>
        <w:p>
          <w:pPr>
            <w:pStyle w:val="Contents4"/>
            <w:tabs>
              <w:tab w:val="clear" w:pos="8176"/>
              <w:tab w:val="right" w:pos="9026" w:leader="dot"/>
            </w:tabs>
            <w:rPr/>
          </w:pPr>
          <w:hyperlink w:anchor="__RefHeading___Toc487651_3406789950">
            <w:r>
              <w:rPr>
                <w:webHidden/>
                <w:rStyle w:val="IndexLink"/>
                <w:rtl w:val="true"/>
              </w:rPr>
              <w:t xml:space="preserve">القول </w:t>
            </w:r>
            <w:r>
              <w:rPr>
                <w:rStyle w:val="IndexLink"/>
                <w:rtl w:val="true"/>
              </w:rPr>
              <w:t xml:space="preserve">: </w:t>
            </w:r>
            <w:r>
              <w:rPr>
                <w:rStyle w:val="IndexLink"/>
                <w:rtl w:val="true"/>
              </w:rPr>
              <w:t>في تكفين الميّت</w:t>
            </w:r>
            <w:r>
              <w:rPr>
                <w:rStyle w:val="IndexLink"/>
                <w:rtl w:val="true"/>
              </w:rPr>
              <w:tab/>
            </w:r>
            <w:r>
              <w:rPr>
                <w:rStyle w:val="IndexLink"/>
              </w:rPr>
              <w:t>99</w:t>
            </w:r>
          </w:hyperlink>
        </w:p>
        <w:p>
          <w:pPr>
            <w:pStyle w:val="Contents4"/>
            <w:tabs>
              <w:tab w:val="clear" w:pos="8176"/>
              <w:tab w:val="right" w:pos="9026" w:leader="dot"/>
            </w:tabs>
            <w:rPr/>
          </w:pPr>
          <w:hyperlink w:anchor="__RefHeading___Toc487653_3406789950">
            <w:r>
              <w:rPr>
                <w:webHidden/>
                <w:rStyle w:val="IndexLink"/>
                <w:rtl w:val="true"/>
              </w:rPr>
              <w:t xml:space="preserve">القول </w:t>
            </w:r>
            <w:r>
              <w:rPr>
                <w:rStyle w:val="IndexLink"/>
                <w:rtl w:val="true"/>
              </w:rPr>
              <w:t xml:space="preserve">: </w:t>
            </w:r>
            <w:r>
              <w:rPr>
                <w:rStyle w:val="IndexLink"/>
                <w:rtl w:val="true"/>
              </w:rPr>
              <w:t>في مستحبّات الكفن وآداب التكفين</w:t>
            </w:r>
            <w:r>
              <w:rPr>
                <w:rStyle w:val="IndexLink"/>
                <w:rtl w:val="true"/>
              </w:rPr>
              <w:tab/>
            </w:r>
            <w:r>
              <w:rPr>
                <w:rStyle w:val="IndexLink"/>
              </w:rPr>
              <w:t>102</w:t>
            </w:r>
          </w:hyperlink>
        </w:p>
        <w:p>
          <w:pPr>
            <w:pStyle w:val="Contents4"/>
            <w:tabs>
              <w:tab w:val="clear" w:pos="8176"/>
              <w:tab w:val="right" w:pos="9026" w:leader="dot"/>
            </w:tabs>
            <w:rPr/>
          </w:pPr>
          <w:hyperlink w:anchor="__RefHeading___Toc487655_3406789950">
            <w:r>
              <w:rPr>
                <w:webHidden/>
                <w:rStyle w:val="IndexLink"/>
                <w:rtl w:val="true"/>
              </w:rPr>
              <w:t xml:space="preserve">القول </w:t>
            </w:r>
            <w:r>
              <w:rPr>
                <w:rStyle w:val="IndexLink"/>
                <w:rtl w:val="true"/>
              </w:rPr>
              <w:t xml:space="preserve">: </w:t>
            </w:r>
            <w:r>
              <w:rPr>
                <w:rStyle w:val="IndexLink"/>
                <w:rtl w:val="true"/>
              </w:rPr>
              <w:t>في الحنوط</w:t>
            </w:r>
            <w:r>
              <w:rPr>
                <w:rStyle w:val="IndexLink"/>
                <w:rtl w:val="true"/>
              </w:rPr>
              <w:tab/>
            </w:r>
            <w:r>
              <w:rPr>
                <w:rStyle w:val="IndexLink"/>
              </w:rPr>
              <w:t>103</w:t>
            </w:r>
          </w:hyperlink>
        </w:p>
        <w:p>
          <w:pPr>
            <w:pStyle w:val="Contents4"/>
            <w:tabs>
              <w:tab w:val="clear" w:pos="8176"/>
              <w:tab w:val="right" w:pos="9026" w:leader="dot"/>
            </w:tabs>
            <w:rPr/>
          </w:pPr>
          <w:hyperlink w:anchor="__RefHeading___Toc487657_3406789950">
            <w:r>
              <w:rPr>
                <w:webHidden/>
                <w:rStyle w:val="IndexLink"/>
                <w:rtl w:val="true"/>
              </w:rPr>
              <w:t xml:space="preserve">القول </w:t>
            </w:r>
            <w:r>
              <w:rPr>
                <w:rStyle w:val="IndexLink"/>
                <w:rtl w:val="true"/>
              </w:rPr>
              <w:t xml:space="preserve">: </w:t>
            </w:r>
            <w:r>
              <w:rPr>
                <w:rStyle w:val="IndexLink"/>
                <w:rtl w:val="true"/>
              </w:rPr>
              <w:t>في الجريدتين</w:t>
            </w:r>
            <w:r>
              <w:rPr>
                <w:rStyle w:val="IndexLink"/>
                <w:rtl w:val="true"/>
              </w:rPr>
              <w:tab/>
            </w:r>
            <w:r>
              <w:rPr>
                <w:rStyle w:val="IndexLink"/>
              </w:rPr>
              <w:t>104</w:t>
            </w:r>
          </w:hyperlink>
        </w:p>
        <w:p>
          <w:pPr>
            <w:pStyle w:val="Contents4"/>
            <w:tabs>
              <w:tab w:val="clear" w:pos="8176"/>
              <w:tab w:val="right" w:pos="9026" w:leader="dot"/>
            </w:tabs>
            <w:rPr/>
          </w:pPr>
          <w:hyperlink w:anchor="__RefHeading___Toc487659_3406789950">
            <w:r>
              <w:rPr>
                <w:webHidden/>
                <w:rStyle w:val="IndexLink"/>
                <w:rtl w:val="true"/>
              </w:rPr>
              <w:t xml:space="preserve">القول </w:t>
            </w:r>
            <w:r>
              <w:rPr>
                <w:rStyle w:val="IndexLink"/>
                <w:rtl w:val="true"/>
              </w:rPr>
              <w:t xml:space="preserve">: </w:t>
            </w:r>
            <w:r>
              <w:rPr>
                <w:rStyle w:val="IndexLink"/>
                <w:rtl w:val="true"/>
              </w:rPr>
              <w:t>في تشييع الجنازة</w:t>
            </w:r>
            <w:r>
              <w:rPr>
                <w:rStyle w:val="IndexLink"/>
                <w:rtl w:val="true"/>
              </w:rPr>
              <w:tab/>
            </w:r>
            <w:r>
              <w:rPr>
                <w:rStyle w:val="IndexLink"/>
              </w:rPr>
              <w:t>105</w:t>
            </w:r>
          </w:hyperlink>
        </w:p>
        <w:p>
          <w:pPr>
            <w:pStyle w:val="Contents4"/>
            <w:tabs>
              <w:tab w:val="clear" w:pos="8176"/>
              <w:tab w:val="right" w:pos="9026" w:leader="dot"/>
            </w:tabs>
            <w:rPr/>
          </w:pPr>
          <w:hyperlink w:anchor="__RefHeading___Toc487661_3406789950">
            <w:r>
              <w:rPr>
                <w:webHidden/>
                <w:rStyle w:val="IndexLink"/>
                <w:rtl w:val="true"/>
              </w:rPr>
              <w:t xml:space="preserve">القول </w:t>
            </w:r>
            <w:r>
              <w:rPr>
                <w:rStyle w:val="IndexLink"/>
                <w:rtl w:val="true"/>
              </w:rPr>
              <w:t xml:space="preserve">: </w:t>
            </w:r>
            <w:r>
              <w:rPr>
                <w:rStyle w:val="IndexLink"/>
                <w:rtl w:val="true"/>
              </w:rPr>
              <w:t>في الصلاة على الميّت</w:t>
            </w:r>
            <w:r>
              <w:rPr>
                <w:rStyle w:val="IndexLink"/>
                <w:rtl w:val="true"/>
              </w:rPr>
              <w:tab/>
            </w:r>
            <w:r>
              <w:rPr>
                <w:rStyle w:val="IndexLink"/>
              </w:rPr>
              <w:t>106</w:t>
            </w:r>
          </w:hyperlink>
        </w:p>
        <w:p>
          <w:pPr>
            <w:pStyle w:val="Contents4"/>
            <w:tabs>
              <w:tab w:val="clear" w:pos="8176"/>
              <w:tab w:val="right" w:pos="9026" w:leader="dot"/>
            </w:tabs>
            <w:rPr/>
          </w:pPr>
          <w:hyperlink w:anchor="__RefHeading___Toc487663_3406789950">
            <w:r>
              <w:rPr>
                <w:webHidden/>
                <w:rStyle w:val="IndexLink"/>
                <w:rtl w:val="true"/>
              </w:rPr>
              <w:t xml:space="preserve">القول </w:t>
            </w:r>
            <w:r>
              <w:rPr>
                <w:rStyle w:val="IndexLink"/>
                <w:rtl w:val="true"/>
              </w:rPr>
              <w:t xml:space="preserve">: </w:t>
            </w:r>
            <w:r>
              <w:rPr>
                <w:rStyle w:val="IndexLink"/>
                <w:rtl w:val="true"/>
              </w:rPr>
              <w:t>في كيفية صلاة الميّت</w:t>
            </w:r>
            <w:r>
              <w:rPr>
                <w:rStyle w:val="IndexLink"/>
                <w:rtl w:val="true"/>
              </w:rPr>
              <w:tab/>
            </w:r>
            <w:r>
              <w:rPr>
                <w:rStyle w:val="IndexLink"/>
              </w:rPr>
              <w:t>108</w:t>
            </w:r>
          </w:hyperlink>
        </w:p>
        <w:p>
          <w:pPr>
            <w:pStyle w:val="Contents4"/>
            <w:tabs>
              <w:tab w:val="clear" w:pos="8176"/>
              <w:tab w:val="right" w:pos="9026" w:leader="dot"/>
            </w:tabs>
            <w:rPr/>
          </w:pPr>
          <w:hyperlink w:anchor="__RefHeading___Toc487665_3406789950">
            <w:r>
              <w:rPr>
                <w:webHidden/>
                <w:rStyle w:val="IndexLink"/>
                <w:rtl w:val="true"/>
              </w:rPr>
              <w:t xml:space="preserve">القول </w:t>
            </w:r>
            <w:r>
              <w:rPr>
                <w:rStyle w:val="IndexLink"/>
                <w:rtl w:val="true"/>
              </w:rPr>
              <w:t xml:space="preserve">: </w:t>
            </w:r>
            <w:r>
              <w:rPr>
                <w:rStyle w:val="IndexLink"/>
                <w:rtl w:val="true"/>
              </w:rPr>
              <w:t>في شرائط صلاة الميّت</w:t>
            </w:r>
            <w:r>
              <w:rPr>
                <w:rStyle w:val="IndexLink"/>
                <w:rtl w:val="true"/>
              </w:rPr>
              <w:tab/>
            </w:r>
            <w:r>
              <w:rPr>
                <w:rStyle w:val="IndexLink"/>
              </w:rPr>
              <w:t>110</w:t>
            </w:r>
          </w:hyperlink>
        </w:p>
        <w:p>
          <w:pPr>
            <w:pStyle w:val="Contents4"/>
            <w:tabs>
              <w:tab w:val="clear" w:pos="8176"/>
              <w:tab w:val="right" w:pos="9026" w:leader="dot"/>
            </w:tabs>
            <w:rPr/>
          </w:pPr>
          <w:hyperlink w:anchor="__RefHeading___Toc487667_3406789950">
            <w:r>
              <w:rPr>
                <w:webHidden/>
                <w:rStyle w:val="IndexLink"/>
                <w:rtl w:val="true"/>
              </w:rPr>
              <w:t xml:space="preserve">القول </w:t>
            </w:r>
            <w:r>
              <w:rPr>
                <w:rStyle w:val="IndexLink"/>
                <w:rtl w:val="true"/>
              </w:rPr>
              <w:t xml:space="preserve">: </w:t>
            </w:r>
            <w:r>
              <w:rPr>
                <w:rStyle w:val="IndexLink"/>
                <w:rtl w:val="true"/>
              </w:rPr>
              <w:t>في آداب الصلاة على الميّت</w:t>
            </w:r>
            <w:r>
              <w:rPr>
                <w:rStyle w:val="IndexLink"/>
                <w:rtl w:val="true"/>
              </w:rPr>
              <w:tab/>
            </w:r>
            <w:r>
              <w:rPr>
                <w:rStyle w:val="IndexLink"/>
              </w:rPr>
              <w:t>114</w:t>
            </w:r>
          </w:hyperlink>
        </w:p>
        <w:p>
          <w:pPr>
            <w:pStyle w:val="Contents4"/>
            <w:tabs>
              <w:tab w:val="clear" w:pos="8176"/>
              <w:tab w:val="right" w:pos="9026" w:leader="dot"/>
            </w:tabs>
            <w:rPr/>
          </w:pPr>
          <w:hyperlink w:anchor="__RefHeading___Toc487669_3406789950">
            <w:r>
              <w:rPr>
                <w:webHidden/>
                <w:rStyle w:val="IndexLink"/>
                <w:rtl w:val="true"/>
              </w:rPr>
              <w:t xml:space="preserve">القول </w:t>
            </w:r>
            <w:r>
              <w:rPr>
                <w:rStyle w:val="IndexLink"/>
                <w:rtl w:val="true"/>
              </w:rPr>
              <w:t xml:space="preserve">: </w:t>
            </w:r>
            <w:r>
              <w:rPr>
                <w:rStyle w:val="IndexLink"/>
                <w:rtl w:val="true"/>
              </w:rPr>
              <w:t>في الدفن</w:t>
            </w:r>
            <w:r>
              <w:rPr>
                <w:rStyle w:val="IndexLink"/>
                <w:rtl w:val="true"/>
              </w:rPr>
              <w:tab/>
            </w:r>
            <w:r>
              <w:rPr>
                <w:rStyle w:val="IndexLink"/>
              </w:rPr>
              <w:t>115</w:t>
            </w:r>
          </w:hyperlink>
        </w:p>
        <w:p>
          <w:pPr>
            <w:pStyle w:val="Contents4"/>
            <w:tabs>
              <w:tab w:val="clear" w:pos="8176"/>
              <w:tab w:val="right" w:pos="9026" w:leader="dot"/>
            </w:tabs>
            <w:rPr/>
          </w:pPr>
          <w:hyperlink w:anchor="__RefHeading___Toc487671_3406789950">
            <w:r>
              <w:rPr>
                <w:webHidden/>
                <w:rStyle w:val="IndexLink"/>
                <w:rtl w:val="true"/>
              </w:rPr>
              <w:t xml:space="preserve">القول </w:t>
            </w:r>
            <w:r>
              <w:rPr>
                <w:rStyle w:val="IndexLink"/>
                <w:rtl w:val="true"/>
              </w:rPr>
              <w:t xml:space="preserve">: </w:t>
            </w:r>
            <w:r>
              <w:rPr>
                <w:rStyle w:val="IndexLink"/>
                <w:rtl w:val="true"/>
              </w:rPr>
              <w:t>في مستحبّات الدفن ومكروهاته</w:t>
            </w:r>
            <w:r>
              <w:rPr>
                <w:rStyle w:val="IndexLink"/>
                <w:rtl w:val="true"/>
              </w:rPr>
              <w:tab/>
            </w:r>
            <w:r>
              <w:rPr>
                <w:rStyle w:val="IndexLink"/>
              </w:rPr>
              <w:t>118</w:t>
            </w:r>
          </w:hyperlink>
        </w:p>
        <w:p>
          <w:pPr>
            <w:pStyle w:val="Contents5"/>
            <w:tabs>
              <w:tab w:val="clear" w:pos="7892"/>
              <w:tab w:val="right" w:pos="9026" w:leader="dot"/>
            </w:tabs>
            <w:rPr/>
          </w:pPr>
          <w:hyperlink w:anchor="__RefHeading___Toc487673_3406789950">
            <w:r>
              <w:rPr>
                <w:webHidden/>
                <w:rStyle w:val="IndexLink"/>
                <w:rtl w:val="true"/>
              </w:rPr>
              <w:t xml:space="preserve">أمّا المستحبّات فهي اُمور </w:t>
            </w:r>
            <w:r>
              <w:rPr>
                <w:rStyle w:val="IndexLink"/>
                <w:rtl w:val="true"/>
              </w:rPr>
              <w:t>:</w:t>
              <w:tab/>
            </w:r>
            <w:r>
              <w:rPr>
                <w:rStyle w:val="IndexLink"/>
              </w:rPr>
              <w:t>118</w:t>
            </w:r>
          </w:hyperlink>
        </w:p>
        <w:p>
          <w:pPr>
            <w:pStyle w:val="Contents5"/>
            <w:tabs>
              <w:tab w:val="clear" w:pos="7892"/>
              <w:tab w:val="right" w:pos="9026" w:leader="dot"/>
            </w:tabs>
            <w:rPr/>
          </w:pPr>
          <w:hyperlink w:anchor="__RefHeading___Toc487675_3406789950">
            <w:r>
              <w:rPr>
                <w:webHidden/>
                <w:rStyle w:val="IndexLink"/>
                <w:rtl w:val="true"/>
              </w:rPr>
              <w:t xml:space="preserve">وأمّا المكروهات فهي أيضاً اُمور </w:t>
            </w:r>
            <w:r>
              <w:rPr>
                <w:rStyle w:val="IndexLink"/>
                <w:rtl w:val="true"/>
              </w:rPr>
              <w:t>:</w:t>
              <w:tab/>
            </w:r>
            <w:r>
              <w:rPr>
                <w:rStyle w:val="IndexLink"/>
              </w:rPr>
              <w:t>120</w:t>
            </w:r>
          </w:hyperlink>
        </w:p>
        <w:p>
          <w:pPr>
            <w:pStyle w:val="Contents4"/>
            <w:tabs>
              <w:tab w:val="clear" w:pos="8176"/>
              <w:tab w:val="right" w:pos="9026" w:leader="dot"/>
            </w:tabs>
            <w:rPr/>
          </w:pPr>
          <w:hyperlink w:anchor="__RefHeading___Toc487677_3406789950">
            <w:r>
              <w:rPr>
                <w:webHidden/>
                <w:rStyle w:val="IndexLink"/>
                <w:rtl w:val="true"/>
              </w:rPr>
              <w:t xml:space="preserve">خاتمة تشتمل على مسائل </w:t>
            </w:r>
            <w:r>
              <w:rPr>
                <w:rStyle w:val="IndexLink"/>
                <w:rtl w:val="true"/>
              </w:rPr>
              <w:t>:</w:t>
              <w:tab/>
            </w:r>
            <w:r>
              <w:rPr>
                <w:rStyle w:val="IndexLink"/>
              </w:rPr>
              <w:t>121</w:t>
            </w:r>
          </w:hyperlink>
        </w:p>
        <w:p>
          <w:pPr>
            <w:pStyle w:val="Contents4"/>
            <w:tabs>
              <w:tab w:val="clear" w:pos="8176"/>
              <w:tab w:val="right" w:pos="9026" w:leader="dot"/>
            </w:tabs>
            <w:rPr/>
          </w:pPr>
          <w:hyperlink w:anchor="__RefHeading___Toc487679_3406789950">
            <w:r>
              <w:rPr>
                <w:webHidden/>
                <w:rStyle w:val="IndexLink"/>
                <w:rtl w:val="true"/>
              </w:rPr>
              <w:t xml:space="preserve">ختامٌ فيه أمران </w:t>
            </w:r>
            <w:r>
              <w:rPr>
                <w:rStyle w:val="IndexLink"/>
                <w:rtl w:val="true"/>
              </w:rPr>
              <w:t>:</w:t>
              <w:tab/>
            </w:r>
            <w:r>
              <w:rPr>
                <w:rStyle w:val="IndexLink"/>
              </w:rPr>
              <w:t>125</w:t>
            </w:r>
          </w:hyperlink>
        </w:p>
        <w:p>
          <w:pPr>
            <w:pStyle w:val="Contents4"/>
            <w:tabs>
              <w:tab w:val="clear" w:pos="8176"/>
              <w:tab w:val="right" w:pos="9026" w:leader="dot"/>
            </w:tabs>
            <w:rPr/>
          </w:pPr>
          <w:hyperlink w:anchor="__RefHeading___Toc487681_3406789950">
            <w:r>
              <w:rPr>
                <w:webHidden/>
                <w:rStyle w:val="IndexLink"/>
                <w:rtl w:val="true"/>
              </w:rPr>
              <w:t xml:space="preserve">القول </w:t>
            </w:r>
            <w:r>
              <w:rPr>
                <w:rStyle w:val="IndexLink"/>
                <w:rtl w:val="true"/>
              </w:rPr>
              <w:t xml:space="preserve">: </w:t>
            </w:r>
            <w:r>
              <w:rPr>
                <w:rStyle w:val="IndexLink"/>
                <w:rtl w:val="true"/>
              </w:rPr>
              <w:t>في الأغسال المندوبة</w:t>
            </w:r>
            <w:r>
              <w:rPr>
                <w:rStyle w:val="IndexLink"/>
                <w:rtl w:val="true"/>
              </w:rPr>
              <w:tab/>
            </w:r>
            <w:r>
              <w:rPr>
                <w:rStyle w:val="IndexLink"/>
              </w:rPr>
              <w:t>127</w:t>
            </w:r>
          </w:hyperlink>
        </w:p>
        <w:p>
          <w:pPr>
            <w:pStyle w:val="Contents4"/>
            <w:tabs>
              <w:tab w:val="clear" w:pos="8176"/>
              <w:tab w:val="right" w:pos="9026" w:leader="dot"/>
            </w:tabs>
            <w:rPr/>
          </w:pPr>
          <w:hyperlink w:anchor="__RefHeading___Toc487683_3406789950">
            <w:r>
              <w:rPr>
                <w:webHidden/>
                <w:rStyle w:val="IndexLink"/>
                <w:rtl w:val="true"/>
              </w:rPr>
              <w:t xml:space="preserve">أمّا الزمانية فكثيرة </w:t>
            </w:r>
            <w:r>
              <w:rPr>
                <w:rStyle w:val="IndexLink"/>
                <w:rtl w:val="true"/>
              </w:rPr>
              <w:t>:</w:t>
              <w:tab/>
            </w:r>
            <w:r>
              <w:rPr>
                <w:rStyle w:val="IndexLink"/>
              </w:rPr>
              <w:t>127</w:t>
            </w:r>
          </w:hyperlink>
        </w:p>
        <w:p>
          <w:pPr>
            <w:pStyle w:val="Contents4"/>
            <w:tabs>
              <w:tab w:val="clear" w:pos="8176"/>
              <w:tab w:val="right" w:pos="9026" w:leader="dot"/>
            </w:tabs>
            <w:rPr/>
          </w:pPr>
          <w:hyperlink w:anchor="__RefHeading___Toc487685_3406789950">
            <w:r>
              <w:rPr>
                <w:webHidden/>
                <w:rStyle w:val="IndexLink"/>
                <w:rtl w:val="true"/>
              </w:rPr>
              <w:t xml:space="preserve">وأمّا الفعلية فهي قسمان </w:t>
            </w:r>
            <w:r>
              <w:rPr>
                <w:rStyle w:val="IndexLink"/>
                <w:rtl w:val="true"/>
              </w:rPr>
              <w:t>:</w:t>
              <w:tab/>
            </w:r>
            <w:r>
              <w:rPr>
                <w:rStyle w:val="IndexLink"/>
              </w:rPr>
              <w:t>129</w:t>
            </w:r>
          </w:hyperlink>
        </w:p>
        <w:p>
          <w:pPr>
            <w:pStyle w:val="Contents3"/>
            <w:tabs>
              <w:tab w:val="clear" w:pos="8459"/>
              <w:tab w:val="right" w:pos="9026" w:leader="dot"/>
            </w:tabs>
            <w:rPr/>
          </w:pPr>
          <w:hyperlink w:anchor="__RefHeading___Toc487687_3406789950">
            <w:r>
              <w:rPr>
                <w:webHidden/>
                <w:rStyle w:val="IndexLink"/>
                <w:rtl w:val="true"/>
              </w:rPr>
              <w:t xml:space="preserve">فصل </w:t>
            </w:r>
            <w:r>
              <w:rPr>
                <w:rStyle w:val="IndexLink"/>
                <w:rtl w:val="true"/>
              </w:rPr>
              <w:t xml:space="preserve">: </w:t>
            </w:r>
            <w:r>
              <w:rPr>
                <w:rStyle w:val="IndexLink"/>
                <w:rtl w:val="true"/>
              </w:rPr>
              <w:t>في التيمّم</w:t>
            </w:r>
            <w:r>
              <w:rPr>
                <w:rStyle w:val="IndexLink"/>
                <w:rtl w:val="true"/>
              </w:rPr>
              <w:tab/>
            </w:r>
            <w:r>
              <w:rPr>
                <w:rStyle w:val="IndexLink"/>
              </w:rPr>
              <w:t>131</w:t>
            </w:r>
          </w:hyperlink>
        </w:p>
        <w:p>
          <w:pPr>
            <w:pStyle w:val="Contents4"/>
            <w:tabs>
              <w:tab w:val="clear" w:pos="8176"/>
              <w:tab w:val="right" w:pos="9026" w:leader="dot"/>
            </w:tabs>
            <w:rPr/>
          </w:pPr>
          <w:hyperlink w:anchor="__RefHeading___Toc487689_340678995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87691_3406789950">
            <w:r>
              <w:rPr>
                <w:webHidden/>
                <w:rStyle w:val="IndexLink"/>
                <w:rtl w:val="true"/>
              </w:rPr>
              <w:t xml:space="preserve">القول </w:t>
            </w:r>
            <w:r>
              <w:rPr>
                <w:rStyle w:val="IndexLink"/>
                <w:rtl w:val="true"/>
              </w:rPr>
              <w:t xml:space="preserve">: </w:t>
            </w:r>
            <w:r>
              <w:rPr>
                <w:rStyle w:val="IndexLink"/>
                <w:rtl w:val="true"/>
              </w:rPr>
              <w:t>في مسوّغاته</w:t>
            </w:r>
            <w:r>
              <w:rPr>
                <w:rStyle w:val="IndexLink"/>
                <w:rtl w:val="true"/>
              </w:rPr>
              <w:tab/>
            </w:r>
            <w:r>
              <w:rPr>
                <w:rStyle w:val="IndexLink"/>
              </w:rPr>
              <w:t>131</w:t>
            </w:r>
          </w:hyperlink>
        </w:p>
        <w:p>
          <w:pPr>
            <w:pStyle w:val="Contents4"/>
            <w:tabs>
              <w:tab w:val="clear" w:pos="8176"/>
              <w:tab w:val="right" w:pos="9026" w:leader="dot"/>
            </w:tabs>
            <w:rPr/>
          </w:pPr>
          <w:hyperlink w:anchor="__RefHeading___Toc487693_3406789950">
            <w:r>
              <w:rPr>
                <w:webHidden/>
                <w:rStyle w:val="IndexLink"/>
                <w:rtl w:val="true"/>
              </w:rPr>
              <w:t xml:space="preserve">القول </w:t>
            </w:r>
            <w:r>
              <w:rPr>
                <w:rStyle w:val="IndexLink"/>
                <w:rtl w:val="true"/>
              </w:rPr>
              <w:t xml:space="preserve">: </w:t>
            </w:r>
            <w:r>
              <w:rPr>
                <w:rStyle w:val="IndexLink"/>
                <w:rtl w:val="true"/>
              </w:rPr>
              <w:t>فيما يتيمّم به</w:t>
            </w:r>
            <w:r>
              <w:rPr>
                <w:rStyle w:val="IndexLink"/>
                <w:rtl w:val="true"/>
              </w:rPr>
              <w:tab/>
            </w:r>
            <w:r>
              <w:rPr>
                <w:rStyle w:val="IndexLink"/>
              </w:rPr>
              <w:t>137</w:t>
            </w:r>
          </w:hyperlink>
        </w:p>
        <w:p>
          <w:pPr>
            <w:pStyle w:val="Contents4"/>
            <w:tabs>
              <w:tab w:val="clear" w:pos="8176"/>
              <w:tab w:val="right" w:pos="9026" w:leader="dot"/>
            </w:tabs>
            <w:rPr/>
          </w:pPr>
          <w:hyperlink w:anchor="__RefHeading___Toc487695_3406789950">
            <w:r>
              <w:rPr>
                <w:webHidden/>
                <w:rStyle w:val="IndexLink"/>
                <w:rtl w:val="true"/>
              </w:rPr>
              <w:t xml:space="preserve">القول </w:t>
            </w:r>
            <w:r>
              <w:rPr>
                <w:rStyle w:val="IndexLink"/>
                <w:rtl w:val="true"/>
              </w:rPr>
              <w:t xml:space="preserve">: </w:t>
            </w:r>
            <w:r>
              <w:rPr>
                <w:rStyle w:val="IndexLink"/>
                <w:rtl w:val="true"/>
              </w:rPr>
              <w:t>في كيفية التيمّم</w:t>
            </w:r>
            <w:r>
              <w:rPr>
                <w:rStyle w:val="IndexLink"/>
                <w:rtl w:val="true"/>
              </w:rPr>
              <w:tab/>
            </w:r>
            <w:r>
              <w:rPr>
                <w:rStyle w:val="IndexLink"/>
              </w:rPr>
              <w:t>139</w:t>
            </w:r>
          </w:hyperlink>
        </w:p>
        <w:p>
          <w:pPr>
            <w:pStyle w:val="Contents4"/>
            <w:tabs>
              <w:tab w:val="clear" w:pos="8176"/>
              <w:tab w:val="right" w:pos="9026" w:leader="dot"/>
            </w:tabs>
            <w:rPr/>
          </w:pPr>
          <w:hyperlink w:anchor="__RefHeading___Toc487697_3406789950">
            <w:r>
              <w:rPr>
                <w:webHidden/>
                <w:rStyle w:val="IndexLink"/>
                <w:rtl w:val="true"/>
              </w:rPr>
              <w:t xml:space="preserve">القول </w:t>
            </w:r>
            <w:r>
              <w:rPr>
                <w:rStyle w:val="IndexLink"/>
                <w:rtl w:val="true"/>
              </w:rPr>
              <w:t xml:space="preserve">: </w:t>
            </w:r>
            <w:r>
              <w:rPr>
                <w:rStyle w:val="IndexLink"/>
                <w:rtl w:val="true"/>
              </w:rPr>
              <w:t>فيما يعتبر في التيمّم</w:t>
            </w:r>
            <w:r>
              <w:rPr>
                <w:rStyle w:val="IndexLink"/>
                <w:rtl w:val="true"/>
              </w:rPr>
              <w:tab/>
            </w:r>
            <w:r>
              <w:rPr>
                <w:rStyle w:val="IndexLink"/>
              </w:rPr>
              <w:t>141</w:t>
            </w:r>
          </w:hyperlink>
        </w:p>
        <w:p>
          <w:pPr>
            <w:pStyle w:val="Contents4"/>
            <w:tabs>
              <w:tab w:val="clear" w:pos="8176"/>
              <w:tab w:val="right" w:pos="9026" w:leader="dot"/>
            </w:tabs>
            <w:rPr/>
          </w:pPr>
          <w:hyperlink w:anchor="__RefHeading___Toc487699_3406789950">
            <w:r>
              <w:rPr>
                <w:webHidden/>
                <w:rStyle w:val="IndexLink"/>
                <w:rtl w:val="true"/>
              </w:rPr>
              <w:t xml:space="preserve">القول </w:t>
            </w:r>
            <w:r>
              <w:rPr>
                <w:rStyle w:val="IndexLink"/>
                <w:rtl w:val="true"/>
              </w:rPr>
              <w:t xml:space="preserve">: </w:t>
            </w:r>
            <w:r>
              <w:rPr>
                <w:rStyle w:val="IndexLink"/>
                <w:rtl w:val="true"/>
              </w:rPr>
              <w:t>في أحكام التيمّم</w:t>
            </w:r>
            <w:r>
              <w:rPr>
                <w:rStyle w:val="IndexLink"/>
                <w:rtl w:val="true"/>
              </w:rPr>
              <w:tab/>
            </w:r>
            <w:r>
              <w:rPr>
                <w:rStyle w:val="IndexLink"/>
              </w:rPr>
              <w:t>142</w:t>
            </w:r>
          </w:hyperlink>
        </w:p>
        <w:p>
          <w:pPr>
            <w:pStyle w:val="Contents3"/>
            <w:tabs>
              <w:tab w:val="clear" w:pos="8459"/>
              <w:tab w:val="right" w:pos="9026" w:leader="dot"/>
            </w:tabs>
            <w:rPr/>
          </w:pPr>
          <w:hyperlink w:anchor="__RefHeading___Toc487701_3406789950">
            <w:r>
              <w:rPr>
                <w:webHidden/>
                <w:rStyle w:val="IndexLink"/>
                <w:rtl w:val="true"/>
              </w:rPr>
              <w:t xml:space="preserve">فصل </w:t>
            </w:r>
            <w:r>
              <w:rPr>
                <w:rStyle w:val="IndexLink"/>
                <w:rtl w:val="true"/>
              </w:rPr>
              <w:t xml:space="preserve">: </w:t>
            </w:r>
            <w:r>
              <w:rPr>
                <w:rStyle w:val="IndexLink"/>
                <w:rtl w:val="true"/>
              </w:rPr>
              <w:t>في النجاسات</w:t>
            </w:r>
            <w:r>
              <w:rPr>
                <w:rStyle w:val="IndexLink"/>
                <w:rtl w:val="true"/>
              </w:rPr>
              <w:tab/>
            </w:r>
            <w:r>
              <w:rPr>
                <w:rStyle w:val="IndexLink"/>
              </w:rPr>
              <w:t>146</w:t>
            </w:r>
          </w:hyperlink>
        </w:p>
        <w:p>
          <w:pPr>
            <w:pStyle w:val="Contents4"/>
            <w:tabs>
              <w:tab w:val="clear" w:pos="8176"/>
              <w:tab w:val="right" w:pos="9026" w:leader="dot"/>
            </w:tabs>
            <w:rPr/>
          </w:pPr>
          <w:hyperlink w:anchor="__RefHeading___Toc487703_340678995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87705_3406789950">
            <w:r>
              <w:rPr>
                <w:webHidden/>
                <w:rStyle w:val="IndexLink"/>
                <w:rtl w:val="true"/>
              </w:rPr>
              <w:t xml:space="preserve">القول </w:t>
            </w:r>
            <w:r>
              <w:rPr>
                <w:rStyle w:val="IndexLink"/>
                <w:rtl w:val="true"/>
              </w:rPr>
              <w:t xml:space="preserve">: </w:t>
            </w:r>
            <w:r>
              <w:rPr>
                <w:rStyle w:val="IndexLink"/>
                <w:rtl w:val="true"/>
              </w:rPr>
              <w:t>في النجاسات</w:t>
            </w:r>
            <w:r>
              <w:rPr>
                <w:rStyle w:val="IndexLink"/>
                <w:rtl w:val="true"/>
              </w:rPr>
              <w:tab/>
            </w:r>
            <w:r>
              <w:rPr>
                <w:rStyle w:val="IndexLink"/>
              </w:rPr>
              <w:t>146</w:t>
            </w:r>
          </w:hyperlink>
        </w:p>
        <w:p>
          <w:pPr>
            <w:pStyle w:val="Contents4"/>
            <w:tabs>
              <w:tab w:val="clear" w:pos="8176"/>
              <w:tab w:val="right" w:pos="9026" w:leader="dot"/>
            </w:tabs>
            <w:rPr/>
          </w:pPr>
          <w:hyperlink w:anchor="__RefHeading___Toc487707_3406789950">
            <w:r>
              <w:rPr>
                <w:webHidden/>
                <w:rStyle w:val="IndexLink"/>
                <w:rtl w:val="true"/>
              </w:rPr>
              <w:t xml:space="preserve">القول </w:t>
            </w:r>
            <w:r>
              <w:rPr>
                <w:rStyle w:val="IndexLink"/>
                <w:rtl w:val="true"/>
              </w:rPr>
              <w:t xml:space="preserve">: </w:t>
            </w:r>
            <w:r>
              <w:rPr>
                <w:rStyle w:val="IndexLink"/>
                <w:rtl w:val="true"/>
              </w:rPr>
              <w:t>في أحكام النجاسات</w:t>
            </w:r>
            <w:r>
              <w:rPr>
                <w:rStyle w:val="IndexLink"/>
                <w:rtl w:val="true"/>
              </w:rPr>
              <w:tab/>
            </w:r>
            <w:r>
              <w:rPr>
                <w:rStyle w:val="IndexLink"/>
              </w:rPr>
              <w:t>152</w:t>
            </w:r>
          </w:hyperlink>
        </w:p>
        <w:p>
          <w:pPr>
            <w:pStyle w:val="Contents4"/>
            <w:tabs>
              <w:tab w:val="clear" w:pos="8176"/>
              <w:tab w:val="right" w:pos="9026" w:leader="dot"/>
            </w:tabs>
            <w:rPr/>
          </w:pPr>
          <w:hyperlink w:anchor="__RefHeading___Toc487709_3406789950">
            <w:r>
              <w:rPr>
                <w:webHidden/>
                <w:rStyle w:val="IndexLink"/>
                <w:rtl w:val="true"/>
              </w:rPr>
              <w:t xml:space="preserve">القول </w:t>
            </w:r>
            <w:r>
              <w:rPr>
                <w:rStyle w:val="IndexLink"/>
                <w:rtl w:val="true"/>
              </w:rPr>
              <w:t xml:space="preserve">: </w:t>
            </w:r>
            <w:r>
              <w:rPr>
                <w:rStyle w:val="IndexLink"/>
                <w:rtl w:val="true"/>
              </w:rPr>
              <w:t>في كيفية التنجيس بها</w:t>
            </w:r>
            <w:r>
              <w:rPr>
                <w:rStyle w:val="IndexLink"/>
                <w:rtl w:val="true"/>
              </w:rPr>
              <w:tab/>
            </w:r>
            <w:r>
              <w:rPr>
                <w:rStyle w:val="IndexLink"/>
              </w:rPr>
              <w:t>155</w:t>
            </w:r>
          </w:hyperlink>
        </w:p>
        <w:p>
          <w:pPr>
            <w:pStyle w:val="Contents4"/>
            <w:tabs>
              <w:tab w:val="clear" w:pos="8176"/>
              <w:tab w:val="right" w:pos="9026" w:leader="dot"/>
            </w:tabs>
            <w:rPr/>
          </w:pPr>
          <w:hyperlink w:anchor="__RefHeading___Toc487711_3406789950">
            <w:r>
              <w:rPr>
                <w:webHidden/>
                <w:rStyle w:val="IndexLink"/>
                <w:rtl w:val="true"/>
              </w:rPr>
              <w:t xml:space="preserve">القول </w:t>
            </w:r>
            <w:r>
              <w:rPr>
                <w:rStyle w:val="IndexLink"/>
                <w:rtl w:val="true"/>
              </w:rPr>
              <w:t xml:space="preserve">: </w:t>
            </w:r>
            <w:r>
              <w:rPr>
                <w:rStyle w:val="IndexLink"/>
                <w:rtl w:val="true"/>
              </w:rPr>
              <w:t>فيما يعفى عنه منها في الصلاة</w:t>
            </w:r>
            <w:r>
              <w:rPr>
                <w:rStyle w:val="IndexLink"/>
                <w:rtl w:val="true"/>
              </w:rPr>
              <w:tab/>
            </w:r>
            <w:r>
              <w:rPr>
                <w:rStyle w:val="IndexLink"/>
              </w:rPr>
              <w:t>157</w:t>
            </w:r>
          </w:hyperlink>
        </w:p>
        <w:p>
          <w:pPr>
            <w:pStyle w:val="Contents4"/>
            <w:tabs>
              <w:tab w:val="clear" w:pos="8176"/>
              <w:tab w:val="right" w:pos="9026" w:leader="dot"/>
            </w:tabs>
            <w:rPr/>
          </w:pPr>
          <w:hyperlink w:anchor="__RefHeading___Toc487713_3406789950">
            <w:r>
              <w:rPr>
                <w:webHidden/>
                <w:rStyle w:val="IndexLink"/>
                <w:rtl w:val="true"/>
              </w:rPr>
              <w:t xml:space="preserve">القول </w:t>
            </w:r>
            <w:r>
              <w:rPr>
                <w:rStyle w:val="IndexLink"/>
                <w:rtl w:val="true"/>
              </w:rPr>
              <w:t xml:space="preserve">: </w:t>
            </w:r>
            <w:r>
              <w:rPr>
                <w:rStyle w:val="IndexLink"/>
                <w:rtl w:val="true"/>
              </w:rPr>
              <w:t>في المطهّرات</w:t>
            </w:r>
            <w:r>
              <w:rPr>
                <w:rStyle w:val="IndexLink"/>
                <w:rtl w:val="true"/>
              </w:rPr>
              <w:tab/>
            </w:r>
            <w:r>
              <w:rPr>
                <w:rStyle w:val="IndexLink"/>
              </w:rPr>
              <w:t>160</w:t>
            </w:r>
          </w:hyperlink>
        </w:p>
        <w:p>
          <w:pPr>
            <w:pStyle w:val="Contents4"/>
            <w:tabs>
              <w:tab w:val="clear" w:pos="8176"/>
              <w:tab w:val="right" w:pos="9026" w:leader="dot"/>
            </w:tabs>
            <w:rPr/>
          </w:pPr>
          <w:hyperlink w:anchor="__RefHeading___Toc487715_3406789950">
            <w:r>
              <w:rPr>
                <w:webHidden/>
                <w:rStyle w:val="IndexLink"/>
                <w:rtl w:val="true"/>
              </w:rPr>
              <w:t xml:space="preserve">القول </w:t>
            </w:r>
            <w:r>
              <w:rPr>
                <w:rStyle w:val="IndexLink"/>
                <w:rtl w:val="true"/>
              </w:rPr>
              <w:t xml:space="preserve">: </w:t>
            </w:r>
            <w:r>
              <w:rPr>
                <w:rStyle w:val="IndexLink"/>
                <w:rtl w:val="true"/>
              </w:rPr>
              <w:t>في الأواني</w:t>
            </w:r>
            <w:r>
              <w:rPr>
                <w:rStyle w:val="IndexLink"/>
                <w:rtl w:val="true"/>
              </w:rPr>
              <w:tab/>
            </w:r>
            <w:r>
              <w:rPr>
                <w:rStyle w:val="IndexLink"/>
              </w:rPr>
              <w:t>168</w:t>
            </w:r>
          </w:hyperlink>
        </w:p>
        <w:p>
          <w:pPr>
            <w:pStyle w:val="Contents2"/>
            <w:tabs>
              <w:tab w:val="clear" w:pos="8743"/>
              <w:tab w:val="right" w:pos="9026" w:leader="dot"/>
            </w:tabs>
            <w:rPr/>
          </w:pPr>
          <w:hyperlink w:anchor="__RefHeading___Toc487717_3406789950">
            <w:r>
              <w:rPr>
                <w:webHidden/>
                <w:rStyle w:val="IndexLink"/>
                <w:rtl w:val="true"/>
              </w:rPr>
              <w:t>كتاب الصلاة</w:t>
            </w:r>
            <w:r>
              <w:rPr>
                <w:rStyle w:val="IndexLink"/>
                <w:rtl w:val="true"/>
              </w:rPr>
              <w:tab/>
            </w:r>
            <w:r>
              <w:rPr>
                <w:rStyle w:val="IndexLink"/>
              </w:rPr>
              <w:t>172</w:t>
            </w:r>
          </w:hyperlink>
        </w:p>
        <w:p>
          <w:pPr>
            <w:pStyle w:val="Contents3"/>
            <w:tabs>
              <w:tab w:val="clear" w:pos="8459"/>
              <w:tab w:val="right" w:pos="9026" w:leader="dot"/>
            </w:tabs>
            <w:rPr/>
          </w:pPr>
          <w:hyperlink w:anchor="__RefHeading___Toc487719_340678995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487721_3406789950">
            <w:r>
              <w:rPr>
                <w:webHidden/>
                <w:rStyle w:val="IndexLink"/>
                <w:rtl w:val="true"/>
              </w:rPr>
              <w:t xml:space="preserve">فصل </w:t>
            </w:r>
            <w:r>
              <w:rPr>
                <w:rStyle w:val="IndexLink"/>
                <w:rtl w:val="true"/>
              </w:rPr>
              <w:t xml:space="preserve">: </w:t>
            </w:r>
            <w:r>
              <w:rPr>
                <w:rStyle w:val="IndexLink"/>
                <w:rtl w:val="true"/>
              </w:rPr>
              <w:t>في مقدّمات الصلاة</w:t>
            </w:r>
            <w:r>
              <w:rPr>
                <w:rStyle w:val="IndexLink"/>
                <w:rtl w:val="true"/>
              </w:rPr>
              <w:tab/>
            </w:r>
            <w:r>
              <w:rPr>
                <w:rStyle w:val="IndexLink"/>
              </w:rPr>
              <w:t>172</w:t>
            </w:r>
          </w:hyperlink>
        </w:p>
        <w:p>
          <w:pPr>
            <w:pStyle w:val="Contents4"/>
            <w:tabs>
              <w:tab w:val="clear" w:pos="8176"/>
              <w:tab w:val="right" w:pos="9026" w:leader="dot"/>
            </w:tabs>
            <w:rPr/>
          </w:pPr>
          <w:hyperlink w:anchor="__RefHeading___Toc487723_340678995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487725_3406789950">
            <w:r>
              <w:rPr>
                <w:webHidden/>
                <w:rStyle w:val="IndexLink"/>
                <w:rtl w:val="true"/>
              </w:rPr>
              <w:t xml:space="preserve">المقدّمة الاُولى </w:t>
            </w:r>
            <w:r>
              <w:rPr>
                <w:rStyle w:val="IndexLink"/>
                <w:rtl w:val="true"/>
              </w:rPr>
              <w:t xml:space="preserve">: </w:t>
            </w:r>
            <w:r>
              <w:rPr>
                <w:rStyle w:val="IndexLink"/>
                <w:rtl w:val="true"/>
              </w:rPr>
              <w:t>في أعداد الفرائض ومواقيت اليومية ونوافلها</w:t>
            </w:r>
            <w:r>
              <w:rPr>
                <w:rStyle w:val="IndexLink"/>
                <w:rtl w:val="true"/>
              </w:rPr>
              <w:tab/>
            </w:r>
            <w:r>
              <w:rPr>
                <w:rStyle w:val="IndexLink"/>
              </w:rPr>
              <w:t>172</w:t>
            </w:r>
          </w:hyperlink>
        </w:p>
        <w:p>
          <w:pPr>
            <w:pStyle w:val="Contents4"/>
            <w:tabs>
              <w:tab w:val="clear" w:pos="8176"/>
              <w:tab w:val="right" w:pos="9026" w:leader="dot"/>
            </w:tabs>
            <w:rPr/>
          </w:pPr>
          <w:hyperlink w:anchor="__RefHeading___Toc487727_3406789950">
            <w:r>
              <w:rPr>
                <w:webHidden/>
                <w:rStyle w:val="IndexLink"/>
                <w:rtl w:val="true"/>
              </w:rPr>
              <w:t xml:space="preserve">المقدّمة الثانية </w:t>
            </w:r>
            <w:r>
              <w:rPr>
                <w:rStyle w:val="IndexLink"/>
                <w:rtl w:val="true"/>
              </w:rPr>
              <w:t xml:space="preserve">: </w:t>
            </w:r>
            <w:r>
              <w:rPr>
                <w:rStyle w:val="IndexLink"/>
                <w:rtl w:val="true"/>
              </w:rPr>
              <w:t>في القبلة</w:t>
            </w:r>
            <w:r>
              <w:rPr>
                <w:rStyle w:val="IndexLink"/>
                <w:rtl w:val="true"/>
              </w:rPr>
              <w:tab/>
            </w:r>
            <w:r>
              <w:rPr>
                <w:rStyle w:val="IndexLink"/>
              </w:rPr>
              <w:t>178</w:t>
            </w:r>
          </w:hyperlink>
        </w:p>
        <w:p>
          <w:pPr>
            <w:pStyle w:val="Contents4"/>
            <w:tabs>
              <w:tab w:val="clear" w:pos="8176"/>
              <w:tab w:val="right" w:pos="9026" w:leader="dot"/>
            </w:tabs>
            <w:rPr/>
          </w:pPr>
          <w:hyperlink w:anchor="__RefHeading___Toc487729_3406789950">
            <w:r>
              <w:rPr>
                <w:webHidden/>
                <w:rStyle w:val="IndexLink"/>
                <w:rtl w:val="true"/>
              </w:rPr>
              <w:t xml:space="preserve">المقدّمة الثالثة </w:t>
            </w:r>
            <w:r>
              <w:rPr>
                <w:rStyle w:val="IndexLink"/>
                <w:rtl w:val="true"/>
              </w:rPr>
              <w:t xml:space="preserve">: </w:t>
            </w:r>
            <w:r>
              <w:rPr>
                <w:rStyle w:val="IndexLink"/>
                <w:rtl w:val="true"/>
              </w:rPr>
              <w:t>في الستر والساتر</w:t>
            </w:r>
            <w:r>
              <w:rPr>
                <w:rStyle w:val="IndexLink"/>
                <w:rtl w:val="true"/>
              </w:rPr>
              <w:tab/>
            </w:r>
            <w:r>
              <w:rPr>
                <w:rStyle w:val="IndexLink"/>
              </w:rPr>
              <w:t>180</w:t>
            </w:r>
          </w:hyperlink>
        </w:p>
        <w:p>
          <w:pPr>
            <w:pStyle w:val="Contents4"/>
            <w:tabs>
              <w:tab w:val="clear" w:pos="8176"/>
              <w:tab w:val="right" w:pos="9026" w:leader="dot"/>
            </w:tabs>
            <w:rPr/>
          </w:pPr>
          <w:hyperlink w:anchor="__RefHeading___Toc487731_3406789950">
            <w:r>
              <w:rPr>
                <w:webHidden/>
                <w:rStyle w:val="IndexLink"/>
                <w:rtl w:val="true"/>
              </w:rPr>
              <w:t xml:space="preserve">المقدّمة الرابعة </w:t>
            </w:r>
            <w:r>
              <w:rPr>
                <w:rStyle w:val="IndexLink"/>
                <w:rtl w:val="true"/>
              </w:rPr>
              <w:t xml:space="preserve">: </w:t>
            </w:r>
            <w:r>
              <w:rPr>
                <w:rStyle w:val="IndexLink"/>
                <w:rtl w:val="true"/>
              </w:rPr>
              <w:t>المكان</w:t>
            </w:r>
            <w:r>
              <w:rPr>
                <w:rStyle w:val="IndexLink"/>
                <w:rtl w:val="true"/>
              </w:rPr>
              <w:tab/>
            </w:r>
            <w:r>
              <w:rPr>
                <w:rStyle w:val="IndexLink"/>
              </w:rPr>
              <w:t>186</w:t>
            </w:r>
          </w:hyperlink>
        </w:p>
        <w:p>
          <w:pPr>
            <w:pStyle w:val="Contents4"/>
            <w:tabs>
              <w:tab w:val="clear" w:pos="8176"/>
              <w:tab w:val="right" w:pos="9026" w:leader="dot"/>
            </w:tabs>
            <w:rPr/>
          </w:pPr>
          <w:hyperlink w:anchor="__RefHeading___Toc487733_3406789950">
            <w:r>
              <w:rPr>
                <w:webHidden/>
                <w:rStyle w:val="IndexLink"/>
                <w:rtl w:val="true"/>
              </w:rPr>
              <w:t xml:space="preserve">المقدّمة الخامسة </w:t>
            </w:r>
            <w:r>
              <w:rPr>
                <w:rStyle w:val="IndexLink"/>
                <w:rtl w:val="true"/>
              </w:rPr>
              <w:t xml:space="preserve">: </w:t>
            </w:r>
            <w:r>
              <w:rPr>
                <w:rStyle w:val="IndexLink"/>
                <w:rtl w:val="true"/>
              </w:rPr>
              <w:t>في الأذان والإقامة</w:t>
            </w:r>
            <w:r>
              <w:rPr>
                <w:rStyle w:val="IndexLink"/>
                <w:rtl w:val="true"/>
              </w:rPr>
              <w:tab/>
            </w:r>
            <w:r>
              <w:rPr>
                <w:rStyle w:val="IndexLink"/>
              </w:rPr>
              <w:t>194</w:t>
            </w:r>
          </w:hyperlink>
        </w:p>
        <w:p>
          <w:pPr>
            <w:pStyle w:val="Contents4"/>
            <w:tabs>
              <w:tab w:val="clear" w:pos="8176"/>
              <w:tab w:val="right" w:pos="9026" w:leader="dot"/>
            </w:tabs>
            <w:rPr/>
          </w:pPr>
          <w:hyperlink w:anchor="__RefHeading___Toc487735_3406789950">
            <w:r>
              <w:rPr>
                <w:webHidden/>
                <w:rStyle w:val="IndexLink"/>
                <w:rtl w:val="true"/>
              </w:rPr>
              <w:t xml:space="preserve">المقدّمة السادسة </w:t>
            </w:r>
            <w:r>
              <w:rPr>
                <w:rStyle w:val="IndexLink"/>
                <w:rtl w:val="true"/>
              </w:rPr>
              <w:t xml:space="preserve">: </w:t>
            </w:r>
            <w:r>
              <w:rPr>
                <w:rStyle w:val="IndexLink"/>
                <w:rtl w:val="true"/>
              </w:rPr>
              <w:t>إحضار القلب في الصلاة</w:t>
            </w:r>
            <w:r>
              <w:rPr>
                <w:rStyle w:val="IndexLink"/>
                <w:rtl w:val="true"/>
              </w:rPr>
              <w:tab/>
            </w:r>
            <w:r>
              <w:rPr>
                <w:rStyle w:val="IndexLink"/>
              </w:rPr>
              <w:t>196</w:t>
            </w:r>
          </w:hyperlink>
        </w:p>
        <w:p>
          <w:pPr>
            <w:pStyle w:val="Contents3"/>
            <w:tabs>
              <w:tab w:val="clear" w:pos="8459"/>
              <w:tab w:val="right" w:pos="9026" w:leader="dot"/>
            </w:tabs>
            <w:rPr/>
          </w:pPr>
          <w:hyperlink w:anchor="__RefHeading___Toc487737_3406789950">
            <w:r>
              <w:rPr>
                <w:webHidden/>
                <w:rStyle w:val="IndexLink"/>
                <w:rtl w:val="true"/>
              </w:rPr>
              <w:t xml:space="preserve">فصل </w:t>
            </w:r>
            <w:r>
              <w:rPr>
                <w:rStyle w:val="IndexLink"/>
                <w:rtl w:val="true"/>
              </w:rPr>
              <w:t xml:space="preserve">: </w:t>
            </w:r>
            <w:r>
              <w:rPr>
                <w:rStyle w:val="IndexLink"/>
                <w:rtl w:val="true"/>
              </w:rPr>
              <w:t>في أفعال الصلاة</w:t>
            </w:r>
            <w:r>
              <w:rPr>
                <w:rStyle w:val="IndexLink"/>
                <w:rtl w:val="true"/>
              </w:rPr>
              <w:tab/>
            </w:r>
            <w:r>
              <w:rPr>
                <w:rStyle w:val="IndexLink"/>
              </w:rPr>
              <w:t>196</w:t>
            </w:r>
          </w:hyperlink>
        </w:p>
        <w:p>
          <w:pPr>
            <w:pStyle w:val="Contents4"/>
            <w:tabs>
              <w:tab w:val="clear" w:pos="8176"/>
              <w:tab w:val="right" w:pos="9026" w:leader="dot"/>
            </w:tabs>
            <w:rPr/>
          </w:pPr>
          <w:hyperlink w:anchor="__RefHeading___Toc487739_340678995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487741_3406789950">
            <w:r>
              <w:rPr>
                <w:webHidden/>
                <w:rStyle w:val="IndexLink"/>
                <w:rtl w:val="true"/>
              </w:rPr>
              <w:t xml:space="preserve">القول </w:t>
            </w:r>
            <w:r>
              <w:rPr>
                <w:rStyle w:val="IndexLink"/>
                <w:rtl w:val="true"/>
              </w:rPr>
              <w:t xml:space="preserve">: </w:t>
            </w:r>
            <w:r>
              <w:rPr>
                <w:rStyle w:val="IndexLink"/>
                <w:rtl w:val="true"/>
              </w:rPr>
              <w:t>في النيّة</w:t>
            </w:r>
            <w:r>
              <w:rPr>
                <w:rStyle w:val="IndexLink"/>
                <w:rtl w:val="true"/>
              </w:rPr>
              <w:tab/>
            </w:r>
            <w:r>
              <w:rPr>
                <w:rStyle w:val="IndexLink"/>
              </w:rPr>
              <w:t>197</w:t>
            </w:r>
          </w:hyperlink>
        </w:p>
        <w:p>
          <w:pPr>
            <w:pStyle w:val="Contents4"/>
            <w:tabs>
              <w:tab w:val="clear" w:pos="8176"/>
              <w:tab w:val="right" w:pos="9026" w:leader="dot"/>
            </w:tabs>
            <w:rPr/>
          </w:pPr>
          <w:hyperlink w:anchor="__RefHeading___Toc487743_3406789950">
            <w:r>
              <w:rPr>
                <w:webHidden/>
                <w:rStyle w:val="IndexLink"/>
                <w:rtl w:val="true"/>
              </w:rPr>
              <w:t>فائدة</w:t>
            </w:r>
            <w:r>
              <w:rPr>
                <w:rStyle w:val="IndexLink"/>
                <w:rtl w:val="true"/>
              </w:rPr>
              <w:tab/>
            </w:r>
            <w:r>
              <w:rPr>
                <w:rStyle w:val="IndexLink"/>
              </w:rPr>
              <w:t>198</w:t>
            </w:r>
          </w:hyperlink>
        </w:p>
        <w:p>
          <w:pPr>
            <w:pStyle w:val="Contents4"/>
            <w:tabs>
              <w:tab w:val="clear" w:pos="8176"/>
              <w:tab w:val="right" w:pos="9026" w:leader="dot"/>
            </w:tabs>
            <w:rPr/>
          </w:pPr>
          <w:hyperlink w:anchor="__RefHeading___Toc487745_3406789950">
            <w:r>
              <w:rPr>
                <w:webHidden/>
                <w:rStyle w:val="IndexLink"/>
                <w:rtl w:val="true"/>
              </w:rPr>
              <w:t xml:space="preserve">القول </w:t>
            </w:r>
            <w:r>
              <w:rPr>
                <w:rStyle w:val="IndexLink"/>
                <w:rtl w:val="true"/>
              </w:rPr>
              <w:t xml:space="preserve">: </w:t>
            </w:r>
            <w:r>
              <w:rPr>
                <w:rStyle w:val="IndexLink"/>
                <w:rtl w:val="true"/>
              </w:rPr>
              <w:t>في تكبيرة الإحرام</w:t>
            </w:r>
            <w:r>
              <w:rPr>
                <w:rStyle w:val="IndexLink"/>
                <w:rtl w:val="true"/>
              </w:rPr>
              <w:tab/>
            </w:r>
            <w:r>
              <w:rPr>
                <w:rStyle w:val="IndexLink"/>
              </w:rPr>
              <w:t>202</w:t>
            </w:r>
          </w:hyperlink>
        </w:p>
        <w:p>
          <w:pPr>
            <w:pStyle w:val="Contents4"/>
            <w:tabs>
              <w:tab w:val="clear" w:pos="8176"/>
              <w:tab w:val="right" w:pos="9026" w:leader="dot"/>
            </w:tabs>
            <w:rPr/>
          </w:pPr>
          <w:hyperlink w:anchor="__RefHeading___Toc487747_3406789950">
            <w:r>
              <w:rPr>
                <w:webHidden/>
                <w:rStyle w:val="IndexLink"/>
                <w:rtl w:val="true"/>
              </w:rPr>
              <w:t xml:space="preserve">القول </w:t>
            </w:r>
            <w:r>
              <w:rPr>
                <w:rStyle w:val="IndexLink"/>
                <w:rtl w:val="true"/>
              </w:rPr>
              <w:t xml:space="preserve">: </w:t>
            </w:r>
            <w:r>
              <w:rPr>
                <w:rStyle w:val="IndexLink"/>
                <w:rtl w:val="true"/>
              </w:rPr>
              <w:t>في القيام</w:t>
            </w:r>
            <w:r>
              <w:rPr>
                <w:rStyle w:val="IndexLink"/>
                <w:rtl w:val="true"/>
              </w:rPr>
              <w:tab/>
            </w:r>
            <w:r>
              <w:rPr>
                <w:rStyle w:val="IndexLink"/>
              </w:rPr>
              <w:t>204</w:t>
            </w:r>
          </w:hyperlink>
        </w:p>
        <w:p>
          <w:pPr>
            <w:pStyle w:val="Contents4"/>
            <w:tabs>
              <w:tab w:val="clear" w:pos="8176"/>
              <w:tab w:val="right" w:pos="9026" w:leader="dot"/>
            </w:tabs>
            <w:rPr/>
          </w:pPr>
          <w:hyperlink w:anchor="__RefHeading___Toc487749_3406789950">
            <w:r>
              <w:rPr>
                <w:webHidden/>
                <w:rStyle w:val="IndexLink"/>
                <w:rtl w:val="true"/>
              </w:rPr>
              <w:t xml:space="preserve">القول </w:t>
            </w:r>
            <w:r>
              <w:rPr>
                <w:rStyle w:val="IndexLink"/>
                <w:rtl w:val="true"/>
              </w:rPr>
              <w:t xml:space="preserve">: </w:t>
            </w:r>
            <w:r>
              <w:rPr>
                <w:rStyle w:val="IndexLink"/>
                <w:rtl w:val="true"/>
              </w:rPr>
              <w:t>في القراءة والذكر</w:t>
            </w:r>
            <w:r>
              <w:rPr>
                <w:rStyle w:val="IndexLink"/>
                <w:rtl w:val="true"/>
              </w:rPr>
              <w:tab/>
            </w:r>
            <w:r>
              <w:rPr>
                <w:rStyle w:val="IndexLink"/>
              </w:rPr>
              <w:t>206</w:t>
            </w:r>
          </w:hyperlink>
        </w:p>
        <w:p>
          <w:pPr>
            <w:pStyle w:val="Contents4"/>
            <w:tabs>
              <w:tab w:val="clear" w:pos="8176"/>
              <w:tab w:val="right" w:pos="9026" w:leader="dot"/>
            </w:tabs>
            <w:rPr/>
          </w:pPr>
          <w:hyperlink w:anchor="__RefHeading___Toc487751_3406789950">
            <w:r>
              <w:rPr>
                <w:webHidden/>
                <w:rStyle w:val="IndexLink"/>
                <w:rtl w:val="true"/>
              </w:rPr>
              <w:t xml:space="preserve">القول </w:t>
            </w:r>
            <w:r>
              <w:rPr>
                <w:rStyle w:val="IndexLink"/>
                <w:rtl w:val="true"/>
              </w:rPr>
              <w:t xml:space="preserve">: </w:t>
            </w:r>
            <w:r>
              <w:rPr>
                <w:rStyle w:val="IndexLink"/>
                <w:rtl w:val="true"/>
              </w:rPr>
              <w:t>في الركوع</w:t>
            </w:r>
            <w:r>
              <w:rPr>
                <w:rStyle w:val="IndexLink"/>
                <w:rtl w:val="true"/>
              </w:rPr>
              <w:tab/>
            </w:r>
            <w:r>
              <w:rPr>
                <w:rStyle w:val="IndexLink"/>
              </w:rPr>
              <w:t>213</w:t>
            </w:r>
          </w:hyperlink>
        </w:p>
        <w:p>
          <w:pPr>
            <w:pStyle w:val="Contents4"/>
            <w:tabs>
              <w:tab w:val="clear" w:pos="8176"/>
              <w:tab w:val="right" w:pos="9026" w:leader="dot"/>
            </w:tabs>
            <w:rPr/>
          </w:pPr>
          <w:hyperlink w:anchor="__RefHeading___Toc487753_3406789950">
            <w:r>
              <w:rPr>
                <w:webHidden/>
                <w:rStyle w:val="IndexLink"/>
                <w:rtl w:val="true"/>
              </w:rPr>
              <w:t xml:space="preserve">القول </w:t>
            </w:r>
            <w:r>
              <w:rPr>
                <w:rStyle w:val="IndexLink"/>
                <w:rtl w:val="true"/>
              </w:rPr>
              <w:t xml:space="preserve">: </w:t>
            </w:r>
            <w:r>
              <w:rPr>
                <w:rStyle w:val="IndexLink"/>
                <w:rtl w:val="true"/>
              </w:rPr>
              <w:t>في السجود</w:t>
            </w:r>
            <w:r>
              <w:rPr>
                <w:rStyle w:val="IndexLink"/>
                <w:rtl w:val="true"/>
              </w:rPr>
              <w:tab/>
            </w:r>
            <w:r>
              <w:rPr>
                <w:rStyle w:val="IndexLink"/>
              </w:rPr>
              <w:t>216</w:t>
            </w:r>
          </w:hyperlink>
        </w:p>
        <w:p>
          <w:pPr>
            <w:pStyle w:val="Contents4"/>
            <w:tabs>
              <w:tab w:val="clear" w:pos="8176"/>
              <w:tab w:val="right" w:pos="9026" w:leader="dot"/>
            </w:tabs>
            <w:rPr/>
          </w:pPr>
          <w:hyperlink w:anchor="__RefHeading___Toc487755_3406789950">
            <w:r>
              <w:rPr>
                <w:webHidden/>
                <w:rStyle w:val="IndexLink"/>
                <w:rtl w:val="true"/>
              </w:rPr>
              <w:t xml:space="preserve">القول </w:t>
            </w:r>
            <w:r>
              <w:rPr>
                <w:rStyle w:val="IndexLink"/>
                <w:rtl w:val="true"/>
              </w:rPr>
              <w:t xml:space="preserve">: </w:t>
            </w:r>
            <w:r>
              <w:rPr>
                <w:rStyle w:val="IndexLink"/>
                <w:rtl w:val="true"/>
              </w:rPr>
              <w:t>في سجدتي التلاوة والشكر</w:t>
            </w:r>
            <w:r>
              <w:rPr>
                <w:rStyle w:val="IndexLink"/>
                <w:rtl w:val="true"/>
              </w:rPr>
              <w:tab/>
            </w:r>
            <w:r>
              <w:rPr>
                <w:rStyle w:val="IndexLink"/>
              </w:rPr>
              <w:t>222</w:t>
            </w:r>
          </w:hyperlink>
        </w:p>
        <w:p>
          <w:pPr>
            <w:pStyle w:val="Contents4"/>
            <w:tabs>
              <w:tab w:val="clear" w:pos="8176"/>
              <w:tab w:val="right" w:pos="9026" w:leader="dot"/>
            </w:tabs>
            <w:rPr/>
          </w:pPr>
          <w:hyperlink w:anchor="__RefHeading___Toc487757_3406789950">
            <w:r>
              <w:rPr>
                <w:webHidden/>
                <w:rStyle w:val="IndexLink"/>
                <w:rtl w:val="true"/>
              </w:rPr>
              <w:t xml:space="preserve">القول </w:t>
            </w:r>
            <w:r>
              <w:rPr>
                <w:rStyle w:val="IndexLink"/>
                <w:rtl w:val="true"/>
              </w:rPr>
              <w:t xml:space="preserve">: </w:t>
            </w:r>
            <w:r>
              <w:rPr>
                <w:rStyle w:val="IndexLink"/>
                <w:rtl w:val="true"/>
              </w:rPr>
              <w:t>في التشهّد</w:t>
            </w:r>
            <w:r>
              <w:rPr>
                <w:rStyle w:val="IndexLink"/>
                <w:rtl w:val="true"/>
              </w:rPr>
              <w:tab/>
            </w:r>
            <w:r>
              <w:rPr>
                <w:rStyle w:val="IndexLink"/>
              </w:rPr>
              <w:t>225</w:t>
            </w:r>
          </w:hyperlink>
        </w:p>
        <w:p>
          <w:pPr>
            <w:pStyle w:val="Contents4"/>
            <w:tabs>
              <w:tab w:val="clear" w:pos="8176"/>
              <w:tab w:val="right" w:pos="9026" w:leader="dot"/>
            </w:tabs>
            <w:rPr/>
          </w:pPr>
          <w:hyperlink w:anchor="__RefHeading___Toc487759_3406789950">
            <w:r>
              <w:rPr>
                <w:webHidden/>
                <w:rStyle w:val="IndexLink"/>
                <w:rtl w:val="true"/>
              </w:rPr>
              <w:t xml:space="preserve">القول </w:t>
            </w:r>
            <w:r>
              <w:rPr>
                <w:rStyle w:val="IndexLink"/>
                <w:rtl w:val="true"/>
              </w:rPr>
              <w:t xml:space="preserve">: </w:t>
            </w:r>
            <w:r>
              <w:rPr>
                <w:rStyle w:val="IndexLink"/>
                <w:rtl w:val="true"/>
              </w:rPr>
              <w:t>في التسليم</w:t>
            </w:r>
            <w:r>
              <w:rPr>
                <w:rStyle w:val="IndexLink"/>
                <w:rtl w:val="true"/>
              </w:rPr>
              <w:tab/>
            </w:r>
            <w:r>
              <w:rPr>
                <w:rStyle w:val="IndexLink"/>
              </w:rPr>
              <w:t>226</w:t>
            </w:r>
          </w:hyperlink>
        </w:p>
        <w:p>
          <w:pPr>
            <w:pStyle w:val="Contents4"/>
            <w:tabs>
              <w:tab w:val="clear" w:pos="8176"/>
              <w:tab w:val="right" w:pos="9026" w:leader="dot"/>
            </w:tabs>
            <w:rPr/>
          </w:pPr>
          <w:hyperlink w:anchor="__RefHeading___Toc487761_3406789950">
            <w:r>
              <w:rPr>
                <w:webHidden/>
                <w:rStyle w:val="IndexLink"/>
                <w:rtl w:val="true"/>
              </w:rPr>
              <w:t xml:space="preserve">القول </w:t>
            </w:r>
            <w:r>
              <w:rPr>
                <w:rStyle w:val="IndexLink"/>
                <w:rtl w:val="true"/>
              </w:rPr>
              <w:t xml:space="preserve">: </w:t>
            </w:r>
            <w:r>
              <w:rPr>
                <w:rStyle w:val="IndexLink"/>
                <w:rtl w:val="true"/>
              </w:rPr>
              <w:t>في الترتيب</w:t>
            </w:r>
            <w:r>
              <w:rPr>
                <w:rStyle w:val="IndexLink"/>
                <w:rtl w:val="true"/>
              </w:rPr>
              <w:tab/>
            </w:r>
            <w:r>
              <w:rPr>
                <w:rStyle w:val="IndexLink"/>
              </w:rPr>
              <w:t>226</w:t>
            </w:r>
          </w:hyperlink>
        </w:p>
        <w:p>
          <w:pPr>
            <w:pStyle w:val="Contents4"/>
            <w:tabs>
              <w:tab w:val="clear" w:pos="8176"/>
              <w:tab w:val="right" w:pos="9026" w:leader="dot"/>
            </w:tabs>
            <w:rPr/>
          </w:pPr>
          <w:hyperlink w:anchor="__RefHeading___Toc487763_3406789950">
            <w:r>
              <w:rPr>
                <w:webHidden/>
                <w:rStyle w:val="IndexLink"/>
                <w:rtl w:val="true"/>
              </w:rPr>
              <w:t xml:space="preserve">القول </w:t>
            </w:r>
            <w:r>
              <w:rPr>
                <w:rStyle w:val="IndexLink"/>
                <w:rtl w:val="true"/>
              </w:rPr>
              <w:t xml:space="preserve">: </w:t>
            </w:r>
            <w:r>
              <w:rPr>
                <w:rStyle w:val="IndexLink"/>
                <w:rtl w:val="true"/>
              </w:rPr>
              <w:t>في الموالاة</w:t>
            </w:r>
            <w:r>
              <w:rPr>
                <w:rStyle w:val="IndexLink"/>
                <w:rtl w:val="true"/>
              </w:rPr>
              <w:tab/>
            </w:r>
            <w:r>
              <w:rPr>
                <w:rStyle w:val="IndexLink"/>
              </w:rPr>
              <w:t>227</w:t>
            </w:r>
          </w:hyperlink>
        </w:p>
        <w:p>
          <w:pPr>
            <w:pStyle w:val="Contents4"/>
            <w:tabs>
              <w:tab w:val="clear" w:pos="8176"/>
              <w:tab w:val="right" w:pos="9026" w:leader="dot"/>
            </w:tabs>
            <w:rPr/>
          </w:pPr>
          <w:hyperlink w:anchor="__RefHeading___Toc487765_3406789950">
            <w:r>
              <w:rPr>
                <w:webHidden/>
                <w:rStyle w:val="IndexLink"/>
                <w:rtl w:val="true"/>
              </w:rPr>
              <w:t xml:space="preserve">القول </w:t>
            </w:r>
            <w:r>
              <w:rPr>
                <w:rStyle w:val="IndexLink"/>
                <w:rtl w:val="true"/>
              </w:rPr>
              <w:t xml:space="preserve">: </w:t>
            </w:r>
            <w:r>
              <w:rPr>
                <w:rStyle w:val="IndexLink"/>
                <w:rtl w:val="true"/>
              </w:rPr>
              <w:t>في القنوت</w:t>
            </w:r>
            <w:r>
              <w:rPr>
                <w:rStyle w:val="IndexLink"/>
                <w:rtl w:val="true"/>
              </w:rPr>
              <w:tab/>
            </w:r>
            <w:r>
              <w:rPr>
                <w:rStyle w:val="IndexLink"/>
              </w:rPr>
              <w:t>228</w:t>
            </w:r>
          </w:hyperlink>
        </w:p>
        <w:p>
          <w:pPr>
            <w:pStyle w:val="Contents4"/>
            <w:tabs>
              <w:tab w:val="clear" w:pos="8176"/>
              <w:tab w:val="right" w:pos="9026" w:leader="dot"/>
            </w:tabs>
            <w:rPr/>
          </w:pPr>
          <w:hyperlink w:anchor="__RefHeading___Toc487767_3406789950">
            <w:r>
              <w:rPr>
                <w:webHidden/>
                <w:rStyle w:val="IndexLink"/>
                <w:rtl w:val="true"/>
              </w:rPr>
              <w:t xml:space="preserve">القول </w:t>
            </w:r>
            <w:r>
              <w:rPr>
                <w:rStyle w:val="IndexLink"/>
                <w:rtl w:val="true"/>
              </w:rPr>
              <w:t xml:space="preserve">: </w:t>
            </w:r>
            <w:r>
              <w:rPr>
                <w:rStyle w:val="IndexLink"/>
                <w:rtl w:val="true"/>
              </w:rPr>
              <w:t>في التعقيب</w:t>
            </w:r>
            <w:r>
              <w:rPr>
                <w:rStyle w:val="IndexLink"/>
                <w:rtl w:val="true"/>
              </w:rPr>
              <w:tab/>
            </w:r>
            <w:r>
              <w:rPr>
                <w:rStyle w:val="IndexLink"/>
              </w:rPr>
              <w:t>229</w:t>
            </w:r>
          </w:hyperlink>
        </w:p>
        <w:p>
          <w:pPr>
            <w:pStyle w:val="Contents4"/>
            <w:tabs>
              <w:tab w:val="clear" w:pos="8176"/>
              <w:tab w:val="right" w:pos="9026" w:leader="dot"/>
            </w:tabs>
            <w:rPr/>
          </w:pPr>
          <w:hyperlink w:anchor="__RefHeading___Toc487769_3406789950">
            <w:r>
              <w:rPr>
                <w:webHidden/>
                <w:rStyle w:val="IndexLink"/>
                <w:rtl w:val="true"/>
              </w:rPr>
              <w:t xml:space="preserve">القول </w:t>
            </w:r>
            <w:r>
              <w:rPr>
                <w:rStyle w:val="IndexLink"/>
                <w:rtl w:val="true"/>
              </w:rPr>
              <w:t xml:space="preserve">: </w:t>
            </w:r>
            <w:r>
              <w:rPr>
                <w:rStyle w:val="IndexLink"/>
                <w:rtl w:val="true"/>
              </w:rPr>
              <w:t>في مبطلات الصلاة</w:t>
            </w:r>
            <w:r>
              <w:rPr>
                <w:rStyle w:val="IndexLink"/>
                <w:rtl w:val="true"/>
              </w:rPr>
              <w:tab/>
            </w:r>
            <w:r>
              <w:rPr>
                <w:rStyle w:val="IndexLink"/>
              </w:rPr>
              <w:t>232</w:t>
            </w:r>
          </w:hyperlink>
        </w:p>
        <w:p>
          <w:pPr>
            <w:pStyle w:val="Contents4"/>
            <w:tabs>
              <w:tab w:val="clear" w:pos="8176"/>
              <w:tab w:val="right" w:pos="9026" w:leader="dot"/>
            </w:tabs>
            <w:rPr/>
          </w:pPr>
          <w:hyperlink w:anchor="__RefHeading___Toc487771_3406789950">
            <w:r>
              <w:rPr>
                <w:webHidden/>
                <w:rStyle w:val="IndexLink"/>
                <w:rtl w:val="true"/>
              </w:rPr>
              <w:t xml:space="preserve">القول </w:t>
            </w:r>
            <w:r>
              <w:rPr>
                <w:rStyle w:val="IndexLink"/>
                <w:rtl w:val="true"/>
              </w:rPr>
              <w:t xml:space="preserve">: </w:t>
            </w:r>
            <w:r>
              <w:rPr>
                <w:rStyle w:val="IndexLink"/>
                <w:rtl w:val="true"/>
              </w:rPr>
              <w:t>في صلاة الآيات</w:t>
            </w:r>
            <w:r>
              <w:rPr>
                <w:rStyle w:val="IndexLink"/>
                <w:rtl w:val="true"/>
              </w:rPr>
              <w:tab/>
            </w:r>
            <w:r>
              <w:rPr>
                <w:rStyle w:val="IndexLink"/>
              </w:rPr>
              <w:t>238</w:t>
            </w:r>
          </w:hyperlink>
        </w:p>
        <w:p>
          <w:pPr>
            <w:pStyle w:val="Contents4"/>
            <w:tabs>
              <w:tab w:val="clear" w:pos="8176"/>
              <w:tab w:val="right" w:pos="9026" w:leader="dot"/>
            </w:tabs>
            <w:rPr/>
          </w:pPr>
          <w:hyperlink w:anchor="__RefHeading___Toc487773_3406789950">
            <w:r>
              <w:rPr>
                <w:webHidden/>
                <w:rStyle w:val="IndexLink"/>
                <w:rtl w:val="true"/>
              </w:rPr>
              <w:t xml:space="preserve">القول </w:t>
            </w:r>
            <w:r>
              <w:rPr>
                <w:rStyle w:val="IndexLink"/>
                <w:rtl w:val="true"/>
              </w:rPr>
              <w:t xml:space="preserve">: </w:t>
            </w:r>
            <w:r>
              <w:rPr>
                <w:rStyle w:val="IndexLink"/>
                <w:rtl w:val="true"/>
              </w:rPr>
              <w:t>في الخلل الواقع في الصلاة</w:t>
            </w:r>
            <w:r>
              <w:rPr>
                <w:rStyle w:val="IndexLink"/>
                <w:rtl w:val="true"/>
              </w:rPr>
              <w:tab/>
            </w:r>
            <w:r>
              <w:rPr>
                <w:rStyle w:val="IndexLink"/>
              </w:rPr>
              <w:t>243</w:t>
            </w:r>
          </w:hyperlink>
        </w:p>
        <w:p>
          <w:pPr>
            <w:pStyle w:val="Contents4"/>
            <w:tabs>
              <w:tab w:val="clear" w:pos="8176"/>
              <w:tab w:val="right" w:pos="9026" w:leader="dot"/>
            </w:tabs>
            <w:rPr/>
          </w:pPr>
          <w:hyperlink w:anchor="__RefHeading___Toc487775_3406789950">
            <w:r>
              <w:rPr>
                <w:webHidden/>
                <w:rStyle w:val="IndexLink"/>
                <w:rtl w:val="true"/>
              </w:rPr>
              <w:t xml:space="preserve">القول </w:t>
            </w:r>
            <w:r>
              <w:rPr>
                <w:rStyle w:val="IndexLink"/>
                <w:rtl w:val="true"/>
              </w:rPr>
              <w:t xml:space="preserve">: </w:t>
            </w:r>
            <w:r>
              <w:rPr>
                <w:rStyle w:val="IndexLink"/>
                <w:rtl w:val="true"/>
              </w:rPr>
              <w:t>في الشكّ</w:t>
            </w:r>
            <w:r>
              <w:rPr>
                <w:rStyle w:val="IndexLink"/>
                <w:rtl w:val="true"/>
              </w:rPr>
              <w:tab/>
            </w:r>
            <w:r>
              <w:rPr>
                <w:rStyle w:val="IndexLink"/>
              </w:rPr>
              <w:t>247</w:t>
            </w:r>
          </w:hyperlink>
        </w:p>
        <w:p>
          <w:pPr>
            <w:pStyle w:val="Contents4"/>
            <w:tabs>
              <w:tab w:val="clear" w:pos="8176"/>
              <w:tab w:val="right" w:pos="9026" w:leader="dot"/>
            </w:tabs>
            <w:rPr/>
          </w:pPr>
          <w:hyperlink w:anchor="__RefHeading___Toc487777_3406789950">
            <w:r>
              <w:rPr>
                <w:webHidden/>
                <w:rStyle w:val="IndexLink"/>
                <w:rtl w:val="true"/>
              </w:rPr>
              <w:t xml:space="preserve">القول </w:t>
            </w:r>
            <w:r>
              <w:rPr>
                <w:rStyle w:val="IndexLink"/>
                <w:rtl w:val="true"/>
              </w:rPr>
              <w:t xml:space="preserve">: </w:t>
            </w:r>
            <w:r>
              <w:rPr>
                <w:rStyle w:val="IndexLink"/>
                <w:rtl w:val="true"/>
              </w:rPr>
              <w:t>في الشكّ في شيء من أفعال الصلاة</w:t>
            </w:r>
            <w:r>
              <w:rPr>
                <w:rStyle w:val="IndexLink"/>
                <w:rtl w:val="true"/>
              </w:rPr>
              <w:tab/>
            </w:r>
            <w:r>
              <w:rPr>
                <w:rStyle w:val="IndexLink"/>
              </w:rPr>
              <w:t>249</w:t>
            </w:r>
          </w:hyperlink>
        </w:p>
        <w:p>
          <w:pPr>
            <w:pStyle w:val="Contents4"/>
            <w:tabs>
              <w:tab w:val="clear" w:pos="8176"/>
              <w:tab w:val="right" w:pos="9026" w:leader="dot"/>
            </w:tabs>
            <w:rPr/>
          </w:pPr>
          <w:hyperlink w:anchor="__RefHeading___Toc487779_3406789950">
            <w:r>
              <w:rPr>
                <w:webHidden/>
                <w:rStyle w:val="IndexLink"/>
                <w:rtl w:val="true"/>
              </w:rPr>
              <w:t xml:space="preserve">القول </w:t>
            </w:r>
            <w:r>
              <w:rPr>
                <w:rStyle w:val="IndexLink"/>
                <w:rtl w:val="true"/>
              </w:rPr>
              <w:t xml:space="preserve">: </w:t>
            </w:r>
            <w:r>
              <w:rPr>
                <w:rStyle w:val="IndexLink"/>
                <w:rtl w:val="true"/>
              </w:rPr>
              <w:t>في الشكّ في عدد ركعات الفريضة</w:t>
            </w:r>
            <w:r>
              <w:rPr>
                <w:rStyle w:val="IndexLink"/>
                <w:rtl w:val="true"/>
              </w:rPr>
              <w:tab/>
            </w:r>
            <w:r>
              <w:rPr>
                <w:rStyle w:val="IndexLink"/>
              </w:rPr>
              <w:t>251</w:t>
            </w:r>
          </w:hyperlink>
        </w:p>
        <w:p>
          <w:pPr>
            <w:pStyle w:val="Contents4"/>
            <w:tabs>
              <w:tab w:val="clear" w:pos="8176"/>
              <w:tab w:val="right" w:pos="9026" w:leader="dot"/>
            </w:tabs>
            <w:rPr/>
          </w:pPr>
          <w:hyperlink w:anchor="__RefHeading___Toc487781_3406789950">
            <w:r>
              <w:rPr>
                <w:webHidden/>
                <w:rStyle w:val="IndexLink"/>
                <w:rtl w:val="true"/>
              </w:rPr>
              <w:t xml:space="preserve">القول </w:t>
            </w:r>
            <w:r>
              <w:rPr>
                <w:rStyle w:val="IndexLink"/>
                <w:rtl w:val="true"/>
              </w:rPr>
              <w:t xml:space="preserve">: </w:t>
            </w:r>
            <w:r>
              <w:rPr>
                <w:rStyle w:val="IndexLink"/>
                <w:rtl w:val="true"/>
              </w:rPr>
              <w:t>في الشكوك التي لا اعتبار بها</w:t>
            </w:r>
            <w:r>
              <w:rPr>
                <w:rStyle w:val="IndexLink"/>
                <w:rtl w:val="true"/>
              </w:rPr>
              <w:tab/>
            </w:r>
            <w:r>
              <w:rPr>
                <w:rStyle w:val="IndexLink"/>
              </w:rPr>
              <w:t>257</w:t>
            </w:r>
          </w:hyperlink>
        </w:p>
        <w:p>
          <w:pPr>
            <w:pStyle w:val="Contents4"/>
            <w:tabs>
              <w:tab w:val="clear" w:pos="8176"/>
              <w:tab w:val="right" w:pos="9026" w:leader="dot"/>
            </w:tabs>
            <w:rPr/>
          </w:pPr>
          <w:hyperlink w:anchor="__RefHeading___Toc487783_3406789950">
            <w:r>
              <w:rPr>
                <w:webHidden/>
                <w:rStyle w:val="IndexLink"/>
                <w:rtl w:val="true"/>
              </w:rPr>
              <w:t xml:space="preserve">القول </w:t>
            </w:r>
            <w:r>
              <w:rPr>
                <w:rStyle w:val="IndexLink"/>
                <w:rtl w:val="true"/>
              </w:rPr>
              <w:t xml:space="preserve">: </w:t>
            </w:r>
            <w:r>
              <w:rPr>
                <w:rStyle w:val="IndexLink"/>
                <w:rtl w:val="true"/>
              </w:rPr>
              <w:t>في حكم الظنّ في أفعال الصلاة وركعاتها</w:t>
            </w:r>
            <w:r>
              <w:rPr>
                <w:rStyle w:val="IndexLink"/>
                <w:rtl w:val="true"/>
              </w:rPr>
              <w:tab/>
            </w:r>
            <w:r>
              <w:rPr>
                <w:rStyle w:val="IndexLink"/>
              </w:rPr>
              <w:t>260</w:t>
            </w:r>
          </w:hyperlink>
        </w:p>
        <w:p>
          <w:pPr>
            <w:pStyle w:val="Contents4"/>
            <w:tabs>
              <w:tab w:val="clear" w:pos="8176"/>
              <w:tab w:val="right" w:pos="9026" w:leader="dot"/>
            </w:tabs>
            <w:rPr/>
          </w:pPr>
          <w:hyperlink w:anchor="__RefHeading___Toc487785_3406789950">
            <w:r>
              <w:rPr>
                <w:webHidden/>
                <w:rStyle w:val="IndexLink"/>
                <w:rtl w:val="true"/>
              </w:rPr>
              <w:t xml:space="preserve">القول </w:t>
            </w:r>
            <w:r>
              <w:rPr>
                <w:rStyle w:val="IndexLink"/>
                <w:rtl w:val="true"/>
              </w:rPr>
              <w:t xml:space="preserve">: </w:t>
            </w:r>
            <w:r>
              <w:rPr>
                <w:rStyle w:val="IndexLink"/>
                <w:rtl w:val="true"/>
              </w:rPr>
              <w:t>في ركعات الاحتياط</w:t>
            </w:r>
            <w:r>
              <w:rPr>
                <w:rStyle w:val="IndexLink"/>
                <w:rtl w:val="true"/>
              </w:rPr>
              <w:tab/>
            </w:r>
            <w:r>
              <w:rPr>
                <w:rStyle w:val="IndexLink"/>
              </w:rPr>
              <w:t>261</w:t>
            </w:r>
          </w:hyperlink>
        </w:p>
        <w:p>
          <w:pPr>
            <w:pStyle w:val="Contents4"/>
            <w:tabs>
              <w:tab w:val="clear" w:pos="8176"/>
              <w:tab w:val="right" w:pos="9026" w:leader="dot"/>
            </w:tabs>
            <w:rPr/>
          </w:pPr>
          <w:hyperlink w:anchor="__RefHeading___Toc487787_3406789950">
            <w:r>
              <w:rPr>
                <w:webHidden/>
                <w:rStyle w:val="IndexLink"/>
                <w:rtl w:val="true"/>
              </w:rPr>
              <w:t xml:space="preserve">القول </w:t>
            </w:r>
            <w:r>
              <w:rPr>
                <w:rStyle w:val="IndexLink"/>
                <w:rtl w:val="true"/>
              </w:rPr>
              <w:t xml:space="preserve">: </w:t>
            </w:r>
            <w:r>
              <w:rPr>
                <w:rStyle w:val="IndexLink"/>
                <w:rtl w:val="true"/>
              </w:rPr>
              <w:t>في الأجزاء المنسيّة</w:t>
            </w:r>
            <w:r>
              <w:rPr>
                <w:rStyle w:val="IndexLink"/>
                <w:rtl w:val="true"/>
              </w:rPr>
              <w:tab/>
            </w:r>
            <w:r>
              <w:rPr>
                <w:rStyle w:val="IndexLink"/>
              </w:rPr>
              <w:t>263</w:t>
            </w:r>
          </w:hyperlink>
        </w:p>
        <w:p>
          <w:pPr>
            <w:pStyle w:val="Contents4"/>
            <w:tabs>
              <w:tab w:val="clear" w:pos="8176"/>
              <w:tab w:val="right" w:pos="9026" w:leader="dot"/>
            </w:tabs>
            <w:rPr/>
          </w:pPr>
          <w:hyperlink w:anchor="__RefHeading___Toc487789_3406789950">
            <w:r>
              <w:rPr>
                <w:webHidden/>
                <w:rStyle w:val="IndexLink"/>
                <w:rtl w:val="true"/>
              </w:rPr>
              <w:t xml:space="preserve">القول </w:t>
            </w:r>
            <w:r>
              <w:rPr>
                <w:rStyle w:val="IndexLink"/>
                <w:rtl w:val="true"/>
              </w:rPr>
              <w:t xml:space="preserve">: </w:t>
            </w:r>
            <w:r>
              <w:rPr>
                <w:rStyle w:val="IndexLink"/>
                <w:rtl w:val="true"/>
              </w:rPr>
              <w:t>في سجود السهو</w:t>
            </w:r>
            <w:r>
              <w:rPr>
                <w:rStyle w:val="IndexLink"/>
                <w:rtl w:val="true"/>
              </w:rPr>
              <w:tab/>
            </w:r>
            <w:r>
              <w:rPr>
                <w:rStyle w:val="IndexLink"/>
              </w:rPr>
              <w:t>265</w:t>
            </w:r>
          </w:hyperlink>
        </w:p>
        <w:p>
          <w:pPr>
            <w:pStyle w:val="Contents4"/>
            <w:tabs>
              <w:tab w:val="clear" w:pos="8176"/>
              <w:tab w:val="right" w:pos="9026" w:leader="dot"/>
            </w:tabs>
            <w:rPr/>
          </w:pPr>
          <w:hyperlink w:anchor="__RefHeading___Toc487791_3406789950">
            <w:r>
              <w:rPr>
                <w:webHidden/>
                <w:rStyle w:val="IndexLink"/>
                <w:rtl w:val="true"/>
              </w:rPr>
              <w:t xml:space="preserve">القول </w:t>
            </w:r>
            <w:r>
              <w:rPr>
                <w:rStyle w:val="IndexLink"/>
                <w:rtl w:val="true"/>
              </w:rPr>
              <w:t xml:space="preserve">: </w:t>
            </w:r>
            <w:r>
              <w:rPr>
                <w:rStyle w:val="IndexLink"/>
                <w:rtl w:val="true"/>
              </w:rPr>
              <w:t>في صلاة القضاء</w:t>
            </w:r>
            <w:r>
              <w:rPr>
                <w:rStyle w:val="IndexLink"/>
                <w:rtl w:val="true"/>
              </w:rPr>
              <w:tab/>
            </w:r>
            <w:r>
              <w:rPr>
                <w:rStyle w:val="IndexLink"/>
              </w:rPr>
              <w:t>267</w:t>
            </w:r>
          </w:hyperlink>
        </w:p>
        <w:p>
          <w:pPr>
            <w:pStyle w:val="Contents4"/>
            <w:tabs>
              <w:tab w:val="clear" w:pos="8176"/>
              <w:tab w:val="right" w:pos="9026" w:leader="dot"/>
            </w:tabs>
            <w:rPr/>
          </w:pPr>
          <w:hyperlink w:anchor="__RefHeading___Toc487793_3406789950">
            <w:r>
              <w:rPr>
                <w:webHidden/>
                <w:rStyle w:val="IndexLink"/>
                <w:rtl w:val="true"/>
              </w:rPr>
              <w:t xml:space="preserve">القول </w:t>
            </w:r>
            <w:r>
              <w:rPr>
                <w:rStyle w:val="IndexLink"/>
                <w:rtl w:val="true"/>
              </w:rPr>
              <w:t xml:space="preserve">: </w:t>
            </w:r>
            <w:r>
              <w:rPr>
                <w:rStyle w:val="IndexLink"/>
                <w:rtl w:val="true"/>
              </w:rPr>
              <w:t>في صلاة الاستئجار</w:t>
            </w:r>
            <w:r>
              <w:rPr>
                <w:rStyle w:val="IndexLink"/>
                <w:rtl w:val="true"/>
              </w:rPr>
              <w:tab/>
            </w:r>
            <w:r>
              <w:rPr>
                <w:rStyle w:val="IndexLink"/>
              </w:rPr>
              <w:t>273</w:t>
            </w:r>
          </w:hyperlink>
        </w:p>
        <w:p>
          <w:pPr>
            <w:pStyle w:val="Contents4"/>
            <w:tabs>
              <w:tab w:val="clear" w:pos="8176"/>
              <w:tab w:val="right" w:pos="9026" w:leader="dot"/>
            </w:tabs>
            <w:rPr/>
          </w:pPr>
          <w:hyperlink w:anchor="__RefHeading___Toc487795_3406789950">
            <w:r>
              <w:rPr>
                <w:webHidden/>
                <w:rStyle w:val="IndexLink"/>
                <w:rtl w:val="true"/>
              </w:rPr>
              <w:t xml:space="preserve">القول في صلاة العيدين </w:t>
            </w:r>
            <w:r>
              <w:rPr>
                <w:rStyle w:val="IndexLink"/>
                <w:rtl w:val="true"/>
              </w:rPr>
              <w:t xml:space="preserve">: </w:t>
            </w:r>
            <w:r>
              <w:rPr>
                <w:rStyle w:val="IndexLink"/>
                <w:rtl w:val="true"/>
              </w:rPr>
              <w:t>الفطر والأضحى</w:t>
            </w:r>
            <w:r>
              <w:rPr>
                <w:rStyle w:val="IndexLink"/>
                <w:rtl w:val="true"/>
              </w:rPr>
              <w:tab/>
            </w:r>
            <w:r>
              <w:rPr>
                <w:rStyle w:val="IndexLink"/>
              </w:rPr>
              <w:t>277</w:t>
            </w:r>
          </w:hyperlink>
        </w:p>
        <w:p>
          <w:pPr>
            <w:pStyle w:val="Contents4"/>
            <w:tabs>
              <w:tab w:val="clear" w:pos="8176"/>
              <w:tab w:val="right" w:pos="9026" w:leader="dot"/>
            </w:tabs>
            <w:rPr/>
          </w:pPr>
          <w:hyperlink w:anchor="__RefHeading___Toc487797_3406789950">
            <w:r>
              <w:rPr>
                <w:webHidden/>
                <w:rStyle w:val="IndexLink"/>
                <w:rtl w:val="true"/>
              </w:rPr>
              <w:t xml:space="preserve">القول </w:t>
            </w:r>
            <w:r>
              <w:rPr>
                <w:rStyle w:val="IndexLink"/>
                <w:rtl w:val="true"/>
              </w:rPr>
              <w:t xml:space="preserve">: </w:t>
            </w:r>
            <w:r>
              <w:rPr>
                <w:rStyle w:val="IndexLink"/>
                <w:rtl w:val="true"/>
              </w:rPr>
              <w:t>في بعض الصلوات المندوبة</w:t>
            </w:r>
            <w:r>
              <w:rPr>
                <w:rStyle w:val="IndexLink"/>
                <w:rtl w:val="true"/>
              </w:rPr>
              <w:tab/>
            </w:r>
            <w:r>
              <w:rPr>
                <w:rStyle w:val="IndexLink"/>
              </w:rPr>
              <w:t>279</w:t>
            </w:r>
          </w:hyperlink>
        </w:p>
        <w:p>
          <w:pPr>
            <w:pStyle w:val="Contents4"/>
            <w:tabs>
              <w:tab w:val="clear" w:pos="8176"/>
              <w:tab w:val="right" w:pos="9026" w:leader="dot"/>
            </w:tabs>
            <w:rPr/>
          </w:pPr>
          <w:hyperlink w:anchor="__RefHeading___Toc487799_3406789950">
            <w:r>
              <w:rPr>
                <w:webHidden/>
                <w:rStyle w:val="IndexLink"/>
                <w:rtl w:val="true"/>
              </w:rPr>
              <w:t xml:space="preserve">فمنها </w:t>
            </w:r>
            <w:r>
              <w:rPr>
                <w:rStyle w:val="IndexLink"/>
                <w:rtl w:val="true"/>
              </w:rPr>
              <w:t xml:space="preserve">: </w:t>
            </w:r>
            <w:r>
              <w:rPr>
                <w:rStyle w:val="IndexLink"/>
                <w:rtl w:val="true"/>
              </w:rPr>
              <w:t>صلاة جعفر بن أبي طالب</w:t>
            </w:r>
            <w:r>
              <w:rPr>
                <w:rStyle w:val="IndexLink"/>
                <w:rtl w:val="true"/>
              </w:rPr>
              <w:tab/>
            </w:r>
            <w:r>
              <w:rPr>
                <w:rStyle w:val="IndexLink"/>
              </w:rPr>
              <w:t>279</w:t>
            </w:r>
          </w:hyperlink>
        </w:p>
        <w:p>
          <w:pPr>
            <w:pStyle w:val="Contents4"/>
            <w:tabs>
              <w:tab w:val="clear" w:pos="8176"/>
              <w:tab w:val="right" w:pos="9026" w:leader="dot"/>
            </w:tabs>
            <w:rPr/>
          </w:pPr>
          <w:hyperlink w:anchor="__RefHeading___Toc487801_3406789950">
            <w:r>
              <w:rPr>
                <w:webHidden/>
                <w:rStyle w:val="IndexLink"/>
                <w:rtl w:val="true"/>
              </w:rPr>
              <w:t xml:space="preserve">ومنها </w:t>
            </w:r>
            <w:r>
              <w:rPr>
                <w:rStyle w:val="IndexLink"/>
                <w:rtl w:val="true"/>
              </w:rPr>
              <w:t xml:space="preserve">: </w:t>
            </w:r>
            <w:r>
              <w:rPr>
                <w:rStyle w:val="IndexLink"/>
                <w:rtl w:val="true"/>
              </w:rPr>
              <w:t>صلاة الغفيلة</w:t>
            </w:r>
            <w:r>
              <w:rPr>
                <w:rStyle w:val="IndexLink"/>
                <w:rtl w:val="true"/>
              </w:rPr>
              <w:tab/>
            </w:r>
            <w:r>
              <w:rPr>
                <w:rStyle w:val="IndexLink"/>
              </w:rPr>
              <w:t>281</w:t>
            </w:r>
          </w:hyperlink>
        </w:p>
        <w:p>
          <w:pPr>
            <w:pStyle w:val="Contents4"/>
            <w:tabs>
              <w:tab w:val="clear" w:pos="8176"/>
              <w:tab w:val="right" w:pos="9026" w:leader="dot"/>
            </w:tabs>
            <w:rPr/>
          </w:pPr>
          <w:hyperlink w:anchor="__RefHeading___Toc487803_3406789950">
            <w:r>
              <w:rPr>
                <w:webHidden/>
                <w:rStyle w:val="IndexLink"/>
                <w:rtl w:val="true"/>
              </w:rPr>
              <w:t xml:space="preserve">ومنها </w:t>
            </w:r>
            <w:r>
              <w:rPr>
                <w:rStyle w:val="IndexLink"/>
                <w:rtl w:val="true"/>
              </w:rPr>
              <w:t xml:space="preserve">: </w:t>
            </w:r>
            <w:r>
              <w:rPr>
                <w:rStyle w:val="IndexLink"/>
                <w:rtl w:val="true"/>
              </w:rPr>
              <w:t>صلاة أوّل كلّ شهر</w:t>
            </w:r>
            <w:r>
              <w:rPr>
                <w:rStyle w:val="IndexLink"/>
                <w:rtl w:val="true"/>
              </w:rPr>
              <w:tab/>
            </w:r>
            <w:r>
              <w:rPr>
                <w:rStyle w:val="IndexLink"/>
              </w:rPr>
              <w:t>282</w:t>
            </w:r>
          </w:hyperlink>
        </w:p>
        <w:p>
          <w:pPr>
            <w:pStyle w:val="Contents3"/>
            <w:tabs>
              <w:tab w:val="clear" w:pos="8459"/>
              <w:tab w:val="right" w:pos="9026" w:leader="dot"/>
            </w:tabs>
            <w:rPr/>
          </w:pPr>
          <w:hyperlink w:anchor="__RefHeading___Toc487805_3406789950">
            <w:r>
              <w:rPr>
                <w:webHidden/>
                <w:rStyle w:val="IndexLink"/>
                <w:rtl w:val="true"/>
              </w:rPr>
              <w:t xml:space="preserve">فصل </w:t>
            </w:r>
            <w:r>
              <w:rPr>
                <w:rStyle w:val="IndexLink"/>
                <w:rtl w:val="true"/>
              </w:rPr>
              <w:t xml:space="preserve">: </w:t>
            </w:r>
            <w:r>
              <w:rPr>
                <w:rStyle w:val="IndexLink"/>
                <w:rtl w:val="true"/>
              </w:rPr>
              <w:t>في صلاة المسافر</w:t>
            </w:r>
            <w:r>
              <w:rPr>
                <w:rStyle w:val="IndexLink"/>
                <w:rtl w:val="true"/>
              </w:rPr>
              <w:tab/>
            </w:r>
            <w:r>
              <w:rPr>
                <w:rStyle w:val="IndexLink"/>
              </w:rPr>
              <w:t>284</w:t>
            </w:r>
          </w:hyperlink>
        </w:p>
        <w:p>
          <w:pPr>
            <w:pStyle w:val="Contents4"/>
            <w:tabs>
              <w:tab w:val="clear" w:pos="8176"/>
              <w:tab w:val="right" w:pos="9026" w:leader="dot"/>
            </w:tabs>
            <w:rPr/>
          </w:pPr>
          <w:hyperlink w:anchor="__RefHeading___Toc487807_340678995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487809_3406789950">
            <w:r>
              <w:rPr>
                <w:webHidden/>
                <w:rStyle w:val="IndexLink"/>
                <w:rtl w:val="true"/>
              </w:rPr>
              <w:t xml:space="preserve">القول </w:t>
            </w:r>
            <w:r>
              <w:rPr>
                <w:rStyle w:val="IndexLink"/>
                <w:rtl w:val="true"/>
              </w:rPr>
              <w:t xml:space="preserve">: </w:t>
            </w:r>
            <w:r>
              <w:rPr>
                <w:rStyle w:val="IndexLink"/>
                <w:rtl w:val="true"/>
              </w:rPr>
              <w:t>في قواطع السفر</w:t>
            </w:r>
            <w:r>
              <w:rPr>
                <w:rStyle w:val="IndexLink"/>
                <w:rtl w:val="true"/>
              </w:rPr>
              <w:tab/>
            </w:r>
            <w:r>
              <w:rPr>
                <w:rStyle w:val="IndexLink"/>
              </w:rPr>
              <w:t>296</w:t>
            </w:r>
          </w:hyperlink>
        </w:p>
        <w:p>
          <w:pPr>
            <w:pStyle w:val="Contents4"/>
            <w:tabs>
              <w:tab w:val="clear" w:pos="8176"/>
              <w:tab w:val="right" w:pos="9026" w:leader="dot"/>
            </w:tabs>
            <w:rPr/>
          </w:pPr>
          <w:hyperlink w:anchor="__RefHeading___Toc487811_3406789950">
            <w:r>
              <w:rPr>
                <w:webHidden/>
                <w:rStyle w:val="IndexLink"/>
                <w:rtl w:val="true"/>
              </w:rPr>
              <w:t xml:space="preserve">القول </w:t>
            </w:r>
            <w:r>
              <w:rPr>
                <w:rStyle w:val="IndexLink"/>
                <w:rtl w:val="true"/>
              </w:rPr>
              <w:t xml:space="preserve">: </w:t>
            </w:r>
            <w:r>
              <w:rPr>
                <w:rStyle w:val="IndexLink"/>
                <w:rtl w:val="true"/>
              </w:rPr>
              <w:t>في أحكام المسافر</w:t>
            </w:r>
            <w:r>
              <w:rPr>
                <w:rStyle w:val="IndexLink"/>
                <w:rtl w:val="true"/>
              </w:rPr>
              <w:tab/>
            </w:r>
            <w:r>
              <w:rPr>
                <w:rStyle w:val="IndexLink"/>
              </w:rPr>
              <w:t>303</w:t>
            </w:r>
          </w:hyperlink>
        </w:p>
        <w:p>
          <w:pPr>
            <w:pStyle w:val="Contents3"/>
            <w:tabs>
              <w:tab w:val="clear" w:pos="8459"/>
              <w:tab w:val="right" w:pos="9026" w:leader="dot"/>
            </w:tabs>
            <w:rPr/>
          </w:pPr>
          <w:hyperlink w:anchor="__RefHeading___Toc487813_3406789950">
            <w:r>
              <w:rPr>
                <w:webHidden/>
                <w:rStyle w:val="IndexLink"/>
                <w:rtl w:val="true"/>
              </w:rPr>
              <w:t xml:space="preserve">فصل </w:t>
            </w:r>
            <w:r>
              <w:rPr>
                <w:rStyle w:val="IndexLink"/>
                <w:rtl w:val="true"/>
              </w:rPr>
              <w:t xml:space="preserve">: </w:t>
            </w:r>
            <w:r>
              <w:rPr>
                <w:rStyle w:val="IndexLink"/>
                <w:rtl w:val="true"/>
              </w:rPr>
              <w:t>في صلاة الجماعة</w:t>
            </w:r>
            <w:r>
              <w:rPr>
                <w:rStyle w:val="IndexLink"/>
                <w:rtl w:val="true"/>
              </w:rPr>
              <w:tab/>
            </w:r>
            <w:r>
              <w:rPr>
                <w:rStyle w:val="IndexLink"/>
              </w:rPr>
              <w:t>305</w:t>
            </w:r>
          </w:hyperlink>
        </w:p>
        <w:p>
          <w:pPr>
            <w:pStyle w:val="Contents4"/>
            <w:tabs>
              <w:tab w:val="clear" w:pos="8176"/>
              <w:tab w:val="right" w:pos="9026" w:leader="dot"/>
            </w:tabs>
            <w:rPr/>
          </w:pPr>
          <w:hyperlink w:anchor="__RefHeading___Toc487815_340678995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487817_3406789950">
            <w:r>
              <w:rPr>
                <w:webHidden/>
                <w:rStyle w:val="IndexLink"/>
                <w:rtl w:val="true"/>
              </w:rPr>
              <w:t xml:space="preserve">القول </w:t>
            </w:r>
            <w:r>
              <w:rPr>
                <w:rStyle w:val="IndexLink"/>
                <w:rtl w:val="true"/>
              </w:rPr>
              <w:t xml:space="preserve">: </w:t>
            </w:r>
            <w:r>
              <w:rPr>
                <w:rStyle w:val="IndexLink"/>
                <w:rtl w:val="true"/>
              </w:rPr>
              <w:t>في شرائط الجماعة</w:t>
            </w:r>
            <w:r>
              <w:rPr>
                <w:rStyle w:val="IndexLink"/>
                <w:rtl w:val="true"/>
              </w:rPr>
              <w:tab/>
            </w:r>
            <w:r>
              <w:rPr>
                <w:rStyle w:val="IndexLink"/>
              </w:rPr>
              <w:t>310</w:t>
            </w:r>
          </w:hyperlink>
        </w:p>
        <w:p>
          <w:pPr>
            <w:pStyle w:val="Contents4"/>
            <w:tabs>
              <w:tab w:val="clear" w:pos="8176"/>
              <w:tab w:val="right" w:pos="9026" w:leader="dot"/>
            </w:tabs>
            <w:rPr/>
          </w:pPr>
          <w:hyperlink w:anchor="__RefHeading___Toc487819_3406789950">
            <w:r>
              <w:rPr>
                <w:webHidden/>
                <w:rStyle w:val="IndexLink"/>
                <w:rtl w:val="true"/>
              </w:rPr>
              <w:t xml:space="preserve">القول </w:t>
            </w:r>
            <w:r>
              <w:rPr>
                <w:rStyle w:val="IndexLink"/>
                <w:rtl w:val="true"/>
              </w:rPr>
              <w:t xml:space="preserve">: </w:t>
            </w:r>
            <w:r>
              <w:rPr>
                <w:rStyle w:val="IndexLink"/>
                <w:rtl w:val="true"/>
              </w:rPr>
              <w:t>في أحكام الجماعة</w:t>
            </w:r>
            <w:r>
              <w:rPr>
                <w:rStyle w:val="IndexLink"/>
                <w:rtl w:val="true"/>
              </w:rPr>
              <w:tab/>
            </w:r>
            <w:r>
              <w:rPr>
                <w:rStyle w:val="IndexLink"/>
              </w:rPr>
              <w:t>312</w:t>
            </w:r>
          </w:hyperlink>
        </w:p>
        <w:p>
          <w:pPr>
            <w:pStyle w:val="Contents4"/>
            <w:tabs>
              <w:tab w:val="clear" w:pos="8176"/>
              <w:tab w:val="right" w:pos="9026" w:leader="dot"/>
            </w:tabs>
            <w:rPr/>
          </w:pPr>
          <w:hyperlink w:anchor="__RefHeading___Toc487821_3406789950">
            <w:r>
              <w:rPr>
                <w:webHidden/>
                <w:rStyle w:val="IndexLink"/>
                <w:rtl w:val="true"/>
              </w:rPr>
              <w:t xml:space="preserve">القول </w:t>
            </w:r>
            <w:r>
              <w:rPr>
                <w:rStyle w:val="IndexLink"/>
                <w:rtl w:val="true"/>
              </w:rPr>
              <w:t xml:space="preserve">: </w:t>
            </w:r>
            <w:r>
              <w:rPr>
                <w:rStyle w:val="IndexLink"/>
                <w:rtl w:val="true"/>
              </w:rPr>
              <w:t>في شرائط إمام الجماعة</w:t>
            </w:r>
            <w:r>
              <w:rPr>
                <w:rStyle w:val="IndexLink"/>
                <w:rtl w:val="true"/>
              </w:rPr>
              <w:tab/>
            </w:r>
            <w:r>
              <w:rPr>
                <w:rStyle w:val="IndexLink"/>
              </w:rPr>
              <w:t>316</w:t>
            </w:r>
          </w:hyperlink>
        </w:p>
        <w:p>
          <w:pPr>
            <w:pStyle w:val="Contents2"/>
            <w:tabs>
              <w:tab w:val="clear" w:pos="8743"/>
              <w:tab w:val="right" w:pos="9026" w:leader="dot"/>
            </w:tabs>
            <w:rPr/>
          </w:pPr>
          <w:hyperlink w:anchor="__RefHeading___Toc487823_3406789950">
            <w:r>
              <w:rPr>
                <w:webHidden/>
                <w:rStyle w:val="IndexLink"/>
                <w:rtl w:val="true"/>
              </w:rPr>
              <w:t>كتاب الصوم</w:t>
            </w:r>
            <w:r>
              <w:rPr>
                <w:rStyle w:val="IndexLink"/>
                <w:rtl w:val="true"/>
              </w:rPr>
              <w:tab/>
            </w:r>
            <w:r>
              <w:rPr>
                <w:rStyle w:val="IndexLink"/>
              </w:rPr>
              <w:t>322</w:t>
            </w:r>
          </w:hyperlink>
        </w:p>
        <w:p>
          <w:pPr>
            <w:pStyle w:val="Contents3"/>
            <w:tabs>
              <w:tab w:val="clear" w:pos="8459"/>
              <w:tab w:val="right" w:pos="9026" w:leader="dot"/>
            </w:tabs>
            <w:rPr/>
          </w:pPr>
          <w:hyperlink w:anchor="__RefHeading___Toc487825_3406789950">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487827_3406789950">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322</w:t>
            </w:r>
          </w:hyperlink>
        </w:p>
        <w:p>
          <w:pPr>
            <w:pStyle w:val="Contents3"/>
            <w:tabs>
              <w:tab w:val="clear" w:pos="8459"/>
              <w:tab w:val="right" w:pos="9026" w:leader="dot"/>
            </w:tabs>
            <w:rPr/>
          </w:pPr>
          <w:hyperlink w:anchor="__RefHeading___Toc487829_3406789950">
            <w:r>
              <w:rPr>
                <w:webHidden/>
                <w:rStyle w:val="IndexLink"/>
                <w:rtl w:val="true"/>
              </w:rPr>
              <w:t xml:space="preserve">القول </w:t>
            </w:r>
            <w:r>
              <w:rPr>
                <w:rStyle w:val="IndexLink"/>
                <w:rtl w:val="true"/>
              </w:rPr>
              <w:t xml:space="preserve">: </w:t>
            </w:r>
            <w:r>
              <w:rPr>
                <w:rStyle w:val="IndexLink"/>
                <w:rtl w:val="true"/>
              </w:rPr>
              <w:t>فيما يجب الإمساك عنه</w:t>
            </w:r>
            <w:r>
              <w:rPr>
                <w:rStyle w:val="IndexLink"/>
                <w:rtl w:val="true"/>
              </w:rPr>
              <w:tab/>
            </w:r>
            <w:r>
              <w:rPr>
                <w:rStyle w:val="IndexLink"/>
              </w:rPr>
              <w:t>325</w:t>
            </w:r>
          </w:hyperlink>
        </w:p>
        <w:p>
          <w:pPr>
            <w:pStyle w:val="Contents3"/>
            <w:tabs>
              <w:tab w:val="clear" w:pos="8459"/>
              <w:tab w:val="right" w:pos="9026" w:leader="dot"/>
            </w:tabs>
            <w:rPr/>
          </w:pPr>
          <w:hyperlink w:anchor="__RefHeading___Toc487831_3406789950">
            <w:r>
              <w:rPr>
                <w:webHidden/>
                <w:rStyle w:val="IndexLink"/>
                <w:rtl w:val="true"/>
              </w:rPr>
              <w:t xml:space="preserve">القول </w:t>
            </w:r>
            <w:r>
              <w:rPr>
                <w:rStyle w:val="IndexLink"/>
                <w:rtl w:val="true"/>
              </w:rPr>
              <w:t xml:space="preserve">: </w:t>
            </w:r>
            <w:r>
              <w:rPr>
                <w:rStyle w:val="IndexLink"/>
                <w:rtl w:val="true"/>
              </w:rPr>
              <w:t>فيما يكره للصائم ارتكابه</w:t>
            </w:r>
            <w:r>
              <w:rPr>
                <w:rStyle w:val="IndexLink"/>
                <w:rtl w:val="true"/>
              </w:rPr>
              <w:tab/>
            </w:r>
            <w:r>
              <w:rPr>
                <w:rStyle w:val="IndexLink"/>
              </w:rPr>
              <w:t>333</w:t>
            </w:r>
          </w:hyperlink>
        </w:p>
        <w:p>
          <w:pPr>
            <w:pStyle w:val="Contents3"/>
            <w:tabs>
              <w:tab w:val="clear" w:pos="8459"/>
              <w:tab w:val="right" w:pos="9026" w:leader="dot"/>
            </w:tabs>
            <w:rPr/>
          </w:pPr>
          <w:hyperlink w:anchor="__RefHeading___Toc487833_3406789950">
            <w:r>
              <w:rPr>
                <w:webHidden/>
                <w:rStyle w:val="IndexLink"/>
                <w:rtl w:val="true"/>
              </w:rPr>
              <w:t xml:space="preserve">القول </w:t>
            </w:r>
            <w:r>
              <w:rPr>
                <w:rStyle w:val="IndexLink"/>
                <w:rtl w:val="true"/>
              </w:rPr>
              <w:t xml:space="preserve">: </w:t>
            </w:r>
            <w:r>
              <w:rPr>
                <w:rStyle w:val="IndexLink"/>
                <w:rtl w:val="true"/>
              </w:rPr>
              <w:t>فيما يترتّب على الإفطار</w:t>
            </w:r>
            <w:r>
              <w:rPr>
                <w:rStyle w:val="IndexLink"/>
                <w:rtl w:val="true"/>
              </w:rPr>
              <w:tab/>
            </w:r>
            <w:r>
              <w:rPr>
                <w:rStyle w:val="IndexLink"/>
              </w:rPr>
              <w:t>335</w:t>
            </w:r>
          </w:hyperlink>
        </w:p>
        <w:p>
          <w:pPr>
            <w:pStyle w:val="Contents3"/>
            <w:tabs>
              <w:tab w:val="clear" w:pos="8459"/>
              <w:tab w:val="right" w:pos="9026" w:leader="dot"/>
            </w:tabs>
            <w:rPr/>
          </w:pPr>
          <w:hyperlink w:anchor="__RefHeading___Toc487835_3406789950">
            <w:r>
              <w:rPr>
                <w:webHidden/>
                <w:rStyle w:val="IndexLink"/>
                <w:rtl w:val="true"/>
              </w:rPr>
              <w:t xml:space="preserve">القول </w:t>
            </w:r>
            <w:r>
              <w:rPr>
                <w:rStyle w:val="IndexLink"/>
                <w:rtl w:val="true"/>
              </w:rPr>
              <w:t xml:space="preserve">: </w:t>
            </w:r>
            <w:r>
              <w:rPr>
                <w:rStyle w:val="IndexLink"/>
                <w:rtl w:val="true"/>
              </w:rPr>
              <w:t>في شرائط صحّة الصوم ووجوبه</w:t>
            </w:r>
            <w:r>
              <w:rPr>
                <w:rStyle w:val="IndexLink"/>
                <w:rtl w:val="true"/>
              </w:rPr>
              <w:tab/>
            </w:r>
            <w:r>
              <w:rPr>
                <w:rStyle w:val="IndexLink"/>
              </w:rPr>
              <w:t>340</w:t>
            </w:r>
          </w:hyperlink>
        </w:p>
        <w:p>
          <w:pPr>
            <w:pStyle w:val="Contents3"/>
            <w:tabs>
              <w:tab w:val="clear" w:pos="8459"/>
              <w:tab w:val="right" w:pos="9026" w:leader="dot"/>
            </w:tabs>
            <w:rPr/>
          </w:pPr>
          <w:hyperlink w:anchor="__RefHeading___Toc487837_3406789950">
            <w:r>
              <w:rPr>
                <w:webHidden/>
                <w:rStyle w:val="IndexLink"/>
                <w:rtl w:val="true"/>
              </w:rPr>
              <w:t xml:space="preserve">القول </w:t>
            </w:r>
            <w:r>
              <w:rPr>
                <w:rStyle w:val="IndexLink"/>
                <w:rtl w:val="true"/>
              </w:rPr>
              <w:t xml:space="preserve">: </w:t>
            </w:r>
            <w:r>
              <w:rPr>
                <w:rStyle w:val="IndexLink"/>
                <w:rtl w:val="true"/>
              </w:rPr>
              <w:t>في طريق ثبوت هلال شهر رمضان وشوّال</w:t>
            </w:r>
            <w:r>
              <w:rPr>
                <w:rStyle w:val="IndexLink"/>
                <w:rtl w:val="true"/>
              </w:rPr>
              <w:tab/>
            </w:r>
            <w:r>
              <w:rPr>
                <w:rStyle w:val="IndexLink"/>
              </w:rPr>
              <w:t>344</w:t>
            </w:r>
          </w:hyperlink>
        </w:p>
        <w:p>
          <w:pPr>
            <w:pStyle w:val="Contents3"/>
            <w:tabs>
              <w:tab w:val="clear" w:pos="8459"/>
              <w:tab w:val="right" w:pos="9026" w:leader="dot"/>
            </w:tabs>
            <w:rPr/>
          </w:pPr>
          <w:hyperlink w:anchor="__RefHeading___Toc487839_3406789950">
            <w:r>
              <w:rPr>
                <w:webHidden/>
                <w:rStyle w:val="IndexLink"/>
                <w:rtl w:val="true"/>
              </w:rPr>
              <w:t xml:space="preserve">القول </w:t>
            </w:r>
            <w:r>
              <w:rPr>
                <w:rStyle w:val="IndexLink"/>
                <w:rtl w:val="true"/>
              </w:rPr>
              <w:t xml:space="preserve">: </w:t>
            </w:r>
            <w:r>
              <w:rPr>
                <w:rStyle w:val="IndexLink"/>
                <w:rtl w:val="true"/>
              </w:rPr>
              <w:t>في قضاء صوم شهر رمضان</w:t>
            </w:r>
            <w:r>
              <w:rPr>
                <w:rStyle w:val="IndexLink"/>
                <w:rtl w:val="true"/>
              </w:rPr>
              <w:tab/>
            </w:r>
            <w:r>
              <w:rPr>
                <w:rStyle w:val="IndexLink"/>
              </w:rPr>
              <w:t>345</w:t>
            </w:r>
          </w:hyperlink>
        </w:p>
        <w:p>
          <w:pPr>
            <w:pStyle w:val="Contents3"/>
            <w:tabs>
              <w:tab w:val="clear" w:pos="8459"/>
              <w:tab w:val="right" w:pos="9026" w:leader="dot"/>
            </w:tabs>
            <w:rPr/>
          </w:pPr>
          <w:hyperlink w:anchor="__RefHeading___Toc487841_3406789950">
            <w:r>
              <w:rPr>
                <w:webHidden/>
                <w:rStyle w:val="IndexLink"/>
                <w:rtl w:val="true"/>
              </w:rPr>
              <w:t xml:space="preserve">القول </w:t>
            </w:r>
            <w:r>
              <w:rPr>
                <w:rStyle w:val="IndexLink"/>
                <w:rtl w:val="true"/>
              </w:rPr>
              <w:t xml:space="preserve">: </w:t>
            </w:r>
            <w:r>
              <w:rPr>
                <w:rStyle w:val="IndexLink"/>
                <w:rtl w:val="true"/>
              </w:rPr>
              <w:t>في أقسام الصوم</w:t>
            </w:r>
            <w:r>
              <w:rPr>
                <w:rStyle w:val="IndexLink"/>
                <w:rtl w:val="true"/>
              </w:rPr>
              <w:tab/>
            </w:r>
            <w:r>
              <w:rPr>
                <w:rStyle w:val="IndexLink"/>
              </w:rPr>
              <w:t>349</w:t>
            </w:r>
          </w:hyperlink>
        </w:p>
        <w:p>
          <w:pPr>
            <w:pStyle w:val="Contents3"/>
            <w:tabs>
              <w:tab w:val="clear" w:pos="8459"/>
              <w:tab w:val="right" w:pos="9026" w:leader="dot"/>
            </w:tabs>
            <w:rPr/>
          </w:pPr>
          <w:hyperlink w:anchor="__RefHeading___Toc487843_3406789950">
            <w:r>
              <w:rPr>
                <w:webHidden/>
                <w:rStyle w:val="IndexLink"/>
                <w:rtl w:val="true"/>
              </w:rPr>
              <w:t xml:space="preserve">فالواجب من الصوم ستّة </w:t>
            </w:r>
            <w:r>
              <w:rPr>
                <w:rStyle w:val="IndexLink"/>
                <w:rtl w:val="true"/>
              </w:rPr>
              <w:t>:</w:t>
              <w:tab/>
            </w:r>
            <w:r>
              <w:rPr>
                <w:rStyle w:val="IndexLink"/>
              </w:rPr>
              <w:t>349</w:t>
            </w:r>
          </w:hyperlink>
        </w:p>
        <w:p>
          <w:pPr>
            <w:pStyle w:val="Contents3"/>
            <w:tabs>
              <w:tab w:val="clear" w:pos="8459"/>
              <w:tab w:val="right" w:pos="9026" w:leader="dot"/>
            </w:tabs>
            <w:rPr/>
          </w:pPr>
          <w:hyperlink w:anchor="__RefHeading___Toc487845_3406789950">
            <w:r>
              <w:rPr>
                <w:webHidden/>
                <w:rStyle w:val="IndexLink"/>
                <w:rtl w:val="true"/>
              </w:rPr>
              <w:t xml:space="preserve">القول </w:t>
            </w:r>
            <w:r>
              <w:rPr>
                <w:rStyle w:val="IndexLink"/>
                <w:rtl w:val="true"/>
              </w:rPr>
              <w:t xml:space="preserve">: </w:t>
            </w:r>
            <w:r>
              <w:rPr>
                <w:rStyle w:val="IndexLink"/>
                <w:rtl w:val="true"/>
              </w:rPr>
              <w:t>في صوم الكفّارة</w:t>
            </w:r>
            <w:r>
              <w:rPr>
                <w:rStyle w:val="IndexLink"/>
                <w:rtl w:val="true"/>
              </w:rPr>
              <w:tab/>
            </w:r>
            <w:r>
              <w:rPr>
                <w:rStyle w:val="IndexLink"/>
              </w:rPr>
              <w:t>349</w:t>
            </w:r>
          </w:hyperlink>
        </w:p>
        <w:p>
          <w:pPr>
            <w:pStyle w:val="Contents3"/>
            <w:tabs>
              <w:tab w:val="clear" w:pos="8459"/>
              <w:tab w:val="right" w:pos="9026" w:leader="dot"/>
            </w:tabs>
            <w:rPr/>
          </w:pPr>
          <w:hyperlink w:anchor="__RefHeading___Toc487847_3406789950">
            <w:r>
              <w:rPr>
                <w:webHidden/>
                <w:rStyle w:val="IndexLink"/>
                <w:rtl w:val="true"/>
              </w:rPr>
              <w:t>وأمّا المندوب من الصوم</w:t>
            </w:r>
            <w:r>
              <w:rPr>
                <w:rStyle w:val="IndexLink"/>
                <w:rtl w:val="true"/>
              </w:rPr>
              <w:tab/>
            </w:r>
            <w:r>
              <w:rPr>
                <w:rStyle w:val="IndexLink"/>
              </w:rPr>
              <w:t>351</w:t>
            </w:r>
          </w:hyperlink>
        </w:p>
        <w:p>
          <w:pPr>
            <w:pStyle w:val="Contents3"/>
            <w:tabs>
              <w:tab w:val="clear" w:pos="8459"/>
              <w:tab w:val="right" w:pos="9026" w:leader="dot"/>
            </w:tabs>
            <w:rPr/>
          </w:pPr>
          <w:hyperlink w:anchor="__RefHeading___Toc487849_3406789950">
            <w:r>
              <w:rPr>
                <w:webHidden/>
                <w:rStyle w:val="IndexLink"/>
                <w:rtl w:val="true"/>
              </w:rPr>
              <w:t>وأمّا المكروه</w:t>
            </w:r>
            <w:r>
              <w:rPr>
                <w:rStyle w:val="IndexLink"/>
                <w:rtl w:val="true"/>
              </w:rPr>
              <w:tab/>
            </w:r>
            <w:r>
              <w:rPr>
                <w:rStyle w:val="IndexLink"/>
              </w:rPr>
              <w:t>352</w:t>
            </w:r>
          </w:hyperlink>
        </w:p>
        <w:p>
          <w:pPr>
            <w:pStyle w:val="Contents3"/>
            <w:tabs>
              <w:tab w:val="clear" w:pos="8459"/>
              <w:tab w:val="right" w:pos="9026" w:leader="dot"/>
            </w:tabs>
            <w:rPr/>
          </w:pPr>
          <w:hyperlink w:anchor="__RefHeading___Toc487851_3406789950">
            <w:r>
              <w:rPr>
                <w:webHidden/>
                <w:rStyle w:val="IndexLink"/>
                <w:rtl w:val="true"/>
              </w:rPr>
              <w:t>وأمّا المحظور</w:t>
            </w:r>
            <w:r>
              <w:rPr>
                <w:rStyle w:val="IndexLink"/>
                <w:rtl w:val="true"/>
              </w:rPr>
              <w:tab/>
            </w:r>
            <w:r>
              <w:rPr>
                <w:rStyle w:val="IndexLink"/>
              </w:rPr>
              <w:t>353</w:t>
            </w:r>
          </w:hyperlink>
        </w:p>
        <w:p>
          <w:pPr>
            <w:pStyle w:val="Contents3"/>
            <w:tabs>
              <w:tab w:val="clear" w:pos="8459"/>
              <w:tab w:val="right" w:pos="9026" w:leader="dot"/>
            </w:tabs>
            <w:rPr/>
          </w:pPr>
          <w:hyperlink w:anchor="__RefHeading___Toc487853_3406789950">
            <w:r>
              <w:rPr>
                <w:webHidden/>
                <w:rStyle w:val="IndexLink"/>
                <w:rtl w:val="true"/>
              </w:rPr>
              <w:t xml:space="preserve">خاتمة </w:t>
            </w:r>
            <w:r>
              <w:rPr>
                <w:rStyle w:val="IndexLink"/>
                <w:rtl w:val="true"/>
              </w:rPr>
              <w:t xml:space="preserve">: </w:t>
            </w:r>
            <w:r>
              <w:rPr>
                <w:rStyle w:val="IndexLink"/>
                <w:rtl w:val="true"/>
              </w:rPr>
              <w:t>في الاعتكاف</w:t>
            </w:r>
            <w:r>
              <w:rPr>
                <w:rStyle w:val="IndexLink"/>
                <w:rtl w:val="true"/>
              </w:rPr>
              <w:tab/>
            </w:r>
            <w:r>
              <w:rPr>
                <w:rStyle w:val="IndexLink"/>
              </w:rPr>
              <w:t>354</w:t>
            </w:r>
          </w:hyperlink>
        </w:p>
        <w:p>
          <w:pPr>
            <w:pStyle w:val="Contents3"/>
            <w:tabs>
              <w:tab w:val="clear" w:pos="8459"/>
              <w:tab w:val="right" w:pos="9026" w:leader="dot"/>
            </w:tabs>
            <w:rPr/>
          </w:pPr>
          <w:hyperlink w:anchor="__RefHeading___Toc487855_3406789950">
            <w:r>
              <w:rPr>
                <w:webHidden/>
                <w:rStyle w:val="IndexLink"/>
                <w:rtl w:val="true"/>
              </w:rPr>
              <w:t xml:space="preserve">القول </w:t>
            </w:r>
            <w:r>
              <w:rPr>
                <w:rStyle w:val="IndexLink"/>
                <w:rtl w:val="true"/>
              </w:rPr>
              <w:t xml:space="preserve">: </w:t>
            </w:r>
            <w:r>
              <w:rPr>
                <w:rStyle w:val="IndexLink"/>
                <w:rtl w:val="true"/>
              </w:rPr>
              <w:t>في شروطه</w:t>
            </w:r>
            <w:r>
              <w:rPr>
                <w:rStyle w:val="IndexLink"/>
                <w:rtl w:val="true"/>
              </w:rPr>
              <w:tab/>
            </w:r>
            <w:r>
              <w:rPr>
                <w:rStyle w:val="IndexLink"/>
              </w:rPr>
              <w:t>354</w:t>
            </w:r>
          </w:hyperlink>
        </w:p>
        <w:p>
          <w:pPr>
            <w:pStyle w:val="Contents3"/>
            <w:tabs>
              <w:tab w:val="clear" w:pos="8459"/>
              <w:tab w:val="right" w:pos="9026" w:leader="dot"/>
            </w:tabs>
            <w:rPr/>
          </w:pPr>
          <w:hyperlink w:anchor="__RefHeading___Toc487857_3406789950">
            <w:r>
              <w:rPr>
                <w:webHidden/>
                <w:rStyle w:val="IndexLink"/>
                <w:rtl w:val="true"/>
              </w:rPr>
              <w:t xml:space="preserve">القول </w:t>
            </w:r>
            <w:r>
              <w:rPr>
                <w:rStyle w:val="IndexLink"/>
                <w:rtl w:val="true"/>
              </w:rPr>
              <w:t xml:space="preserve">: </w:t>
            </w:r>
            <w:r>
              <w:rPr>
                <w:rStyle w:val="IndexLink"/>
                <w:rtl w:val="true"/>
              </w:rPr>
              <w:t>في أحكام الاعتكاف</w:t>
            </w:r>
            <w:r>
              <w:rPr>
                <w:rStyle w:val="IndexLink"/>
                <w:rtl w:val="true"/>
              </w:rPr>
              <w:tab/>
            </w:r>
            <w:r>
              <w:rPr>
                <w:rStyle w:val="IndexLink"/>
              </w:rPr>
              <w:t>359</w:t>
            </w:r>
          </w:hyperlink>
        </w:p>
        <w:p>
          <w:pPr>
            <w:pStyle w:val="Contents2"/>
            <w:tabs>
              <w:tab w:val="clear" w:pos="8743"/>
              <w:tab w:val="right" w:pos="9026" w:leader="dot"/>
            </w:tabs>
            <w:rPr/>
          </w:pPr>
          <w:hyperlink w:anchor="__RefHeading___Toc487859_3406789950">
            <w:r>
              <w:rPr>
                <w:webHidden/>
                <w:rStyle w:val="IndexLink"/>
                <w:rtl w:val="true"/>
              </w:rPr>
              <w:t>كتاب الزكاة</w:t>
            </w:r>
            <w:r>
              <w:rPr>
                <w:rStyle w:val="IndexLink"/>
                <w:rtl w:val="true"/>
              </w:rPr>
              <w:tab/>
            </w:r>
            <w:r>
              <w:rPr>
                <w:rStyle w:val="IndexLink"/>
              </w:rPr>
              <w:t>362</w:t>
            </w:r>
          </w:hyperlink>
        </w:p>
        <w:p>
          <w:pPr>
            <w:pStyle w:val="Contents3"/>
            <w:tabs>
              <w:tab w:val="clear" w:pos="8459"/>
              <w:tab w:val="right" w:pos="9026" w:leader="dot"/>
            </w:tabs>
            <w:rPr/>
          </w:pPr>
          <w:hyperlink w:anchor="__RefHeading___Toc487861_3406789950">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487863_3406789950">
            <w:r>
              <w:rPr>
                <w:webHidden/>
                <w:rStyle w:val="IndexLink"/>
                <w:rtl w:val="true"/>
              </w:rPr>
              <w:t xml:space="preserve">وهنا مقصدان </w:t>
            </w:r>
            <w:r>
              <w:rPr>
                <w:rStyle w:val="IndexLink"/>
                <w:rtl w:val="true"/>
              </w:rPr>
              <w:t>:</w:t>
              <w:tab/>
            </w:r>
            <w:r>
              <w:rPr>
                <w:rStyle w:val="IndexLink"/>
              </w:rPr>
              <w:t>363</w:t>
            </w:r>
          </w:hyperlink>
        </w:p>
        <w:p>
          <w:pPr>
            <w:pStyle w:val="Contents3"/>
            <w:tabs>
              <w:tab w:val="clear" w:pos="8459"/>
              <w:tab w:val="right" w:pos="9026" w:leader="dot"/>
            </w:tabs>
            <w:rPr/>
          </w:pPr>
          <w:hyperlink w:anchor="__RefHeading___Toc487865_3406789950">
            <w:r>
              <w:rPr>
                <w:webHidden/>
                <w:rStyle w:val="IndexLink"/>
                <w:rtl w:val="true"/>
              </w:rPr>
              <w:t xml:space="preserve">المقصد الأوّل </w:t>
            </w:r>
            <w:r>
              <w:rPr>
                <w:rStyle w:val="IndexLink"/>
                <w:rtl w:val="true"/>
              </w:rPr>
              <w:t xml:space="preserve">: </w:t>
            </w:r>
            <w:r>
              <w:rPr>
                <w:rStyle w:val="IndexLink"/>
                <w:rtl w:val="true"/>
              </w:rPr>
              <w:t>في زكاة المال</w:t>
            </w:r>
            <w:r>
              <w:rPr>
                <w:rStyle w:val="IndexLink"/>
                <w:rtl w:val="true"/>
              </w:rPr>
              <w:tab/>
            </w:r>
            <w:r>
              <w:rPr>
                <w:rStyle w:val="IndexLink"/>
              </w:rPr>
              <w:t>363</w:t>
            </w:r>
          </w:hyperlink>
        </w:p>
        <w:p>
          <w:pPr>
            <w:pStyle w:val="Contents4"/>
            <w:tabs>
              <w:tab w:val="clear" w:pos="8176"/>
              <w:tab w:val="right" w:pos="9026" w:leader="dot"/>
            </w:tabs>
            <w:rPr/>
          </w:pPr>
          <w:hyperlink w:anchor="__RefHeading___Toc487867_3406789950">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487869_3406789950">
            <w:r>
              <w:rPr>
                <w:webHidden/>
                <w:rStyle w:val="IndexLink"/>
                <w:rtl w:val="true"/>
              </w:rPr>
              <w:t xml:space="preserve">القول </w:t>
            </w:r>
            <w:r>
              <w:rPr>
                <w:rStyle w:val="IndexLink"/>
                <w:rtl w:val="true"/>
              </w:rPr>
              <w:t xml:space="preserve">: </w:t>
            </w:r>
            <w:r>
              <w:rPr>
                <w:rStyle w:val="IndexLink"/>
                <w:rtl w:val="true"/>
              </w:rPr>
              <w:t>فيمن تجب عليه الزكاة</w:t>
            </w:r>
            <w:r>
              <w:rPr>
                <w:rStyle w:val="IndexLink"/>
                <w:rtl w:val="true"/>
              </w:rPr>
              <w:tab/>
            </w:r>
            <w:r>
              <w:rPr>
                <w:rStyle w:val="IndexLink"/>
              </w:rPr>
              <w:t>363</w:t>
            </w:r>
          </w:hyperlink>
        </w:p>
        <w:p>
          <w:pPr>
            <w:pStyle w:val="Contents4"/>
            <w:tabs>
              <w:tab w:val="clear" w:pos="8176"/>
              <w:tab w:val="right" w:pos="9026" w:leader="dot"/>
            </w:tabs>
            <w:rPr/>
          </w:pPr>
          <w:hyperlink w:anchor="__RefHeading___Toc487871_3406789950">
            <w:r>
              <w:rPr>
                <w:webHidden/>
                <w:rStyle w:val="IndexLink"/>
                <w:rtl w:val="true"/>
              </w:rPr>
              <w:t xml:space="preserve">القول </w:t>
            </w:r>
            <w:r>
              <w:rPr>
                <w:rStyle w:val="IndexLink"/>
                <w:rtl w:val="true"/>
              </w:rPr>
              <w:t xml:space="preserve">: </w:t>
            </w:r>
            <w:r>
              <w:rPr>
                <w:rStyle w:val="IndexLink"/>
                <w:rtl w:val="true"/>
              </w:rPr>
              <w:t>فيما يجب فيه الزكاة وما يستحبّ</w:t>
            </w:r>
            <w:r>
              <w:rPr>
                <w:rStyle w:val="IndexLink"/>
                <w:rtl w:val="true"/>
              </w:rPr>
              <w:tab/>
            </w:r>
            <w:r>
              <w:rPr>
                <w:rStyle w:val="IndexLink"/>
              </w:rPr>
              <w:t>367</w:t>
            </w:r>
          </w:hyperlink>
        </w:p>
        <w:p>
          <w:pPr>
            <w:pStyle w:val="Contents4"/>
            <w:tabs>
              <w:tab w:val="clear" w:pos="8176"/>
              <w:tab w:val="right" w:pos="9026" w:leader="dot"/>
            </w:tabs>
            <w:rPr/>
          </w:pPr>
          <w:hyperlink w:anchor="__RefHeading___Toc487873_3406789950">
            <w:r>
              <w:rPr>
                <w:webHidden/>
                <w:rStyle w:val="IndexLink"/>
                <w:rtl w:val="true"/>
              </w:rPr>
              <w:t xml:space="preserve">الفصل الأوّل </w:t>
            </w:r>
            <w:r>
              <w:rPr>
                <w:rStyle w:val="IndexLink"/>
                <w:rtl w:val="true"/>
              </w:rPr>
              <w:t xml:space="preserve">: </w:t>
            </w:r>
            <w:r>
              <w:rPr>
                <w:rStyle w:val="IndexLink"/>
                <w:rtl w:val="true"/>
              </w:rPr>
              <w:t>في زكاة الأنعام</w:t>
            </w:r>
            <w:r>
              <w:rPr>
                <w:rStyle w:val="IndexLink"/>
                <w:rtl w:val="true"/>
              </w:rPr>
              <w:tab/>
            </w:r>
            <w:r>
              <w:rPr>
                <w:rStyle w:val="IndexLink"/>
              </w:rPr>
              <w:t>367</w:t>
            </w:r>
          </w:hyperlink>
        </w:p>
        <w:p>
          <w:pPr>
            <w:pStyle w:val="Contents5"/>
            <w:tabs>
              <w:tab w:val="clear" w:pos="7892"/>
              <w:tab w:val="right" w:pos="9026" w:leader="dot"/>
            </w:tabs>
            <w:rPr/>
          </w:pPr>
          <w:hyperlink w:anchor="__RefHeading___Toc487875_340678995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87877_3406789950">
            <w:r>
              <w:rPr>
                <w:webHidden/>
                <w:rStyle w:val="IndexLink"/>
                <w:rtl w:val="true"/>
              </w:rPr>
              <w:t xml:space="preserve">القول </w:t>
            </w:r>
            <w:r>
              <w:rPr>
                <w:rStyle w:val="IndexLink"/>
                <w:rtl w:val="true"/>
              </w:rPr>
              <w:t xml:space="preserve">: </w:t>
            </w:r>
            <w:r>
              <w:rPr>
                <w:rStyle w:val="IndexLink"/>
                <w:rtl w:val="true"/>
              </w:rPr>
              <w:t>في النصاب</w:t>
            </w:r>
            <w:r>
              <w:rPr>
                <w:rStyle w:val="IndexLink"/>
                <w:rtl w:val="true"/>
              </w:rPr>
              <w:tab/>
            </w:r>
            <w:r>
              <w:rPr>
                <w:rStyle w:val="IndexLink"/>
              </w:rPr>
              <w:t>367</w:t>
            </w:r>
          </w:hyperlink>
        </w:p>
        <w:p>
          <w:pPr>
            <w:pStyle w:val="Contents5"/>
            <w:tabs>
              <w:tab w:val="clear" w:pos="7892"/>
              <w:tab w:val="right" w:pos="9026" w:leader="dot"/>
            </w:tabs>
            <w:rPr/>
          </w:pPr>
          <w:hyperlink w:anchor="__RefHeading___Toc487879_3406789950">
            <w:r>
              <w:rPr>
                <w:webHidden/>
                <w:rStyle w:val="IndexLink"/>
                <w:rtl w:val="true"/>
              </w:rPr>
              <w:t xml:space="preserve">القول </w:t>
            </w:r>
            <w:r>
              <w:rPr>
                <w:rStyle w:val="IndexLink"/>
                <w:rtl w:val="true"/>
              </w:rPr>
              <w:t xml:space="preserve">: </w:t>
            </w:r>
            <w:r>
              <w:rPr>
                <w:rStyle w:val="IndexLink"/>
                <w:rtl w:val="true"/>
              </w:rPr>
              <w:t>في السوم ؛ أي الرعي</w:t>
            </w:r>
            <w:r>
              <w:rPr>
                <w:rStyle w:val="IndexLink"/>
                <w:rtl w:val="true"/>
              </w:rPr>
              <w:tab/>
            </w:r>
            <w:r>
              <w:rPr>
                <w:rStyle w:val="IndexLink"/>
              </w:rPr>
              <w:t>370</w:t>
            </w:r>
          </w:hyperlink>
        </w:p>
        <w:p>
          <w:pPr>
            <w:pStyle w:val="Contents5"/>
            <w:tabs>
              <w:tab w:val="clear" w:pos="7892"/>
              <w:tab w:val="right" w:pos="9026" w:leader="dot"/>
            </w:tabs>
            <w:rPr/>
          </w:pPr>
          <w:hyperlink w:anchor="__RefHeading___Toc487881_3406789950">
            <w:r>
              <w:rPr>
                <w:webHidden/>
                <w:rStyle w:val="IndexLink"/>
                <w:rtl w:val="true"/>
              </w:rPr>
              <w:t xml:space="preserve">القول </w:t>
            </w:r>
            <w:r>
              <w:rPr>
                <w:rStyle w:val="IndexLink"/>
                <w:rtl w:val="true"/>
              </w:rPr>
              <w:t xml:space="preserve">: </w:t>
            </w:r>
            <w:r>
              <w:rPr>
                <w:rStyle w:val="IndexLink"/>
                <w:rtl w:val="true"/>
              </w:rPr>
              <w:t>في الحول</w:t>
            </w:r>
            <w:r>
              <w:rPr>
                <w:rStyle w:val="IndexLink"/>
                <w:rtl w:val="true"/>
              </w:rPr>
              <w:tab/>
            </w:r>
            <w:r>
              <w:rPr>
                <w:rStyle w:val="IndexLink"/>
              </w:rPr>
              <w:t>371</w:t>
            </w:r>
          </w:hyperlink>
        </w:p>
        <w:p>
          <w:pPr>
            <w:pStyle w:val="Contents5"/>
            <w:tabs>
              <w:tab w:val="clear" w:pos="7892"/>
              <w:tab w:val="right" w:pos="9026" w:leader="dot"/>
            </w:tabs>
            <w:rPr/>
          </w:pPr>
          <w:hyperlink w:anchor="__RefHeading___Toc487883_3406789950">
            <w:r>
              <w:rPr>
                <w:webHidden/>
                <w:rStyle w:val="IndexLink"/>
                <w:rtl w:val="true"/>
              </w:rPr>
              <w:t xml:space="preserve">القول </w:t>
            </w:r>
            <w:r>
              <w:rPr>
                <w:rStyle w:val="IndexLink"/>
                <w:rtl w:val="true"/>
              </w:rPr>
              <w:t xml:space="preserve">: </w:t>
            </w:r>
            <w:r>
              <w:rPr>
                <w:rStyle w:val="IndexLink"/>
                <w:rtl w:val="true"/>
              </w:rPr>
              <w:t>في الشرط الرابع ؛ أي عدم كونها عوامل</w:t>
            </w:r>
            <w:r>
              <w:rPr>
                <w:rStyle w:val="IndexLink"/>
                <w:rtl w:val="true"/>
              </w:rPr>
              <w:tab/>
            </w:r>
            <w:r>
              <w:rPr>
                <w:rStyle w:val="IndexLink"/>
              </w:rPr>
              <w:t>373</w:t>
            </w:r>
          </w:hyperlink>
        </w:p>
        <w:p>
          <w:pPr>
            <w:pStyle w:val="Contents5"/>
            <w:tabs>
              <w:tab w:val="clear" w:pos="7892"/>
              <w:tab w:val="right" w:pos="9026" w:leader="dot"/>
            </w:tabs>
            <w:rPr/>
          </w:pPr>
          <w:hyperlink w:anchor="__RefHeading___Toc487885_3406789950">
            <w:r>
              <w:rPr>
                <w:webHidden/>
                <w:rStyle w:val="IndexLink"/>
                <w:rtl w:val="true"/>
              </w:rPr>
              <w:t>بقي الكلام فيما يؤخذ في الزكاة</w:t>
            </w:r>
            <w:r>
              <w:rPr>
                <w:rStyle w:val="IndexLink"/>
                <w:rtl w:val="true"/>
              </w:rPr>
              <w:tab/>
            </w:r>
            <w:r>
              <w:rPr>
                <w:rStyle w:val="IndexLink"/>
              </w:rPr>
              <w:t>373</w:t>
            </w:r>
          </w:hyperlink>
        </w:p>
        <w:p>
          <w:pPr>
            <w:pStyle w:val="Contents4"/>
            <w:tabs>
              <w:tab w:val="clear" w:pos="8176"/>
              <w:tab w:val="right" w:pos="9026" w:leader="dot"/>
            </w:tabs>
            <w:rPr/>
          </w:pPr>
          <w:hyperlink w:anchor="__RefHeading___Toc487887_3406789950">
            <w:r>
              <w:rPr>
                <w:webHidden/>
                <w:rStyle w:val="IndexLink"/>
                <w:rtl w:val="true"/>
              </w:rPr>
              <w:t xml:space="preserve">الفصل الثاني </w:t>
            </w:r>
            <w:r>
              <w:rPr>
                <w:rStyle w:val="IndexLink"/>
                <w:rtl w:val="true"/>
              </w:rPr>
              <w:t xml:space="preserve">: </w:t>
            </w:r>
            <w:r>
              <w:rPr>
                <w:rStyle w:val="IndexLink"/>
                <w:rtl w:val="true"/>
              </w:rPr>
              <w:t>في زكاة النقدين</w:t>
            </w:r>
            <w:r>
              <w:rPr>
                <w:rStyle w:val="IndexLink"/>
                <w:rtl w:val="true"/>
              </w:rPr>
              <w:tab/>
            </w:r>
            <w:r>
              <w:rPr>
                <w:rStyle w:val="IndexLink"/>
              </w:rPr>
              <w:t>374</w:t>
            </w:r>
          </w:hyperlink>
        </w:p>
        <w:p>
          <w:pPr>
            <w:pStyle w:val="Contents4"/>
            <w:tabs>
              <w:tab w:val="clear" w:pos="8176"/>
              <w:tab w:val="right" w:pos="9026" w:leader="dot"/>
            </w:tabs>
            <w:rPr/>
          </w:pPr>
          <w:hyperlink w:anchor="__RefHeading___Toc487889_3406789950">
            <w:r>
              <w:rPr>
                <w:webHidden/>
                <w:rStyle w:val="IndexLink"/>
                <w:rtl w:val="true"/>
              </w:rPr>
              <w:t xml:space="preserve">الفصل الثالث </w:t>
            </w:r>
            <w:r>
              <w:rPr>
                <w:rStyle w:val="IndexLink"/>
                <w:rtl w:val="true"/>
              </w:rPr>
              <w:t xml:space="preserve">: </w:t>
            </w:r>
            <w:r>
              <w:rPr>
                <w:rStyle w:val="IndexLink"/>
                <w:rtl w:val="true"/>
              </w:rPr>
              <w:t>في زكاة الغلاّت</w:t>
            </w:r>
            <w:r>
              <w:rPr>
                <w:rStyle w:val="IndexLink"/>
                <w:rtl w:val="true"/>
              </w:rPr>
              <w:tab/>
            </w:r>
            <w:r>
              <w:rPr>
                <w:rStyle w:val="IndexLink"/>
              </w:rPr>
              <w:t>377</w:t>
            </w:r>
          </w:hyperlink>
        </w:p>
        <w:p>
          <w:pPr>
            <w:pStyle w:val="Contents5"/>
            <w:tabs>
              <w:tab w:val="clear" w:pos="7892"/>
              <w:tab w:val="right" w:pos="9026" w:leader="dot"/>
            </w:tabs>
            <w:rPr/>
          </w:pPr>
          <w:hyperlink w:anchor="__RefHeading___Toc487891_340678995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87893_3406789950">
            <w:r>
              <w:rPr>
                <w:webHidden/>
                <w:rStyle w:val="IndexLink"/>
                <w:rtl w:val="true"/>
              </w:rPr>
              <w:t>المطلب الأوّل</w:t>
            </w:r>
            <w:r>
              <w:rPr>
                <w:rStyle w:val="IndexLink"/>
                <w:rtl w:val="true"/>
              </w:rPr>
              <w:tab/>
            </w:r>
            <w:r>
              <w:rPr>
                <w:rStyle w:val="IndexLink"/>
              </w:rPr>
              <w:t>378</w:t>
            </w:r>
          </w:hyperlink>
        </w:p>
        <w:p>
          <w:pPr>
            <w:pStyle w:val="Contents5"/>
            <w:tabs>
              <w:tab w:val="clear" w:pos="7892"/>
              <w:tab w:val="right" w:pos="9026" w:leader="dot"/>
            </w:tabs>
            <w:rPr/>
          </w:pPr>
          <w:hyperlink w:anchor="__RefHeading___Toc487895_3406789950">
            <w:r>
              <w:rPr>
                <w:webHidden/>
                <w:rStyle w:val="IndexLink"/>
                <w:rtl w:val="true"/>
              </w:rPr>
              <w:t>المطلب الثاني</w:t>
            </w:r>
            <w:r>
              <w:rPr>
                <w:rStyle w:val="IndexLink"/>
                <w:rtl w:val="true"/>
              </w:rPr>
              <w:tab/>
            </w:r>
            <w:r>
              <w:rPr>
                <w:rStyle w:val="IndexLink"/>
              </w:rPr>
              <w:t>385</w:t>
            </w:r>
          </w:hyperlink>
        </w:p>
        <w:p>
          <w:pPr>
            <w:pStyle w:val="Contents5"/>
            <w:tabs>
              <w:tab w:val="clear" w:pos="7892"/>
              <w:tab w:val="right" w:pos="9026" w:leader="dot"/>
            </w:tabs>
            <w:rPr/>
          </w:pPr>
          <w:hyperlink w:anchor="__RefHeading___Toc487897_3406789950">
            <w:r>
              <w:rPr>
                <w:webHidden/>
                <w:rStyle w:val="IndexLink"/>
                <w:rtl w:val="true"/>
              </w:rPr>
              <w:t>المطلب الثالث</w:t>
            </w:r>
            <w:r>
              <w:rPr>
                <w:rStyle w:val="IndexLink"/>
                <w:rtl w:val="true"/>
              </w:rPr>
              <w:tab/>
            </w:r>
            <w:r>
              <w:rPr>
                <w:rStyle w:val="IndexLink"/>
              </w:rPr>
              <w:t>387</w:t>
            </w:r>
          </w:hyperlink>
        </w:p>
        <w:p>
          <w:pPr>
            <w:pStyle w:val="Contents6"/>
            <w:tabs>
              <w:tab w:val="clear" w:pos="7609"/>
              <w:tab w:val="right" w:pos="9026" w:leader="dot"/>
            </w:tabs>
            <w:rPr/>
          </w:pPr>
          <w:hyperlink w:anchor="__RefHeading___Toc487899_3406789950">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487901_3406789950">
            <w:r>
              <w:rPr>
                <w:webHidden/>
                <w:rStyle w:val="IndexLink"/>
                <w:rtl w:val="true"/>
              </w:rPr>
              <w:t xml:space="preserve">القول </w:t>
            </w:r>
            <w:r>
              <w:rPr>
                <w:rStyle w:val="IndexLink"/>
                <w:rtl w:val="true"/>
              </w:rPr>
              <w:t xml:space="preserve">: </w:t>
            </w:r>
            <w:r>
              <w:rPr>
                <w:rStyle w:val="IndexLink"/>
                <w:rtl w:val="true"/>
              </w:rPr>
              <w:t>فيما يستحبّ فيه الزكاة</w:t>
            </w:r>
            <w:r>
              <w:rPr>
                <w:rStyle w:val="IndexLink"/>
                <w:rtl w:val="true"/>
              </w:rPr>
              <w:tab/>
            </w:r>
            <w:r>
              <w:rPr>
                <w:rStyle w:val="IndexLink"/>
              </w:rPr>
              <w:t>388</w:t>
            </w:r>
          </w:hyperlink>
        </w:p>
        <w:p>
          <w:pPr>
            <w:pStyle w:val="Contents6"/>
            <w:tabs>
              <w:tab w:val="clear" w:pos="7609"/>
              <w:tab w:val="right" w:pos="9026" w:leader="dot"/>
            </w:tabs>
            <w:rPr/>
          </w:pPr>
          <w:hyperlink w:anchor="__RefHeading___Toc487903_3406789950">
            <w:r>
              <w:rPr>
                <w:webHidden/>
                <w:rStyle w:val="IndexLink"/>
                <w:rtl w:val="true"/>
              </w:rPr>
              <w:t xml:space="preserve">القول </w:t>
            </w:r>
            <w:r>
              <w:rPr>
                <w:rStyle w:val="IndexLink"/>
                <w:rtl w:val="true"/>
              </w:rPr>
              <w:t xml:space="preserve">: </w:t>
            </w:r>
            <w:r>
              <w:rPr>
                <w:rStyle w:val="IndexLink"/>
                <w:rtl w:val="true"/>
              </w:rPr>
              <w:t>في أصناف المستحقّين للزكاة ومصارفها</w:t>
            </w:r>
            <w:r>
              <w:rPr>
                <w:rStyle w:val="IndexLink"/>
                <w:rtl w:val="true"/>
              </w:rPr>
              <w:tab/>
            </w:r>
            <w:r>
              <w:rPr>
                <w:rStyle w:val="IndexLink"/>
              </w:rPr>
              <w:t>390</w:t>
            </w:r>
          </w:hyperlink>
        </w:p>
        <w:p>
          <w:pPr>
            <w:pStyle w:val="Contents6"/>
            <w:tabs>
              <w:tab w:val="clear" w:pos="7609"/>
              <w:tab w:val="right" w:pos="9026" w:leader="dot"/>
            </w:tabs>
            <w:rPr/>
          </w:pPr>
          <w:hyperlink w:anchor="__RefHeading___Toc487905_3406789950">
            <w:r>
              <w:rPr>
                <w:webHidden/>
                <w:rStyle w:val="IndexLink"/>
                <w:rtl w:val="true"/>
              </w:rPr>
              <w:t xml:space="preserve">القول </w:t>
            </w:r>
            <w:r>
              <w:rPr>
                <w:rStyle w:val="IndexLink"/>
                <w:rtl w:val="true"/>
              </w:rPr>
              <w:t xml:space="preserve">: </w:t>
            </w:r>
            <w:r>
              <w:rPr>
                <w:rStyle w:val="IndexLink"/>
                <w:rtl w:val="true"/>
              </w:rPr>
              <w:t>في أوصاف المستحقّين للزكاة</w:t>
            </w:r>
            <w:r>
              <w:rPr>
                <w:rStyle w:val="IndexLink"/>
                <w:rtl w:val="true"/>
              </w:rPr>
              <w:tab/>
            </w:r>
            <w:r>
              <w:rPr>
                <w:rStyle w:val="IndexLink"/>
              </w:rPr>
              <w:t>397</w:t>
            </w:r>
          </w:hyperlink>
        </w:p>
        <w:p>
          <w:pPr>
            <w:pStyle w:val="Contents6"/>
            <w:tabs>
              <w:tab w:val="clear" w:pos="7609"/>
              <w:tab w:val="right" w:pos="9026" w:leader="dot"/>
            </w:tabs>
            <w:rPr/>
          </w:pPr>
          <w:hyperlink w:anchor="__RefHeading___Toc487907_3406789950">
            <w:r>
              <w:rPr>
                <w:webHidden/>
                <w:rStyle w:val="IndexLink"/>
                <w:rtl w:val="true"/>
              </w:rPr>
              <w:t xml:space="preserve">القول </w:t>
            </w:r>
            <w:r>
              <w:rPr>
                <w:rStyle w:val="IndexLink"/>
                <w:rtl w:val="true"/>
              </w:rPr>
              <w:t xml:space="preserve">: </w:t>
            </w:r>
            <w:r>
              <w:rPr>
                <w:rStyle w:val="IndexLink"/>
                <w:rtl w:val="true"/>
              </w:rPr>
              <w:t>في بقيّة أحكام الزكاة</w:t>
            </w:r>
            <w:r>
              <w:rPr>
                <w:rStyle w:val="IndexLink"/>
                <w:rtl w:val="true"/>
              </w:rPr>
              <w:tab/>
            </w:r>
            <w:r>
              <w:rPr>
                <w:rStyle w:val="IndexLink"/>
              </w:rPr>
              <w:t>399</w:t>
            </w:r>
          </w:hyperlink>
        </w:p>
        <w:p>
          <w:pPr>
            <w:pStyle w:val="Contents3"/>
            <w:tabs>
              <w:tab w:val="clear" w:pos="8459"/>
              <w:tab w:val="right" w:pos="9026" w:leader="dot"/>
            </w:tabs>
            <w:rPr/>
          </w:pPr>
          <w:hyperlink w:anchor="__RefHeading___Toc487909_3406789950">
            <w:r>
              <w:rPr>
                <w:webHidden/>
                <w:rStyle w:val="IndexLink"/>
                <w:rtl w:val="true"/>
              </w:rPr>
              <w:t xml:space="preserve">المقصد الثاني </w:t>
            </w:r>
            <w:r>
              <w:rPr>
                <w:rStyle w:val="IndexLink"/>
                <w:rtl w:val="true"/>
              </w:rPr>
              <w:t xml:space="preserve">: </w:t>
            </w:r>
            <w:r>
              <w:rPr>
                <w:rStyle w:val="IndexLink"/>
                <w:rtl w:val="true"/>
              </w:rPr>
              <w:t>في زكاة الأبدان</w:t>
            </w:r>
            <w:r>
              <w:rPr>
                <w:rStyle w:val="IndexLink"/>
                <w:rtl w:val="true"/>
              </w:rPr>
              <w:tab/>
            </w:r>
            <w:r>
              <w:rPr>
                <w:rStyle w:val="IndexLink"/>
              </w:rPr>
              <w:t>404</w:t>
            </w:r>
          </w:hyperlink>
        </w:p>
        <w:p>
          <w:pPr>
            <w:pStyle w:val="Contents4"/>
            <w:tabs>
              <w:tab w:val="clear" w:pos="8176"/>
              <w:tab w:val="right" w:pos="9026" w:leader="dot"/>
            </w:tabs>
            <w:rPr/>
          </w:pPr>
          <w:hyperlink w:anchor="__RefHeading___Toc487911_340678995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487913_3406789950">
            <w:r>
              <w:rPr>
                <w:webHidden/>
                <w:rStyle w:val="IndexLink"/>
                <w:rtl w:val="true"/>
              </w:rPr>
              <w:t xml:space="preserve">القول </w:t>
            </w:r>
            <w:r>
              <w:rPr>
                <w:rStyle w:val="IndexLink"/>
                <w:rtl w:val="true"/>
              </w:rPr>
              <w:t xml:space="preserve">: </w:t>
            </w:r>
            <w:r>
              <w:rPr>
                <w:rStyle w:val="IndexLink"/>
                <w:rtl w:val="true"/>
              </w:rPr>
              <w:t>فيمن تجب عليه</w:t>
            </w:r>
            <w:r>
              <w:rPr>
                <w:rStyle w:val="IndexLink"/>
                <w:rtl w:val="true"/>
              </w:rPr>
              <w:tab/>
            </w:r>
            <w:r>
              <w:rPr>
                <w:rStyle w:val="IndexLink"/>
              </w:rPr>
              <w:t>404</w:t>
            </w:r>
          </w:hyperlink>
        </w:p>
        <w:p>
          <w:pPr>
            <w:pStyle w:val="Contents4"/>
            <w:tabs>
              <w:tab w:val="clear" w:pos="8176"/>
              <w:tab w:val="right" w:pos="9026" w:leader="dot"/>
            </w:tabs>
            <w:rPr/>
          </w:pPr>
          <w:hyperlink w:anchor="__RefHeading___Toc487915_3406789950">
            <w:r>
              <w:rPr>
                <w:webHidden/>
                <w:rStyle w:val="IndexLink"/>
                <w:rtl w:val="true"/>
              </w:rPr>
              <w:t xml:space="preserve">القول </w:t>
            </w:r>
            <w:r>
              <w:rPr>
                <w:rStyle w:val="IndexLink"/>
                <w:rtl w:val="true"/>
              </w:rPr>
              <w:t xml:space="preserve">: </w:t>
            </w:r>
            <w:r>
              <w:rPr>
                <w:rStyle w:val="IndexLink"/>
                <w:rtl w:val="true"/>
              </w:rPr>
              <w:t>في جنسها</w:t>
            </w:r>
            <w:r>
              <w:rPr>
                <w:rStyle w:val="IndexLink"/>
                <w:rtl w:val="true"/>
              </w:rPr>
              <w:tab/>
            </w:r>
            <w:r>
              <w:rPr>
                <w:rStyle w:val="IndexLink"/>
              </w:rPr>
              <w:t>407</w:t>
            </w:r>
          </w:hyperlink>
        </w:p>
        <w:p>
          <w:pPr>
            <w:pStyle w:val="Contents4"/>
            <w:tabs>
              <w:tab w:val="clear" w:pos="8176"/>
              <w:tab w:val="right" w:pos="9026" w:leader="dot"/>
            </w:tabs>
            <w:rPr/>
          </w:pPr>
          <w:hyperlink w:anchor="__RefHeading___Toc487917_3406789950">
            <w:r>
              <w:rPr>
                <w:webHidden/>
                <w:rStyle w:val="IndexLink"/>
                <w:rtl w:val="true"/>
              </w:rPr>
              <w:t xml:space="preserve">القول </w:t>
            </w:r>
            <w:r>
              <w:rPr>
                <w:rStyle w:val="IndexLink"/>
                <w:rtl w:val="true"/>
              </w:rPr>
              <w:t xml:space="preserve">: </w:t>
            </w:r>
            <w:r>
              <w:rPr>
                <w:rStyle w:val="IndexLink"/>
                <w:rtl w:val="true"/>
              </w:rPr>
              <w:t>في قدرها</w:t>
            </w:r>
            <w:r>
              <w:rPr>
                <w:rStyle w:val="IndexLink"/>
                <w:rtl w:val="true"/>
              </w:rPr>
              <w:tab/>
            </w:r>
            <w:r>
              <w:rPr>
                <w:rStyle w:val="IndexLink"/>
              </w:rPr>
              <w:t>408</w:t>
            </w:r>
          </w:hyperlink>
        </w:p>
        <w:p>
          <w:pPr>
            <w:pStyle w:val="Contents4"/>
            <w:tabs>
              <w:tab w:val="clear" w:pos="8176"/>
              <w:tab w:val="right" w:pos="9026" w:leader="dot"/>
            </w:tabs>
            <w:rPr/>
          </w:pPr>
          <w:hyperlink w:anchor="__RefHeading___Toc487919_3406789950">
            <w:r>
              <w:rPr>
                <w:webHidden/>
                <w:rStyle w:val="IndexLink"/>
                <w:rtl w:val="true"/>
              </w:rPr>
              <w:t xml:space="preserve">القول </w:t>
            </w:r>
            <w:r>
              <w:rPr>
                <w:rStyle w:val="IndexLink"/>
                <w:rtl w:val="true"/>
              </w:rPr>
              <w:t xml:space="preserve">: </w:t>
            </w:r>
            <w:r>
              <w:rPr>
                <w:rStyle w:val="IndexLink"/>
                <w:rtl w:val="true"/>
              </w:rPr>
              <w:t>في وقت وجوبها</w:t>
            </w:r>
            <w:r>
              <w:rPr>
                <w:rStyle w:val="IndexLink"/>
                <w:rtl w:val="true"/>
              </w:rPr>
              <w:tab/>
            </w:r>
            <w:r>
              <w:rPr>
                <w:rStyle w:val="IndexLink"/>
              </w:rPr>
              <w:t>409</w:t>
            </w:r>
          </w:hyperlink>
        </w:p>
        <w:p>
          <w:pPr>
            <w:pStyle w:val="Contents4"/>
            <w:tabs>
              <w:tab w:val="clear" w:pos="8176"/>
              <w:tab w:val="right" w:pos="9026" w:leader="dot"/>
            </w:tabs>
            <w:rPr/>
          </w:pPr>
          <w:hyperlink w:anchor="__RefHeading___Toc487921_3406789950">
            <w:r>
              <w:rPr>
                <w:webHidden/>
                <w:rStyle w:val="IndexLink"/>
                <w:rtl w:val="true"/>
              </w:rPr>
              <w:t xml:space="preserve">القول </w:t>
            </w:r>
            <w:r>
              <w:rPr>
                <w:rStyle w:val="IndexLink"/>
                <w:rtl w:val="true"/>
              </w:rPr>
              <w:t xml:space="preserve">: </w:t>
            </w:r>
            <w:r>
              <w:rPr>
                <w:rStyle w:val="IndexLink"/>
                <w:rtl w:val="true"/>
              </w:rPr>
              <w:t>في مصرفها</w:t>
            </w:r>
            <w:r>
              <w:rPr>
                <w:rStyle w:val="IndexLink"/>
                <w:rtl w:val="true"/>
              </w:rPr>
              <w:tab/>
            </w:r>
            <w:r>
              <w:rPr>
                <w:rStyle w:val="IndexLink"/>
              </w:rPr>
              <w:t>410</w:t>
            </w:r>
          </w:hyperlink>
        </w:p>
        <w:p>
          <w:pPr>
            <w:pStyle w:val="Contents2"/>
            <w:tabs>
              <w:tab w:val="clear" w:pos="8743"/>
              <w:tab w:val="right" w:pos="9026" w:leader="dot"/>
            </w:tabs>
            <w:rPr/>
          </w:pPr>
          <w:hyperlink w:anchor="__RefHeading___Toc487923_3406789950">
            <w:r>
              <w:rPr>
                <w:webHidden/>
                <w:rStyle w:val="IndexLink"/>
                <w:rtl w:val="true"/>
              </w:rPr>
              <w:t>كتاب الخمس</w:t>
            </w:r>
            <w:r>
              <w:rPr>
                <w:rStyle w:val="IndexLink"/>
                <w:rtl w:val="true"/>
              </w:rPr>
              <w:tab/>
            </w:r>
            <w:r>
              <w:rPr>
                <w:rStyle w:val="IndexLink"/>
              </w:rPr>
              <w:t>411</w:t>
            </w:r>
          </w:hyperlink>
        </w:p>
        <w:p>
          <w:pPr>
            <w:pStyle w:val="Contents3"/>
            <w:tabs>
              <w:tab w:val="clear" w:pos="8459"/>
              <w:tab w:val="right" w:pos="9026" w:leader="dot"/>
            </w:tabs>
            <w:rPr/>
          </w:pPr>
          <w:hyperlink w:anchor="__RefHeading___Toc487925_3406789950">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487927_3406789950">
            <w:r>
              <w:rPr>
                <w:webHidden/>
                <w:rStyle w:val="IndexLink"/>
                <w:rtl w:val="true"/>
              </w:rPr>
              <w:t xml:space="preserve">القول </w:t>
            </w:r>
            <w:r>
              <w:rPr>
                <w:rStyle w:val="IndexLink"/>
                <w:rtl w:val="true"/>
              </w:rPr>
              <w:t xml:space="preserve">: </w:t>
            </w:r>
            <w:r>
              <w:rPr>
                <w:rStyle w:val="IndexLink"/>
                <w:rtl w:val="true"/>
              </w:rPr>
              <w:t>فيما يجب فيه الخمس</w:t>
            </w:r>
            <w:r>
              <w:rPr>
                <w:rStyle w:val="IndexLink"/>
                <w:rtl w:val="true"/>
              </w:rPr>
              <w:tab/>
            </w:r>
            <w:r>
              <w:rPr>
                <w:rStyle w:val="IndexLink"/>
              </w:rPr>
              <w:t>411</w:t>
            </w:r>
          </w:hyperlink>
        </w:p>
        <w:p>
          <w:pPr>
            <w:pStyle w:val="Contents3"/>
            <w:tabs>
              <w:tab w:val="clear" w:pos="8459"/>
              <w:tab w:val="right" w:pos="9026" w:leader="dot"/>
            </w:tabs>
            <w:rPr/>
          </w:pPr>
          <w:hyperlink w:anchor="__RefHeading___Toc487929_3406789950">
            <w:r>
              <w:rPr>
                <w:webHidden/>
                <w:rStyle w:val="IndexLink"/>
                <w:rtl w:val="true"/>
              </w:rPr>
              <w:t xml:space="preserve">القول </w:t>
            </w:r>
            <w:r>
              <w:rPr>
                <w:rStyle w:val="IndexLink"/>
                <w:rtl w:val="true"/>
              </w:rPr>
              <w:t xml:space="preserve">: </w:t>
            </w:r>
            <w:r>
              <w:rPr>
                <w:rStyle w:val="IndexLink"/>
                <w:rtl w:val="true"/>
              </w:rPr>
              <w:t>في قسمته ومستحقّه</w:t>
            </w:r>
            <w:r>
              <w:rPr>
                <w:rStyle w:val="IndexLink"/>
                <w:rtl w:val="true"/>
              </w:rPr>
              <w:tab/>
            </w:r>
            <w:r>
              <w:rPr>
                <w:rStyle w:val="IndexLink"/>
              </w:rPr>
              <w:t>428</w:t>
            </w:r>
          </w:hyperlink>
        </w:p>
        <w:p>
          <w:pPr>
            <w:pStyle w:val="Contents3"/>
            <w:tabs>
              <w:tab w:val="clear" w:pos="8459"/>
              <w:tab w:val="right" w:pos="9026" w:leader="dot"/>
            </w:tabs>
            <w:rPr/>
          </w:pPr>
          <w:hyperlink w:anchor="__RefHeading___Toc487931_3406789950">
            <w:r>
              <w:rPr>
                <w:webHidden/>
                <w:rStyle w:val="IndexLink"/>
                <w:rtl w:val="true"/>
              </w:rPr>
              <w:t xml:space="preserve">القول </w:t>
            </w:r>
            <w:r>
              <w:rPr>
                <w:rStyle w:val="IndexLink"/>
                <w:rtl w:val="true"/>
              </w:rPr>
              <w:t xml:space="preserve">: </w:t>
            </w:r>
            <w:r>
              <w:rPr>
                <w:rStyle w:val="IndexLink"/>
                <w:rtl w:val="true"/>
              </w:rPr>
              <w:t>في الأنفال</w:t>
            </w:r>
            <w:r>
              <w:rPr>
                <w:rStyle w:val="IndexLink"/>
                <w:rtl w:val="true"/>
              </w:rPr>
              <w:tab/>
            </w:r>
            <w:r>
              <w:rPr>
                <w:rStyle w:val="IndexLink"/>
              </w:rPr>
              <w:t>432</w:t>
            </w:r>
          </w:hyperlink>
        </w:p>
        <w:p>
          <w:pPr>
            <w:pStyle w:val="Contents2"/>
            <w:tabs>
              <w:tab w:val="clear" w:pos="8743"/>
              <w:tab w:val="right" w:pos="9026" w:leader="dot"/>
            </w:tabs>
            <w:rPr/>
          </w:pPr>
          <w:hyperlink w:anchor="__RefHeading___Toc487933_3406789950">
            <w:r>
              <w:rPr>
                <w:webHidden/>
                <w:rStyle w:val="IndexLink"/>
                <w:rtl w:val="true"/>
              </w:rPr>
              <w:t>كتاب المكاسب والمتاجر</w:t>
            </w:r>
            <w:r>
              <w:rPr>
                <w:rStyle w:val="IndexLink"/>
                <w:rtl w:val="true"/>
              </w:rPr>
              <w:tab/>
            </w:r>
            <w:r>
              <w:rPr>
                <w:rStyle w:val="IndexLink"/>
              </w:rPr>
              <w:t>434</w:t>
            </w:r>
          </w:hyperlink>
        </w:p>
        <w:p>
          <w:pPr>
            <w:pStyle w:val="Contents3"/>
            <w:tabs>
              <w:tab w:val="clear" w:pos="8459"/>
              <w:tab w:val="right" w:pos="9026" w:leader="dot"/>
            </w:tabs>
            <w:rPr/>
          </w:pPr>
          <w:hyperlink w:anchor="__RefHeading___Toc487935_3406789950">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487937_3406789950">
            <w:r>
              <w:rPr>
                <w:webHidden/>
                <w:rStyle w:val="IndexLink"/>
                <w:rtl w:val="true"/>
              </w:rPr>
              <w:t xml:space="preserve">مقدّمة تشتمل على مسائل </w:t>
            </w:r>
            <w:r>
              <w:rPr>
                <w:rStyle w:val="IndexLink"/>
                <w:rtl w:val="true"/>
              </w:rPr>
              <w:t>:</w:t>
              <w:tab/>
            </w:r>
            <w:r>
              <w:rPr>
                <w:rStyle w:val="IndexLink"/>
              </w:rPr>
              <w:t>434</w:t>
            </w:r>
          </w:hyperlink>
        </w:p>
        <w:p>
          <w:pPr>
            <w:pStyle w:val="Contents2"/>
            <w:tabs>
              <w:tab w:val="clear" w:pos="8743"/>
              <w:tab w:val="right" w:pos="9026" w:leader="dot"/>
            </w:tabs>
            <w:rPr/>
          </w:pPr>
          <w:hyperlink w:anchor="__RefHeading___Toc487939_3406789950">
            <w:r>
              <w:rPr>
                <w:webHidden/>
                <w:rStyle w:val="IndexLink"/>
                <w:rtl w:val="true"/>
              </w:rPr>
              <w:t>كتاب البيع</w:t>
            </w:r>
            <w:r>
              <w:rPr>
                <w:rStyle w:val="IndexLink"/>
                <w:rtl w:val="true"/>
              </w:rPr>
              <w:tab/>
            </w:r>
            <w:r>
              <w:rPr>
                <w:rStyle w:val="IndexLink"/>
              </w:rPr>
              <w:t>452</w:t>
            </w:r>
          </w:hyperlink>
        </w:p>
        <w:p>
          <w:pPr>
            <w:pStyle w:val="Contents3"/>
            <w:tabs>
              <w:tab w:val="clear" w:pos="8459"/>
              <w:tab w:val="right" w:pos="9026" w:leader="dot"/>
            </w:tabs>
            <w:rPr/>
          </w:pPr>
          <w:hyperlink w:anchor="__RefHeading___Toc487941_3406789950">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487943_3406789950">
            <w:r>
              <w:rPr>
                <w:webHidden/>
                <w:rStyle w:val="IndexLink"/>
                <w:rtl w:val="true"/>
              </w:rPr>
              <w:t xml:space="preserve">القول </w:t>
            </w:r>
            <w:r>
              <w:rPr>
                <w:rStyle w:val="IndexLink"/>
                <w:rtl w:val="true"/>
              </w:rPr>
              <w:t xml:space="preserve">: </w:t>
            </w:r>
            <w:r>
              <w:rPr>
                <w:rStyle w:val="IndexLink"/>
                <w:rtl w:val="true"/>
              </w:rPr>
              <w:t>في شروط البيع</w:t>
            </w:r>
            <w:r>
              <w:rPr>
                <w:rStyle w:val="IndexLink"/>
                <w:rtl w:val="true"/>
              </w:rPr>
              <w:tab/>
            </w:r>
            <w:r>
              <w:rPr>
                <w:rStyle w:val="IndexLink"/>
              </w:rPr>
              <w:t>456</w:t>
            </w:r>
          </w:hyperlink>
        </w:p>
        <w:p>
          <w:pPr>
            <w:pStyle w:val="Contents3"/>
            <w:tabs>
              <w:tab w:val="clear" w:pos="8459"/>
              <w:tab w:val="right" w:pos="9026" w:leader="dot"/>
            </w:tabs>
            <w:rPr/>
          </w:pPr>
          <w:hyperlink w:anchor="__RefHeading___Toc487945_3406789950">
            <w:r>
              <w:rPr>
                <w:webHidden/>
                <w:rStyle w:val="IndexLink"/>
                <w:rtl w:val="true"/>
              </w:rPr>
              <w:t xml:space="preserve">القول </w:t>
            </w:r>
            <w:r>
              <w:rPr>
                <w:rStyle w:val="IndexLink"/>
                <w:rtl w:val="true"/>
              </w:rPr>
              <w:t xml:space="preserve">: </w:t>
            </w:r>
            <w:r>
              <w:rPr>
                <w:rStyle w:val="IndexLink"/>
                <w:rtl w:val="true"/>
              </w:rPr>
              <w:t>في شرائط المتعاقدين</w:t>
            </w:r>
            <w:r>
              <w:rPr>
                <w:rStyle w:val="IndexLink"/>
                <w:rtl w:val="true"/>
              </w:rPr>
              <w:tab/>
            </w:r>
            <w:r>
              <w:rPr>
                <w:rStyle w:val="IndexLink"/>
              </w:rPr>
              <w:t>456</w:t>
            </w:r>
          </w:hyperlink>
        </w:p>
        <w:p>
          <w:pPr>
            <w:pStyle w:val="Contents3"/>
            <w:tabs>
              <w:tab w:val="clear" w:pos="8459"/>
              <w:tab w:val="right" w:pos="9026" w:leader="dot"/>
            </w:tabs>
            <w:rPr/>
          </w:pPr>
          <w:hyperlink w:anchor="__RefHeading___Toc487947_3406789950">
            <w:r>
              <w:rPr>
                <w:webHidden/>
                <w:rStyle w:val="IndexLink"/>
                <w:rtl w:val="true"/>
              </w:rPr>
              <w:t xml:space="preserve">القول </w:t>
            </w:r>
            <w:r>
              <w:rPr>
                <w:rStyle w:val="IndexLink"/>
                <w:rtl w:val="true"/>
              </w:rPr>
              <w:t xml:space="preserve">: </w:t>
            </w:r>
            <w:r>
              <w:rPr>
                <w:rStyle w:val="IndexLink"/>
                <w:rtl w:val="true"/>
              </w:rPr>
              <w:t>في شروط العوضين</w:t>
            </w:r>
            <w:r>
              <w:rPr>
                <w:rStyle w:val="IndexLink"/>
                <w:rtl w:val="true"/>
              </w:rPr>
              <w:tab/>
            </w:r>
            <w:r>
              <w:rPr>
                <w:rStyle w:val="IndexLink"/>
              </w:rPr>
              <w:t>465</w:t>
            </w:r>
          </w:hyperlink>
        </w:p>
        <w:p>
          <w:pPr>
            <w:pStyle w:val="Contents3"/>
            <w:tabs>
              <w:tab w:val="clear" w:pos="8459"/>
              <w:tab w:val="right" w:pos="9026" w:leader="dot"/>
            </w:tabs>
            <w:rPr/>
          </w:pPr>
          <w:hyperlink w:anchor="__RefHeading___Toc487949_3406789950">
            <w:r>
              <w:rPr>
                <w:webHidden/>
                <w:rStyle w:val="IndexLink"/>
                <w:rtl w:val="true"/>
              </w:rPr>
              <w:t xml:space="preserve">القول </w:t>
            </w:r>
            <w:r>
              <w:rPr>
                <w:rStyle w:val="IndexLink"/>
                <w:rtl w:val="true"/>
              </w:rPr>
              <w:t xml:space="preserve">: </w:t>
            </w:r>
            <w:r>
              <w:rPr>
                <w:rStyle w:val="IndexLink"/>
                <w:rtl w:val="true"/>
              </w:rPr>
              <w:t>في الخيارات</w:t>
            </w:r>
            <w:r>
              <w:rPr>
                <w:rStyle w:val="IndexLink"/>
                <w:rtl w:val="true"/>
              </w:rPr>
              <w:tab/>
            </w:r>
            <w:r>
              <w:rPr>
                <w:rStyle w:val="IndexLink"/>
              </w:rPr>
              <w:t>470</w:t>
            </w:r>
          </w:hyperlink>
        </w:p>
        <w:p>
          <w:pPr>
            <w:pStyle w:val="Contents3"/>
            <w:tabs>
              <w:tab w:val="clear" w:pos="8459"/>
              <w:tab w:val="right" w:pos="9026" w:leader="dot"/>
            </w:tabs>
            <w:rPr/>
          </w:pPr>
          <w:hyperlink w:anchor="__RefHeading___Toc487951_3406789950">
            <w:r>
              <w:rPr>
                <w:webHidden/>
                <w:rStyle w:val="IndexLink"/>
                <w:rtl w:val="true"/>
              </w:rPr>
              <w:t xml:space="preserve">الأوّل </w:t>
            </w:r>
            <w:r>
              <w:rPr>
                <w:rStyle w:val="IndexLink"/>
                <w:rtl w:val="true"/>
              </w:rPr>
              <w:t xml:space="preserve">: </w:t>
            </w:r>
            <w:r>
              <w:rPr>
                <w:rStyle w:val="IndexLink"/>
                <w:rtl w:val="true"/>
              </w:rPr>
              <w:t>خيار المجلس</w:t>
            </w:r>
            <w:r>
              <w:rPr>
                <w:rStyle w:val="IndexLink"/>
                <w:rtl w:val="true"/>
              </w:rPr>
              <w:tab/>
            </w:r>
            <w:r>
              <w:rPr>
                <w:rStyle w:val="IndexLink"/>
              </w:rPr>
              <w:t>470</w:t>
            </w:r>
          </w:hyperlink>
        </w:p>
        <w:p>
          <w:pPr>
            <w:pStyle w:val="Contents3"/>
            <w:tabs>
              <w:tab w:val="clear" w:pos="8459"/>
              <w:tab w:val="right" w:pos="9026" w:leader="dot"/>
            </w:tabs>
            <w:rPr/>
          </w:pPr>
          <w:hyperlink w:anchor="__RefHeading___Toc487953_3406789950">
            <w:r>
              <w:rPr>
                <w:webHidden/>
                <w:rStyle w:val="IndexLink"/>
                <w:rtl w:val="true"/>
              </w:rPr>
              <w:t xml:space="preserve">الثاني </w:t>
            </w:r>
            <w:r>
              <w:rPr>
                <w:rStyle w:val="IndexLink"/>
                <w:rtl w:val="true"/>
              </w:rPr>
              <w:t xml:space="preserve">: </w:t>
            </w:r>
            <w:r>
              <w:rPr>
                <w:rStyle w:val="IndexLink"/>
                <w:rtl w:val="true"/>
              </w:rPr>
              <w:t>خيار الحيوان</w:t>
            </w:r>
            <w:r>
              <w:rPr>
                <w:rStyle w:val="IndexLink"/>
                <w:rtl w:val="true"/>
              </w:rPr>
              <w:tab/>
            </w:r>
            <w:r>
              <w:rPr>
                <w:rStyle w:val="IndexLink"/>
              </w:rPr>
              <w:t>470</w:t>
            </w:r>
          </w:hyperlink>
        </w:p>
        <w:p>
          <w:pPr>
            <w:pStyle w:val="Contents3"/>
            <w:tabs>
              <w:tab w:val="clear" w:pos="8459"/>
              <w:tab w:val="right" w:pos="9026" w:leader="dot"/>
            </w:tabs>
            <w:rPr/>
          </w:pPr>
          <w:hyperlink w:anchor="__RefHeading___Toc487955_3406789950">
            <w:r>
              <w:rPr>
                <w:webHidden/>
                <w:rStyle w:val="IndexLink"/>
                <w:rtl w:val="true"/>
              </w:rPr>
              <w:t xml:space="preserve">الثالث </w:t>
            </w:r>
            <w:r>
              <w:rPr>
                <w:rStyle w:val="IndexLink"/>
                <w:rtl w:val="true"/>
              </w:rPr>
              <w:t xml:space="preserve">: </w:t>
            </w:r>
            <w:r>
              <w:rPr>
                <w:rStyle w:val="IndexLink"/>
                <w:rtl w:val="true"/>
              </w:rPr>
              <w:t>خيار الشرط</w:t>
            </w:r>
            <w:r>
              <w:rPr>
                <w:rStyle w:val="IndexLink"/>
                <w:rtl w:val="true"/>
              </w:rPr>
              <w:tab/>
            </w:r>
            <w:r>
              <w:rPr>
                <w:rStyle w:val="IndexLink"/>
              </w:rPr>
              <w:t>471</w:t>
            </w:r>
          </w:hyperlink>
        </w:p>
        <w:p>
          <w:pPr>
            <w:pStyle w:val="Contents3"/>
            <w:tabs>
              <w:tab w:val="clear" w:pos="8459"/>
              <w:tab w:val="right" w:pos="9026" w:leader="dot"/>
            </w:tabs>
            <w:rPr/>
          </w:pPr>
          <w:hyperlink w:anchor="__RefHeading___Toc487957_3406789950">
            <w:r>
              <w:rPr>
                <w:webHidden/>
                <w:rStyle w:val="IndexLink"/>
                <w:rtl w:val="true"/>
              </w:rPr>
              <w:t xml:space="preserve">الرابع </w:t>
            </w:r>
            <w:r>
              <w:rPr>
                <w:rStyle w:val="IndexLink"/>
                <w:rtl w:val="true"/>
              </w:rPr>
              <w:t xml:space="preserve">: </w:t>
            </w:r>
            <w:r>
              <w:rPr>
                <w:rStyle w:val="IndexLink"/>
                <w:rtl w:val="true"/>
              </w:rPr>
              <w:t>خيار الغبن</w:t>
            </w:r>
            <w:r>
              <w:rPr>
                <w:rStyle w:val="IndexLink"/>
                <w:rtl w:val="true"/>
              </w:rPr>
              <w:tab/>
            </w:r>
            <w:r>
              <w:rPr>
                <w:rStyle w:val="IndexLink"/>
              </w:rPr>
              <w:t>474</w:t>
            </w:r>
          </w:hyperlink>
        </w:p>
        <w:p>
          <w:pPr>
            <w:pStyle w:val="Contents3"/>
            <w:tabs>
              <w:tab w:val="clear" w:pos="8459"/>
              <w:tab w:val="right" w:pos="9026" w:leader="dot"/>
            </w:tabs>
            <w:rPr/>
          </w:pPr>
          <w:hyperlink w:anchor="__RefHeading___Toc487959_3406789950">
            <w:r>
              <w:rPr>
                <w:webHidden/>
                <w:rStyle w:val="IndexLink"/>
                <w:rtl w:val="true"/>
              </w:rPr>
              <w:t xml:space="preserve">الخامس </w:t>
            </w:r>
            <w:r>
              <w:rPr>
                <w:rStyle w:val="IndexLink"/>
                <w:rtl w:val="true"/>
              </w:rPr>
              <w:t xml:space="preserve">: </w:t>
            </w:r>
            <w:r>
              <w:rPr>
                <w:rStyle w:val="IndexLink"/>
                <w:rtl w:val="true"/>
              </w:rPr>
              <w:t>خيار التأخير</w:t>
            </w:r>
            <w:r>
              <w:rPr>
                <w:rStyle w:val="IndexLink"/>
                <w:rtl w:val="true"/>
              </w:rPr>
              <w:tab/>
            </w:r>
            <w:r>
              <w:rPr>
                <w:rStyle w:val="IndexLink"/>
              </w:rPr>
              <w:t>480</w:t>
            </w:r>
          </w:hyperlink>
        </w:p>
        <w:p>
          <w:pPr>
            <w:pStyle w:val="Contents3"/>
            <w:tabs>
              <w:tab w:val="clear" w:pos="8459"/>
              <w:tab w:val="right" w:pos="9026" w:leader="dot"/>
            </w:tabs>
            <w:rPr/>
          </w:pPr>
          <w:hyperlink w:anchor="__RefHeading___Toc487961_3406789950">
            <w:r>
              <w:rPr>
                <w:webHidden/>
                <w:rStyle w:val="IndexLink"/>
                <w:rtl w:val="true"/>
              </w:rPr>
              <w:t xml:space="preserve">السادس </w:t>
            </w:r>
            <w:r>
              <w:rPr>
                <w:rStyle w:val="IndexLink"/>
                <w:rtl w:val="true"/>
              </w:rPr>
              <w:t xml:space="preserve">: </w:t>
            </w:r>
            <w:r>
              <w:rPr>
                <w:rStyle w:val="IndexLink"/>
                <w:rtl w:val="true"/>
              </w:rPr>
              <w:t>خيار الرؤية</w:t>
            </w:r>
            <w:r>
              <w:rPr>
                <w:rStyle w:val="IndexLink"/>
                <w:rtl w:val="true"/>
              </w:rPr>
              <w:tab/>
            </w:r>
            <w:r>
              <w:rPr>
                <w:rStyle w:val="IndexLink"/>
              </w:rPr>
              <w:t>481</w:t>
            </w:r>
          </w:hyperlink>
        </w:p>
        <w:p>
          <w:pPr>
            <w:pStyle w:val="Contents3"/>
            <w:tabs>
              <w:tab w:val="clear" w:pos="8459"/>
              <w:tab w:val="right" w:pos="9026" w:leader="dot"/>
            </w:tabs>
            <w:rPr/>
          </w:pPr>
          <w:hyperlink w:anchor="__RefHeading___Toc487963_3406789950">
            <w:r>
              <w:rPr>
                <w:webHidden/>
                <w:rStyle w:val="IndexLink"/>
                <w:rtl w:val="true"/>
              </w:rPr>
              <w:t xml:space="preserve">السابع </w:t>
            </w:r>
            <w:r>
              <w:rPr>
                <w:rStyle w:val="IndexLink"/>
                <w:rtl w:val="true"/>
              </w:rPr>
              <w:t xml:space="preserve">: </w:t>
            </w:r>
            <w:r>
              <w:rPr>
                <w:rStyle w:val="IndexLink"/>
                <w:rtl w:val="true"/>
              </w:rPr>
              <w:t>خيار العيب</w:t>
            </w:r>
            <w:r>
              <w:rPr>
                <w:rStyle w:val="IndexLink"/>
                <w:rtl w:val="true"/>
              </w:rPr>
              <w:tab/>
            </w:r>
            <w:r>
              <w:rPr>
                <w:rStyle w:val="IndexLink"/>
              </w:rPr>
              <w:t>482</w:t>
            </w:r>
          </w:hyperlink>
        </w:p>
        <w:p>
          <w:pPr>
            <w:pStyle w:val="Contents3"/>
            <w:tabs>
              <w:tab w:val="clear" w:pos="8459"/>
              <w:tab w:val="right" w:pos="9026" w:leader="dot"/>
            </w:tabs>
            <w:rPr/>
          </w:pPr>
          <w:hyperlink w:anchor="__RefHeading___Toc487965_3406789950">
            <w:r>
              <w:rPr>
                <w:webHidden/>
                <w:rStyle w:val="IndexLink"/>
                <w:rtl w:val="true"/>
              </w:rPr>
              <w:t xml:space="preserve">خاتمة </w:t>
            </w:r>
            <w:r>
              <w:rPr>
                <w:rStyle w:val="IndexLink"/>
                <w:rtl w:val="true"/>
              </w:rPr>
              <w:t xml:space="preserve">: </w:t>
            </w:r>
            <w:r>
              <w:rPr>
                <w:rStyle w:val="IndexLink"/>
                <w:rtl w:val="true"/>
              </w:rPr>
              <w:t>في أحكام الخيار</w:t>
            </w:r>
            <w:r>
              <w:rPr>
                <w:rStyle w:val="IndexLink"/>
                <w:rtl w:val="true"/>
              </w:rPr>
              <w:tab/>
            </w:r>
            <w:r>
              <w:rPr>
                <w:rStyle w:val="IndexLink"/>
              </w:rPr>
              <w:t>485</w:t>
            </w:r>
          </w:hyperlink>
        </w:p>
        <w:p>
          <w:pPr>
            <w:pStyle w:val="Contents3"/>
            <w:tabs>
              <w:tab w:val="clear" w:pos="8459"/>
              <w:tab w:val="right" w:pos="9026" w:leader="dot"/>
            </w:tabs>
            <w:rPr/>
          </w:pPr>
          <w:hyperlink w:anchor="__RefHeading___Toc487967_3406789950">
            <w:r>
              <w:rPr>
                <w:webHidden/>
                <w:rStyle w:val="IndexLink"/>
                <w:rtl w:val="true"/>
              </w:rPr>
              <w:t xml:space="preserve">القول </w:t>
            </w:r>
            <w:r>
              <w:rPr>
                <w:rStyle w:val="IndexLink"/>
                <w:rtl w:val="true"/>
              </w:rPr>
              <w:t xml:space="preserve">: </w:t>
            </w:r>
            <w:r>
              <w:rPr>
                <w:rStyle w:val="IndexLink"/>
                <w:rtl w:val="true"/>
              </w:rPr>
              <w:t>فيما يدخل في المبيع عند الإطلاق</w:t>
            </w:r>
            <w:r>
              <w:rPr>
                <w:rStyle w:val="IndexLink"/>
                <w:rtl w:val="true"/>
              </w:rPr>
              <w:tab/>
            </w:r>
            <w:r>
              <w:rPr>
                <w:rStyle w:val="IndexLink"/>
              </w:rPr>
              <w:t>486</w:t>
            </w:r>
          </w:hyperlink>
        </w:p>
        <w:p>
          <w:pPr>
            <w:pStyle w:val="Contents3"/>
            <w:tabs>
              <w:tab w:val="clear" w:pos="8459"/>
              <w:tab w:val="right" w:pos="9026" w:leader="dot"/>
            </w:tabs>
            <w:rPr/>
          </w:pPr>
          <w:hyperlink w:anchor="__RefHeading___Toc487969_3406789950">
            <w:r>
              <w:rPr>
                <w:webHidden/>
                <w:rStyle w:val="IndexLink"/>
                <w:rtl w:val="true"/>
              </w:rPr>
              <w:t xml:space="preserve">القول </w:t>
            </w:r>
            <w:r>
              <w:rPr>
                <w:rStyle w:val="IndexLink"/>
                <w:rtl w:val="true"/>
              </w:rPr>
              <w:t xml:space="preserve">: </w:t>
            </w:r>
            <w:r>
              <w:rPr>
                <w:rStyle w:val="IndexLink"/>
                <w:rtl w:val="true"/>
              </w:rPr>
              <w:t>في القبض والتسليم</w:t>
            </w:r>
            <w:r>
              <w:rPr>
                <w:rStyle w:val="IndexLink"/>
                <w:rtl w:val="true"/>
              </w:rPr>
              <w:tab/>
            </w:r>
            <w:r>
              <w:rPr>
                <w:rStyle w:val="IndexLink"/>
              </w:rPr>
              <w:t>488</w:t>
            </w:r>
          </w:hyperlink>
        </w:p>
        <w:p>
          <w:pPr>
            <w:pStyle w:val="Contents3"/>
            <w:tabs>
              <w:tab w:val="clear" w:pos="8459"/>
              <w:tab w:val="right" w:pos="9026" w:leader="dot"/>
            </w:tabs>
            <w:rPr/>
          </w:pPr>
          <w:hyperlink w:anchor="__RefHeading___Toc487971_3406789950">
            <w:r>
              <w:rPr>
                <w:webHidden/>
                <w:rStyle w:val="IndexLink"/>
                <w:rtl w:val="true"/>
              </w:rPr>
              <w:t xml:space="preserve">القول </w:t>
            </w:r>
            <w:r>
              <w:rPr>
                <w:rStyle w:val="IndexLink"/>
                <w:rtl w:val="true"/>
              </w:rPr>
              <w:t xml:space="preserve">: </w:t>
            </w:r>
            <w:r>
              <w:rPr>
                <w:rStyle w:val="IndexLink"/>
                <w:rtl w:val="true"/>
              </w:rPr>
              <w:t>في النقد والنسيئة</w:t>
            </w:r>
            <w:r>
              <w:rPr>
                <w:rStyle w:val="IndexLink"/>
                <w:rtl w:val="true"/>
              </w:rPr>
              <w:tab/>
            </w:r>
            <w:r>
              <w:rPr>
                <w:rStyle w:val="IndexLink"/>
              </w:rPr>
              <w:t>490</w:t>
            </w:r>
          </w:hyperlink>
        </w:p>
        <w:p>
          <w:pPr>
            <w:pStyle w:val="Contents3"/>
            <w:tabs>
              <w:tab w:val="clear" w:pos="8459"/>
              <w:tab w:val="right" w:pos="9026" w:leader="dot"/>
            </w:tabs>
            <w:rPr/>
          </w:pPr>
          <w:hyperlink w:anchor="__RefHeading___Toc487973_3406789950">
            <w:r>
              <w:rPr>
                <w:webHidden/>
                <w:rStyle w:val="IndexLink"/>
                <w:rtl w:val="true"/>
              </w:rPr>
              <w:t xml:space="preserve">القول </w:t>
            </w:r>
            <w:r>
              <w:rPr>
                <w:rStyle w:val="IndexLink"/>
                <w:rtl w:val="true"/>
              </w:rPr>
              <w:t xml:space="preserve">: </w:t>
            </w:r>
            <w:r>
              <w:rPr>
                <w:rStyle w:val="IndexLink"/>
                <w:rtl w:val="true"/>
              </w:rPr>
              <w:t>في الربا</w:t>
            </w:r>
            <w:r>
              <w:rPr>
                <w:rStyle w:val="IndexLink"/>
                <w:rtl w:val="true"/>
              </w:rPr>
              <w:tab/>
            </w:r>
            <w:r>
              <w:rPr>
                <w:rStyle w:val="IndexLink"/>
              </w:rPr>
              <w:t>491</w:t>
            </w:r>
          </w:hyperlink>
        </w:p>
        <w:p>
          <w:pPr>
            <w:pStyle w:val="Contents3"/>
            <w:tabs>
              <w:tab w:val="clear" w:pos="8459"/>
              <w:tab w:val="right" w:pos="9026" w:leader="dot"/>
            </w:tabs>
            <w:rPr/>
          </w:pPr>
          <w:hyperlink w:anchor="__RefHeading___Toc487975_3406789950">
            <w:r>
              <w:rPr>
                <w:webHidden/>
                <w:rStyle w:val="IndexLink"/>
                <w:rtl w:val="true"/>
              </w:rPr>
              <w:t xml:space="preserve">القول </w:t>
            </w:r>
            <w:r>
              <w:rPr>
                <w:rStyle w:val="IndexLink"/>
                <w:rtl w:val="true"/>
              </w:rPr>
              <w:t xml:space="preserve">: </w:t>
            </w:r>
            <w:r>
              <w:rPr>
                <w:rStyle w:val="IndexLink"/>
                <w:rtl w:val="true"/>
              </w:rPr>
              <w:t>في بيع الصرف</w:t>
            </w:r>
            <w:r>
              <w:rPr>
                <w:rStyle w:val="IndexLink"/>
                <w:rtl w:val="true"/>
              </w:rPr>
              <w:tab/>
            </w:r>
            <w:r>
              <w:rPr>
                <w:rStyle w:val="IndexLink"/>
              </w:rPr>
              <w:t>495</w:t>
            </w:r>
          </w:hyperlink>
        </w:p>
        <w:p>
          <w:pPr>
            <w:pStyle w:val="Contents3"/>
            <w:tabs>
              <w:tab w:val="clear" w:pos="8459"/>
              <w:tab w:val="right" w:pos="9026" w:leader="dot"/>
            </w:tabs>
            <w:rPr/>
          </w:pPr>
          <w:hyperlink w:anchor="__RefHeading___Toc487977_3406789950">
            <w:r>
              <w:rPr>
                <w:webHidden/>
                <w:rStyle w:val="IndexLink"/>
                <w:rtl w:val="true"/>
              </w:rPr>
              <w:t xml:space="preserve">القول </w:t>
            </w:r>
            <w:r>
              <w:rPr>
                <w:rStyle w:val="IndexLink"/>
                <w:rtl w:val="true"/>
              </w:rPr>
              <w:t xml:space="preserve">: </w:t>
            </w:r>
            <w:r>
              <w:rPr>
                <w:rStyle w:val="IndexLink"/>
                <w:rtl w:val="true"/>
              </w:rPr>
              <w:t>في السلف</w:t>
            </w:r>
            <w:r>
              <w:rPr>
                <w:rStyle w:val="IndexLink"/>
                <w:rtl w:val="true"/>
              </w:rPr>
              <w:tab/>
            </w:r>
            <w:r>
              <w:rPr>
                <w:rStyle w:val="IndexLink"/>
              </w:rPr>
              <w:t>501</w:t>
            </w:r>
          </w:hyperlink>
        </w:p>
        <w:p>
          <w:pPr>
            <w:pStyle w:val="Contents3"/>
            <w:tabs>
              <w:tab w:val="clear" w:pos="8459"/>
              <w:tab w:val="right" w:pos="9026" w:leader="dot"/>
            </w:tabs>
            <w:rPr/>
          </w:pPr>
          <w:hyperlink w:anchor="__RefHeading___Toc487979_3406789950">
            <w:r>
              <w:rPr>
                <w:webHidden/>
                <w:rStyle w:val="IndexLink"/>
                <w:rtl w:val="true"/>
              </w:rPr>
              <w:t xml:space="preserve">القول </w:t>
            </w:r>
            <w:r>
              <w:rPr>
                <w:rStyle w:val="IndexLink"/>
                <w:rtl w:val="true"/>
              </w:rPr>
              <w:t xml:space="preserve">: </w:t>
            </w:r>
            <w:r>
              <w:rPr>
                <w:rStyle w:val="IndexLink"/>
                <w:rtl w:val="true"/>
              </w:rPr>
              <w:t>في المرابحة والمواضعة والتولية</w:t>
            </w:r>
            <w:r>
              <w:rPr>
                <w:rStyle w:val="IndexLink"/>
                <w:rtl w:val="true"/>
              </w:rPr>
              <w:tab/>
            </w:r>
            <w:r>
              <w:rPr>
                <w:rStyle w:val="IndexLink"/>
              </w:rPr>
              <w:t>505</w:t>
            </w:r>
          </w:hyperlink>
        </w:p>
        <w:p>
          <w:pPr>
            <w:pStyle w:val="Contents3"/>
            <w:tabs>
              <w:tab w:val="clear" w:pos="8459"/>
              <w:tab w:val="right" w:pos="9026" w:leader="dot"/>
            </w:tabs>
            <w:rPr/>
          </w:pPr>
          <w:hyperlink w:anchor="__RefHeading___Toc487981_3406789950">
            <w:r>
              <w:rPr>
                <w:webHidden/>
                <w:rStyle w:val="IndexLink"/>
                <w:rtl w:val="true"/>
              </w:rPr>
              <w:t xml:space="preserve">القول </w:t>
            </w:r>
            <w:r>
              <w:rPr>
                <w:rStyle w:val="IndexLink"/>
                <w:rtl w:val="true"/>
              </w:rPr>
              <w:t xml:space="preserve">: </w:t>
            </w:r>
            <w:r>
              <w:rPr>
                <w:rStyle w:val="IndexLink"/>
                <w:rtl w:val="true"/>
              </w:rPr>
              <w:t>في بيع الثمار في النخيل والأشجار</w:t>
            </w:r>
            <w:r>
              <w:rPr>
                <w:rStyle w:val="IndexLink"/>
                <w:rtl w:val="true"/>
              </w:rPr>
              <w:tab/>
            </w:r>
            <w:r>
              <w:rPr>
                <w:rStyle w:val="IndexLink"/>
              </w:rPr>
              <w:t>508</w:t>
            </w:r>
          </w:hyperlink>
        </w:p>
        <w:p>
          <w:pPr>
            <w:pStyle w:val="Contents3"/>
            <w:tabs>
              <w:tab w:val="clear" w:pos="8459"/>
              <w:tab w:val="right" w:pos="9026" w:leader="dot"/>
            </w:tabs>
            <w:rPr/>
          </w:pPr>
          <w:hyperlink w:anchor="__RefHeading___Toc487983_3406789950">
            <w:r>
              <w:rPr>
                <w:webHidden/>
                <w:rStyle w:val="IndexLink"/>
                <w:rtl w:val="true"/>
              </w:rPr>
              <w:t xml:space="preserve">القول </w:t>
            </w:r>
            <w:r>
              <w:rPr>
                <w:rStyle w:val="IndexLink"/>
                <w:rtl w:val="true"/>
              </w:rPr>
              <w:t xml:space="preserve">: </w:t>
            </w:r>
            <w:r>
              <w:rPr>
                <w:rStyle w:val="IndexLink"/>
                <w:rtl w:val="true"/>
              </w:rPr>
              <w:t>في بيع الحيوان ناطقه وصامته</w:t>
            </w:r>
            <w:r>
              <w:rPr>
                <w:rStyle w:val="IndexLink"/>
                <w:rtl w:val="true"/>
              </w:rPr>
              <w:tab/>
            </w:r>
            <w:r>
              <w:rPr>
                <w:rStyle w:val="IndexLink"/>
              </w:rPr>
              <w:t>513</w:t>
            </w:r>
          </w:hyperlink>
        </w:p>
        <w:p>
          <w:pPr>
            <w:pStyle w:val="Contents3"/>
            <w:tabs>
              <w:tab w:val="clear" w:pos="8459"/>
              <w:tab w:val="right" w:pos="9026" w:leader="dot"/>
            </w:tabs>
            <w:rPr/>
          </w:pPr>
          <w:hyperlink w:anchor="__RefHeading___Toc487985_3406789950">
            <w:r>
              <w:rPr>
                <w:webHidden/>
                <w:rStyle w:val="IndexLink"/>
                <w:rtl w:val="true"/>
              </w:rPr>
              <w:t xml:space="preserve">القول </w:t>
            </w:r>
            <w:r>
              <w:rPr>
                <w:rStyle w:val="IndexLink"/>
                <w:rtl w:val="true"/>
              </w:rPr>
              <w:t xml:space="preserve">: </w:t>
            </w:r>
            <w:r>
              <w:rPr>
                <w:rStyle w:val="IndexLink"/>
                <w:rtl w:val="true"/>
              </w:rPr>
              <w:t>في الإقالة</w:t>
            </w:r>
            <w:r>
              <w:rPr>
                <w:rStyle w:val="IndexLink"/>
                <w:rtl w:val="true"/>
              </w:rPr>
              <w:tab/>
            </w:r>
            <w:r>
              <w:rPr>
                <w:rStyle w:val="IndexLink"/>
              </w:rPr>
              <w:t>517</w:t>
            </w:r>
          </w:hyperlink>
        </w:p>
        <w:p>
          <w:pPr>
            <w:pStyle w:val="Contents2"/>
            <w:tabs>
              <w:tab w:val="clear" w:pos="8743"/>
              <w:tab w:val="right" w:pos="9026" w:leader="dot"/>
            </w:tabs>
            <w:rPr/>
          </w:pPr>
          <w:hyperlink w:anchor="__RefHeading___Toc487987_3406789950">
            <w:r>
              <w:rPr>
                <w:webHidden/>
                <w:rStyle w:val="IndexLink"/>
                <w:rtl w:val="true"/>
              </w:rPr>
              <w:t>كتاب الشفعة</w:t>
            </w:r>
            <w:r>
              <w:rPr>
                <w:rStyle w:val="IndexLink"/>
                <w:rtl w:val="true"/>
              </w:rPr>
              <w:tab/>
            </w:r>
            <w:r>
              <w:rPr>
                <w:rStyle w:val="IndexLink"/>
              </w:rPr>
              <w:t>519</w:t>
            </w:r>
          </w:hyperlink>
        </w:p>
        <w:p>
          <w:pPr>
            <w:pStyle w:val="Contents2"/>
            <w:tabs>
              <w:tab w:val="clear" w:pos="8743"/>
              <w:tab w:val="right" w:pos="9026" w:leader="dot"/>
            </w:tabs>
            <w:rPr/>
          </w:pPr>
          <w:hyperlink w:anchor="__RefHeading___Toc487989_3406789950">
            <w:r>
              <w:rPr>
                <w:webHidden/>
                <w:rStyle w:val="IndexLink"/>
                <w:rtl w:val="true"/>
              </w:rPr>
              <w:t>كتاب الصلح</w:t>
            </w:r>
            <w:r>
              <w:rPr>
                <w:rStyle w:val="IndexLink"/>
                <w:rtl w:val="true"/>
              </w:rPr>
              <w:tab/>
            </w:r>
            <w:r>
              <w:rPr>
                <w:rStyle w:val="IndexLink"/>
              </w:rPr>
              <w:t>527</w:t>
            </w:r>
          </w:hyperlink>
        </w:p>
        <w:p>
          <w:pPr>
            <w:pStyle w:val="Contents2"/>
            <w:tabs>
              <w:tab w:val="clear" w:pos="8743"/>
              <w:tab w:val="right" w:pos="9026" w:leader="dot"/>
            </w:tabs>
            <w:rPr/>
          </w:pPr>
          <w:hyperlink w:anchor="__RefHeading___Toc487991_3406789950">
            <w:r>
              <w:rPr>
                <w:webHidden/>
                <w:rStyle w:val="IndexLink"/>
                <w:rtl w:val="true"/>
              </w:rPr>
              <w:t>كتاب الإجارة</w:t>
            </w:r>
            <w:r>
              <w:rPr>
                <w:rStyle w:val="IndexLink"/>
                <w:rtl w:val="true"/>
              </w:rPr>
              <w:tab/>
            </w:r>
            <w:r>
              <w:rPr>
                <w:rStyle w:val="IndexLink"/>
              </w:rPr>
              <w:t>539</w:t>
            </w:r>
          </w:hyperlink>
        </w:p>
        <w:p>
          <w:pPr>
            <w:pStyle w:val="Contents2"/>
            <w:tabs>
              <w:tab w:val="clear" w:pos="8743"/>
              <w:tab w:val="right" w:pos="9026" w:leader="dot"/>
            </w:tabs>
            <w:rPr/>
          </w:pPr>
          <w:hyperlink w:anchor="__RefHeading___Toc487993_3406789950">
            <w:r>
              <w:rPr>
                <w:webHidden/>
                <w:rStyle w:val="IndexLink"/>
                <w:rtl w:val="true"/>
              </w:rPr>
              <w:t>كتاب الجعالة</w:t>
            </w:r>
            <w:r>
              <w:rPr>
                <w:rStyle w:val="IndexLink"/>
                <w:rtl w:val="true"/>
              </w:rPr>
              <w:tab/>
            </w:r>
            <w:r>
              <w:rPr>
                <w:rStyle w:val="IndexLink"/>
              </w:rPr>
              <w:t>558</w:t>
            </w:r>
          </w:hyperlink>
        </w:p>
        <w:p>
          <w:pPr>
            <w:pStyle w:val="Contents2"/>
            <w:tabs>
              <w:tab w:val="clear" w:pos="8743"/>
              <w:tab w:val="right" w:pos="9026" w:leader="dot"/>
            </w:tabs>
            <w:rPr/>
          </w:pPr>
          <w:hyperlink w:anchor="__RefHeading___Toc487995_3406789950">
            <w:r>
              <w:rPr>
                <w:webHidden/>
                <w:rStyle w:val="IndexLink"/>
                <w:rtl w:val="true"/>
              </w:rPr>
              <w:t>فهرس الموضوعات</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01_159567"/>
      <w:bookmarkStart w:id="1" w:name="pg15001_159567"/>
      <w:bookmarkEnd w:id="1"/>
    </w:p>
    <w:p>
      <w:pPr>
        <w:pStyle w:val="Heading2"/>
        <w:numPr>
          <w:ilvl w:val="1"/>
          <w:numId w:val="1"/>
        </w:numPr>
        <w:rPr/>
      </w:pPr>
      <w:bookmarkStart w:id="2" w:name="pg15001_159567"/>
      <w:bookmarkStart w:id="3" w:name="__RefHeading___Toc487573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7575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01_159571"/>
      <w:bookmarkStart w:id="8" w:name="pg15001_159571"/>
      <w:bookmarkEnd w:id="8"/>
    </w:p>
    <w:p>
      <w:pPr>
        <w:pStyle w:val="Heading2"/>
        <w:numPr>
          <w:ilvl w:val="1"/>
          <w:numId w:val="1"/>
        </w:numPr>
        <w:rPr/>
      </w:pPr>
      <w:bookmarkStart w:id="9" w:name="pg15001_159571"/>
      <w:bookmarkStart w:id="10" w:name="__RefHeading___Toc487577_3406789950"/>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الفقيه النبيه السيّد أبو الحسن الأصفهاني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واعياً ومتيقّظاً وزعيماً خبيراً وبالإضافة إلى هذا فقد صار في السنوات العشرة من آخر عمره الشريف مرجعاً عاماً وفريداً للشيعة في جميع الأقطار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وبغية أن يوصل آرائه وفتاواه إلى مقلّديه فقد كتب 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آية اللّه العظمى السيّد محمد كاظم اليزدي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مزج التعليقة بالنصّ وبالرغم من أنّه أضاف إليه فروعات ومسائل جديدة لم يجد المجموع ملبّياً لحاجات المقلّدين ومن أجل ذلك قام 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حاويا لاُمّهات المسائل والمهمات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مطمح لأنظار جميع الفقهاء بصفتين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الأصفهاني قدّس سرّه جمع بين كثير من الفروع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منها كثيراً من التفريعات الواردة التي لا تأثير عملي لها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الأصفهاني قدّس سرّه أورد بحوثاً أكثر من الأبواب الفقهية بحيث </w:t>
      </w:r>
    </w:p>
    <w:p>
      <w:pPr>
        <w:pStyle w:val="BookText"/>
        <w:rPr/>
      </w:pPr>
      <w:r>
        <w:rPr>
          <w:rFonts w:ascii="Amiri" w:hAnsi="Amiri" w:eastAsia="Amiri" w:cs="Amiri"/>
          <w:color w:val="111111"/>
          <w:sz w:val="28"/>
          <w:sz w:val="28"/>
          <w:szCs w:val="28"/>
          <w:rtl w:val="true"/>
          <w:lang w:bidi="ar-SA"/>
        </w:rPr>
        <w:t xml:space="preserve">تشتمل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فقيهاً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ولأوّل مرّة في عام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ق وبسبب مكانة مؤلّفه المتميّزه حظي بإقبال واسع من ناحية الفقهاء والمجتهدين بحيث علّق عليه الفقهاء العظام والمراجع في السنوات التالية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هؤلاء الفقهاء الإمام الخميني قدّس سرّه فإنّ سماحته بدأ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حواشيه على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ق وفرغ منها عام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ق وتعتبر هذه الحواشي أوّل كتاب فتوائي للإمام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تبلغ مجموعة حواشي الإمام قدّس سرّه على الوسيلة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وبهذا قد كتب سماحته حاشية على أغلب الفتاوى الصادرة من السيّد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لايهتمّ الكثير من المحشّين على الفتاوى بموارد غير إلزامية كالندب والكراهة، ولكنّ الإمام الخميني قدّس سرّه كتب حواشيه على الفتاوى المتعلقة بالمندوبات والمكروهات أيضاً، وهذا الأمر ممّا تمتاز به هذه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الحواشي بصدد بيان الفتوى للمقلّدين، ولكنّها قد تتعرّض لبيان شيء من الأدلّة في مواضع كما أنّها أضافت بعضاً من الفروع إلى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حواشي الإمام الخميني قدّس سرّه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 الموافق لعام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 في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قبل المطبعة العلمية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الطبعة وفقاً لمخطوط الإمام قدّس سرّه لم يرد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بل اكتفي بعبارات وكلمات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موضعاً لحاشية الإمام وطبعت مع كامل الحاشية عليها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 نشرت دار العلم النصّ الكامل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تعليقة الإمام الخميني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وآية اللّه السيّد محمود الشاهرودي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وفي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 وفي حفل تكريم السيّد أبي الحسن الأصفهاني قدّس سرّه طبعت </w:t>
      </w:r>
    </w:p>
    <w:p>
      <w:pPr>
        <w:pStyle w:val="BookText"/>
        <w:rPr/>
      </w:pPr>
      <w:r>
        <w:rPr>
          <w:rFonts w:ascii="Amiri" w:hAnsi="Amiri" w:eastAsia="Amiri" w:cs="Amiri"/>
          <w:color w:val="111111"/>
          <w:sz w:val="28"/>
          <w:sz w:val="28"/>
          <w:szCs w:val="28"/>
          <w:rtl w:val="true"/>
          <w:lang w:bidi="ar-SA"/>
        </w:rPr>
        <w:t xml:space="preserve">ونشرت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مع سبع تعليقات منها تعليقة الإمام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النصّ الكامل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الإمام الخميني قدّس سرّه بالتصحيح الكامل والمراجعة التامّة بين مخطوط الإمام والنسخة مع الدقّة الفائقة في تبيين المواضع الصحيحة من التعليقات من قبل مؤسّسة تنظيم ونشر آثار الإمام الخميني قدّس سرّه في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وبمناسبة الذكرى المئوية لولادة الإمام الخميني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الإشياء إلى أنّ تعليقة الإمام قدّس سرّه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أساساً ومبدأ 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سماحته، ولكنّه بالنظر إلى أنّ فتاويه قد تختلف أحياناً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هي في التعليقة، فإنّ على المقلّدين أن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وأساساً لتلقّي فتاوى الإمام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وبدقّة أكثر في مراحل التحقيق وتصحيح من الكتاب والحواشي، نشر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الإمام قدّس سرّه في موسوعة الإمام الخميني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جعل العلماء ورثة النبيين وجعل الأخذ عنهم وسيلة للنجاة يوم الدين ، وصلّى اللّه على محمّد سيّد المرسلين وآله الطاهرين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الحقير الجاني أبو الحسن الموسوي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لمراضيه وجعل مستقبل أمره خيراً من ماضيه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الرسالة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ذخيرة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وجيزة قليلاً لفظها كثيراً نفعها سهلاً تناولها قد علّقت عليها بعض الحواشي أوّلاً ، وبيّنت فيها مواقع الاختلاف في الفتوى لتكون مرجعاً لمن يرجع إليّ فيها ، ثمّ أدرجت الحواشي في المتن ثانياً كي تكون أسهل تناولاً ، ثمّ كرّرت النظر فيها ثالثاً فأضفت إليها بعض الفروع وألحقت بها بعض المسائل المبتلى بها من المعاملات وغيرها لتكون أكثر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تكن وافية بجلّ المسائل والفروع ولذلك كثرت الشكوى من المؤمنين إليّ وزاد إلحاحهم عليّ أن اُدرج في طيّها بعض الفروع التي تعمّ بها البلوى واُلحق بها بعض المسائل الكثيرة الجدوى ، فأجبت مسؤولهم وقضيت مأمولهم مع تشويش البال وكثرة الأشغال ، 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كافية جامعة لاُمّهات المسائل ومهمّاتها وسمّيتها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ربّ العالمين أن ينفع بها المتديّنين من إخواننا المؤمنين ، وأن يلحظها بعين القبول والرضوان ، إنّه الكريم المنّان وهو حسبنا ونعم الوكيل </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03_159577"/>
      <w:bookmarkStart w:id="13" w:name="pg15003_159577"/>
      <w:bookmarkEnd w:id="13"/>
    </w:p>
    <w:p>
      <w:pPr>
        <w:pStyle w:val="Heading2"/>
        <w:numPr>
          <w:ilvl w:val="1"/>
          <w:numId w:val="1"/>
        </w:numPr>
        <w:rPr/>
      </w:pPr>
      <w:bookmarkStart w:id="14" w:name="pg15003_159577"/>
      <w:bookmarkStart w:id="15" w:name="__RefHeading___Toc487579_3406789950"/>
      <w:bookmarkStart w:id="16" w:name="_Toc4"/>
      <w:bookmarkEnd w:id="14"/>
      <w:bookmarkEnd w:id="15"/>
      <w:r>
        <w:rPr>
          <w:rtl w:val="true"/>
        </w:rPr>
        <w:t>مقدّمة</w:t>
      </w:r>
      <w:bookmarkEnd w:id="1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يجب على كلّ مكلّف غير بالغ مرتبة الاجتهاد في عباداته</w:t>
      </w:r>
      <w:r>
        <w:rPr>
          <w:rStyle w:val="FootnoteAnchor"/>
          <w:rtl w:val="true"/>
        </w:rPr>
        <w:footnoteReference w:id="2"/>
      </w:r>
      <w:r>
        <w:rPr>
          <w:rFonts w:ascii="Amiri" w:hAnsi="Amiri" w:eastAsia="Amiri" w:cs="Amiri"/>
          <w:color w:val="111111"/>
          <w:sz w:val="28"/>
          <w:sz w:val="28"/>
          <w:szCs w:val="28"/>
          <w:rtl w:val="true"/>
          <w:lang w:bidi="ar-SA"/>
        </w:rPr>
        <w:t>ومعاملاته وتمام أعماله ولو في المستحبّات والمباحات ، أن يكون إمّا مقلّداً أو محتاطاً ؛ بشرط أن يعرف موارد الاحتياط ولا يعرف ذلك إلاّ القليل ، فعمل العامّي الغير العارف بمواضع الاحتياط من غير تقليد باطل</w:t>
      </w:r>
      <w:r>
        <w:rPr>
          <w:rStyle w:val="FootnoteAnchor"/>
          <w:rtl w:val="true"/>
        </w:rPr>
        <w:footnoteReference w:id="3"/>
      </w:r>
      <w:r>
        <w:rPr>
          <w:rFonts w:ascii="IRNazanin" w:hAnsi="IRNazanin" w:eastAsia="IRNazanin"/>
          <w:color w:val="111111"/>
          <w:sz w:val="28"/>
          <w:sz w:val="28"/>
          <w:szCs w:val="28"/>
          <w:rtl w:val="true"/>
          <w:lang w:bidi="fa-IR"/>
        </w:rPr>
        <w:t xml:space="preserve">عاطل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العمل بالاحتياط ولو كان مستلزماً للتكرار على الأقوى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w:t>
      </w:r>
      <w:r>
        <w:rPr>
          <w:rStyle w:val="FootnoteAnchor"/>
          <w:rtl w:val="true"/>
        </w:rPr>
        <w:footnoteReference w:id="4"/>
      </w:r>
      <w:r>
        <w:rPr>
          <w:rFonts w:ascii="Amiri" w:hAnsi="Amiri" w:eastAsia="Amiri" w:cs="Amiri"/>
          <w:color w:val="111111"/>
          <w:sz w:val="28"/>
          <w:sz w:val="28"/>
          <w:szCs w:val="28"/>
          <w:rtl w:val="true"/>
          <w:lang w:bidi="ar-SA"/>
        </w:rPr>
        <w:t xml:space="preserve">المصحّح للعمل هو الالتزام بالعمل بفتوى مجتهد معيّن ، ويتحقّق بأخذ المسائل منه للعمل بها وإن لم يعمل بعدُ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مسألتي جواز البقاء على تقليد الميّت وعدم جواز العدول من الحيّ إلى الحيّ يتوقّف على العمل بها كما يأتي في المسألتين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المرجع للتقليد عالماً مجتهداً عادلاً ورعاً في دين اللّه‌</w:t>
      </w:r>
      <w:r>
        <w:rPr>
          <w:rStyle w:val="FootnoteAnchor"/>
          <w:rtl w:val="true"/>
        </w:rPr>
        <w:footnoteReference w:id="5"/>
      </w:r>
      <w:r>
        <w:rPr>
          <w:rFonts w:ascii="IRNazanin" w:hAnsi="IRNazanin" w:eastAsia="IRNazanin"/>
          <w:color w:val="111111"/>
          <w:sz w:val="28"/>
          <w:sz w:val="28"/>
          <w:szCs w:val="28"/>
          <w:rtl w:val="true"/>
          <w:lang w:bidi="fa-IR"/>
        </w:rPr>
        <w:t xml:space="preserve">كما وصفه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6"/>
      </w:r>
      <w:r>
        <w:rPr>
          <w:rFonts w:ascii="Amiri" w:hAnsi="Amiri" w:eastAsia="Amiri" w:cs="Amiri"/>
          <w:color w:val="111111"/>
          <w:sz w:val="28"/>
          <w:sz w:val="28"/>
          <w:szCs w:val="28"/>
          <w:rtl w:val="true"/>
          <w:lang w:bidi="ar-SA"/>
        </w:rPr>
        <w:t>العدول من الحيّ إلى الحيّ في المسائل التي عمل بها إلاّ إذا كان الثاني أعلم ،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ما لم يعمل بها فالظاهر جواز العدول عنه ولو إلى المساوي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تقليد الأعلم مع الإمكان على الأحوط ويجب الفحص عنه ، وإذا تساوى مجتهدان في العلم أو لم يعلم الأعلم منهما تخيّر بينهما إلاّ إذا كان أحدهما المعيّن أورع أو أعدل فيتعيّن</w:t>
      </w:r>
      <w:r>
        <w:rPr>
          <w:rStyle w:val="FootnoteAnchor"/>
          <w:rtl w:val="true"/>
        </w:rPr>
        <w:footnoteReference w:id="7"/>
      </w:r>
      <w:r>
        <w:rPr>
          <w:rFonts w:ascii="Amiri" w:hAnsi="Amiri" w:eastAsia="Amiri" w:cs="Amiri"/>
          <w:color w:val="111111"/>
          <w:sz w:val="28"/>
          <w:sz w:val="28"/>
          <w:szCs w:val="28"/>
          <w:rtl w:val="true"/>
          <w:lang w:bidi="ar-SA"/>
        </w:rPr>
        <w:t xml:space="preserve">تقليده ، وإذا تردّد بين شخصين يحتمل أعلمية أحدهما المعيّن دون الآخر تعيّن تقليده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الأعلم منحصراً في شخصين ولم يتمكّن من تعيينه تعيّن الأخذ بالاحتياط أو العمل بأحوط القولين منهما مع التمكّن ، ومع عدمه يكون مخيّراً بينهما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العامّي أن يقلّد الأعلم في مسألة وجوب تقليد الأعلم ، فإن أفتى بوجوبه لا يجوز له تقليد غيره في المسائل الفرعية ، وإن أفتى بجواز تقليد غير الأعلم تخيّر بين تقليده وتقليد غيره ، ولا يجوز له تقليد غير الأعلم إذا أفتى بعدم وجوب تقليد الأعلم ، نعم لو أفتى بوجوب تقليد الأعلم </w:t>
      </w:r>
    </w:p>
    <w:p>
      <w:pPr>
        <w:pStyle w:val="BookText"/>
        <w:rPr/>
      </w:pPr>
      <w:r>
        <w:rPr>
          <w:rFonts w:ascii="Amiri" w:hAnsi="Amiri" w:eastAsia="Amiri" w:cs="Amiri"/>
          <w:color w:val="111111"/>
          <w:sz w:val="28"/>
          <w:sz w:val="28"/>
          <w:szCs w:val="28"/>
          <w:rtl w:val="true"/>
          <w:lang w:bidi="ar-SA"/>
        </w:rPr>
        <w:t xml:space="preserve">يجوز الأخذ بقوله ، لكن لا من جهة حجّية قوله ، بل لكونه موافقاً للاحتياط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مجتهدان متساويين في العلم يتخيّر العامّي في الرجوع إلى أيّهما ، كما يجوز له التبعيض في المسائل بأخذ بعضها من أحدهما وبعضها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العامّي في زمان الفحص عن المجتهد أو الأعلم أن يعمل بالاحتياط</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تقليد المفضول في المسائل التي توافق فتواه فتوى الأفضل فيها ، بل فيما لم يعلم تخالفهما في الفتوى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للأعلم فتوى في مسألة من المسائل يجوز الرجوع في تلك المسألة إلى غيره مع رعاية الأعلم فالأعلم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من ليس له أهلية الفتوى ثمّ التفت وجب عليه العدول ، وكذا إذا قلّد غير الأعلم وجب العدول</w:t>
      </w:r>
      <w:r>
        <w:rPr>
          <w:rStyle w:val="FootnoteAnchor"/>
          <w:rtl w:val="true"/>
        </w:rPr>
        <w:footnoteReference w:id="9"/>
      </w:r>
      <w:r>
        <w:rPr>
          <w:rFonts w:ascii="Amiri" w:hAnsi="Amiri" w:eastAsia="Amiri" w:cs="Amiri"/>
          <w:color w:val="111111"/>
          <w:sz w:val="28"/>
          <w:sz w:val="28"/>
          <w:szCs w:val="28"/>
          <w:rtl w:val="true"/>
          <w:lang w:bidi="ar-SA"/>
        </w:rPr>
        <w:t xml:space="preserve">إلى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قلّد الأعلم ثمّ صار غيره أعلم منه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تقليد الميّت ابتداءً ، نعم يجوز البقاء على تقليده في المسائل التي عمل بها</w:t>
      </w:r>
      <w:r>
        <w:rPr>
          <w:rStyle w:val="FootnoteAnchor"/>
          <w:rtl w:val="true"/>
        </w:rPr>
        <w:footnoteReference w:id="10"/>
      </w:r>
      <w:r>
        <w:rPr>
          <w:rFonts w:ascii="Amiri" w:hAnsi="Amiri" w:eastAsia="Amiri" w:cs="Amiri"/>
          <w:color w:val="111111"/>
          <w:sz w:val="28"/>
          <w:sz w:val="28"/>
          <w:szCs w:val="28"/>
          <w:rtl w:val="true"/>
          <w:lang w:bidi="ar-SA"/>
        </w:rPr>
        <w:t xml:space="preserve">في زمان حياته أو الرجوع إلى الحيّ الأعلم ، والرجوع </w:t>
      </w:r>
    </w:p>
    <w:p>
      <w:pPr>
        <w:pStyle w:val="BookText"/>
        <w:rPr/>
      </w:pP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r>
        <w:rPr>
          <w:rStyle w:val="FootnoteAnchor"/>
          <w:rtl w:val="true"/>
        </w:rPr>
        <w:footnoteReference w:id="11"/>
      </w:r>
      <w:r>
        <w:rPr>
          <w:rFonts w:ascii="Amiri" w:hAnsi="Amiri" w:eastAsia="Amiri" w:cs="Amiri"/>
          <w:color w:val="111111"/>
          <w:sz w:val="28"/>
          <w:sz w:val="28"/>
          <w:szCs w:val="28"/>
          <w:rtl w:val="true"/>
          <w:lang w:bidi="ar-SA"/>
        </w:rPr>
        <w:t xml:space="preserve">بعد ذلك ، الرجوع إلى فتوى الميّت ثانياً ولا إلى حيّ آخر إلاّ إلى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البقاء بتقليد الحيّ ، فلو بقي على تقليد الميّت من دون الرجوع إلى الحيّ الذي يفتي بجواز ذلك كان كمن عمل من غير 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ثمّ مات فقلّد غيره ، ثمّ مات فقلّد في مسألة البقاء على تقليد الميّت من يقول بوجوب البقاء أو جوازه ، فهل يبقى على تقليد المجتهد الأوّل أو الثاني ؟ الأظهر البقاء على تقليد الأوّل إن كان الثالث قائلاً بوجوب البقاء ، وعلى تقليد الثاني</w:t>
      </w:r>
      <w:r>
        <w:rPr>
          <w:rStyle w:val="FootnoteAnchor"/>
          <w:rtl w:val="true"/>
        </w:rPr>
        <w:footnoteReference w:id="12"/>
      </w:r>
      <w:r>
        <w:rPr>
          <w:rFonts w:ascii="Amiri" w:hAnsi="Amiri" w:eastAsia="Amiri" w:cs="Amiri"/>
          <w:color w:val="111111"/>
          <w:sz w:val="28"/>
          <w:sz w:val="28"/>
          <w:szCs w:val="28"/>
          <w:rtl w:val="true"/>
          <w:lang w:bidi="ar-SA"/>
        </w:rPr>
        <w:t xml:space="preserve">إن كان قائلاً بجوازه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المأذون والوكيل عن المجتهد في التصرّف في الأوقاف أو الوصايا أو في أموال القصّر ينعزل بموت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المنصوب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نصبه متولّياً للوقف أو قيّماً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ينعزل بموته ؟ فيه إشكال</w:t>
      </w:r>
      <w:r>
        <w:rPr>
          <w:rStyle w:val="FootnoteAnchor"/>
          <w:rtl w:val="true"/>
        </w:rPr>
        <w:footnoteReference w:id="13"/>
      </w:r>
      <w:r>
        <w:rPr>
          <w:rFonts w:ascii="Amiri" w:hAnsi="Amiri" w:eastAsia="Amiri" w:cs="Amiri"/>
          <w:color w:val="111111"/>
          <w:sz w:val="28"/>
          <w:sz w:val="28"/>
          <w:szCs w:val="28"/>
          <w:rtl w:val="true"/>
          <w:lang w:bidi="ar-SA"/>
        </w:rPr>
        <w:t xml:space="preserve">فلا يترك الاحتياط بتحصيل النصب الجديد من المجتهد الحيّ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أو عقد أو 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فتوى من يقلّده فمات ذلك المجتهد فقلّد من يقول ببطلانه ، يجوز له البناء على صحّة الأعمال السابقة ، ولا يجب عليه إعادتها ، وإن وجب عليه فيما يأتي العمل بمقتضى فتوى المجتهد الثاني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مجتهداً من غير فحص عن حاله ، أو قطع بكونه جامعاً </w:t>
      </w:r>
    </w:p>
    <w:p>
      <w:pPr>
        <w:pStyle w:val="BookText"/>
        <w:rPr/>
      </w:pPr>
      <w:r>
        <w:rPr>
          <w:rFonts w:ascii="Amiri" w:hAnsi="Amiri" w:eastAsia="Amiri" w:cs="Amiri"/>
          <w:color w:val="111111"/>
          <w:sz w:val="28"/>
          <w:sz w:val="28"/>
          <w:szCs w:val="28"/>
          <w:rtl w:val="true"/>
          <w:lang w:bidi="ar-SA"/>
        </w:rPr>
        <w:t>للشرائط ثمّ شكّ في أ نّه كان جامعاً لها أم لا ، وجب</w:t>
      </w:r>
      <w:r>
        <w:rPr>
          <w:rStyle w:val="FootnoteAnchor"/>
          <w:rtl w:val="true"/>
        </w:rPr>
        <w:footnoteReference w:id="14"/>
      </w:r>
      <w:r>
        <w:rPr>
          <w:rFonts w:ascii="Amiri" w:hAnsi="Amiri" w:eastAsia="Amiri" w:cs="Amiri"/>
          <w:color w:val="111111"/>
          <w:sz w:val="28"/>
          <w:sz w:val="28"/>
          <w:szCs w:val="28"/>
          <w:rtl w:val="true"/>
          <w:lang w:bidi="ar-SA"/>
        </w:rPr>
        <w:t xml:space="preserve">عليه الفحص ، وأمّا إذا أحرز كونه جامعاً للشرائط ثمّ شكّ في زوال بعضها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الفحص ، ويجوز البناء على بقاء حالته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للمجتهد ما يوجب فقده للشرائط ؛ من فسق أو جنون أو نسيان ، يجب العدول إلى الجامع للشرائط ولا يجوز البقاء على تقليده ، كما أ نّه لو قلّد من لم يكن جامعاً للشرائط ومضى عليه برهة من الزمان كان كمن لم يقلّد أصلاً ، فحاله كحال الجاهل القاصر أو المقصّر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الاجتهاد بالاختبار وبالشياع المفيد للعلم وبشهادة العدلين</w:t>
      </w:r>
      <w:r>
        <w:rPr>
          <w:rStyle w:val="FootnoteAnchor"/>
          <w:rtl w:val="true"/>
        </w:rPr>
        <w:footnoteReference w:id="15"/>
      </w:r>
      <w:r>
        <w:rPr>
          <w:rFonts w:ascii="Amiri" w:hAnsi="Amiri" w:eastAsia="Amiri" w:cs="Amiri"/>
          <w:color w:val="111111"/>
          <w:sz w:val="28"/>
          <w:sz w:val="28"/>
          <w:szCs w:val="28"/>
          <w:rtl w:val="true"/>
          <w:lang w:bidi="ar-SA"/>
        </w:rPr>
        <w:t xml:space="preserve">، وكذا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تقليد من لا يعلم أ نّه بلغ رتبة الاجتهاد وإن كان من أهل العلم ، كما أ نّه يجب على غير المجتهد أن يقلّد أو يحتاط وإن كان من أهل العلم وقريباً من الاجتهاد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الجاهل المقصّر الملتفت من دون تقليد باطل</w:t>
      </w:r>
      <w:r>
        <w:rPr>
          <w:rStyle w:val="FootnoteAnchor"/>
          <w:rtl w:val="true"/>
        </w:rPr>
        <w:footnoteReference w:id="16"/>
      </w:r>
      <w:r>
        <w:rPr>
          <w:rFonts w:ascii="Amiri" w:hAnsi="Amiri" w:eastAsia="Amiri" w:cs="Amiri"/>
          <w:color w:val="111111"/>
          <w:sz w:val="28"/>
          <w:sz w:val="28"/>
          <w:szCs w:val="28"/>
          <w:rtl w:val="true"/>
          <w:lang w:bidi="ar-SA"/>
        </w:rPr>
        <w:t xml:space="preserve">وإن كان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عمل الجاهل القاصر أو المقصّر الغافل مع تحقّق قصد القربة فصحيح إن كان مطابقاً لفتوى المجتهد الذي يقلّده بعد ذلك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أخذ المسائل من المجتهد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منه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عدلين أو عدل واحد عنه ، بل الظاهر كفاية نقل </w:t>
      </w:r>
    </w:p>
    <w:p>
      <w:pPr>
        <w:pStyle w:val="BookText"/>
        <w:rPr/>
      </w:pPr>
      <w:r>
        <w:rPr>
          <w:rFonts w:ascii="Amiri" w:hAnsi="Amiri" w:eastAsia="Amiri" w:cs="Amiri"/>
          <w:color w:val="111111"/>
          <w:sz w:val="28"/>
          <w:sz w:val="28"/>
          <w:szCs w:val="28"/>
          <w:rtl w:val="true"/>
          <w:lang w:bidi="ar-SA"/>
        </w:rPr>
        <w:t xml:space="preserve">شخص واحد إذا كان ثقة يطمئنّ بقوله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رسالته إذا كانت مأمونة من الغلط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ناقلان في نقل فتوى المجتهد يؤخذ بقول</w:t>
      </w:r>
      <w:r>
        <w:rPr>
          <w:rStyle w:val="FootnoteAnchor"/>
          <w:rtl w:val="true"/>
        </w:rPr>
        <w:footnoteReference w:id="17"/>
      </w:r>
      <w:r>
        <w:rPr>
          <w:rFonts w:ascii="Amiri" w:hAnsi="Amiri" w:eastAsia="Amiri" w:cs="Amiri"/>
          <w:color w:val="111111"/>
          <w:sz w:val="28"/>
          <w:sz w:val="28"/>
          <w:szCs w:val="28"/>
          <w:rtl w:val="true"/>
          <w:lang w:bidi="ar-SA"/>
        </w:rPr>
        <w:t xml:space="preserve">أوثقهما ، ومع تساويهما في الوثاقة 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يمكن الرجوع إلى المجتهد أو رسالته يعمل بما وافق الاحتياط من الفتويين أو يعمل بالاحتياط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8"/>
      </w:r>
      <w:r>
        <w:rPr>
          <w:rFonts w:ascii="Amiri" w:hAnsi="Amiri" w:eastAsia="Amiri" w:cs="Amiri"/>
          <w:color w:val="111111"/>
          <w:sz w:val="28"/>
          <w:sz w:val="28"/>
          <w:szCs w:val="28"/>
          <w:rtl w:val="true"/>
          <w:lang w:bidi="ar-SA"/>
        </w:rPr>
        <w:t xml:space="preserve">تعلّم مسائل الشكّ والسهو وغيرها ممّا هو محلّ الابتلاء غالباً ، كما يجب تعلّم أجزاء العبادات وشرائطها وموانعها ومقدّماتها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إجمالاً أنّ عمله واجد لجميع الأجزاء والشرائط وفاقد للموانع صحّ وإن لم يعلم تفصيلاً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 نّه كان في عباداته بلا تقليد مدّة من الزمان ولم يعلم مقداره ؛ فإن علم بكيفيتها وموافقتها لفتوى المجتهد الذي رجع إليه فهو ، وإلاّ فالأحوط</w:t>
      </w:r>
      <w:r>
        <w:rPr>
          <w:rStyle w:val="FootnoteAnchor"/>
          <w:rtl w:val="true"/>
        </w:rPr>
        <w:footnoteReference w:id="19"/>
      </w:r>
      <w:r>
        <w:rPr>
          <w:rFonts w:ascii="Amiri" w:hAnsi="Amiri" w:eastAsia="Amiri" w:cs="Amiri"/>
          <w:color w:val="111111"/>
          <w:sz w:val="28"/>
          <w:sz w:val="28"/>
          <w:szCs w:val="28"/>
          <w:rtl w:val="true"/>
          <w:lang w:bidi="ar-SA"/>
        </w:rPr>
        <w:t xml:space="preserve">أن يقضي الأعمال السابقة بمقدار يعلم معه بالبراءة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أعماله السابقة مع التقليد ولا يعلم أ نّه كان عن تقليد صحيح أم فاسد ، يبني على الصحّة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مضت مدّة من بلوغه وشكّ بعد ذلك في أنّ أعماله كانت عن تقليد صحيح أم لا ، يجوز له البناء على الصحّة في أعماله السابقة ، وفي اللاحقة يجب عليه التصحيح فعلاً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المفتي والقاضي العدالة ، وتثبت بشهادة عدلين ، وبالمعاشرة المفيدة للعلم أو الاطمئنان ، وبالشياع المفيد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ملكة راسخة باعثة على ملازمة التقوى من ترك المحرّمات وفعل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بحسن الظاهر ومواظبته في الظاهر على الشرعيات والطاعات ومزايا الشرع ؛ من حضور الجماعات وغيره ممّا كان كاشفاً عن الملكة وحسن الباطن علماً أو ظنّاً</w:t>
      </w:r>
      <w:r>
        <w:rPr>
          <w:rStyle w:val="FootnoteAnchor"/>
          <w:rtl w:val="true"/>
        </w:rPr>
        <w:footnoteReference w:id="20"/>
      </w:r>
      <w:r>
        <w:rPr>
          <w:rFonts w:ascii="Amiri" w:hAnsi="Amiri" w:eastAsia="Amiri" w:cs="Amiri"/>
          <w:color w:val="111111"/>
          <w:sz w:val="28"/>
          <w:sz w:val="28"/>
          <w:szCs w:val="28"/>
          <w:rtl w:val="true"/>
          <w:lang w:bidi="ar-SA"/>
        </w:rPr>
        <w:t xml:space="preserve">، وتعرف أيضاً بشهادة العدلين وبالشياع المفيد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تزول صفة العدالة بارتكاب الكبائر أو الإصرار</w:t>
      </w:r>
      <w:r>
        <w:rPr>
          <w:rStyle w:val="FootnoteAnchor"/>
          <w:rtl w:val="true"/>
        </w:rPr>
        <w:footnoteReference w:id="21"/>
      </w:r>
      <w:r>
        <w:rPr>
          <w:rFonts w:ascii="Amiri" w:hAnsi="Amiri" w:eastAsia="Amiri" w:cs="Amiri"/>
          <w:color w:val="111111"/>
          <w:sz w:val="28"/>
          <w:sz w:val="28"/>
          <w:szCs w:val="28"/>
          <w:rtl w:val="true"/>
          <w:lang w:bidi="ar-SA"/>
        </w:rPr>
        <w:t xml:space="preserve">على الصغائر وتعود بالتوبة إذا كانت الملكة المذكورة باقية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شخص فتوى المجتهد خطأً يجب عليه إعلام من تعلّم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في أثناء الصلاة مسألة لا يعلم حكمها ولم يتمكّن حينئذٍ من استعلامها ، بنى على أحد الطرفين بقصد أن يسأل عن الحكم بعد الصلاة وأن يعيدها إذا ظهر كون المأتيّ به خلاف الواقع ، فلو فعل كذلك فظهرت المطابقة صحّت صلاته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في عمل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كإجراء عقد أو إيقاع أو أداء خمس أو زكاة أو كفّارة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يعمل بمقتضى تقليد الموكّل لا تقليد </w:t>
      </w:r>
    </w:p>
    <w:p>
      <w:pPr>
        <w:pStyle w:val="BookText"/>
        <w:rPr/>
      </w:pPr>
      <w:r>
        <w:rPr>
          <w:rFonts w:ascii="Amiri" w:hAnsi="Amiri" w:eastAsia="Amiri" w:cs="Amiri"/>
          <w:color w:val="111111"/>
          <w:sz w:val="28"/>
          <w:sz w:val="28"/>
          <w:szCs w:val="28"/>
          <w:rtl w:val="true"/>
          <w:lang w:bidi="ar-SA"/>
        </w:rPr>
        <w:t>نفسه إذا كانا مختلفين ، بخلاف الوصيّ في مثل ما لو كان وصيّاً في استئجار الصلاة عن الميّت ، فإنّه يجب أن يستأجر</w:t>
      </w:r>
      <w:r>
        <w:rPr>
          <w:rStyle w:val="FootnoteAnchor"/>
          <w:rtl w:val="true"/>
        </w:rPr>
        <w:footnoteReference w:id="22"/>
      </w:r>
      <w:r>
        <w:rPr>
          <w:rFonts w:ascii="Amiri" w:hAnsi="Amiri" w:eastAsia="Amiri" w:cs="Amiri"/>
          <w:color w:val="111111"/>
          <w:sz w:val="28"/>
          <w:sz w:val="28"/>
          <w:szCs w:val="28"/>
          <w:rtl w:val="true"/>
          <w:lang w:bidi="ar-SA"/>
        </w:rPr>
        <w:t xml:space="preserve">على وفق فتوى مجتهده لا مجتهد الميّت وكذلك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معاملة بين شخصين وكان أحدهما مقلّداً لمن يقول بصحّتها والآخر مقلّداً لمن يقول ببطلانها ، يجب على كلّ منهما مراعاة فتوى مجتهده ، فلو وقع النزاع بينهما يترافعان عند أحد المجتهدين أو عند مجتهد آخر ، فيحكم بينهما على طبق فتواه وينفذ حكمه على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وقع إيقاع متعلّق بشخصين كالطلاق والعتق ونحوهما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المطلق في مقام الفتوى من غير سبق فتوى على خلافه أو لحوقها كذلك لا يجوز تركه ، بل يجب إمّا العمل بالاحتياط أو الرجوع إلى الغير الأعلم فالأعلم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الاحتياط في الرسائل العملية مسبوقاً بالفتوى على خلافه ، كما لو قال بعد الفتوى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كذا ، أو ملحوقاً بالفتوى على خلافه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كذا وإن كان الحكم كذا أو وإن كان الأقوى كذا ، أو كان مقروناً بما يظهر منه الاستحباب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والأحوط كذا ، جاز في الموارد الثلاثة ترك الاحتياط </w:t>
      </w:r>
      <w:r>
        <w:rPr>
          <w:rFonts w:eastAsia="Amiri" w:cs="Amiri" w:ascii="Amiri" w:hAnsi="Amiri"/>
          <w:color w:val="111111"/>
          <w:sz w:val="28"/>
          <w:szCs w:val="28"/>
          <w:rtl w:val="true"/>
          <w:lang w:bidi="ar-SA"/>
        </w:rPr>
        <w:t xml:space="preserve">. </w:t>
      </w:r>
      <w:bookmarkStart w:id="17" w:name="pg15003_159585"/>
    </w:p>
    <w:p>
      <w:pPr>
        <w:pStyle w:val="Heading2"/>
        <w:numPr>
          <w:ilvl w:val="1"/>
          <w:numId w:val="1"/>
        </w:numPr>
        <w:rPr/>
      </w:pPr>
      <w:bookmarkStart w:id="18" w:name="__RefHeading___Toc487581_3406789950"/>
      <w:bookmarkStart w:id="19" w:name="_Toc5"/>
      <w:bookmarkEnd w:id="17"/>
      <w:bookmarkEnd w:id="18"/>
      <w:r>
        <w:rPr>
          <w:rtl w:val="true"/>
        </w:rPr>
        <w:t>کتاب الطهارة</w:t>
      </w:r>
      <w:bookmarkEnd w:id="19"/>
    </w:p>
    <w:p>
      <w:pPr>
        <w:pStyle w:val="Heading3"/>
        <w:numPr>
          <w:ilvl w:val="2"/>
          <w:numId w:val="1"/>
        </w:numPr>
        <w:rPr/>
      </w:pPr>
      <w:bookmarkStart w:id="20" w:name="__RefHeading___Toc487583_3406789950"/>
      <w:bookmarkStart w:id="21" w:name="_Toc6"/>
      <w:bookmarkEnd w:id="20"/>
      <w:r>
        <w:rPr>
          <w:rtl w:val="true"/>
        </w:rPr>
        <w:t xml:space="preserve">فصل </w:t>
      </w:r>
      <w:r>
        <w:rPr>
          <w:rtl w:val="true"/>
        </w:rPr>
        <w:t xml:space="preserve">: </w:t>
      </w:r>
      <w:r>
        <w:rPr>
          <w:rtl w:val="true"/>
        </w:rPr>
        <w:t>في المياه</w:t>
      </w:r>
      <w:bookmarkEnd w:id="21"/>
    </w:p>
    <w:p>
      <w:pPr>
        <w:pStyle w:val="BookText"/>
        <w:rPr/>
      </w:pPr>
      <w:r>
        <w:rPr>
          <w:rFonts w:ascii="Amiri" w:hAnsi="Amiri" w:eastAsia="Amiri" w:cs="Amiri"/>
          <w:color w:val="111111"/>
          <w:sz w:val="28"/>
          <w:sz w:val="28"/>
          <w:szCs w:val="28"/>
          <w:rtl w:val="true"/>
          <w:lang w:bidi="ar-SA"/>
        </w:rPr>
        <w:t xml:space="preserve">الماء إمّا مطلق ، أو مضاف كالمعتصر من الأجسام كماء الرقّي والرمّان والممتزج بغيره ممّا يخرجه عن صدق اسم الماء كماء السكّر والملح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 والنابع بغير جريان ، والبئر ، والمطر ، والواقف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المضاف طاهر في نفسه وغير مطهّر لا من الحدث ولا من الخبث ، ولو لاقى نجساً ينجس جميعه وإن كان ألف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جارياً من العالي إلى السافل</w:t>
      </w:r>
      <w:r>
        <w:rPr>
          <w:rStyle w:val="FootnoteAnchor"/>
          <w:rtl w:val="true"/>
        </w:rPr>
        <w:footnoteReference w:id="23"/>
      </w:r>
      <w:r>
        <w:rPr>
          <w:rFonts w:ascii="Amiri" w:hAnsi="Amiri" w:eastAsia="Amiri" w:cs="Amiri"/>
          <w:color w:val="111111"/>
          <w:sz w:val="28"/>
          <w:sz w:val="28"/>
          <w:szCs w:val="28"/>
          <w:rtl w:val="true"/>
          <w:lang w:bidi="ar-SA"/>
        </w:rPr>
        <w:t>ولاقى أسفله النجاسة تختصّ النجاسة بموضع الملاقاة</w:t>
      </w:r>
      <w:r>
        <w:rPr>
          <w:rStyle w:val="FootnoteAnchor"/>
          <w:rtl w:val="true"/>
        </w:rPr>
        <w:footnoteReference w:id="24"/>
      </w:r>
      <w:r>
        <w:rPr>
          <w:rFonts w:ascii="Amiri" w:hAnsi="Amiri" w:eastAsia="Amiri" w:cs="Amiri"/>
          <w:color w:val="111111"/>
          <w:sz w:val="28"/>
          <w:sz w:val="28"/>
          <w:szCs w:val="28"/>
          <w:rtl w:val="true"/>
          <w:lang w:bidi="ar-SA"/>
        </w:rPr>
        <w:t xml:space="preserve">ولا تسري إلى الفوق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المطلق لا يخرج بالتصعيد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مزج معه غيره وصعّد يصير مضافاً كماء الورد ونحوه ، كما أنّ المضاف المصعّد يكون مضافاً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مائع أ نّه مطلق أو مضاف ، فإن علم حالته السابقة يبني عليها</w:t>
      </w:r>
      <w:r>
        <w:rPr>
          <w:rStyle w:val="FootnoteAnchor"/>
          <w:rtl w:val="true"/>
        </w:rPr>
        <w:footnoteReference w:id="26"/>
      </w:r>
      <w:r>
        <w:rPr>
          <w:rFonts w:ascii="Amiri" w:hAnsi="Amiri" w:eastAsia="Amiri" w:cs="Amiri"/>
          <w:color w:val="111111"/>
          <w:sz w:val="28"/>
          <w:sz w:val="28"/>
          <w:szCs w:val="28"/>
          <w:rtl w:val="true"/>
          <w:lang w:bidi="ar-SA"/>
        </w:rPr>
        <w:t xml:space="preserve">وإلاّ فلا يرفع حدثاً ولا خبثاً ، وإذا لاقى النجاسة ، فإن كان قليلاً ينجس قطعاً ، وإن كان كثيراً فالظاهر أ نّه يحكم بطهارته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المطلق بجميع أقسامه يتنجّس فيما إذا تغيّر بسبب ملاقاة النجاسة أحد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والطعم والرائحة ، ولا يتنجّس فيما إذا تغيّر بالمجاورة ، كما إذا كان قريباً من جيفة فصار جائفاً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وقعت الجيفة خارج الماء ووقع جزء منها في الماء وتغيّر بسبب المجموع من الداخل والخارج ، 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تأثّر الماء بأوصاف النجاسة لا المتنجّس ، فإذا احمرّ الماء بالبَقَّم المتنجّس لا ينجس إذا كان الماء 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لا يتنجّس بمجرّد الملاقاة كالكرّ والجاري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تغيّر أحد الأوصاف الثلاثة بسبب النجاسة وإن كان من غير سنخ وصف النجس ، فلو اصفرّ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الدم فيه 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في الماء المعتصم متنجّس حامل لوصف النجس بوقوعه فيه فغيّره بوصف النجس تنجّس</w:t>
      </w:r>
      <w:r>
        <w:rPr>
          <w:rStyle w:val="FootnoteAnchor"/>
          <w:rtl w:val="true"/>
        </w:rPr>
        <w:footnoteReference w:id="27"/>
      </w:r>
      <w:r>
        <w:rPr>
          <w:rFonts w:ascii="Amiri" w:hAnsi="Amiri" w:eastAsia="Amiri" w:cs="Amiri"/>
          <w:color w:val="111111"/>
          <w:sz w:val="28"/>
          <w:sz w:val="28"/>
          <w:szCs w:val="28"/>
          <w:rtl w:val="true"/>
          <w:lang w:bidi="ar-SA"/>
        </w:rPr>
        <w:t xml:space="preserve">على الأقوى ، كما إذا وقعت ميتة في ماء فغيّرت ريحه ثمّ اُخرجت الميتة منه وصبّ ذلك الماء في كرّ فغيّر ريحه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النابع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يتنجّس بملاقاة النجس ؛ </w:t>
      </w:r>
    </w:p>
    <w:p>
      <w:pPr>
        <w:pStyle w:val="BookText"/>
        <w:rPr/>
      </w:pPr>
      <w:r>
        <w:rPr>
          <w:rFonts w:ascii="Amiri" w:hAnsi="Amiri" w:eastAsia="Amiri" w:cs="Amiri"/>
          <w:color w:val="111111"/>
          <w:sz w:val="28"/>
          <w:sz w:val="28"/>
          <w:szCs w:val="28"/>
          <w:rtl w:val="true"/>
          <w:lang w:bidi="ar-SA"/>
        </w:rPr>
        <w:t xml:space="preserve">كثيراً كان أو قليلاً ، ويلحق به النابع الواقف كبعض العيون ، وكذلك البئر على الأقوى ، فلا تتنجّس المياه المزبورة إلاّ بالتغيّر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الراكد المتّصل بالجاري حكمه حكم الجاري ، فالغدير المتّصل بالنهر بساقية ونحوها كالنهر ، وكذا أطراف النهر وإن كان ماؤها واقفاً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يطهر الجاري وما في حكمه إذا تنجّس بالتغيّر إذا زال تغيّره ولو من قبل نفسه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الراكد بلا مادّة ينجس بملاقاة النجس إذا كان دون الكرّ ؛ سواء كان وارداً على النجاسة أو موروداً ، ويطهر بالاتّصال بماء معتصم كالجاري والكرّ وماء المطر ولو لم يحصل</w:t>
      </w:r>
      <w:r>
        <w:rPr>
          <w:rStyle w:val="FootnoteAnchor"/>
          <w:rtl w:val="true"/>
        </w:rPr>
        <w:footnoteReference w:id="29"/>
      </w:r>
      <w:r>
        <w:rPr>
          <w:rFonts w:ascii="IRNazanin" w:hAnsi="IRNazanin" w:eastAsia="IRNazanin"/>
          <w:color w:val="111111"/>
          <w:sz w:val="28"/>
          <w:sz w:val="28"/>
          <w:szCs w:val="28"/>
          <w:rtl w:val="true"/>
          <w:lang w:bidi="fa-IR"/>
        </w:rPr>
        <w:t xml:space="preserve">الامتزاج على الأقوى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قليلاً وشكّ في أنّ له مادّة أم لا ، فإن كان في السابق ذا مادّة وشكّ في انقطاعها يبني على الحالة الاُولى وإلاّ يحكم بنجاسته</w:t>
      </w:r>
      <w:r>
        <w:rPr>
          <w:rStyle w:val="FootnoteAnchor"/>
          <w:rtl w:val="true"/>
        </w:rPr>
        <w:footnoteReference w:id="30"/>
      </w:r>
      <w:r>
        <w:rPr>
          <w:rFonts w:ascii="Amiri" w:hAnsi="Amiri" w:eastAsia="Amiri" w:cs="Amiri"/>
          <w:color w:val="111111"/>
          <w:sz w:val="28"/>
          <w:sz w:val="28"/>
          <w:szCs w:val="28"/>
          <w:rtl w:val="true"/>
          <w:lang w:bidi="ar-SA"/>
        </w:rPr>
        <w:t xml:space="preserve">بملاقاة النجاسة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الراكد إذا بلغ كرّاً لا ينجس بالملاقاة ولا ينجس إلاّ بالتغيّر ، وإذا تغيّر بعضه فإن كان الباقي بمقدار كرّ يبقى غير المتغيّر على طهارته ويطهر المتغيّر إذا زال تغيّره لأجل اتّصاله بالباقي الذي يكون كرّاً ولا يحتاج</w:t>
      </w:r>
      <w:r>
        <w:rPr>
          <w:rStyle w:val="FootnoteAnchor"/>
          <w:rtl w:val="true"/>
        </w:rPr>
        <w:footnoteReference w:id="31"/>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الامتزاج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الباقي دون الكرّ ينجس الجميع ؛ المقدار المتغيّر بالتغيّر والباقي بالملاقاة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له تقديران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بحسب الوزن والآخر بحسب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بحسب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ألف ومائتا رطل بالعراقي ، وهو بحسب حقّة كربلاء والنجف المشرّفتين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تسعمائة وثلاثة وثلاثين مثقالاً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وثمانون حقّة وربع ونصف ربع بقّالي ومثقالان ونصف مثقال صيرفي ، وبحسب حقّة اسلامبول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حقّة واثنتان وتسعون حقّة ونصف حقّة ، وبحسب 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أربعة وستّين منّاً إلاّ عشرين مثقالاً ، وبحسب المنّ التبريزي يصير مائة وثمانية وعشرين منّاً إلاّ عشرين مثقالاً ، وبحسب منّ البمبئي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أربعون سيراً وكلّ سير سبعون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تسعة وعشرين منّاً وربع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بلغ مكسّره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حاصل ضرب أبعاده الثلاثة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وثلاثين شبراً على الأحوط وإن كان الأقوى</w:t>
      </w:r>
      <w:r>
        <w:rPr>
          <w:rStyle w:val="FootnoteAnchor"/>
          <w:rtl w:val="true"/>
        </w:rPr>
        <w:footnoteReference w:id="32"/>
      </w:r>
      <w:r>
        <w:rPr>
          <w:rFonts w:ascii="Amiri" w:hAnsi="Amiri" w:eastAsia="Amiri" w:cs="Amiri"/>
          <w:color w:val="111111"/>
          <w:sz w:val="28"/>
          <w:sz w:val="28"/>
          <w:szCs w:val="28"/>
          <w:rtl w:val="true"/>
          <w:lang w:bidi="ar-SA"/>
        </w:rPr>
        <w:t>كفاية بلوغه سبعة وعشرين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المشكوك الكرّية إن علم حالته السابقة يبنى على تلك الحالة ، وإلاّ فالأقوى عدم تنجّسه بالملاقاة وإن لم يجرِ عليه باقي أحكام الكرّ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قليلاً فصار كرّاً وقد علم ملاقاته للنجاسة ولم يعلم </w:t>
      </w:r>
    </w:p>
    <w:p>
      <w:pPr>
        <w:pStyle w:val="BookText"/>
        <w:rPr/>
      </w:pPr>
      <w:r>
        <w:rPr>
          <w:rFonts w:ascii="Amiri" w:hAnsi="Amiri" w:eastAsia="Amiri" w:cs="Amiri"/>
          <w:color w:val="111111"/>
          <w:sz w:val="28"/>
          <w:sz w:val="28"/>
          <w:szCs w:val="28"/>
          <w:rtl w:val="true"/>
          <w:lang w:bidi="ar-SA"/>
        </w:rPr>
        <w:t xml:space="preserve">سبق الملاقاة على الكرّية أو العكس يحكم بطهارته ، إلاّ إذا علم تأريخ الملاقاة دون الكرّية ، وأمّا إذا كان الماء كرّاً فصار قليلاً وقد علم ملاقاته للنجاسة ولم يعلم سبق الملاقاة على القلّة أو العكس ، فالظاهر الحكم بطهارته مطلقاً حتّى فيما إذا علم تأريخ القلّة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المطر حال نزوله من السماء كالجاري فلا ينجس ما لم يتغيّر ، والأحوط اعتبار كونه بمقدار يجري على الأرض الصلبة وإن كان كفاية صدق المطر عليه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بماء المطر الذي لا يتنجّس إلاّ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القطرات النازلة والمجتمع منها تحت المطر حال تقاطره عليه وكذا المجتمع المتّصل بما يتقاطر عليه المطر ، فالماء الجاري من الميزاب تحت سقف حال عدم انقطاع المطر كالماء المجتمع فوق السطح المتقاطر عليه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يُطهّر المطر كلّ ما أصابه من المتنجّسات القابلة للتطهير ؛ من الماء والأرض والفرش والأواني ، ولا يحتاج في الأوّل</w:t>
      </w:r>
      <w:r>
        <w:rPr>
          <w:rStyle w:val="FootnoteAnchor"/>
          <w:rtl w:val="true"/>
        </w:rPr>
        <w:footnoteReference w:id="33"/>
      </w:r>
      <w:r>
        <w:rPr>
          <w:rFonts w:ascii="Amiri" w:hAnsi="Amiri" w:eastAsia="Amiri" w:cs="Amiri"/>
          <w:color w:val="111111"/>
          <w:sz w:val="28"/>
          <w:sz w:val="28"/>
          <w:szCs w:val="28"/>
          <w:rtl w:val="true"/>
          <w:lang w:bidi="ar-SA"/>
        </w:rPr>
        <w:t xml:space="preserve">إلى الامتزاج على الأقوى ، كما أ نّه لا يحتاج في الفرش إلى العصر والتعدّد ، بل لا يحتاج في الأواني أيضاً إلى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متنجّساً بولوغ الكلب يشكل طهارته بدون التعفير ، فالأحوط</w:t>
      </w:r>
      <w:r>
        <w:rPr>
          <w:rStyle w:val="FootnoteAnchor"/>
          <w:rtl w:val="true"/>
        </w:rPr>
        <w:footnoteReference w:id="34"/>
      </w:r>
      <w:r>
        <w:rPr>
          <w:rFonts w:ascii="Amiri" w:hAnsi="Amiri" w:eastAsia="Amiri" w:cs="Amiri"/>
          <w:color w:val="111111"/>
          <w:sz w:val="28"/>
          <w:sz w:val="28"/>
          <w:szCs w:val="28"/>
          <w:rtl w:val="true"/>
          <w:lang w:bidi="ar-SA"/>
        </w:rPr>
        <w:t xml:space="preserve">أن يعفّر أوّلاً ثمّ يوضع تحت المطر ، فإذا نزل عليه يطهر من دون حاجة إلى التعدّد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الفراش النجس إذا وصل إلى جميعه المطر ونفذ في جميعه </w:t>
      </w:r>
    </w:p>
    <w:p>
      <w:pPr>
        <w:pStyle w:val="BookText"/>
        <w:rPr/>
      </w:pPr>
      <w:r>
        <w:rPr>
          <w:rFonts w:ascii="Amiri" w:hAnsi="Amiri" w:eastAsia="Amiri" w:cs="Amiri"/>
          <w:color w:val="111111"/>
          <w:sz w:val="28"/>
          <w:sz w:val="28"/>
          <w:szCs w:val="28"/>
          <w:rtl w:val="true"/>
          <w:lang w:bidi="ar-SA"/>
        </w:rPr>
        <w:t xml:space="preserve">يطهر جميعه ظاهراً وباطناً ، وإذا أصاب بعضه يطهر ذلك البعض ، وإذا أصاب ظاهره ولم ينفذ فيه يطهر ظاهره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السطح نجساً فنفذ فيه الماء وتقاطر حال نزول المطر ، يكون طاهراً وإن كان عين النجس موجوداً على السطح وكان الماء المتقاطر مارّاً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المتقاطر بعد انقطاع المطر إذا احتمل كونه من الماء المحتبس في أعماق السقف ، أو كونه غير مارّ على عين النجس</w:t>
      </w:r>
      <w:r>
        <w:rPr>
          <w:rStyle w:val="FootnoteAnchor"/>
          <w:rtl w:val="true"/>
        </w:rPr>
        <w:footnoteReference w:id="35"/>
      </w:r>
      <w:r>
        <w:rPr>
          <w:rFonts w:ascii="Amiri" w:hAnsi="Amiri" w:eastAsia="Amiri" w:cs="Amiri"/>
          <w:color w:val="111111"/>
          <w:sz w:val="28"/>
          <w:sz w:val="28"/>
          <w:szCs w:val="28"/>
          <w:rtl w:val="true"/>
          <w:lang w:bidi="ar-SA"/>
        </w:rPr>
        <w:t xml:space="preserve">بعد انقطاع المطر ، نعم إذا علم أ نّه من الماء المارّ على عين النجس بعد انقطاع المطر يكون نجساً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الراكد النجس يطهر بنزول المطر عليه وبالاتّصال بماء معتصم كالكرّ والجاري وإن لم يحصل الامتزاج</w:t>
      </w:r>
      <w:r>
        <w:rPr>
          <w:rStyle w:val="FootnoteAnchor"/>
          <w:rtl w:val="true"/>
        </w:rPr>
        <w:footnoteReference w:id="36"/>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كيفية خاصّة في الاتّصال ، بل المدار على مطلقه ولو بساقية أو ثقب بينهما ، كما لا يعتبر علوّ المعتصم أو تساويه مع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النجس جارياً من الفوق على المعتصم فالظاهر عدم كفاية هذا الاتّصال في طهارة الفوقاني في حال جريانه عليه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المستعمل في الوضوء لا إشكال في كونه طاهراً ومطهّراً للحدث والخبث ، كما لا إشكال في كون المستعمل في رفع الحدث الأكبر طاهراً ومطهّراً للخبث ، وفي كونه مطهّراً للحدث إشكال</w:t>
      </w:r>
      <w:r>
        <w:rPr>
          <w:rStyle w:val="FootnoteAnchor"/>
          <w:rtl w:val="true"/>
        </w:rPr>
        <w:footnoteReference w:id="37"/>
      </w:r>
      <w:r>
        <w:rPr>
          <w:rFonts w:ascii="Amiri" w:hAnsi="Amiri" w:eastAsia="Amiri" w:cs="Amiri"/>
          <w:color w:val="111111"/>
          <w:sz w:val="28"/>
          <w:sz w:val="28"/>
          <w:szCs w:val="28"/>
          <w:rtl w:val="true"/>
          <w:lang w:bidi="ar-SA"/>
        </w:rPr>
        <w:t xml:space="preserve">، فلا يترك </w:t>
      </w:r>
    </w:p>
    <w:p>
      <w:pPr>
        <w:pStyle w:val="BookText"/>
        <w:rPr/>
      </w:pPr>
      <w:r>
        <w:rPr>
          <w:rFonts w:ascii="Amiri" w:hAnsi="Amiri" w:eastAsia="Amiri" w:cs="Amiri"/>
          <w:color w:val="111111"/>
          <w:sz w:val="28"/>
          <w:sz w:val="28"/>
          <w:szCs w:val="28"/>
          <w:rtl w:val="true"/>
          <w:lang w:bidi="ar-SA"/>
        </w:rPr>
        <w:t>الاحتياط في التجنّب عنه مع وجود غيره، والجمع بين التطهير به وبين التيمّم مع الانحصار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المستعمل في رفع الخبث المسمّى بالغسالة طاهر</w:t>
      </w:r>
      <w:r>
        <w:rPr>
          <w:rStyle w:val="FootnoteAnchor"/>
          <w:rtl w:val="true"/>
        </w:rPr>
        <w:footnoteReference w:id="38"/>
      </w:r>
      <w:r>
        <w:rPr>
          <w:rFonts w:ascii="Amiri" w:hAnsi="Amiri" w:eastAsia="Amiri" w:cs="Amiri"/>
          <w:color w:val="111111"/>
          <w:sz w:val="28"/>
          <w:sz w:val="28"/>
          <w:szCs w:val="28"/>
          <w:rtl w:val="true"/>
          <w:lang w:bidi="ar-SA"/>
        </w:rPr>
        <w:t xml:space="preserve">فيما لا يحتاج إلى التعدّد وفي الغسلة الأخيرة فيما يحتاج إليه ، وفي غيره 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البول أو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إذا لم يتغيّر أحد أوصافه الثلاثة ، ولم يكن فيه أجزاء متميّزة من الغائط ، ولم يتعدّ فاحشاً على وجه لا يصدق معه الاستنجاء ، ولم يصل إليه نجاسة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إذا خرج مع البول أو الغائط نجاسة اُخرى مثل الدم ، نعم الدم الذي يعدّ جزءاً من البول أو الغائط لا بأس به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طهارة ماء الاستنجاء سبق الماء على اليد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نجس بين أطراف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الجميع ، لكن إذا لاقى أحد الأطراف شيء لا يحكم</w:t>
      </w:r>
      <w:r>
        <w:rPr>
          <w:rStyle w:val="FootnoteAnchor"/>
          <w:rtl w:val="true"/>
        </w:rPr>
        <w:footnoteReference w:id="40"/>
      </w:r>
      <w:r>
        <w:rPr>
          <w:rFonts w:ascii="Amiri" w:hAnsi="Amiri" w:eastAsia="Amiri" w:cs="Amiri"/>
          <w:color w:val="111111"/>
          <w:sz w:val="28"/>
          <w:sz w:val="28"/>
          <w:szCs w:val="28"/>
          <w:rtl w:val="true"/>
          <w:lang w:bidi="ar-SA"/>
        </w:rPr>
        <w:t xml:space="preserve">بنجاسته إلاّ إذا كانت الحالة السابقة فيها النجاسة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الملاقي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اُريق أحد الإناءين المشتبهين يجب الاجتناب عن الآخر </w:t>
      </w:r>
      <w:r>
        <w:rPr>
          <w:rFonts w:eastAsia="Amiri" w:cs="Amiri" w:ascii="Amiri" w:hAnsi="Amiri"/>
          <w:color w:val="111111"/>
          <w:sz w:val="28"/>
          <w:szCs w:val="28"/>
          <w:rtl w:val="true"/>
          <w:lang w:bidi="ar-SA"/>
        </w:rPr>
        <w:t xml:space="preserve">. </w:t>
      </w:r>
      <w:bookmarkStart w:id="22" w:name="pg15003_159592"/>
    </w:p>
    <w:p>
      <w:pPr>
        <w:pStyle w:val="Heading3"/>
        <w:numPr>
          <w:ilvl w:val="2"/>
          <w:numId w:val="1"/>
        </w:numPr>
        <w:rPr/>
      </w:pPr>
      <w:bookmarkStart w:id="23" w:name="__RefHeading___Toc487585_3406789950"/>
      <w:bookmarkStart w:id="24" w:name="_Toc7"/>
      <w:bookmarkEnd w:id="22"/>
      <w:bookmarkEnd w:id="23"/>
      <w:r>
        <w:rPr>
          <w:rtl w:val="true"/>
        </w:rPr>
        <w:t xml:space="preserve">فصل </w:t>
      </w:r>
      <w:r>
        <w:rPr>
          <w:rtl w:val="true"/>
        </w:rPr>
        <w:t xml:space="preserve">: </w:t>
      </w:r>
      <w:r>
        <w:rPr>
          <w:rtl w:val="true"/>
        </w:rPr>
        <w:t>في أحكام التخلّي</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حال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عن الناظر المحترم ؛ رجلاً كان أو امرأة حتّى المجنون</w:t>
      </w:r>
      <w:r>
        <w:rPr>
          <w:rStyle w:val="FootnoteAnchor"/>
          <w:rtl w:val="true"/>
        </w:rPr>
        <w:footnoteReference w:id="41"/>
      </w:r>
      <w:r>
        <w:rPr>
          <w:rFonts w:ascii="Amiri" w:hAnsi="Amiri" w:eastAsia="Amiri" w:cs="Amiri"/>
          <w:color w:val="111111"/>
          <w:sz w:val="28"/>
          <w:sz w:val="28"/>
          <w:szCs w:val="28"/>
          <w:rtl w:val="true"/>
          <w:lang w:bidi="ar-SA"/>
        </w:rPr>
        <w:t xml:space="preserve">أو الطفل المميّز ، كما يحرم النظر إلى عورة الغير ولو كان المنظور مجنوناً أو طفلاً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سترها عن غير المميّز كما يجوز النظر إلى عورته ، وكذا الحال في الزوجين والمالك ومملوكته ناظراً ومنظوراً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المالكة ومملوكها فلا يجوز لكلّ منهما النظر إلى عورة الآخر ، بل إلى سائر بدنه أيضاً على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والعورة في المرأة هنا القبل والدبر وفي الرجل هما مع البيضتين ، وليس منها الفخذان ولا الأليتان بل ولا العانة ولا 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الشعر النابت أطراف العورة الأحوط الاجتناب ناظراً ومنظوراً ، كما أ نّه يستحبّ ستر ما بين السرّة</w:t>
      </w:r>
      <w:r>
        <w:rPr>
          <w:rStyle w:val="FootnoteAnchor"/>
          <w:rtl w:val="true"/>
        </w:rPr>
        <w:footnoteReference w:id="42"/>
      </w:r>
      <w:r>
        <w:rPr>
          <w:rFonts w:ascii="Amiri" w:hAnsi="Amiri" w:eastAsia="Amiri" w:cs="Amiri"/>
          <w:color w:val="111111"/>
          <w:sz w:val="28"/>
          <w:sz w:val="28"/>
          <w:szCs w:val="28"/>
          <w:rtl w:val="true"/>
          <w:lang w:bidi="ar-SA"/>
        </w:rPr>
        <w:t xml:space="preserve">إلى الركبة بل إلى نصف الساق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الستر بكلّ ما يستر ولو بيده أو يد زوجته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النظر إلى عورة الغير من وراء الزجاج ، بل ولا في المرآة والماء الصافي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النظر إلى عورة الغير كما في مقام العلاج فالأحوط أن ينظر إليها في المرآة المقابلة لها إن اندفع الاضطرار بذلك ، وإلاّ فلا بأس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في حال التخلّي استدبار القبلة واستقبالها بمقاديم بدنه </w:t>
      </w:r>
      <w:bookmarkStart w:id="25" w:name="pg15003_159593"/>
    </w:p>
    <w:p>
      <w:pPr>
        <w:pStyle w:val="BookText"/>
        <w:rPr/>
      </w:pPr>
      <w:bookmarkEnd w:id="25"/>
      <w:r>
        <w:rPr>
          <w:rFonts w:ascii="Amiri" w:hAnsi="Amiri" w:eastAsia="Amiri" w:cs="Amiri"/>
          <w:color w:val="111111"/>
          <w:sz w:val="28"/>
          <w:sz w:val="28"/>
          <w:szCs w:val="28"/>
          <w:rtl w:val="true"/>
          <w:lang w:bidi="ar-SA"/>
        </w:rPr>
        <w:t>وهي الصدر والبطن والركبتان</w:t>
      </w:r>
      <w:r>
        <w:rPr>
          <w:rStyle w:val="FootnoteAnchor"/>
          <w:rtl w:val="true"/>
        </w:rPr>
        <w:footnoteReference w:id="43"/>
      </w:r>
      <w:r>
        <w:rPr>
          <w:rFonts w:ascii="Amiri" w:hAnsi="Amiri" w:eastAsia="Amiri" w:cs="Amiri"/>
          <w:color w:val="111111"/>
          <w:sz w:val="28"/>
          <w:sz w:val="28"/>
          <w:szCs w:val="28"/>
          <w:rtl w:val="true"/>
          <w:lang w:bidi="ar-SA"/>
        </w:rPr>
        <w:t xml:space="preserve">وإن أمال العورة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الاستقبال بعورته فقط وإن لم يكن مقاديم بدنه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حرمتهما في حال الاستبراء أو الاستنجاء وإن كان الترك أحوط</w:t>
      </w:r>
      <w:r>
        <w:rPr>
          <w:rStyle w:val="FootnoteAnchor"/>
          <w:rtl w:val="true"/>
        </w:rPr>
        <w:footnoteReference w:id="44"/>
      </w:r>
      <w:r>
        <w:rPr>
          <w:rFonts w:ascii="Amiri" w:hAnsi="Amiri" w:eastAsia="Amiri" w:cs="Amiri"/>
          <w:color w:val="111111"/>
          <w:sz w:val="28"/>
          <w:sz w:val="28"/>
          <w:szCs w:val="28"/>
          <w:rtl w:val="true"/>
          <w:lang w:bidi="ar-SA"/>
        </w:rPr>
        <w:t xml:space="preserve">خصوصاً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اضطرّ إلى أحدهما تخيّر ، والأحوط اختيار الاستدبار ، ولو دار أمره بين أحدهما وترك الستر عن الناظر اختار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اشتبهت القبلة بين الجهات يتخيّر بينها</w:t>
      </w:r>
      <w:r>
        <w:rPr>
          <w:rStyle w:val="FootnoteAnchor"/>
          <w:rtl w:val="true"/>
        </w:rPr>
        <w:footnoteReference w:id="45"/>
      </w:r>
      <w:r>
        <w:rPr>
          <w:rFonts w:ascii="Amiri" w:hAnsi="Amiri" w:eastAsia="Amiri" w:cs="Amiri"/>
          <w:color w:val="111111"/>
          <w:sz w:val="28"/>
          <w:sz w:val="28"/>
          <w:szCs w:val="28"/>
          <w:rtl w:val="true"/>
          <w:lang w:bidi="ar-SA"/>
        </w:rPr>
        <w:t xml:space="preserve">، ولا يبعد العمل بالظنّ لو كان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87587_3406789950"/>
      <w:bookmarkStart w:id="27" w:name="_Toc8"/>
      <w:bookmarkEnd w:id="26"/>
      <w:r>
        <w:rPr>
          <w:rtl w:val="true"/>
        </w:rPr>
        <w:t xml:space="preserve">فصل </w:t>
      </w:r>
      <w:r>
        <w:rPr>
          <w:rtl w:val="true"/>
        </w:rPr>
        <w:t xml:space="preserve">: </w:t>
      </w:r>
      <w:r>
        <w:rPr>
          <w:rtl w:val="true"/>
        </w:rPr>
        <w:t>في الاستنجاء</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غسل مخرج البول بالماء مرّتين على الأحوط</w:t>
      </w:r>
      <w:r>
        <w:rPr>
          <w:rStyle w:val="FootnoteAnchor"/>
          <w:rtl w:val="true"/>
        </w:rPr>
        <w:footnoteReference w:id="46"/>
      </w:r>
      <w:r>
        <w:rPr>
          <w:rFonts w:ascii="Amiri" w:hAnsi="Amiri" w:eastAsia="Amiri" w:cs="Amiri"/>
          <w:color w:val="111111"/>
          <w:sz w:val="28"/>
          <w:sz w:val="28"/>
          <w:szCs w:val="28"/>
          <w:rtl w:val="true"/>
          <w:lang w:bidi="ar-SA"/>
        </w:rPr>
        <w:t xml:space="preserve">، والأفضل ثلاثاً ، ولا يجزي غير الماء ، ويتخيّر في مخرج الغائط بين الغسل بالماء والمسح بشيء قالع للنجاسة كالحجر والمدر والخرق وغيرها ، والغسل أفضل ، والجمع بينهما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الغسل التعدّد بل الحدّ النقاء ، وفي المسح لا بدّ من ثلاث وإن حصل النقاء</w:t>
      </w:r>
      <w:r>
        <w:rPr>
          <w:rStyle w:val="FootnoteAnchor"/>
          <w:rtl w:val="true"/>
        </w:rPr>
        <w:footnoteReference w:id="47"/>
      </w:r>
      <w:r>
        <w:rPr>
          <w:rFonts w:ascii="Amiri" w:hAnsi="Amiri" w:eastAsia="Amiri" w:cs="Amiri"/>
          <w:color w:val="111111"/>
          <w:sz w:val="28"/>
          <w:sz w:val="28"/>
          <w:szCs w:val="28"/>
          <w:rtl w:val="true"/>
          <w:lang w:bidi="ar-SA"/>
        </w:rPr>
        <w:t xml:space="preserve">بالأقلّ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يحصل النقاء بالثلاث فإلى النقاء ويجزي ذو الجهات الثلاث وإن كان الأحوط ثلاثة منفصلات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فيما يمسح به الطهارة فلا يجزي النجس ولا المتنجّس قبل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w:t>
      </w:r>
      <w:bookmarkStart w:id="28" w:name="pg15003_159594"/>
    </w:p>
    <w:p>
      <w:pPr>
        <w:pStyle w:val="BookText"/>
        <w:rPr/>
      </w:pPr>
      <w:bookmarkEnd w:id="28"/>
      <w:r>
        <w:rPr>
          <w:rFonts w:ascii="Amiri" w:hAnsi="Amiri" w:eastAsia="Amiri" w:cs="Amiri"/>
          <w:color w:val="111111"/>
          <w:sz w:val="28"/>
          <w:sz w:val="28"/>
          <w:szCs w:val="28"/>
          <w:rtl w:val="true"/>
          <w:lang w:bidi="ar-SA"/>
        </w:rPr>
        <w:t xml:space="preserve">لا يكون فيه رطوبة مسرية فلا يجزي الطين والخرقة المبلولة ، نعم لا تضرّ النداوة التي لا تسري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الغسل بالماء إزالة العين والأثر ؛ أعني الأجزاء الصغار التي لا ترى ، وفي المسح يكفي إزالة العين ولا يضرّ بقاء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يكتفى بالمسح في الغائط إذا لم يتعدّ المخرج على وجه لا يصدق عليه الاستنجاء ، وأن لا يكون في المحلّ نجاسة من الخارج ، حتّى إذا خرج مع الغائط نجاسة اُخرى كالدم يتعيّن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الاستنجاء بالمحترمات ، وكذا بالعظم والروث على الأحوط ، لكن لو فعل يطهر المحلّ على الأقوى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الدلك باليد في مخرج البول وإن احتمل خروج المذي معه ، وإن كان الأحوط</w:t>
      </w:r>
      <w:r>
        <w:rPr>
          <w:rStyle w:val="FootnoteAnchor"/>
          <w:rtl w:val="true"/>
        </w:rPr>
        <w:footnoteReference w:id="49"/>
      </w:r>
      <w:r>
        <w:rPr>
          <w:rFonts w:ascii="Amiri" w:hAnsi="Amiri" w:eastAsia="Amiri" w:cs="Amiri"/>
          <w:color w:val="111111"/>
          <w:sz w:val="28"/>
          <w:sz w:val="28"/>
          <w:szCs w:val="28"/>
          <w:rtl w:val="true"/>
          <w:lang w:bidi="ar-SA"/>
        </w:rPr>
        <w:t xml:space="preserve">الدلك في هذه الصورة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87589_3406789950"/>
      <w:bookmarkStart w:id="30" w:name="_Toc9"/>
      <w:bookmarkEnd w:id="29"/>
      <w:r>
        <w:rPr>
          <w:rtl w:val="true"/>
        </w:rPr>
        <w:t xml:space="preserve">فصل </w:t>
      </w:r>
      <w:r>
        <w:rPr>
          <w:rtl w:val="true"/>
        </w:rPr>
        <w:t xml:space="preserve">: </w:t>
      </w:r>
      <w:r>
        <w:rPr>
          <w:rtl w:val="true"/>
        </w:rPr>
        <w:t>في الاستبراء</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وكيفيته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بقوّة ما بين المقعد وأصل الذكر ثلاثاً ، ثمّ يضع سبّابته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الذكر وإبهامه فوقه ويمسح بقوّة إلى رأسه ثلاثاً ، ثمّ يعصر رأسه ثلاثاً ، فإذا رأى بعد ذلك رطوبة مشتبهة لا يدري أ نّها بول أو غيره يحكم </w:t>
      </w:r>
    </w:p>
    <w:p>
      <w:pPr>
        <w:pStyle w:val="BookText"/>
        <w:rPr/>
      </w:pPr>
      <w:r>
        <w:rPr>
          <w:rFonts w:ascii="Amiri" w:hAnsi="Amiri" w:eastAsia="Amiri" w:cs="Amiri"/>
          <w:color w:val="111111"/>
          <w:sz w:val="28"/>
          <w:sz w:val="28"/>
          <w:szCs w:val="28"/>
          <w:rtl w:val="true"/>
          <w:lang w:bidi="ar-SA"/>
        </w:rPr>
        <w:t xml:space="preserve">بطهارتها وعدم ناقضيتها للوضوء لو توضّأ قبل خروجها ، بخلاف ما إذا لم يستبرئ فإنّه يحكم بنجاستها وناقضيتها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فائدة الاستبراء ، ويلحق به في الفائدة المزبورة على الأقوى طول المدّة وكثرة الحركة ؛ بحيث يقطع بعدم بقاء شيء في المجرى ، وأنّ البلل الخارج المشتبه نزل من الأعلى فيحكم بطهارته وعدم ناقضيته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المباشرة في الاستبراء ، فيكفي إن باشره غيره كزوجته أو مملوكته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الاستبراء يبني على عدمه ولو مضت مدّة وكان من عادته ، نعم لو استبرأ وشكّ بعد ذلك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كان على الوجه الصحيح أم لا ، بنى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من لم يستبرئ في خروج الرطوبة وعدمه ، بنى على عدمه ، كما إذا رأى في ثوبه رطوبة مشتبهة لا يدري أ نّها خرجت منه أو وقعت عليه من الخارج فيحكم بطهارتها وعدم انتقاض الوضوء معها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الخارج منه مذي ولكن شكّ في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خرج معه بول أم لا ، لا يحكم عليه بالنجاسة ولا الناقضية إلاّ أن يصدق عليه الرطوبة المشتبهة ، كأن يشكّ في أنّ هذا الموجود هل هو بتمامه مذي أو مركّب منه ومن البول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وتوضّأ ثمّ خرجت منه رطوبة مشتبهة بين البول والمنيّ ، فإن استبرأ بعد البول يجب عليه الاحتياط بالجمع بين الوضوء والغسل ، وإن </w:t>
      </w:r>
      <w:bookmarkStart w:id="31" w:name="pg15003_159596"/>
    </w:p>
    <w:p>
      <w:pPr>
        <w:pStyle w:val="BookText"/>
        <w:rPr/>
      </w:pPr>
      <w:bookmarkEnd w:id="31"/>
      <w:r>
        <w:rPr>
          <w:rFonts w:ascii="Amiri" w:hAnsi="Amiri" w:eastAsia="Amiri" w:cs="Amiri"/>
          <w:color w:val="111111"/>
          <w:sz w:val="28"/>
          <w:sz w:val="28"/>
          <w:szCs w:val="28"/>
          <w:rtl w:val="true"/>
          <w:lang w:bidi="ar-SA"/>
        </w:rPr>
        <w:t>لم يستبرئ فكذلك</w:t>
      </w:r>
      <w:r>
        <w:rPr>
          <w:rStyle w:val="FootnoteAnchor"/>
          <w:rtl w:val="true"/>
        </w:rPr>
        <w:footnoteReference w:id="51"/>
      </w:r>
      <w:r>
        <w:rPr>
          <w:rFonts w:ascii="Amiri" w:hAnsi="Amiri" w:eastAsia="Amiri" w:cs="Amiri"/>
          <w:color w:val="111111"/>
          <w:sz w:val="28"/>
          <w:sz w:val="28"/>
          <w:szCs w:val="28"/>
          <w:rtl w:val="true"/>
          <w:lang w:bidi="ar-SA"/>
        </w:rPr>
        <w:t xml:space="preserve">في وجه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خرجت الرطوبة المشتبهة قبل أن يتوضّأ يكتفي بالوضوء خاصّة ولا يجب عليه الغسل ؛ سواء استبرأ بعد البول أم لم يستبرئ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87591_3406789950"/>
      <w:bookmarkStart w:id="33" w:name="_Toc10"/>
      <w:bookmarkEnd w:id="32"/>
      <w:r>
        <w:rPr>
          <w:rtl w:val="true"/>
        </w:rPr>
        <w:t xml:space="preserve">فصل </w:t>
      </w:r>
      <w:r>
        <w:rPr>
          <w:rtl w:val="true"/>
        </w:rPr>
        <w:t xml:space="preserve">: </w:t>
      </w:r>
      <w:r>
        <w:rPr>
          <w:rtl w:val="true"/>
        </w:rPr>
        <w:t>في الوضوء</w:t>
      </w:r>
      <w:bookmarkEnd w:id="33"/>
    </w:p>
    <w:p>
      <w:pPr>
        <w:pStyle w:val="Heading4"/>
        <w:numPr>
          <w:ilvl w:val="3"/>
          <w:numId w:val="1"/>
        </w:numPr>
        <w:rPr/>
      </w:pPr>
      <w:bookmarkStart w:id="34" w:name="__RefHeading___Toc487593_3406789950"/>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والكلام في واجباته وشرائطه وموجباته وغاياته وأحكام الخلل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87595_3406789950"/>
      <w:bookmarkStart w:id="37" w:name="_Toc12"/>
      <w:bookmarkEnd w:id="36"/>
      <w:r>
        <w:rPr>
          <w:rtl w:val="true"/>
        </w:rPr>
        <w:t xml:space="preserve">القول </w:t>
      </w:r>
      <w:r>
        <w:rPr>
          <w:rtl w:val="true"/>
        </w:rPr>
        <w:t xml:space="preserve">: </w:t>
      </w:r>
      <w:r>
        <w:rPr>
          <w:rtl w:val="true"/>
        </w:rPr>
        <w:t>في الواجبات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الوضوء غسل الوجه واليدين ومسح الرأس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بالوجه ما بين قصاص الشعر وطرف الذقن طولاً وما دارت عليه الإبهام والوسطى عرضاً</w:t>
      </w:r>
      <w:r>
        <w:rPr>
          <w:rStyle w:val="FootnoteAnchor"/>
          <w:rtl w:val="true"/>
        </w:rPr>
        <w:footnoteReference w:id="52"/>
      </w:r>
      <w:r>
        <w:rPr>
          <w:rFonts w:ascii="Amiri" w:hAnsi="Amiri" w:eastAsia="Amiri" w:cs="Amiri"/>
          <w:color w:val="111111"/>
          <w:sz w:val="28"/>
          <w:sz w:val="28"/>
          <w:szCs w:val="28"/>
          <w:rtl w:val="true"/>
          <w:lang w:bidi="ar-SA"/>
        </w:rPr>
        <w:t xml:space="preserve">، فما خرج عن ذلك لا 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غسل شيء ممّا خرج عن الحدّ المذكور مقدّمة لتحصيل اليقين بغسل تمام ما اشتمل عليه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53"/>
      </w:r>
      <w:r>
        <w:rPr>
          <w:rFonts w:ascii="Amiri" w:hAnsi="Amiri" w:eastAsia="Amiri" w:cs="Amiri"/>
          <w:color w:val="111111"/>
          <w:sz w:val="28"/>
          <w:sz w:val="28"/>
          <w:szCs w:val="28"/>
          <w:rtl w:val="true"/>
          <w:lang w:bidi="ar-SA"/>
        </w:rPr>
        <w:t xml:space="preserve">أن يكون الغسل من أعلى الوجه ولا يجوز الغسل منكوساً ، نعم لو ردّ الماء منكوساً ولكن نوى الغسل من الأعلى برجوعه جاز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 ما استرسل من اللحية ، أمّا ما دخل منها في حدّ الوجه فإنّه يجب غسله ، لكن الواجب غسل الظاهر منه ؛ من غير فرق بين الكثيف والخفيف مع صدق إحاطة الشعر بالبشرة وإن كان التخليل في الثاني </w:t>
      </w:r>
    </w:p>
    <w:p>
      <w:pPr>
        <w:pStyle w:val="BookText"/>
        <w:rPr/>
      </w:pP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اليدان فالواجب غسلهما من المرفقين إلى أطراف الأصابع ، ويجب غسل شيء من العضد للمقدّمة كالوجه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ترك شيء من الوجه أو اليدين بلا غسل ولو مقدار مكان شعرة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 شيء من البواطن ، كالعين والأنف والفم إلاّ شيء منها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يظهر من الشفتين بعد الانطباق من الباطن ، فلا يجب غسله ، كما لا يجب غسل باطن الثقبة التي في الأنف موضع الحلقة أو الخزامة ؛ سواء كانت الحلقة فيها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الوسخ تحت الأظفار لا يجب إزالته إلاّ إذا كان ما تحته معدوداً من الظاهر ، كما أ نّه لو قصّ أظفاره فصار ما تحتها ظاهراً وجب غسله بعد إزالة الوسخ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لحم من اليدين أو الوجه وجب غسل ما ظهر بعد القطع ، ويجب غسل ذلك اللحم أيضاً وإن كان اتّصاله بجلدة رقيقة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الشقوق التي تحدث على ظهر الكفّ من جهة البرد إن كانت وسيعة يرى جوفها وجب إيصال الماء إليها وإلاّ فلا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يعلو البشرة مثل الجُدري عند الاحتراق ما دام باقياً يكفي غسل ظاهره وإن انخرق ، ولا يجب إيصال الماء تحت الجلدة ، بل لو قطع بعض الجلدة وبقي البعض الآخر يكفي غسل ظاهر ذلك البعض ولا يجب قطعه بتمامه ، ولو ظهر ما تحت الجلدة بتمامه لكن الجلدة متّصلة قد تلصق وقد لا تلصق يجب غسل ما تحتها ، وإن كانت لاصقة يجب رفعها أو قطعها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الوضوء بالارتماس مع مراعاة الأعلى فالأعلى ، لكن في اليد اليسرى لا بدّ أن يقصد الغسل حال الإخراج حتّى لا يلزم المسح بماء جديد ، بل وكذا في اليد اليمنى إلاّ أن يُبقي شيئاً من اليد اليسرى ليغسله باليد اليمنى حتّى يكون ما يبقى عليها من الرطوبة من ماء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رفع ما يمنع وصول الماء أو تحريكه كالخاتم ونحوه ، ولو شكّ في وجود الحاجب لم يلتفت إذا لم يكن منشأ عقلائي لاحتمال وجوده ، ولو شكّ في شيء أ نّه حاجب أم لا ، وجب إزالته أو إيصال الماء إلى ما تحته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ينجمد على الجرح عند البرء ويصير كالجلدة لا يجب رفعه ويجزي غسل ظاهره وإن كان رفعه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الدواء الذي انجمد عليه فما دام لم يمكن رفعه يكون بمنزلة الجبيرة يكفي غسل ظاهره ، وإن أمكن رفعه بسهولة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الوسخ على البشرة إن لم يكن جرماً مرئيّاً لا يجب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عند المسح بالكيس يجتمع ويكون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يصدق عليه غسل البشرة ، وكذا مثل البياض الذي يتبيّن على اليد من الجصّ أو النورة إذا كان يصل الماء إلى تحته ويصدق غسل البشرة ، ولو شكّ في كونه حاجباً وجب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مسح الرأس فالواجب مسح شيء من مقدّمه ، والأحوط عدم الاجتزاء بما دون عرض إصبع ، وأحوط منه مسح مقدار ثلاثة أصابع مضمومة ، بل الأولى كون المسح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كالرجل في ذلك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كون المسح على البشرة فيجوز على الشعر النابت على المقدّم ، نعم إذا كان الشعر الذي منبته مقدّم الرأس طويلاً ؛ بحيث يتجاوز </w:t>
      </w:r>
    </w:p>
    <w:p>
      <w:pPr>
        <w:pStyle w:val="BookText"/>
        <w:rPr/>
      </w:pPr>
      <w:r>
        <w:rPr>
          <w:rFonts w:ascii="Amiri" w:hAnsi="Amiri" w:eastAsia="Amiri" w:cs="Amiri"/>
          <w:color w:val="111111"/>
          <w:sz w:val="28"/>
          <w:sz w:val="28"/>
          <w:szCs w:val="28"/>
          <w:rtl w:val="true"/>
          <w:lang w:bidi="ar-SA"/>
        </w:rPr>
        <w:t xml:space="preserve">بمدّه عن حدّه ، لا يجوز المسح على ذلك المقدار المتجاوز ؛ سواء كان مسترسلاً أو مجتمعاً في المقدّم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54"/>
      </w:r>
      <w:r>
        <w:rPr>
          <w:rFonts w:ascii="Amiri" w:hAnsi="Amiri" w:eastAsia="Amiri" w:cs="Amiri"/>
          <w:color w:val="111111"/>
          <w:sz w:val="28"/>
          <w:sz w:val="28"/>
          <w:szCs w:val="28"/>
          <w:rtl w:val="true"/>
          <w:lang w:bidi="ar-SA"/>
        </w:rPr>
        <w:t xml:space="preserve">أن يكون المسح بباطن الكفّ ، والأحوط الأيمن ، بل الأولى بالأصابع منه ، وأن يكون المسح بما بقي في يده من نداوة الوضوء ، فلا يجوز استئناف ماء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جفاف الممسوح على وجه لا ينتقل منه أجزاء إلى الماسح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مسح القدمين فالواجب مسح ظاهرهما من أطراف الأصابع إلى المفصل</w:t>
      </w:r>
      <w:r>
        <w:rPr>
          <w:rStyle w:val="FootnoteAnchor"/>
          <w:rtl w:val="true"/>
        </w:rPr>
        <w:footnoteReference w:id="55"/>
      </w:r>
      <w:r>
        <w:rPr>
          <w:rFonts w:ascii="Amiri" w:hAnsi="Amiri" w:eastAsia="Amiri" w:cs="Amiri"/>
          <w:color w:val="111111"/>
          <w:sz w:val="28"/>
          <w:sz w:val="28"/>
          <w:szCs w:val="28"/>
          <w:rtl w:val="true"/>
          <w:lang w:bidi="ar-SA"/>
        </w:rPr>
        <w:t xml:space="preserve">على الأحوط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تقدير للعرض فيجزي ما يتحقّق به اسم المسح ، والأفضل بل الأحوط أن يكون بتمام الكفّ ، وما تقدّم في مسح الرأس ؛ من تجفيف الممسوح على النحو المزبور وكون المسح بما بقي في يده من نداوة الوضوء ، يجري في القدمين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المسح بباطن الكفّ مسح بظاهرها</w:t>
      </w:r>
      <w:r>
        <w:rPr>
          <w:rStyle w:val="FootnoteAnchor"/>
          <w:rtl w:val="true"/>
        </w:rPr>
        <w:footnoteReference w:id="56"/>
      </w:r>
      <w:r>
        <w:rPr>
          <w:rFonts w:ascii="IRNazanin" w:hAnsi="IRNazanin" w:eastAsia="IRNazanin"/>
          <w:color w:val="111111"/>
          <w:sz w:val="28"/>
          <w:sz w:val="28"/>
          <w:szCs w:val="28"/>
          <w:rtl w:val="true"/>
          <w:lang w:bidi="fa-IR"/>
        </w:rPr>
        <w:t xml:space="preserve">، وإن تعذّر مسح بذراعه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جفّت رطوبة الكفّ أخذ من سائر مواضع الوضوء من حاجبه أو لحيته أو غيرهما ومسح به ، وإذا لم يمكن الأخذ منها أعاد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ينفع الإعادة من جهة حرارة الهواء أو البدن أو اليد بحيث كلّما توضّأ جفّ </w:t>
      </w:r>
      <w:bookmarkStart w:id="38" w:name="pg15003_159600"/>
    </w:p>
    <w:p>
      <w:pPr>
        <w:pStyle w:val="BookText"/>
        <w:rPr/>
      </w:pPr>
      <w:bookmarkEnd w:id="38"/>
      <w:r>
        <w:rPr>
          <w:rFonts w:ascii="Amiri" w:hAnsi="Amiri" w:eastAsia="Amiri" w:cs="Amiri"/>
          <w:color w:val="111111"/>
          <w:sz w:val="28"/>
          <w:sz w:val="28"/>
          <w:szCs w:val="28"/>
          <w:rtl w:val="true"/>
          <w:lang w:bidi="ar-SA"/>
        </w:rPr>
        <w:t>ماء وضوئه فلا يترك</w:t>
      </w:r>
      <w:r>
        <w:rPr>
          <w:rStyle w:val="FootnoteAnchor"/>
          <w:rtl w:val="true"/>
        </w:rPr>
        <w:footnoteReference w:id="57"/>
      </w:r>
      <w:r>
        <w:rPr>
          <w:rFonts w:ascii="Amiri" w:hAnsi="Amiri" w:eastAsia="Amiri" w:cs="Amiri"/>
          <w:color w:val="111111"/>
          <w:sz w:val="28"/>
          <w:sz w:val="28"/>
          <w:szCs w:val="28"/>
          <w:rtl w:val="true"/>
          <w:lang w:bidi="ar-SA"/>
        </w:rPr>
        <w:t xml:space="preserve">الاحتياط بالجمع بين المسح باليد اليابسة ثمّ بالماء الجديد ثمّ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المسح من إمرار الماسح على الممسوح، فلو عكس لم يجز ، نعم لا تضرّ الحركة اليسيرة في الممسوح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مسح القدمين وضع أصابع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أصابعهما وجرّها إلى الحدّ ، بل يجزي أن يضع تمام كفّه على تمام ظهر القدم ثمّ يجرّها قليلاً بمقدار يصدق عليه المسح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المسح على القناع والخفّ والجورب وغيرها عند الضرورة ؛ من تقيّة أو برد أو سَبُع أو عدوّ ونحو ذلك ممّا يخاف بسببه عن رفع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المسح على الحائل كلّ ما اعتبر في مسح البشرة من كونه بالكفّ وبنداوة الوضوء وغير ذلك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87597_3406789950"/>
      <w:bookmarkStart w:id="40" w:name="_Toc13"/>
      <w:bookmarkEnd w:id="39"/>
      <w:r>
        <w:rPr>
          <w:rtl w:val="true"/>
        </w:rPr>
        <w:t xml:space="preserve">القول </w:t>
      </w:r>
      <w:r>
        <w:rPr>
          <w:rtl w:val="true"/>
        </w:rPr>
        <w:t xml:space="preserve">: </w:t>
      </w:r>
      <w:r>
        <w:rPr>
          <w:rtl w:val="true"/>
        </w:rPr>
        <w:t>في شرائط الوضوء</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الوضوء اُمور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وإطلاقه وإباحته وطهارة المحلّ المغسول والممسوح ورفع الحاجب عنه وإباحة المكان الذي هو بمعنى الفضاء الذي يقع فيه الغسل والمسح ، وكذا إباحة المصبّ</w:t>
      </w:r>
      <w:r>
        <w:rPr>
          <w:rStyle w:val="FootnoteAnchor"/>
          <w:rtl w:val="true"/>
        </w:rPr>
        <w:footnoteReference w:id="58"/>
      </w:r>
      <w:r>
        <w:rPr>
          <w:rFonts w:ascii="Amiri" w:hAnsi="Amiri" w:eastAsia="Amiri" w:cs="Amiri"/>
          <w:color w:val="111111"/>
          <w:sz w:val="28"/>
          <w:sz w:val="28"/>
          <w:szCs w:val="28"/>
          <w:rtl w:val="true"/>
          <w:lang w:bidi="ar-SA"/>
        </w:rPr>
        <w:t xml:space="preserve">والآنية مع الانحصار ، بل ومع عدمه أيضاً إذا كان </w:t>
      </w:r>
    </w:p>
    <w:p>
      <w:pPr>
        <w:pStyle w:val="BookText"/>
        <w:rPr/>
      </w:pPr>
      <w:r>
        <w:rPr>
          <w:rFonts w:ascii="Amiri" w:hAnsi="Amiri" w:eastAsia="Amiri" w:cs="Amiri"/>
          <w:color w:val="111111"/>
          <w:sz w:val="28"/>
          <w:sz w:val="28"/>
          <w:szCs w:val="28"/>
          <w:rtl w:val="true"/>
          <w:lang w:bidi="ar-SA"/>
        </w:rPr>
        <w:t xml:space="preserve">الوضوء بالغمس فيها لا بالاغتراف منها ، وعدم المانع من استعمال الماء من مرض أو عطش على نفسه أو نفس محترمة ، ونحو ذلك ممّا يجب معه التيمّم ، فلو توضّأ والحال هذه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المشتبه بالنجس بالشبهة المحصورة كالنجس في عدم جواز التوضّؤ به ، وإذا انحصر الماء في المشتبهين يتيمّم للصلاة ، لكن إذا أمكن أن يتوضّأ بأحدهما ويصلّي ثمّ يغسل محالّ الوضوء بالماء الآخر ثمّ يتوضّأ به ويعيد صلاته ثانياً يقوى الصحّة</w:t>
      </w:r>
      <w:r>
        <w:rPr>
          <w:rStyle w:val="FootnoteAnchor"/>
          <w:rtl w:val="true"/>
        </w:rPr>
        <w:footnoteReference w:id="59"/>
      </w:r>
      <w:r>
        <w:rPr>
          <w:rFonts w:ascii="Amiri" w:hAnsi="Amiri" w:eastAsia="Amiri" w:cs="Amiri"/>
          <w:color w:val="111111"/>
          <w:sz w:val="28"/>
          <w:sz w:val="28"/>
          <w:szCs w:val="28"/>
          <w:rtl w:val="true"/>
          <w:lang w:bidi="ar-SA"/>
        </w:rPr>
        <w:t xml:space="preserve">، لكن الأحوط مع ذلك ضمّ التيمّم أيضاً مع أحد الوضوءين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إلاّ ماء مشكوك إضافته وإطلاقه ، فإذا كان حالته السابقة الإطلاق يتوضّأ به ، وإذا كانت الإضافة يتيمّم ، وإذا لم يعلم الحالة السابقة يجب الاحتياط بالجمع بين الوضوء به والتيمّم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مضاف في محصور ولم يكن عنده ماء آخر يجب عليه الاحتياط بتكرار الوضوء على نحو يعلم التوضّؤ بماء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أن يزاد عدد الوضوءات على عدد المضاف المعلوم بواحد ، فإذا كان عنده إناءان يتوضّأ بهما ، وإن كان عنده ثلاث إناءات أو أزيد وقد علم بإضافة واحد منها يتوضّأ باثنين منها ، وإذا كان إناءان بين ثلاثة أو أزيد يتوضّأ بالثلاثة وهكذا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بالغصب كالغصب لا يجوز الوضوء به ، فإذا انحصر الماء به تعيّن التيمّم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الماء وإطلاقه شرط واقعي يستوي فيهما العالم والجاهل بخلاف الإباحة ، فإذا توضّأ بماء مغصوب مع الجهل بغصبيته أو نسيانها صحّ وضوؤه ، حتّى أ نّه لو التفت إلى الغصبية في أثناء الوضوء صحّ ما مضى من أجزائه ويتمّ الباقي بماء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التفت إليها بعد غسل اليد اليسرى هل يجوز المسح بما في يده من الرطوبة ويصحّ وضوؤه أم لا ؟ وجهان</w:t>
      </w:r>
      <w:r>
        <w:rPr>
          <w:rStyle w:val="FootnoteAnchor"/>
          <w:rtl w:val="true"/>
        </w:rPr>
        <w:footnoteReference w:id="60"/>
      </w:r>
      <w:r>
        <w:rPr>
          <w:rFonts w:ascii="Amiri" w:hAnsi="Amiri" w:eastAsia="Amiri" w:cs="Amiri"/>
          <w:color w:val="111111"/>
          <w:sz w:val="28"/>
          <w:sz w:val="28"/>
          <w:szCs w:val="28"/>
          <w:rtl w:val="true"/>
          <w:lang w:bidi="ar-SA"/>
        </w:rPr>
        <w:t xml:space="preserve">بل قولان ، أحوطهما الثاني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كان على محالّ وضوئه رطوبة من ماء مغصوب وأراد أن يتوضّأ بماء مباح قبل جفاف الرطوبة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والشرب وسائر التصرّفات اليسيرة ممّا جرت عليه السيرة من الأنهار الكبيرة من القنوات وغيرها وإن لم يعلم رضا المالكين ، بل وإن كان فيهم الصغار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النهي منهم أو من بعضهم يشكل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غصبها غاصب يبقى الجواز لغيره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ماء مباح في إناء مغصوب لا يجوز الوضوء منه بالغمس فيه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بالاغتراف منه فلا يصحّ الوضوء مع الانحصار به ويتعيّن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صبّ الماء المباح من الإناء المغصوب في الإناء المباح يصحّ الوضوء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تمكّن من ماء آخر مباح صحّ وضوؤه بالاغتراف منه وإن فعل حراماً من جهة التصرّف في الإناء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الوضوء تحت الخيمة المغصوبة بل في البيت المغصوب سقفه وجدرانه إذا كانت أرضه مباحة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يجوز الوضوء</w:t>
      </w:r>
      <w:r>
        <w:rPr>
          <w:rStyle w:val="FootnoteAnchor"/>
          <w:rtl w:val="true"/>
        </w:rPr>
        <w:footnoteReference w:id="61"/>
      </w:r>
      <w:r>
        <w:rPr>
          <w:rFonts w:ascii="Amiri" w:hAnsi="Amiri" w:eastAsia="Amiri" w:cs="Amiri"/>
          <w:color w:val="111111"/>
          <w:sz w:val="28"/>
          <w:sz w:val="28"/>
          <w:szCs w:val="28"/>
          <w:rtl w:val="true"/>
          <w:lang w:bidi="ar-SA"/>
        </w:rPr>
        <w:t xml:space="preserve">من حياض المساجد والمدارس ونحوهما إذا لم يعلم شرط الواقف عدم استعمال غير المصلّين والساكنين منها ولم يزاحم المصلّين والطلبة ؛ خصوصاً إذا جرت السيرة والعادة على وضوء غيرهم منها مع عدم منع من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من آنية الذهب والفضّة كالوضوء من الآنية المغصوبة ، فيبطل</w:t>
      </w:r>
      <w:r>
        <w:rPr>
          <w:rStyle w:val="FootnoteAnchor"/>
          <w:rtl w:val="true"/>
        </w:rPr>
        <w:footnoteReference w:id="62"/>
      </w:r>
      <w:r>
        <w:rPr>
          <w:rFonts w:ascii="Amiri" w:hAnsi="Amiri" w:eastAsia="Amiri" w:cs="Amiri"/>
          <w:color w:val="111111"/>
          <w:sz w:val="28"/>
          <w:sz w:val="28"/>
          <w:szCs w:val="28"/>
          <w:rtl w:val="true"/>
          <w:lang w:bidi="ar-SA"/>
        </w:rPr>
        <w:t xml:space="preserve">إن كان بالرمس فيها مطلقاً، وإن كان بالاغتراف منها فيبطل مع الانحصار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توضّأ منها جهلاً أو نسياناً بل مع الشكّ في كونها منهما صحّ ولو كان بنحو الرمس أو بنحو الاغتراف مع الانحصار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وجود الحاجب قبل الشروع في الوضوء أو في الأثناء لا يجب الفحص إلاّ إذا كان منشأ عقلائي لاحتماله ، وحينئذٍ يجب الفحص</w:t>
      </w:r>
      <w:r>
        <w:rPr>
          <w:rStyle w:val="FootnoteAnchor"/>
          <w:rtl w:val="true"/>
        </w:rPr>
        <w:footnoteReference w:id="63"/>
      </w:r>
      <w:r>
        <w:rPr>
          <w:rFonts w:ascii="Amiri" w:hAnsi="Amiri" w:eastAsia="Amiri" w:cs="Amiri"/>
          <w:color w:val="111111"/>
          <w:sz w:val="28"/>
          <w:sz w:val="28"/>
          <w:szCs w:val="28"/>
          <w:rtl w:val="true"/>
          <w:lang w:bidi="ar-SA"/>
        </w:rPr>
        <w:t xml:space="preserve">حتّى يطمئنّ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بعد الفراغ في أ نّه كان موجوداً أم لا ، بنى على عدمه وصحّة وضوئه ، وكذلك إذا كان موجوداً وكان ملتفتاً إليه سابقاً</w:t>
      </w:r>
      <w:r>
        <w:rPr>
          <w:rStyle w:val="FootnoteAnchor"/>
          <w:rtl w:val="true"/>
        </w:rPr>
        <w:footnoteReference w:id="64"/>
      </w:r>
      <w:r>
        <w:rPr>
          <w:rFonts w:ascii="Amiri" w:hAnsi="Amiri" w:eastAsia="Amiri" w:cs="Amiri"/>
          <w:color w:val="111111"/>
          <w:sz w:val="28"/>
          <w:sz w:val="28"/>
          <w:szCs w:val="28"/>
          <w:rtl w:val="true"/>
          <w:lang w:bidi="ar-SA"/>
        </w:rPr>
        <w:t xml:space="preserve">وشكّ بعد الوضوء في أ نّه أزاله أو أوصل الماء تحته أم لا ، وكذا إذا علم بوجود الحاجب وشكّ في أ نّه كان موجوداً حال الوضوء أو طرء بعده ، فيحكم في جميع هذه الصور بصحّة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بوجود شيء في حال الوضوء ممّا يمكن أن لا يصل الماء تحته وقد يصل وقد لا يصل كالخاتم ، وقد علم أ نّه لم يكن ملتفتاً إليه حين الغسل أو علم أ نّه لم يحرّكه ومع ذلك شكّ في أ نّه وصل الماء </w:t>
      </w:r>
    </w:p>
    <w:p>
      <w:pPr>
        <w:pStyle w:val="BookText"/>
        <w:rPr/>
      </w:pPr>
      <w:r>
        <w:rPr>
          <w:rFonts w:ascii="Amiri" w:hAnsi="Amiri" w:eastAsia="Amiri" w:cs="Amiri"/>
          <w:color w:val="111111"/>
          <w:sz w:val="28"/>
          <w:sz w:val="28"/>
          <w:szCs w:val="28"/>
          <w:rtl w:val="true"/>
          <w:lang w:bidi="ar-SA"/>
        </w:rPr>
        <w:t xml:space="preserve">تحته من باب الاتّفاق أم لا ، يشكل الحكم بالصحّة بل الظاهر وجوب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بعض محالّ الوضوء نجساً فتوضّأ وشكّ بعده في أ نّه طهّره قبل الوضوء أم لا ، يحكم بصحّة وضوئه</w:t>
      </w:r>
      <w:r>
        <w:rPr>
          <w:rStyle w:val="FootnoteAnchor"/>
          <w:rtl w:val="true"/>
        </w:rPr>
        <w:footnoteReference w:id="65"/>
      </w:r>
      <w:r>
        <w:rPr>
          <w:rFonts w:ascii="Amiri" w:hAnsi="Amiri" w:eastAsia="Amiri" w:cs="Amiri"/>
          <w:color w:val="111111"/>
          <w:sz w:val="28"/>
          <w:sz w:val="28"/>
          <w:szCs w:val="28"/>
          <w:rtl w:val="true"/>
          <w:lang w:bidi="ar-SA"/>
        </w:rPr>
        <w:t xml:space="preserve">لكن يبني على بقاء نجاسة المحلّ فيجب غسله للأعمال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اختياراً ، ومع الاضطرار جاز بل وجب الاستنابة ، فيوضّئه الغير وينوي هو الوضوء ، وإن كان الأحوط نيّة الغير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المسح لا بدّ أن يكون بيد المنوب عنه وإمرار النائب وإن لم يمكن أخذ الرطوبة التي في يده ومسح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مع ذلك ضمّ التيمّم لو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الأعضاء ، فيقدّم تمام الوجه على اليد اليمنى وهي على اليسرى وهي على مسح الرأس وهو على مسح الرجلين ، ولا يجب الترتيب</w:t>
      </w:r>
      <w:r>
        <w:rPr>
          <w:rStyle w:val="FootnoteAnchor"/>
          <w:rtl w:val="true"/>
        </w:rPr>
        <w:footnoteReference w:id="66"/>
      </w:r>
      <w:r>
        <w:rPr>
          <w:rFonts w:ascii="Amiri" w:hAnsi="Amiri" w:eastAsia="Amiri" w:cs="Amiri"/>
          <w:color w:val="111111"/>
          <w:sz w:val="28"/>
          <w:sz w:val="28"/>
          <w:szCs w:val="28"/>
          <w:rtl w:val="true"/>
          <w:lang w:bidi="ar-SA"/>
        </w:rPr>
        <w:t xml:space="preserve">في مسحهما ، نعم الأحوط عدم تقديم اليسرى على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الأعضاء ؛ بمعنى أن لا يؤخّر غسل العضو المتأخّر بحيث يحصل بسبب ذلك جفاف جميع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يضرّ جفاف الأعضاء السابقة إذا كان بسبب التأخير وطول الزمان ، وأمّا إذا تابع عرفاً في الأفعال ومع ذلك حصل الجفاف بسبب حرارة الهواء أو غيرها لم يبطل وضوؤه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يتابع في الأفعال ومع ذلك بقي الرطوبة من جهة البرودة ورطوبة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كان الهواء معتدلاً لحصل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بطلان ، فالعبرة </w:t>
      </w:r>
    </w:p>
    <w:p>
      <w:pPr>
        <w:pStyle w:val="BookText"/>
        <w:rPr/>
      </w:pPr>
      <w:r>
        <w:rPr>
          <w:rFonts w:ascii="Amiri" w:hAnsi="Amiri" w:eastAsia="Amiri" w:cs="Amiri"/>
          <w:color w:val="111111"/>
          <w:sz w:val="28"/>
          <w:sz w:val="28"/>
          <w:szCs w:val="28"/>
          <w:rtl w:val="true"/>
          <w:lang w:bidi="ar-SA"/>
        </w:rPr>
        <w:t xml:space="preserve">في صحّة الوضوء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بقاء البلل حسّاً أو المتابعة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الموالاة نسياناً بطل وضوؤه ، وكذا لو اعتقد عدم الجفاف ثمّ تبيّن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الرطوبة إلاّ في مسترسل اللحية ففي كفايتها إشكال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وهي القصد إلى الفعل بعنوان الامتثال وهو المراد</w:t>
      </w:r>
      <w:r>
        <w:rPr>
          <w:rStyle w:val="FootnoteAnchor"/>
          <w:rtl w:val="true"/>
        </w:rPr>
        <w:footnoteReference w:id="68"/>
      </w:r>
      <w:r>
        <w:rPr>
          <w:rFonts w:ascii="Amiri" w:hAnsi="Amiri" w:eastAsia="Amiri" w:cs="Amiri"/>
          <w:color w:val="111111"/>
          <w:sz w:val="28"/>
          <w:sz w:val="28"/>
          <w:szCs w:val="28"/>
          <w:rtl w:val="true"/>
          <w:lang w:bidi="ar-SA"/>
        </w:rPr>
        <w:t xml:space="preserve">بنيّة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الإخلاص ، فمتى ضمّ إليها ما ينافيه بطل ؛ خصوصاً الرياء ، فإنّه إذا دخل في العمل على أيّ نحو كان أفسده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من الضمائم فإن كانت راجحة لا يضرّ ضمّها إلاّ إذا كانت هي المقصود الأصلي ويكون قصد امتثال الأمر الوضوئي تبعاً ، أو تركّب</w:t>
      </w:r>
      <w:r>
        <w:rPr>
          <w:rStyle w:val="FootnoteAnchor"/>
          <w:rtl w:val="true"/>
        </w:rPr>
        <w:footnoteReference w:id="69"/>
      </w:r>
      <w:r>
        <w:rPr>
          <w:rFonts w:ascii="Amiri" w:hAnsi="Amiri" w:eastAsia="Amiri" w:cs="Amiri"/>
          <w:color w:val="111111"/>
          <w:sz w:val="28"/>
          <w:sz w:val="28"/>
          <w:szCs w:val="28"/>
          <w:rtl w:val="true"/>
          <w:lang w:bidi="ar-SA"/>
        </w:rPr>
        <w:t xml:space="preserve">الداعي منهما بحيث يكون كلّ منهما جزءاً للداعي ، وأمّا إذا كانت مباحة كالتبرّد فيبطل الوضوء إلاّ إذا دخلت على وجه التبعية وكان امتثال أمر الوضوء هو المقصود الأصلي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النيّة التلفّظ بها ولا الإخطار بها في القلب تفصيلاً، بل يكفي فيها الإرادة الإجمالية المرتكزة في النفس بحيث لو سئل عن شغله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 وهذه الإرادة الإجمالية هي التي يسمّونها بالداعي وهو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شرع في العمل ثمّ ذهل عنه وغفل بالمرّة بحيث لو سئل عن شغله بقي متحيّراً ولا يدري ما يصنع ، يكون عملاً بلا نيّة </w:t>
      </w:r>
      <w:r>
        <w:rPr>
          <w:rFonts w:eastAsia="Amiri" w:cs="Amiri" w:ascii="Amiri" w:hAnsi="Amiri"/>
          <w:color w:val="111111"/>
          <w:sz w:val="28"/>
          <w:szCs w:val="28"/>
          <w:rtl w:val="true"/>
          <w:lang w:bidi="ar-SA"/>
        </w:rPr>
        <w:t xml:space="preserve">. </w:t>
      </w:r>
      <w:bookmarkStart w:id="41" w:name="pg15003_159606"/>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النيّة في أوّل العمل كذلك يجب استدامتها إلى آخره ، فلو تردّد أو نوى العدم وأتمّ الوضوء على هذا الحال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عدل إلى النيّة الاُولى قبل فوات الموالاة وضمّ إلى ما أتى به مع النيّة باقي الأفعال ،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النيّة قصد القربة ، ولا يجب نيّة الوجوب أو الندب لا وصفاً ولا غاية ، فلا يلزم أن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نّي أتوضّأ الوضوء الذي يكون واجباً عليّ ، أو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نّي أتوضّأ لأ نّه يجب عليّ ، بل لو نوى الوجوب في موضع الندب أو العكس اشتباهاً بعد ما كان قاصداً للقربة والامتثال على أيّ حال كفى وصحّ ، فإذا نوى الوجوب بتخيّل دخول الوقت فتبيّن خلافه صحّ وضوؤه كالعكس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صحّة الوضوء نيّة رفع الحدث ولا نيّة استباحة الصلاة وغيرها من الغايات ، بل لو نوى التجديد فتبيّن كونه محدثاً صحّ الوضوء ويجوز معه 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وضوء واحد عن الأسباب المختلفة وإن لم يلحظها بالنيّة ، بل لو قصد رفع حدث بعينه</w:t>
      </w:r>
      <w:r>
        <w:rPr>
          <w:rStyle w:val="FootnoteAnchor"/>
          <w:rtl w:val="true"/>
        </w:rPr>
        <w:footnoteReference w:id="70"/>
      </w:r>
      <w:r>
        <w:rPr>
          <w:rFonts w:ascii="Amiri" w:hAnsi="Amiri" w:eastAsia="Amiri" w:cs="Amiri"/>
          <w:color w:val="111111"/>
          <w:sz w:val="28"/>
          <w:sz w:val="28"/>
          <w:szCs w:val="28"/>
          <w:rtl w:val="true"/>
          <w:lang w:bidi="ar-SA"/>
        </w:rPr>
        <w:t xml:space="preserve">صحّ الوضوء وارتفع الجميع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87599_3406789950"/>
      <w:bookmarkStart w:id="43" w:name="_Toc14"/>
      <w:bookmarkEnd w:id="42"/>
      <w:r>
        <w:rPr>
          <w:rtl w:val="true"/>
        </w:rPr>
        <w:t xml:space="preserve">فصل </w:t>
      </w:r>
      <w:r>
        <w:rPr>
          <w:rtl w:val="true"/>
        </w:rPr>
        <w:t xml:space="preserve">: </w:t>
      </w:r>
      <w:r>
        <w:rPr>
          <w:rtl w:val="true"/>
        </w:rPr>
        <w:t>في موجبات الوضوء وغاياته</w:t>
      </w:r>
      <w:bookmarkEnd w:id="43"/>
    </w:p>
    <w:p>
      <w:pPr>
        <w:pStyle w:val="Heading4"/>
        <w:numPr>
          <w:ilvl w:val="3"/>
          <w:numId w:val="1"/>
        </w:numPr>
        <w:rPr/>
      </w:pPr>
      <w:bookmarkStart w:id="44" w:name="__RefHeading___Toc487601_3406789950"/>
      <w:bookmarkStart w:id="45" w:name="_Toc15"/>
      <w:bookmarkEnd w:id="44"/>
      <w:r>
        <w:rPr>
          <w:rtl w:val="true"/>
        </w:rPr>
        <w:t>اشارة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الأحداث الناقضة للوضوء والموجبة له اُمور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وما في حكمه كالبلل المشتبه قبل الاستبراء ، وخروج الغائط من الموضع الطبيعي أو من غيره مع انسداد الطبيعي أو بدونه ؛ كثيراً كان أو قليلاً ولو بمصاحبة دود أو نواة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الريح عن الدبر </w:t>
      </w:r>
    </w:p>
    <w:p>
      <w:pPr>
        <w:pStyle w:val="BookText"/>
        <w:rPr/>
      </w:pPr>
      <w:r>
        <w:rPr>
          <w:rFonts w:ascii="Amiri" w:hAnsi="Amiri" w:eastAsia="Amiri" w:cs="Amiri"/>
          <w:color w:val="111111"/>
          <w:sz w:val="28"/>
          <w:sz w:val="28"/>
          <w:szCs w:val="28"/>
          <w:rtl w:val="true"/>
          <w:lang w:bidi="ar-SA"/>
        </w:rPr>
        <w:t>إذا كان من المعدة</w:t>
      </w:r>
      <w:r>
        <w:rPr>
          <w:rStyle w:val="FootnoteAnchor"/>
          <w:rtl w:val="true"/>
        </w:rPr>
        <w:footnoteReference w:id="71"/>
      </w:r>
      <w:r>
        <w:rPr>
          <w:rFonts w:ascii="Amiri" w:hAnsi="Amiri" w:eastAsia="Amiri" w:cs="Amiri"/>
          <w:color w:val="111111"/>
          <w:sz w:val="28"/>
          <w:sz w:val="28"/>
          <w:szCs w:val="28"/>
          <w:rtl w:val="true"/>
          <w:lang w:bidi="ar-SA"/>
        </w:rPr>
        <w:t xml:space="preserve">؛ سواء كان له صوت ورائحة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بما يخرج من قُبل المرأة ولا بما لا يكون من المعدة كما إذا دخل من الخارج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الغالب على حاسّتي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أزال العقل مثل الجنون والإغماء والسكر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بل المتوسّطة والكثيرة</w:t>
      </w:r>
      <w:r>
        <w:rPr>
          <w:rStyle w:val="FootnoteAnchor"/>
          <w:rtl w:val="true"/>
        </w:rPr>
        <w:footnoteReference w:id="72"/>
      </w:r>
      <w:r>
        <w:rPr>
          <w:rFonts w:ascii="Amiri" w:hAnsi="Amiri" w:eastAsia="Amiri" w:cs="Amiri"/>
          <w:color w:val="111111"/>
          <w:sz w:val="28"/>
          <w:sz w:val="28"/>
          <w:szCs w:val="28"/>
          <w:rtl w:val="true"/>
          <w:lang w:bidi="ar-SA"/>
        </w:rPr>
        <w:t>أيضاً وإن أوجبتا</w:t>
      </w:r>
      <w:r>
        <w:rPr>
          <w:rStyle w:val="FootnoteAnchor"/>
          <w:rtl w:val="true"/>
        </w:rPr>
        <w:footnoteReference w:id="73"/>
      </w:r>
      <w:r>
        <w:rPr>
          <w:rFonts w:ascii="Amiri" w:hAnsi="Amiri" w:eastAsia="Amiri" w:cs="Amiri"/>
          <w:color w:val="111111"/>
          <w:sz w:val="28"/>
          <w:sz w:val="28"/>
          <w:szCs w:val="28"/>
          <w:rtl w:val="true"/>
          <w:lang w:bidi="ar-SA"/>
        </w:rPr>
        <w:t>الغسل أيضاً حسب 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ماء الاحتقان ولم يكن معه شيء من الغائط لم ينتقض الوضوء وكذا لو شكّ في خروج شيء معه وكذلك الحال فيما إذا خرج دود أو نواة غير متلطّخ بالغائط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المسلوس والمبطون إن كانت لهما فترة تسع الطهارة والصلاة ولو بالاقتصار على أقلّ واجباتها انتظراها وأوقعا الصلاة في تلك الفترة ، وإن لم تكن لهما تلك الفترة ؛ فإمّا أن يكون خروج الحدث في أثناء الصلاة مرّة أو مرّتين أو ثلاث مثلاً بحيث لا حرج عليهما في التوضّؤ في الأثناء والبناء ، وإمّا أن يكون متّصلاً بحيث لو توضّئا بعد كلّ حدث وبنيا لزم عليهما الحرج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الصورة الاُولى يتوضّئان ويشتغلان بالصلاة بعد أن يضعا الماء قريباً منهما ، فإذا خرج منهما شيء توضّئا بلا مهلة وبنيا على صلاتهما ، والأحوط أن يصلّيا صلاة اُخرى بوضوء واحد ، بل لا يترك هذا الاحتياط في المسلوس</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46" w:name="pg15003_159608"/>
    </w:p>
    <w:p>
      <w:pPr>
        <w:pStyle w:val="BookText"/>
        <w:rPr/>
      </w:pPr>
      <w:bookmarkEnd w:id="46"/>
      <w:r>
        <w:rPr>
          <w:rFonts w:ascii="Amiri" w:hAnsi="Amiri" w:eastAsia="Amiri" w:cs="Amiri"/>
          <w:color w:val="111111"/>
          <w:sz w:val="28"/>
          <w:sz w:val="28"/>
          <w:szCs w:val="28"/>
          <w:rtl w:val="true"/>
          <w:lang w:bidi="ar-SA"/>
        </w:rPr>
        <w:t>أمّا في الصورة الثانية يتوضّئان لكلّ صلاة</w:t>
      </w:r>
      <w:r>
        <w:rPr>
          <w:rStyle w:val="FootnoteAnchor"/>
          <w:rtl w:val="true"/>
        </w:rPr>
        <w:footnoteReference w:id="75"/>
      </w:r>
      <w:r>
        <w:rPr>
          <w:rFonts w:ascii="Amiri" w:hAnsi="Amiri" w:eastAsia="Amiri" w:cs="Amiri"/>
          <w:color w:val="111111"/>
          <w:sz w:val="28"/>
          <w:sz w:val="28"/>
          <w:szCs w:val="28"/>
          <w:rtl w:val="true"/>
          <w:lang w:bidi="ar-SA"/>
        </w:rPr>
        <w:t xml:space="preserve">ولا يجوز أن يصلّيا صلاتين بوضوءٍ واحد ؛ فريضة كانتا أو نافلة أو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إلحاق مسلوس الريح</w:t>
      </w:r>
      <w:r>
        <w:rPr>
          <w:rStyle w:val="FootnoteAnchor"/>
          <w:rtl w:val="true"/>
        </w:rPr>
        <w:footnoteReference w:id="76"/>
      </w:r>
      <w:r>
        <w:rPr>
          <w:rFonts w:ascii="Amiri" w:hAnsi="Amiri" w:eastAsia="Amiri" w:cs="Amiri"/>
          <w:color w:val="111111"/>
          <w:sz w:val="28"/>
          <w:sz w:val="28"/>
          <w:szCs w:val="28"/>
          <w:rtl w:val="true"/>
          <w:lang w:bidi="ar-SA"/>
        </w:rPr>
        <w:t xml:space="preserve">بمسلوس البول في التفصيل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المسلوس التحفّظ من تعدّي بوله بكيس فيه قطن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وجوب تغييره أو تطهيره لكلّ صلاة ، نعم الأحوط تطهير الحشفة إن أمكن من غير حرج ، ويجب التحفّظ بما أمكن في المبطون أيضاً ، كما أنّ الأحوط فيه أيضاً تطهير المخرج إن أمكن من غير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المسلوس والمبطون قضاء ما مضى من الصلوات بعد برئهما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وجوب إعادتها إذا برئ في الوقت واتّسع الزمان للصلاة مع الطهارة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87603_3406789950"/>
      <w:bookmarkStart w:id="48" w:name="_Toc16"/>
      <w:bookmarkEnd w:id="47"/>
      <w:r>
        <w:rPr>
          <w:rtl w:val="true"/>
        </w:rPr>
        <w:t>فصل</w:t>
      </w:r>
      <w:bookmarkEnd w:id="48"/>
    </w:p>
    <w:p>
      <w:pPr>
        <w:pStyle w:val="BookText"/>
        <w:rPr/>
      </w:pPr>
      <w:r>
        <w:rPr>
          <w:rFonts w:ascii="Amiri" w:hAnsi="Amiri" w:eastAsia="Amiri" w:cs="Amiri"/>
          <w:color w:val="111111"/>
          <w:sz w:val="28"/>
          <w:sz w:val="28"/>
          <w:szCs w:val="28"/>
          <w:rtl w:val="true"/>
          <w:lang w:bidi="ar-SA"/>
        </w:rPr>
        <w:t xml:space="preserve">غايات الوضوء ما كان وجوب الوضوء أو استحبابه لأجله من جهة كونه شرطاً لصحّته كالصلاة ، أو شرطاً لجوازه وعدم حرمته كمسّ كتابة القرآن ، أو شرطاً لكماله كقراءة القرآن ، أو لرفع كراهته كالأكل في حال الجنابة ؛ فإنّه مكروه وترتفع كراهته بالوضوء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الوضوء شرطاً لصحّته فهو شرط للصلاة ؛ فريضة </w:t>
      </w:r>
    </w:p>
    <w:p>
      <w:pPr>
        <w:pStyle w:val="BookText"/>
        <w:rPr/>
      </w:pPr>
      <w:r>
        <w:rPr>
          <w:rFonts w:ascii="Amiri" w:hAnsi="Amiri" w:eastAsia="Amiri" w:cs="Amiri"/>
          <w:color w:val="111111"/>
          <w:sz w:val="28"/>
          <w:sz w:val="28"/>
          <w:szCs w:val="28"/>
          <w:rtl w:val="true"/>
          <w:lang w:bidi="ar-SA"/>
        </w:rPr>
        <w:t>كانت أو نافلة ، أداءً كانت أو قضاءً ، عن النفس أو الغير ، ولأجزائها المنسيّة بل وسجدتي السهو أيضاً على الأحوط</w:t>
      </w:r>
      <w:r>
        <w:rPr>
          <w:rStyle w:val="FootnoteAnchor"/>
          <w:rtl w:val="true"/>
        </w:rPr>
        <w:footnoteReference w:id="77"/>
      </w:r>
      <w:r>
        <w:rPr>
          <w:rFonts w:ascii="Amiri" w:hAnsi="Amiri" w:eastAsia="Amiri" w:cs="Amiri"/>
          <w:color w:val="111111"/>
          <w:sz w:val="28"/>
          <w:sz w:val="28"/>
          <w:szCs w:val="28"/>
          <w:rtl w:val="true"/>
          <w:lang w:bidi="ar-SA"/>
        </w:rPr>
        <w:t>، وكذا للطواف الذي كان جزءاً للحجّ أو العمرة وإن كانا مندوبين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شرط لجواز مسّ كتابة القرآن فيحرم مسّها على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آياتها وكلماتها ، بل والحروف والمدّ والتشديد وأعاريبها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أسماء اللّه وصفاته الخاصّة ، وأمّا أسماء الأنبياء والأئمّة والملائكة ففي إلحاقها بها تأمّل وإشكال ، والأحوط التجنّب خصوصاً في الاُوليين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المسّ بين أجزاء البدن ظاهراً وباطناً ، نعم لا يبعد جواز المسّ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أنواع الخطوط حتّى المهجور منها كالكوفي ، وكذا بين أنحاء الكتابة من الكتب بالقلم أو الطبع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أقسام كثيرة لا يناسب ذكرها في هذه الوجيزة فليطلب من المطوّلات ، والأقوى كون الوضوء بنفسه</w:t>
      </w:r>
      <w:r>
        <w:rPr>
          <w:rStyle w:val="FootnoteAnchor"/>
          <w:rtl w:val="true"/>
        </w:rPr>
        <w:footnoteReference w:id="79"/>
      </w:r>
      <w:r>
        <w:rPr>
          <w:rFonts w:ascii="Amiri" w:hAnsi="Amiri" w:eastAsia="Amiri" w:cs="Amiri"/>
          <w:color w:val="111111"/>
          <w:sz w:val="28"/>
          <w:sz w:val="28"/>
          <w:szCs w:val="28"/>
          <w:rtl w:val="true"/>
          <w:lang w:bidi="ar-SA"/>
        </w:rPr>
        <w:t>مستحبّاً كسائر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النفسية فيصحّ إتيانه بقصد القربة وإن لم يقصد إحدى الغايات كسائر العبادات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للمتوضّئ أن يجدّد وضوءه ، والظاهر جوازه ثالثاً ورابعاً فصاعداً ، ولو تبيّن مصادفته للحدث يرتفع به على الأقوى ، فلا يحتاج إلى وضوء آخر </w:t>
      </w:r>
      <w:r>
        <w:rPr>
          <w:rFonts w:eastAsia="Amiri" w:cs="Amiri" w:ascii="Amiri" w:hAnsi="Amiri"/>
          <w:color w:val="111111"/>
          <w:sz w:val="28"/>
          <w:szCs w:val="28"/>
          <w:rtl w:val="true"/>
          <w:lang w:bidi="ar-SA"/>
        </w:rPr>
        <w:t xml:space="preserve">. </w:t>
      </w:r>
      <w:bookmarkStart w:id="49" w:name="pg15003_159610"/>
    </w:p>
    <w:p>
      <w:pPr>
        <w:pStyle w:val="Heading4"/>
        <w:numPr>
          <w:ilvl w:val="3"/>
          <w:numId w:val="1"/>
        </w:numPr>
        <w:rPr/>
      </w:pPr>
      <w:bookmarkStart w:id="50" w:name="__RefHeading___Toc487605_3406789950"/>
      <w:bookmarkStart w:id="51" w:name="_Toc17"/>
      <w:bookmarkEnd w:id="49"/>
      <w:bookmarkEnd w:id="50"/>
      <w:r>
        <w:rPr>
          <w:rtl w:val="true"/>
        </w:rPr>
        <w:t xml:space="preserve">القول </w:t>
      </w:r>
      <w:r>
        <w:rPr>
          <w:rtl w:val="true"/>
        </w:rPr>
        <w:t xml:space="preserve">: </w:t>
      </w:r>
      <w:r>
        <w:rPr>
          <w:rtl w:val="true"/>
        </w:rPr>
        <w:t>في أحكام الخلل</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الحدث وشكّ في الطهارة أو ظنّ بها تطهّر ، ولو كان شكّه في أثناء العمل كما لو دخل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أثنائها في الطهارة فإنّه يقطعها ويتطهّر ، والأحوط الإتمام ثمّ الاستئناف بطهارة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شكّه بعد الفراغ من العمل بنى على صحّة العمل السابق وتطهّر جديداً للعمل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الطهارة وشكّ في الحدث 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تيقّنهما وشكّ في المتأخّر منهما تطهّر ، إلاّ إذا علم تأريخ الطهارة فيبني عليها</w:t>
      </w:r>
      <w:r>
        <w:rPr>
          <w:rStyle w:val="FootnoteAnchor"/>
          <w:rtl w:val="true"/>
        </w:rPr>
        <w:footnoteReference w:id="80"/>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ترك غسل عضو أو مسحه أتى به وبما بعده إذا لم يحصل مفسد من فوات موالاة ونحوه وإلاّ استأنف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فعل شيء من أفعال الوضوء قبل الفراغ منه أتى بما شكّ فيه مراعياً للترتيب والموالاة وغيرهما ممّا يعتبر في الوضوء ، والظنّ هنا كالشكّ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الشكّ لا عبرة بشكّه ، كما أ نّه لا عبرة بالشكّ بعد الفراغ ؛ سواء كان شكّه في فعل من أفعال الوضوء أو في شرط من شروطه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وتوضّأ للتجديد وصلّى ثمّ تيقّن بطلان أحد الوضوءين لا أثر لهذا العلم الإجمالي لا بالنسبة إلى الصلاة التي أوقعها </w:t>
      </w:r>
      <w:bookmarkStart w:id="52" w:name="pg15003_159611"/>
    </w:p>
    <w:p>
      <w:pPr>
        <w:pStyle w:val="BookText"/>
        <w:rPr/>
      </w:pPr>
      <w:bookmarkEnd w:id="52"/>
      <w:r>
        <w:rPr>
          <w:rFonts w:ascii="Amiri" w:hAnsi="Amiri" w:eastAsia="Amiri" w:cs="Amiri"/>
          <w:color w:val="111111"/>
          <w:sz w:val="28"/>
          <w:sz w:val="28"/>
          <w:szCs w:val="28"/>
          <w:rtl w:val="true"/>
          <w:lang w:bidi="ar-SA"/>
        </w:rPr>
        <w:t xml:space="preserve">ولا بالنسبة إلى الصلاة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صلّى بعد كلّ من الوضوءين ثمّ تيقّن بطلان أحدهما فالصلاة الثانية صحيحة قطعاً ، كما أ نّه تصحّ الصلاة الآتية ما لم يقع الناقض ، وأمّا الصلاة الاُولى فلا يبعد الحكم بصحّتها وإن كان الأحوط 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وضوءين وصلّى صلاة واحدة</w:t>
      </w:r>
      <w:r>
        <w:rPr>
          <w:rStyle w:val="FootnoteAnchor"/>
          <w:rtl w:val="true"/>
        </w:rPr>
        <w:footnoteReference w:id="81"/>
      </w:r>
      <w:r>
        <w:rPr>
          <w:rFonts w:ascii="Amiri" w:hAnsi="Amiri" w:eastAsia="Amiri" w:cs="Amiri"/>
          <w:color w:val="111111"/>
          <w:sz w:val="28"/>
          <w:sz w:val="28"/>
          <w:szCs w:val="28"/>
          <w:rtl w:val="true"/>
          <w:lang w:bidi="ar-SA"/>
        </w:rPr>
        <w:t xml:space="preserve">بعدهما ثمّ تيقّن بوقوع الحدث بعد أحدهما يجب عليه الوضوء للصلوات الآتية ويحكم بصحّة الصلاة التي أتى بها ، وأمّا لو صلّى بعد كلّ وضوء ثمّ علم بوقوع الحدث بعد أحد الوضوءين قبل الصلاة يجب عليه إعادة الصلاتين ، نعم إذا كانتا متّفقتين في العدد كالظهرين فالظاهر كفاية صلاة واحدة بقصد ما في الذمّة ، وإن كان الأحوط في هذه الصورة أيضاً إعادتهما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87607_3406789950"/>
      <w:bookmarkStart w:id="54" w:name="_Toc18"/>
      <w:bookmarkEnd w:id="53"/>
      <w:r>
        <w:rPr>
          <w:rtl w:val="true"/>
        </w:rPr>
        <w:t xml:space="preserve">فصل </w:t>
      </w:r>
      <w:r>
        <w:rPr>
          <w:rtl w:val="true"/>
        </w:rPr>
        <w:t xml:space="preserve">: </w:t>
      </w:r>
      <w:r>
        <w:rPr>
          <w:rtl w:val="true"/>
        </w:rPr>
        <w:t>في وضوء الجبيرة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على بعض أعضائه جبيرة فإن أمكن نزعها نَزَعها</w:t>
      </w:r>
      <w:r>
        <w:rPr>
          <w:rStyle w:val="FootnoteAnchor"/>
          <w:rtl w:val="true"/>
        </w:rPr>
        <w:footnoteReference w:id="82"/>
      </w:r>
      <w:r>
        <w:rPr>
          <w:rFonts w:ascii="Amiri" w:hAnsi="Amiri" w:eastAsia="Amiri" w:cs="Amiri"/>
          <w:color w:val="111111"/>
          <w:sz w:val="28"/>
          <w:sz w:val="28"/>
          <w:szCs w:val="28"/>
          <w:rtl w:val="true"/>
          <w:lang w:bidi="ar-SA"/>
        </w:rPr>
        <w:t xml:space="preserve">وغسل أو مسح ما تحتها ، وإن لم يمكن ذلك فإن كان في موضع المسح مسح عليها ، وإن كان في موضع الغسل وأمكن إيصال الماء تحتها على نحو يحصل مسمّى الغسل وجب وإلاّ مسح عليها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استيعاب المسح في أعضاء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يلزم مسح ما يتعذّر أو يتعسّر مسحه ممّا بين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أعضاء المسح يكون حال </w:t>
      </w:r>
    </w:p>
    <w:p>
      <w:pPr>
        <w:pStyle w:val="BookText"/>
        <w:rPr/>
      </w:pPr>
      <w:r>
        <w:rPr>
          <w:rFonts w:ascii="Amiri" w:hAnsi="Amiri" w:eastAsia="Amiri" w:cs="Amiri"/>
          <w:color w:val="111111"/>
          <w:sz w:val="28"/>
          <w:sz w:val="28"/>
          <w:szCs w:val="28"/>
          <w:rtl w:val="true"/>
          <w:lang w:bidi="ar-SA"/>
        </w:rPr>
        <w:t xml:space="preserve">المسح على الجبيرة كمسح محلّها قدراً وكيفية ، فيعتبر أن يكون باليد ونداوتها بخلاف ما كان في موضع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الجبيرة مستوعبة لعضو واحد</w:t>
      </w:r>
      <w:r>
        <w:rPr>
          <w:rStyle w:val="FootnoteAnchor"/>
          <w:rtl w:val="true"/>
        </w:rPr>
        <w:footnoteReference w:id="83"/>
      </w:r>
      <w:r>
        <w:rPr>
          <w:rFonts w:ascii="Amiri" w:hAnsi="Amiri" w:eastAsia="Amiri" w:cs="Amiri"/>
          <w:color w:val="111111"/>
          <w:sz w:val="28"/>
          <w:sz w:val="28"/>
          <w:szCs w:val="28"/>
          <w:rtl w:val="true"/>
          <w:lang w:bidi="ar-SA"/>
        </w:rPr>
        <w:t xml:space="preserve">أو تمام الأعضاء وأمكن التيمّم بلا حائل فلا يترك الاحتياط بالجمع بين الجبيرة والتيمّم خصوصاً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استوعب الحائل أعضاء التيمّم أيضاً ولا يمكن التيمّم على البشرة تعيّن الوضوء على الجبيرة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الجبيرة على بعض الأطراف الصحيحة فالمقدار المتعارف الذي يلزمه شدّ غالب الجبائر يلحق بها في الحكم فيمسح عليه ، وإن كان أزيد من ذلك المقدار فإن أمكن رفعها رفعها وغسل المقدار الصحيح ثمّ وضعها ومسح عليها ، وإن لم يمكن ذلك مسح عليها ولا يترك الاحتياط بضمّ التيمّم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المسح على الجبيرة من جهة النجاسة وضع خرقة فوقها على نحو يعدّ جزءاً منها ومسح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الجرح المكشوف الذي لا يمكن غسله يجوز الاكتفاء بغسل ما حوله ، والأحوط مع ذلك وضع شيء عليه والمسح عليه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 الماء بالعضو من دون أن يكون جرح أو قرح أو كسر </w:t>
      </w:r>
    </w:p>
    <w:p>
      <w:pPr>
        <w:pStyle w:val="BookText"/>
        <w:rPr/>
      </w:pPr>
      <w:r>
        <w:rPr>
          <w:rFonts w:ascii="Amiri" w:hAnsi="Amiri" w:eastAsia="Amiri" w:cs="Amiri"/>
          <w:color w:val="111111"/>
          <w:sz w:val="28"/>
          <w:sz w:val="28"/>
          <w:szCs w:val="28"/>
          <w:rtl w:val="true"/>
          <w:lang w:bidi="ar-SA"/>
        </w:rPr>
        <w:t>يتعيّن التيمّم</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كان الكسر أو الجرح في غير مواضع الوضوء لكن استعمال الماء في مواضعه يضرّ بالكسر أو الجرح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الرمد الذي يضرّه الوضوء يتعيّن التيمّم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مانع على البشرة لا يمكن إزالته كالقير ونحوه يكتفى بالمسح عليه ، والأحوط كونه على وجه يحصل أقلّ مسمّى الغسل ، وأحوط من ذلك ضمّ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الجبيري رافع للحدث لا مبيح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بعض أعضائه جبيرة وحصل موجب الغسل مسح على الجبيرة وغسل المواضع الخالية عنها مع الشرائط المتقدّمة في وضوء ذي الجبيرة ، والأحوط كون غسله ترتيبياً لا ارتماسياً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تكليفه التيمّم وكان على أعضائه جبيرة لا يمكن رفعها مسح عليها ، وكذا فيما إذا كان حائل آخر لا يمكن إزالته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عذر صاحب الجبيرة لا يجب إعادة الصلاة التي صلاّها ، بل الظاهر جواز الصلوات الآتية بهذا الوضوء </w:t>
      </w:r>
      <w:r>
        <w:rPr>
          <w:rFonts w:eastAsia="Amiri" w:cs="Amiri" w:ascii="Amiri" w:hAnsi="Amiri"/>
          <w:color w:val="111111"/>
          <w:sz w:val="28"/>
          <w:szCs w:val="28"/>
          <w:rtl w:val="true"/>
          <w:lang w:bidi="ar-SA"/>
        </w:rPr>
        <w:t xml:space="preserve">. </w:t>
      </w:r>
      <w:bookmarkStart w:id="55" w:name="pg15003_159614"/>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يصلّي صاحب الجبيرة أوّل الوقت مع اليأس عن زوال العذر إلى آخره ومع عدمه الأحوط التأخير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87609_3406789950"/>
      <w:bookmarkStart w:id="57" w:name="_Toc19"/>
      <w:bookmarkEnd w:id="56"/>
      <w:r>
        <w:rPr>
          <w:rtl w:val="true"/>
        </w:rPr>
        <w:t xml:space="preserve">فصل </w:t>
      </w:r>
      <w:r>
        <w:rPr>
          <w:rtl w:val="true"/>
        </w:rPr>
        <w:t xml:space="preserve">: </w:t>
      </w:r>
      <w:r>
        <w:rPr>
          <w:rtl w:val="true"/>
        </w:rPr>
        <w:t>في الأغسال</w:t>
      </w:r>
      <w:bookmarkEnd w:id="57"/>
    </w:p>
    <w:p>
      <w:pPr>
        <w:pStyle w:val="BookText"/>
        <w:rPr/>
      </w:pPr>
      <w:r>
        <w:rPr>
          <w:rFonts w:ascii="Amiri" w:hAnsi="Amiri" w:eastAsia="Amiri" w:cs="Amiri"/>
          <w:color w:val="111111"/>
          <w:sz w:val="28"/>
          <w:sz w:val="28"/>
          <w:szCs w:val="28"/>
          <w:rtl w:val="true"/>
          <w:lang w:bidi="ar-SA"/>
        </w:rPr>
        <w:t>والواجب منها ستّة</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والحيض والاستحاضة والنفاس ومسّ الميّت وغسل الأموات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87611_3406789950"/>
      <w:bookmarkStart w:id="59" w:name="_Toc20"/>
      <w:bookmarkEnd w:id="58"/>
      <w:r>
        <w:rPr>
          <w:rtl w:val="true"/>
        </w:rPr>
        <w:t xml:space="preserve">فصل </w:t>
      </w:r>
      <w:r>
        <w:rPr>
          <w:rtl w:val="true"/>
        </w:rPr>
        <w:t xml:space="preserve">: </w:t>
      </w:r>
      <w:r>
        <w:rPr>
          <w:rtl w:val="true"/>
        </w:rPr>
        <w:t>في غسل الجنابة</w:t>
      </w:r>
      <w:bookmarkEnd w:id="59"/>
    </w:p>
    <w:p>
      <w:pPr>
        <w:pStyle w:val="Heading4"/>
        <w:numPr>
          <w:ilvl w:val="3"/>
          <w:numId w:val="1"/>
        </w:numPr>
        <w:rPr/>
      </w:pPr>
      <w:bookmarkStart w:id="60" w:name="__RefHeading___Toc487613_3406789950"/>
      <w:bookmarkStart w:id="61" w:name="_Toc21"/>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والكلام في سبب الجنابة وأحكام الجنب وواجبات الغسل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87615_3406789950"/>
      <w:bookmarkStart w:id="63" w:name="_Toc22"/>
      <w:bookmarkEnd w:id="62"/>
      <w:r>
        <w:rPr>
          <w:rtl w:val="true"/>
        </w:rPr>
        <w:t xml:space="preserve">القول </w:t>
      </w:r>
      <w:r>
        <w:rPr>
          <w:rtl w:val="true"/>
        </w:rPr>
        <w:t xml:space="preserve">: </w:t>
      </w:r>
      <w:r>
        <w:rPr>
          <w:rtl w:val="true"/>
        </w:rPr>
        <w:t>في السبب</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الجنابة أمران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وما في حكمه من البلل المشتبه قبل الاستبراء بالبول كما ستعرفه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خروجه إلى الخارج فلو تحرّك من محلّه ولم يخرج لم يوجب الجنابة ، كما أنّ المعتبر كونه منه فلو خرج من المرأة منيّ الرجل لا يوجب جنابتها إلاّ مع العلم باختلاطه بمنيّها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والمنيّ إن علم فلا إشكال وإلاّ رجع الصحيح في معرفته إلى اجتماع الدفق والشهوة وفتور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المريض والمرأة إلى الأخيرين</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الواحد من الثلاثة ، لكنّ الأحوط مع عدم اجتماع الثلاث الغسل والوضوء إذا كان </w:t>
      </w:r>
    </w:p>
    <w:p>
      <w:pPr>
        <w:pStyle w:val="BookText"/>
        <w:rPr/>
      </w:pPr>
      <w:r>
        <w:rPr>
          <w:rFonts w:ascii="Amiri" w:hAnsi="Amiri" w:eastAsia="Amiri" w:cs="Amiri"/>
          <w:color w:val="111111"/>
          <w:sz w:val="28"/>
          <w:sz w:val="28"/>
          <w:szCs w:val="28"/>
          <w:rtl w:val="true"/>
          <w:lang w:bidi="ar-SA"/>
        </w:rPr>
        <w:t xml:space="preserve">مسبوقاً بالحدث الأصغر ، والغسل وحده إن كان مسبوقاً بالطهارة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 ويتحقّق بغيبوبة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وقدرها</w:t>
      </w:r>
      <w:r>
        <w:rPr>
          <w:rStyle w:val="FootnoteAnchor"/>
          <w:rtl w:val="true"/>
        </w:rPr>
        <w:footnoteReference w:id="88"/>
      </w:r>
      <w:r>
        <w:rPr>
          <w:rFonts w:ascii="Amiri" w:hAnsi="Amiri" w:eastAsia="Amiri" w:cs="Amiri"/>
          <w:color w:val="111111"/>
          <w:sz w:val="28"/>
          <w:sz w:val="28"/>
          <w:szCs w:val="28"/>
          <w:rtl w:val="true"/>
          <w:lang w:bidi="ar-SA"/>
        </w:rPr>
        <w:t xml:space="preserve">من مقطوعها في القبل أو الدبر ، فيحصل حينئذٍ وصف الجنابة لكلّ منهما من غير فرق بين الصغير والمجنون وغيرهما وإن وجب الغسل حينئذٍ بعد حصول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الغسل من الصبيّ المميّز ، فإذا اغتسل يرتفع عنه حدث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في ثوبه منيّاً وعلم أ نّه منه ولم يغتسل بعده يجب عليه قضاء الصلوات التي صلاّها بعده ، وأمّا الصلوات التي يحتمل وقوعها قبله فلا يجب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 نّه منه ولكن لم يعلم أ نّه من جنابة سابقة اغتسل منها أو جنابة اُخرى لم يغتسل لها فالظاهر أ نّه لا يجب عليه الغسل وإن كان أحوط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تحرّك المنيّ عن محلّه في اليقظة أو في النوم بالاحتلام لم يجب الغسل ما لم يخرج كما مرّ ، فإذا كان بعد دخول الوقت ولم يكن عنده ماء للغسل لا يجب حبسه</w:t>
      </w:r>
      <w:r>
        <w:rPr>
          <w:rStyle w:val="FootnoteAnchor"/>
          <w:rtl w:val="true"/>
        </w:rPr>
        <w:footnoteReference w:id="89"/>
      </w:r>
      <w:r>
        <w:rPr>
          <w:rFonts w:ascii="Amiri" w:hAnsi="Amiri" w:eastAsia="Amiri" w:cs="Amiri"/>
          <w:color w:val="111111"/>
          <w:sz w:val="28"/>
          <w:sz w:val="28"/>
          <w:szCs w:val="28"/>
          <w:rtl w:val="true"/>
          <w:lang w:bidi="ar-SA"/>
        </w:rPr>
        <w:t xml:space="preserve">عن الخروج فإذا خرج يتيمّم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عنده ما يتيمّم به</w:t>
      </w:r>
      <w:r>
        <w:rPr>
          <w:rStyle w:val="FootnoteAnchor"/>
          <w:rtl w:val="true"/>
        </w:rPr>
        <w:footnoteReference w:id="90"/>
      </w:r>
      <w:r>
        <w:rPr>
          <w:rFonts w:ascii="Amiri" w:hAnsi="Amiri" w:eastAsia="Amiri" w:cs="Amiri"/>
          <w:color w:val="111111"/>
          <w:sz w:val="28"/>
          <w:sz w:val="28"/>
          <w:szCs w:val="28"/>
          <w:rtl w:val="true"/>
          <w:lang w:bidi="ar-SA"/>
        </w:rPr>
        <w:t>أيضاً لا يبعد وجوب حبسه إلاّ إذا تضرّر به ، وكذا الحال في إجناب نفسه</w:t>
      </w:r>
      <w:r>
        <w:rPr>
          <w:rStyle w:val="FootnoteAnchor"/>
          <w:rtl w:val="true"/>
        </w:rPr>
        <w:footnoteReference w:id="91"/>
      </w:r>
      <w:r>
        <w:rPr>
          <w:rFonts w:ascii="Amiri" w:hAnsi="Amiri" w:eastAsia="Amiri" w:cs="Amiri"/>
          <w:color w:val="111111"/>
          <w:sz w:val="28"/>
          <w:sz w:val="28"/>
          <w:szCs w:val="28"/>
          <w:rtl w:val="true"/>
          <w:lang w:bidi="ar-SA"/>
        </w:rPr>
        <w:t xml:space="preserve">اختياراً بعد دخول الوقت فيجوز لو لم يكن عنده ماء الغسل دون ما يتيمّم به ، بخلاف ما إذا لم يكن عنده ما يتيمّم به أيضاً كما مرّ </w:t>
      </w:r>
      <w:r>
        <w:rPr>
          <w:rFonts w:eastAsia="Amiri" w:cs="Amiri" w:ascii="Amiri" w:hAnsi="Amiri"/>
          <w:color w:val="111111"/>
          <w:sz w:val="28"/>
          <w:szCs w:val="28"/>
          <w:rtl w:val="true"/>
          <w:lang w:bidi="ar-SA"/>
        </w:rPr>
        <w:t xml:space="preserve">. </w:t>
      </w:r>
      <w:bookmarkStart w:id="64" w:name="pg15003_159616"/>
    </w:p>
    <w:p>
      <w:pPr>
        <w:pStyle w:val="Heading4"/>
        <w:numPr>
          <w:ilvl w:val="3"/>
          <w:numId w:val="1"/>
        </w:numPr>
        <w:rPr/>
      </w:pPr>
      <w:bookmarkStart w:id="65" w:name="__RefHeading___Toc487617_3406789950"/>
      <w:bookmarkStart w:id="66" w:name="_Toc23"/>
      <w:bookmarkEnd w:id="64"/>
      <w:bookmarkEnd w:id="65"/>
      <w:r>
        <w:rPr>
          <w:rtl w:val="true"/>
        </w:rPr>
        <w:t xml:space="preserve">القول </w:t>
      </w:r>
      <w:r>
        <w:rPr>
          <w:rtl w:val="true"/>
        </w:rPr>
        <w:t xml:space="preserve">: </w:t>
      </w:r>
      <w:r>
        <w:rPr>
          <w:rtl w:val="true"/>
        </w:rPr>
        <w:t>في أحكام الجنب</w:t>
      </w:r>
      <w:bookmarkEnd w:id="66"/>
    </w:p>
    <w:p>
      <w:pPr>
        <w:pStyle w:val="BookText"/>
        <w:rPr/>
      </w:pPr>
      <w:r>
        <w:rPr>
          <w:rFonts w:ascii="Amiri" w:hAnsi="Amiri" w:eastAsia="Amiri" w:cs="Amiri"/>
          <w:color w:val="111111"/>
          <w:sz w:val="28"/>
          <w:sz w:val="28"/>
          <w:szCs w:val="28"/>
          <w:rtl w:val="true"/>
          <w:lang w:bidi="ar-SA"/>
        </w:rPr>
        <w:t xml:space="preserve">يتوقّف على الغسل من الجنابة اُمور ؛ بمعنى أ نّه شرط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ولأجزائها المنسيّة ، بل وكذا سجدتي السهو على الأحوط</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دون المندوب</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وقضاؤه ؛ بمعنى بطلانه إذا أصبح جنباً متعمّداً أو ناسياً للجنابة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غيرهما من أقسام الصيام فلا يبطل بالإصباح جنباً وإن كان الأحوط</w:t>
      </w:r>
      <w:r>
        <w:rPr>
          <w:rStyle w:val="FootnoteAnchor"/>
          <w:rtl w:val="true"/>
        </w:rPr>
        <w:footnoteReference w:id="94"/>
      </w:r>
      <w:r>
        <w:rPr>
          <w:rFonts w:ascii="Amiri" w:hAnsi="Amiri" w:eastAsia="Amiri" w:cs="Amiri"/>
          <w:color w:val="111111"/>
          <w:sz w:val="28"/>
          <w:sz w:val="28"/>
          <w:szCs w:val="28"/>
          <w:rtl w:val="true"/>
          <w:lang w:bidi="ar-SA"/>
        </w:rPr>
        <w:t xml:space="preserve">في الواجب منها ترك 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الجنابة العمدية في أثناء النهار تبطل جميع أقسام الصيام حتّى المندوب منها بخلاف غيرها كالاحتلام فلا يضرّ بشيء منها حتّى صوم شهر رمضان </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87619_3406789950"/>
      <w:bookmarkStart w:id="68" w:name="_Toc24"/>
      <w:bookmarkEnd w:id="67"/>
      <w:r>
        <w:rPr>
          <w:rtl w:val="true"/>
        </w:rPr>
        <w:t>فصل</w:t>
      </w:r>
      <w:bookmarkEnd w:id="68"/>
    </w:p>
    <w:p>
      <w:pPr>
        <w:pStyle w:val="BookText"/>
        <w:rPr/>
      </w:pPr>
      <w:r>
        <w:rPr>
          <w:rFonts w:ascii="Amiri" w:hAnsi="Amiri" w:eastAsia="Amiri" w:cs="Amiri"/>
          <w:color w:val="111111"/>
          <w:sz w:val="28"/>
          <w:sz w:val="28"/>
          <w:szCs w:val="28"/>
          <w:rtl w:val="true"/>
          <w:lang w:bidi="ar-SA"/>
        </w:rPr>
        <w:t xml:space="preserve">يحرم على الجنب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كتابة القرآن على التفصيل المتقدّم في الوضوء ، ومسّ اسم اللّه تعالى وسائر أسمائه وصفاته المختصّة به ، وكذا مسّ أسماء الأنبياء والأئمّة علیهم السلام على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مسجد الحرام ومسجد النبي صلی الله علیه و آله وسلم وإن كان بنحو الاجتياز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غير المسجدين من المساجد ، بل مطلق الدخول فيها إذا لم يكن مارّاً ؛ بأن يدخل من باب ويخرج من آخر أو دخل فيها لأجل أخذ شيء </w:t>
      </w:r>
      <w:bookmarkStart w:id="69" w:name="pg15003_159617"/>
    </w:p>
    <w:p>
      <w:pPr>
        <w:pStyle w:val="BookText"/>
        <w:rPr/>
      </w:pPr>
      <w:bookmarkEnd w:id="69"/>
      <w:r>
        <w:rPr>
          <w:rFonts w:ascii="Amiri" w:hAnsi="Amiri" w:eastAsia="Amiri" w:cs="Amiri"/>
          <w:color w:val="111111"/>
          <w:sz w:val="28"/>
          <w:sz w:val="28"/>
          <w:szCs w:val="28"/>
          <w:rtl w:val="true"/>
          <w:lang w:bidi="ar-SA"/>
        </w:rPr>
        <w:t xml:space="preserve">منها فإنّه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المشاهد المشرّفة على الأحوط ، وأحوط من ذلك إلحاقها بالمسجدين ، كما أنّ الأحوط فيها إلحاق الرواق بالروضة المشرّفة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في المساجد وإن كان من الخارج أو في حال العبور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بعض منها حتّى البسملة بقصد أحدها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في أحد المسجدين أو دخل فيهما جنباً عمداً أو سهواً أو جهلاً وجب عليه التيمّم للخروج ، إلاّ أن يكون زمان الخروج أقصر من المكث للتيمّم أو مساوياً له فحينئذٍ يخرج بدون تيمّم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جنباً وكان الماء في المسجد يجب عليه أن يتيمّم ويدخل المسجد لأخذ الماء ولا ينتقض التيمّم بهذا الوجدان إلاّ بعد الخروج مع الماء أو بعد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يباح بهذا التيمّم غير دخول المسجد واللبث فيه بمقدار الحاجة ؟ فيه تأمّل وإشكال </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87621_3406789950"/>
      <w:bookmarkStart w:id="71" w:name="_Toc25"/>
      <w:bookmarkEnd w:id="70"/>
      <w:r>
        <w:rPr>
          <w:rtl w:val="true"/>
        </w:rPr>
        <w:t>فصل</w:t>
      </w:r>
      <w:bookmarkEnd w:id="71"/>
    </w:p>
    <w:p>
      <w:pPr>
        <w:pStyle w:val="BookText"/>
        <w:rPr/>
      </w:pPr>
      <w:r>
        <w:rPr>
          <w:rFonts w:ascii="Amiri" w:hAnsi="Amiri" w:eastAsia="Amiri" w:cs="Amiri"/>
          <w:color w:val="111111"/>
          <w:sz w:val="28"/>
          <w:sz w:val="28"/>
          <w:szCs w:val="28"/>
          <w:rtl w:val="true"/>
          <w:lang w:bidi="ar-SA"/>
        </w:rPr>
        <w:t xml:space="preserve">يكره على الجنب اُمور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 ويرتفع كراهتهما</w:t>
      </w:r>
      <w:r>
        <w:rPr>
          <w:rStyle w:val="FootnoteAnchor"/>
          <w:rtl w:val="true"/>
        </w:rPr>
        <w:footnoteReference w:id="95"/>
      </w:r>
      <w:r>
        <w:rPr>
          <w:rFonts w:ascii="Amiri" w:hAnsi="Amiri" w:eastAsia="Amiri" w:cs="Amiri"/>
          <w:color w:val="111111"/>
          <w:sz w:val="28"/>
          <w:sz w:val="28"/>
          <w:szCs w:val="28"/>
          <w:rtl w:val="true"/>
          <w:lang w:bidi="ar-SA"/>
        </w:rPr>
        <w:t xml:space="preserve">عليه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أكملها الوضوء الكامل ثمّ غسل اليد والوجه والمضمضة ثمّ غسل اليدين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 زاد على سبع آيات غير العزائم ، وتشتدّ الكراهة إن زاد على سبعين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ما عدا خطّ المصحف من الجلد والورق والهامش وما بين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w:t>
      </w:r>
      <w:bookmarkStart w:id="72" w:name="pg15003_159618"/>
    </w:p>
    <w:p>
      <w:pPr>
        <w:pStyle w:val="BookText"/>
        <w:rPr/>
      </w:pPr>
      <w:bookmarkEnd w:id="72"/>
      <w:r>
        <w:rPr>
          <w:rFonts w:ascii="Amiri" w:hAnsi="Amiri" w:eastAsia="Amiri" w:cs="Amiri"/>
          <w:color w:val="111111"/>
          <w:sz w:val="28"/>
          <w:sz w:val="28"/>
          <w:szCs w:val="28"/>
          <w:rtl w:val="true"/>
          <w:lang w:bidi="ar-SA"/>
        </w:rPr>
        <w:t>وترتفع كراهته بالوضوء وإذا لم يجد الماء تيمّم بدلاً عن الغسل</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وكذا إجناب نفسه إذا كان مختضباً قبل أن يأخذ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إذا كان جنباً بالاحتلام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المصحف وتعليقه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87623_3406789950"/>
      <w:bookmarkStart w:id="74" w:name="_Toc26"/>
      <w:bookmarkEnd w:id="73"/>
      <w:r>
        <w:rPr>
          <w:rtl w:val="true"/>
        </w:rPr>
        <w:t xml:space="preserve">القول </w:t>
      </w:r>
      <w:r>
        <w:rPr>
          <w:rtl w:val="true"/>
        </w:rPr>
        <w:t xml:space="preserve">: </w:t>
      </w:r>
      <w:r>
        <w:rPr>
          <w:rtl w:val="true"/>
        </w:rPr>
        <w:t>في واجبات الغسل</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واجبات الغسل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ويعتبر فيها الإخلاص ، ولا بدّ من استدامة حكمها كما تقدّم في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الحمّام بنيّة الغسل فإن بقي في نفسه الداعي الأوّل وكان غمسه واغتساله بذلك الداعي بحيث لو سئل عنه حين غمسه ما تفعل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 فغسله صحيح وقد وقع غسله 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غافلاً بالمرّة بحيث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بقي متحيّراً ، بطل غسله ، بل لم يقع منه الغسل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إلى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ليغتسل وبعد ما خرج شكّ في أ نّه اغتسل أم لا ، بنى على العدم ، أمّا لو علم أ نّه اغتسل لكن شكّ في أ نّه على الوجه الصحيح أم لا ، بنى على الصحّة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ظاهر البشرة ، فلا يجزي غيرها ، فيجب عليه حينئذٍ رفع الحاجب وتخليل ما لا يصل الماء إليه إلاّ بتخليله ، ولا يجب غسل باطن العين والأنف والاُذن وغيرها حتّى الثقبة التي في الاُذن أو الأنف للقرط أو الحلقة ، إلاّ إذا كانت واسعة بحيث تعدّ من الظاهر ، والأحوط غسل ما شكّ في أ نّه من الظاهر أو الباطن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w:t>
      </w:r>
      <w:r>
        <w:rPr>
          <w:rStyle w:val="FootnoteAnchor"/>
          <w:rtl w:val="true"/>
        </w:rPr>
        <w:footnoteReference w:id="97"/>
      </w:r>
      <w:r>
        <w:rPr>
          <w:rFonts w:ascii="Amiri" w:hAnsi="Amiri" w:eastAsia="Amiri" w:cs="Amiri"/>
          <w:color w:val="111111"/>
          <w:sz w:val="28"/>
          <w:sz w:val="28"/>
          <w:szCs w:val="28"/>
          <w:rtl w:val="true"/>
          <w:lang w:bidi="ar-SA"/>
        </w:rPr>
        <w:t xml:space="preserve">غسل الشعر بل يجب غسل ما تحته من البشرة ، نعم ما كان دقيقاً بحيث يعدّ من توابع الجسد يجب 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في الترتيبي ، الذي هو أفضل من الارتماس الذي هو عبارة عن تغطية البدن في الماء مقارناً للنيّة ، ويكفي فيها استمرار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والترتيب عبارة عن غسل تمام الرأس ومنه العنق مدخلاً لبعض الجسد معه مقدّمة ، ثمّ تمام النصف الأيمن مدخلاً أيضاً لبعض الأيسر</w:t>
      </w:r>
      <w:r>
        <w:rPr>
          <w:rStyle w:val="FootnoteAnchor"/>
          <w:rtl w:val="true"/>
        </w:rPr>
        <w:footnoteReference w:id="98"/>
      </w:r>
      <w:r>
        <w:rPr>
          <w:rFonts w:ascii="Amiri" w:hAnsi="Amiri" w:eastAsia="Amiri" w:cs="Amiri"/>
          <w:color w:val="111111"/>
          <w:sz w:val="28"/>
          <w:sz w:val="28"/>
          <w:szCs w:val="28"/>
          <w:rtl w:val="true"/>
          <w:lang w:bidi="ar-SA"/>
        </w:rPr>
        <w:t xml:space="preserve">معه مقدّمة ، ثمّ تمام النصف الأيسر مدخلاً لبعض الأيمن معه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العورة والسرّة في التنصيف المذكور فيغسل نصفهما الأيمن مع الأيمن ونصفهما الأيسر مع الأيسر ، إلاّ أنّ الأولى غسلهما مع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استيعاب الأعضاء الثلاثة بالغسل بصبّة واحدة أو أكثر بفرك ودلك أو غير ذلك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ترتيب في العضو ، فيجوز غسله من الأسفل إلى الأعلى ، وإن كان الأولى البدأة بأعلى العضو فالأعلى ، كما أ نّه لا كيفية مخصوصة للغسل المراد هنا ، بل يكفي تحقّق مسمّاه ، فيجزي حينئذٍ رمس الرأس بالماء أوّلاً ثمّ الجانب الأيمن ثمّ الجانب الأيسر ، ويجزيه أيضاً رمس البعض والصبّ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ارتمس ثلاث ارتماسات ناوياً بكلّ واحدة غسل عضو صحّ ، بل يتحقّق مسمّى الغسل بتحريك العضو في الماء على وجه يجري الماء عليه ، فلا يحتاج إلى إخراجه منه ثمّ غمسه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اللازم</w:t>
      </w:r>
      <w:r>
        <w:rPr>
          <w:rStyle w:val="FootnoteAnchor"/>
          <w:rtl w:val="true"/>
        </w:rPr>
        <w:footnoteReference w:id="99"/>
      </w:r>
      <w:r>
        <w:rPr>
          <w:rFonts w:ascii="Amiri" w:hAnsi="Amiri" w:eastAsia="Amiri" w:cs="Amiri"/>
          <w:color w:val="111111"/>
          <w:sz w:val="28"/>
          <w:sz w:val="28"/>
          <w:szCs w:val="28"/>
          <w:rtl w:val="true"/>
          <w:lang w:bidi="ar-SA"/>
        </w:rPr>
        <w:t xml:space="preserve">في الغسل الارتماسي أن يكون تمام البدن في الماء في آن واحد وإن كان غمسه على التدريج ، فلو خرج بعض بدنه قبل أن ينغمس البعض الآخر لم يكف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رجله في الطين حال دخول سائر بدنه في الماء وحال إزالة الطين عنها كان بعض بدنه خارجاً عنه لم يتحقّق 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الأنهار والجداول التي يدخل الرجل في الطين والوحل يشكل الغسل الارتماسي فلا محيص عن اختيار الترتيبي فيها ؛ بأن يغسل الرأس والرقبة بالصبّ أو الرمس أوّلاً ، ثمّ يغسل من الطرف الأيمن ما كان غير داخل في الوحل ثانياً ، ثمّ يخرج رجله اليمنى من الوحل ويزيل عنها الوحل ويغسلها حتّى يتمّ غسل الطرف الأيمن ، ثمّ يفعل بالطرف الأيسر ما صنعه بالطرف الأيمن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الغسل عدم انغسال جزء من بدنه وجبت إعادة الغسل من رأس في الارتماسي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الترتيبي ؛ فإن كان ذلك الجزء من الطرف الأيسر يكفي غسل ذلك الجزء ولا يحتاج إلى إعادة الغسل ، بل ولا إعادة غسل سائر أجزاء الأيسر ولو طالت المدّة حتّى جفّ تمام الأعضاء ، وإن كان ذلك الجزء من الأيمن يغسل خصوص ذلك الجزء ويعيد غسل الأيسر ، وإذا كان من الرأس يغسل خصوص ذلك الجزء ويعيد غسل الطرفين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الموالاة في الغسل الترتيبي فلو غسل رأسه ورقبته في أوّل النهار والأيمن في وسطه والأيسر في آخره صحّ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الغسل تحت المطر وتحت الميزاب ترتيباً لا ارتماساً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من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الماء وطهارته</w:t>
      </w:r>
      <w:r>
        <w:rPr>
          <w:rStyle w:val="FootnoteAnchor"/>
          <w:rtl w:val="true"/>
        </w:rPr>
        <w:footnoteReference w:id="100"/>
      </w:r>
      <w:r>
        <w:rPr>
          <w:rFonts w:ascii="Amiri" w:hAnsi="Amiri" w:eastAsia="Amiri" w:cs="Amiri"/>
          <w:color w:val="111111"/>
          <w:sz w:val="28"/>
          <w:sz w:val="28"/>
          <w:szCs w:val="28"/>
          <w:rtl w:val="true"/>
          <w:lang w:bidi="ar-SA"/>
        </w:rPr>
        <w:t>، وإباحة المكان</w:t>
      </w:r>
      <w:r>
        <w:rPr>
          <w:rStyle w:val="FootnoteAnchor"/>
          <w:rtl w:val="true"/>
        </w:rPr>
        <w:footnoteReference w:id="101"/>
      </w:r>
      <w:r>
        <w:rPr>
          <w:rFonts w:ascii="Amiri" w:hAnsi="Amiri" w:eastAsia="Amiri" w:cs="Amiri"/>
          <w:color w:val="111111"/>
          <w:sz w:val="28"/>
          <w:sz w:val="28"/>
          <w:szCs w:val="28"/>
          <w:rtl w:val="true"/>
          <w:lang w:bidi="ar-SA"/>
        </w:rPr>
        <w:t xml:space="preserve">والمصبّ والآنية ، والمباشرة اختياراً ، وعدم المانع من استعمال الماء لمرض ونحوه على ما سمعته في الوضوء ، وكذا طهارة المحلّ الذي يراد إجراء ماء الغسل عليه ، فلو فرض نجاسته طهّره أوّلاً ثمّ أجرى الماء عليه للغسل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قاصداً عدم إعطاء الاُجرة للحمّامي ، أو كان بناؤه على إعطاء الاُجرة من الفلوس الحرام ، أو على النسيئة من غير إحراز رضا الحمّامي ، بطل غسله وإن استرضاه بعد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الوضوء والغسل بالماء المسبّل إلاّ مع العلم بعموم الإباحة من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ماء غسل المرأة من الجنابة والحيض والنفاس وكذا اُجرة تسخينه إذا احتاج إليه على زوجها ؛ لأ نّه يعدّ جزءاً من نفقتها ؛ خصوصاً في غسلها من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يتعيّن على المجنب في نهار شهر رمضان أن يغتسل ترتيباً ، فلو اغتسل ارتماسياً بطل غسله وصومه</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اغتسل ارتماساً نسياناً لم يبطل صومه وصحّ غسله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شيء من أجزاء الغسل وقد دخل في آخر </w:t>
      </w:r>
    </w:p>
    <w:p>
      <w:pPr>
        <w:pStyle w:val="BookText"/>
        <w:rPr/>
      </w:pPr>
      <w:r>
        <w:rPr>
          <w:rFonts w:ascii="Amiri" w:hAnsi="Amiri" w:eastAsia="Amiri" w:cs="Amiri"/>
          <w:color w:val="111111"/>
          <w:sz w:val="28"/>
          <w:sz w:val="28"/>
          <w:szCs w:val="28"/>
          <w:rtl w:val="true"/>
          <w:lang w:bidi="ar-SA"/>
        </w:rPr>
        <w:t>يجب</w:t>
      </w:r>
      <w:r>
        <w:rPr>
          <w:rStyle w:val="FootnoteAnchor"/>
          <w:rtl w:val="true"/>
        </w:rPr>
        <w:footnoteReference w:id="103"/>
      </w:r>
      <w:r>
        <w:rPr>
          <w:rFonts w:ascii="Amiri" w:hAnsi="Amiri" w:eastAsia="Amiri" w:cs="Amiri"/>
          <w:color w:val="111111"/>
          <w:sz w:val="28"/>
          <w:sz w:val="28"/>
          <w:szCs w:val="28"/>
          <w:rtl w:val="true"/>
          <w:lang w:bidi="ar-SA"/>
        </w:rPr>
        <w:t xml:space="preserve">تدارك ما شكّ فيه كالوضوء ، فإنّك قد عرفت وجوب التدارك عليه فيه ما لم يفرغ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w:t>
      </w:r>
      <w:r>
        <w:rPr>
          <w:rStyle w:val="FootnoteAnchor"/>
          <w:rtl w:val="true"/>
        </w:rPr>
        <w:footnoteReference w:id="104"/>
      </w:r>
      <w:r>
        <w:rPr>
          <w:rFonts w:ascii="Amiri" w:hAnsi="Amiri" w:eastAsia="Amiri" w:cs="Amiri"/>
          <w:color w:val="111111"/>
          <w:sz w:val="28"/>
          <w:sz w:val="28"/>
          <w:szCs w:val="28"/>
          <w:rtl w:val="true"/>
          <w:lang w:bidi="ar-SA"/>
        </w:rPr>
        <w:t>الاستبراء بالبول قبل الغسل وليس هو شرطاً في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الغسل ، ولكن فائدته أ نّه لو فعله واغتسل ثمّ خرج منه بلل مشتبه لم يعد الغسل ، بخلاف ما لو اغتسل بدونه ثمّ خرج منه البلل المزبور فإنّه يعيد الغسل حينئذٍ ؛ لكونه محكوماً عليه بأ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منيّ ؛ سواء استبرأ</w:t>
      </w:r>
      <w:r>
        <w:rPr>
          <w:rStyle w:val="FootnoteAnchor"/>
          <w:rtl w:val="true"/>
        </w:rPr>
        <w:footnoteReference w:id="105"/>
      </w:r>
      <w:r>
        <w:rPr>
          <w:rFonts w:ascii="Amiri" w:hAnsi="Amiri" w:eastAsia="Amiri" w:cs="Amiri"/>
          <w:color w:val="111111"/>
          <w:sz w:val="28"/>
          <w:sz w:val="28"/>
          <w:szCs w:val="28"/>
          <w:rtl w:val="true"/>
          <w:lang w:bidi="ar-SA"/>
        </w:rPr>
        <w:t xml:space="preserve">بالخرطات لتعذّر البول عليه أم لا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بسبب الإنزال لو اغتسل ثمّ خرج منه بلل مشتبه بين المنيّ والبول فإن لم يستبرئ بالبول يحكم بكونه منيّاً فيجب عليه الغسل خاصّة ، وإن بال ولم يستبرئ بالخرطات بعده يحكم بكونه بولاً فيجب عليه الوضوء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هاتين الصورتين بين احتمال غيرهما من المذي أو غيره أيضاً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استبرأ بالبول وبالخرطات بعده ، فإن احتمل غير البول والمنيّ أيضاً لم يجب عليه شيء ، لا الغسل ولا الوضوء ، وإن لم يحتمل غيرهما فإن أوقع الأمرين قبل الغسل وخرج البلل المشتبه بعده يجب الاحتياط بالجمع بين الغسل والوضوء ، وإن أوقعهما بعده ثمّ خرج البلل المزبور يكفي الوضوء خاصّة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المنزل بعد الغسل رطوبة مشتبهة بين المنيّ وغيره وشكّ في أ نّه استبرأ بالبول أم لا ، بنى على عدمه فيجب عليه الغسل ، ومع احتمال كونه بولاً الأحوط ضمّ الوضوء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غسل الجنابة عن الوضوء لكلّ ما اشترط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بالأصغر في أثناء الغسل لم يبطل على الأقوى ، لكن يجب الوضوء بعده لكلّ ما اشترط به ، والأحوط استئناف الغسل قاصداً به مايجب عليه من التمام أو الإتمام والوضوء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ارتمس في الماء بقصد الاغتسال وشكّ في أ نّه كان ناوياً للغسل الارتماسي حتّى يكون فارغاً ، أو الترتيبي وكان ارتماسه بقصد غسل الرأس والرقبة فبقي الطرفان ، يجب عليه</w:t>
      </w:r>
      <w:r>
        <w:rPr>
          <w:rStyle w:val="FootnoteAnchor"/>
          <w:rtl w:val="true"/>
        </w:rPr>
        <w:footnoteReference w:id="106"/>
      </w:r>
      <w:r>
        <w:rPr>
          <w:rFonts w:ascii="Amiri" w:hAnsi="Amiri" w:eastAsia="Amiri" w:cs="Amiri"/>
          <w:color w:val="111111"/>
          <w:sz w:val="28"/>
          <w:sz w:val="28"/>
          <w:szCs w:val="28"/>
          <w:rtl w:val="true"/>
          <w:lang w:bidi="ar-SA"/>
        </w:rPr>
        <w:t xml:space="preserve">الاستئناف ويكفيه غسل الطرفين بعنوان الاحتياط ؛ لأجل احتمال الاحتياج إلى غسلهما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المجنب ثمّ شكّ في أ نّه اغتسل من الجنابة أم لا ، بنى على صحّة صلاته ، ولكن يجب عليه الغسل للأعمال الآتية ، ولو كان الشكّ في أثناء الصلاة بطلت ، ولكن الأحوط إتمامها ثمّ إعادتها مع الغسل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w:t>
      </w:r>
      <w:r>
        <w:rPr>
          <w:rStyle w:val="FootnoteAnchor"/>
          <w:rtl w:val="true"/>
        </w:rPr>
        <w:footnoteReference w:id="107"/>
      </w:r>
      <w:r>
        <w:rPr>
          <w:rFonts w:ascii="Amiri" w:hAnsi="Amiri" w:eastAsia="Amiri" w:cs="Amiri"/>
          <w:color w:val="111111"/>
          <w:sz w:val="28"/>
          <w:sz w:val="28"/>
          <w:szCs w:val="28"/>
          <w:rtl w:val="true"/>
          <w:lang w:bidi="ar-SA"/>
        </w:rPr>
        <w:t xml:space="preserve">عليه أغسال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أو مستحبّة أو </w:t>
      </w:r>
      <w:bookmarkStart w:id="75" w:name="pg15003_159624"/>
    </w:p>
    <w:p>
      <w:pPr>
        <w:pStyle w:val="BookText"/>
        <w:rPr/>
      </w:pPr>
      <w:bookmarkEnd w:id="75"/>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الجميع بغسل واحد صحّ وكفى عن الجميع مطلقاً ، وحينئذٍ إن كان فيها غسل الجنابة لا حاجة إلى الوضوء للمشروط به ، وإلاّ وجب الوضوء قبل الغسل أو بعده ، وكذلك يكفي عن الجميع إن كان فيها الجنابة وقد قصد غسلها ، وإن لم يكن فيها الجنابة أو كانت وقد قصد واحداً من الأغسال الواجبة غير غسل الجنابة ، فلا يبعد كفايته عن الجميع أيضاً ، لكن الأحوط خلافه ، وإن نوى بعض الأغسال المستحبّة كفى أيضاً عن غير المنويّ عن المستحبّات ، أمّا كفايته عن الواجبات ففيه إشكال فلا يترك الاحتياط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87625_3406789950"/>
      <w:bookmarkStart w:id="77" w:name="_Toc27"/>
      <w:bookmarkEnd w:id="76"/>
      <w:r>
        <w:rPr>
          <w:rtl w:val="true"/>
        </w:rPr>
        <w:t xml:space="preserve">فصل </w:t>
      </w:r>
      <w:r>
        <w:rPr>
          <w:rtl w:val="true"/>
        </w:rPr>
        <w:t xml:space="preserve">: </w:t>
      </w:r>
      <w:r>
        <w:rPr>
          <w:rtl w:val="true"/>
        </w:rPr>
        <w:t>في غسل الحيض</w:t>
      </w:r>
      <w:bookmarkEnd w:id="77"/>
    </w:p>
    <w:p>
      <w:pPr>
        <w:pStyle w:val="Heading4"/>
        <w:numPr>
          <w:ilvl w:val="3"/>
          <w:numId w:val="1"/>
        </w:numPr>
        <w:rPr/>
      </w:pPr>
      <w:bookmarkStart w:id="78" w:name="__RefHeading___Toc487627_3406789950"/>
      <w:bookmarkStart w:id="79" w:name="_Toc28"/>
      <w:bookmarkEnd w:id="78"/>
      <w:r>
        <w:rPr>
          <w:rtl w:val="true"/>
        </w:rPr>
        <w:t>اشارة</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الحيض أسود</w:t>
      </w:r>
      <w:r>
        <w:rPr>
          <w:rStyle w:val="FootnoteAnchor"/>
          <w:rtl w:val="true"/>
        </w:rPr>
        <w:footnoteReference w:id="108"/>
      </w:r>
      <w:r>
        <w:rPr>
          <w:rFonts w:ascii="Amiri" w:hAnsi="Amiri" w:eastAsia="Amiri" w:cs="Amiri"/>
          <w:color w:val="111111"/>
          <w:sz w:val="28"/>
          <w:sz w:val="28"/>
          <w:szCs w:val="28"/>
          <w:rtl w:val="true"/>
          <w:lang w:bidi="ar-SA"/>
        </w:rPr>
        <w:t xml:space="preserve">أو أحمر غليظ حارّ يخرج بحرقة ، كما أنّ دم الاستحاضة أصفر بارد صافٍ يخرج من غير لذع وحرقة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صفات غالبية لهما يرجع إليها في مقام التميّز والاشتباه في بعض المقامات ، وربّما كان كلّ منهما بصفات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دم تراه الصبيّة قبل إكمال تسع سنين ليس بحيض وإن كان بصفاته ، بل هو استحاضة</w:t>
      </w:r>
      <w:r>
        <w:rPr>
          <w:rStyle w:val="FootnoteAnchor"/>
          <w:rtl w:val="true"/>
        </w:rPr>
        <w:footnoteReference w:id="109"/>
      </w:r>
      <w:r>
        <w:rPr>
          <w:rFonts w:ascii="Amiri" w:hAnsi="Amiri" w:eastAsia="Amiri" w:cs="Amiri"/>
          <w:color w:val="111111"/>
          <w:sz w:val="28"/>
          <w:sz w:val="28"/>
          <w:szCs w:val="28"/>
          <w:rtl w:val="true"/>
          <w:lang w:bidi="ar-SA"/>
        </w:rPr>
        <w:t xml:space="preserve">مع عدم العلم بغيرها ، وكذا ما تراه المرأة بعد اليأس ليس بحيض وإنّما هو استحاضة مع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وتيأس المرأة بإكمال ستّين سنة إن كانت قرشية وخمسين إن كانت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كونها قرشية تلحق بغيرها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البلوغ تحكم بعدمه ، وكذلك المشكوك يأسها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ممّن شكّ في بلوغها دم بصفات الحيض</w:t>
      </w:r>
      <w:r>
        <w:rPr>
          <w:rStyle w:val="FootnoteAnchor"/>
          <w:rtl w:val="true"/>
        </w:rPr>
        <w:footnoteReference w:id="111"/>
      </w:r>
      <w:r>
        <w:rPr>
          <w:rFonts w:ascii="Amiri" w:hAnsi="Amiri" w:eastAsia="Amiri" w:cs="Amiri"/>
          <w:color w:val="111111"/>
          <w:sz w:val="28"/>
          <w:sz w:val="28"/>
          <w:szCs w:val="28"/>
          <w:rtl w:val="true"/>
          <w:lang w:bidi="ar-SA"/>
        </w:rPr>
        <w:t xml:space="preserve">يحكم بكونها حيضاً ويكون أمارة على سبق البلوغ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الحيض يجتمع مع الإرضاع ، وفي اجتماعه مع الحمل قولان ؛ أقواهما ذلك وإن ندر وقوعه ، فيحكم بحيضية</w:t>
      </w:r>
      <w:r>
        <w:rPr>
          <w:rStyle w:val="FootnoteAnchor"/>
          <w:rtl w:val="true"/>
        </w:rPr>
        <w:footnoteReference w:id="112"/>
      </w:r>
      <w:r>
        <w:rPr>
          <w:rFonts w:ascii="Amiri" w:hAnsi="Amiri" w:eastAsia="Amiri" w:cs="Amiri"/>
          <w:color w:val="111111"/>
          <w:sz w:val="28"/>
          <w:sz w:val="28"/>
          <w:szCs w:val="28"/>
          <w:rtl w:val="true"/>
          <w:lang w:bidi="ar-SA"/>
        </w:rPr>
        <w:t xml:space="preserve">ما تراه الحامل مع اجتماع الشرائط والصفات ولو بعد استبانة الحمل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حدوث صفة الحيض وترتّب أحكامه عند خروج دمه إلى الخارج ولو بإصبع ونحوه وإن كان بمقدار رأس إبرة ، كما لا إشكال في أ نّه يكفي في بقائها واستدامتها تلوّث الباطن به ولو قليلاً ، بحيث تتلطّخ به القطنة لو أدخلتها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انصبّ من محلّه في فضاء الفرج بحيث يمكن إخراجه بالإصبع ونحوه ولم يخرج بعد فهل يحدث به صفة الحيض ويترتّب أحكامه أم لا ؟ فيه تأمّل وإشكال ، فلا يترك الاحتياط بالجمع بين تروك الحائض وأفعال الطاهر ، ولا يبعد جواز إخراج الدم حينئذٍ ولو بالعلاج وإجراء أحكام الحائض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أصل الخروج حكم بعدمه ، كما أ نّه لو شكّ في أنّ الخارج دم أو غيره من الفضلات حكم بالطهارة من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علمت بالدم وتردّد بين كونه خارجاً من الموضع أو من غيره حكم بالطهارة من الحدث </w:t>
      </w:r>
    </w:p>
    <w:p>
      <w:pPr>
        <w:pStyle w:val="BookText"/>
        <w:rPr/>
      </w:pPr>
      <w:r>
        <w:rPr>
          <w:rFonts w:ascii="Amiri" w:hAnsi="Amiri" w:eastAsia="Amiri" w:cs="Amiri"/>
          <w:color w:val="111111"/>
          <w:sz w:val="28"/>
          <w:sz w:val="28"/>
          <w:szCs w:val="28"/>
          <w:rtl w:val="true"/>
          <w:lang w:bidi="ar-SA"/>
        </w:rPr>
        <w:t xml:space="preserve">خاصّة ، ولا يجب عليها الفحص في 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علمت بخروج الدم واشتبه حاله فله صور يعرف حكمها في ضمن المسائل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دم الحيض بدم البكارة ، كما إذا افتضّت البكر فسال دم كثير لا ينقطع فشكّ في أ نّه من الحيض أو البكارة أو منهما ، يختبر</w:t>
      </w:r>
      <w:r>
        <w:rPr>
          <w:rStyle w:val="FootnoteAnchor"/>
          <w:rtl w:val="true"/>
        </w:rPr>
        <w:footnoteReference w:id="113"/>
      </w:r>
      <w:r>
        <w:rPr>
          <w:rFonts w:ascii="Amiri" w:hAnsi="Amiri" w:eastAsia="Amiri" w:cs="Amiri"/>
          <w:color w:val="111111"/>
          <w:sz w:val="28"/>
          <w:sz w:val="28"/>
          <w:szCs w:val="28"/>
          <w:rtl w:val="true"/>
          <w:lang w:bidi="ar-SA"/>
        </w:rPr>
        <w:t xml:space="preserve">بإدخال قطنة والصبر قليلاً ثمّ إخراجها ، فإن كانت مطوّقة بالدم فهو من البكارة وإن كان بصفات الحيض ، وإن كانت منغمسة به فهو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والاختبار المذكور واجب ، بل هو شرط</w:t>
      </w:r>
      <w:r>
        <w:rPr>
          <w:rStyle w:val="FootnoteAnchor"/>
          <w:rtl w:val="true"/>
        </w:rPr>
        <w:footnoteReference w:id="114"/>
      </w:r>
      <w:r>
        <w:rPr>
          <w:rFonts w:ascii="Amiri" w:hAnsi="Amiri" w:eastAsia="Amiri" w:cs="Amiri"/>
          <w:color w:val="111111"/>
          <w:sz w:val="28"/>
          <w:sz w:val="28"/>
          <w:szCs w:val="28"/>
          <w:rtl w:val="true"/>
          <w:lang w:bidi="ar-SA"/>
        </w:rPr>
        <w:t xml:space="preserve">لصحّة عملها مع الإمكان ، فلو صلّت بدونه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عليها ترجع إلى الحالة السابقة من طهر أو حيض فتبني عليها ، ومع الجهل بها تحتاط بالجمع بين تروك الحائض وأفعال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التطويق والانغماس المذكورين علامتان للبكارة والحيض مطلقاً حتّى عند الشكّ في البكارة أو الافتضاض ، وإن كان الأقوى عدم وجوب</w:t>
      </w:r>
      <w:r>
        <w:rPr>
          <w:rStyle w:val="FootnoteAnchor"/>
          <w:rtl w:val="true"/>
        </w:rPr>
        <w:footnoteReference w:id="115"/>
      </w:r>
      <w:r>
        <w:rPr>
          <w:rFonts w:ascii="Amiri" w:hAnsi="Amiri" w:eastAsia="Amiri" w:cs="Amiri"/>
          <w:color w:val="111111"/>
          <w:sz w:val="28"/>
          <w:sz w:val="28"/>
          <w:szCs w:val="28"/>
          <w:rtl w:val="true"/>
          <w:lang w:bidi="ar-SA"/>
        </w:rPr>
        <w:t xml:space="preserve">الاختبار عليها حينئذٍ بل لها الرجوع إلى الحالة السابقة كمن تعذّر عليها الاختبار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w:t>
      </w:r>
      <w:r>
        <w:rPr>
          <w:rStyle w:val="FootnoteAnchor"/>
          <w:rtl w:val="true"/>
        </w:rPr>
        <w:footnoteReference w:id="116"/>
      </w:r>
      <w:r>
        <w:rPr>
          <w:rFonts w:ascii="Amiri" w:hAnsi="Amiri" w:eastAsia="Amiri" w:cs="Amiri"/>
          <w:color w:val="111111"/>
          <w:sz w:val="28"/>
          <w:sz w:val="28"/>
          <w:szCs w:val="28"/>
          <w:rtl w:val="true"/>
          <w:lang w:bidi="ar-SA"/>
        </w:rPr>
        <w:t xml:space="preserve">دم الحيض بدم القرحة التي في جوفها ترجع إلى الحالة السابقة من الحيض أو الطهارة ، ومع الجهل بها تعمل بالاحتياط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أيّام ، وأكثره كأقلّ الطهر عشرة ، فكلّ دم تراه المرأة ناقصاً عن الثلاثة أو زائداً عن العشرة ليس بحيض، وكذا ما تراه بعد انقطاع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بحيضيته من جهة العادة أو غيرها من دون فصل العشرة، ولم يمكن حيضية الدمين مع النقاء المتخلّل في البين ؛ لكون المجموع زائداً على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بحيض ، بل هو استحاضة ، كما إذا رأت ذات العادة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ثمّ انقطع سبعة أيّام ثمّ رأت ثلاثة أيّام ، فالثاني ليس بحيض بل هو استحاضة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عدم اعتبار التوالي</w:t>
      </w:r>
      <w:r>
        <w:rPr>
          <w:rStyle w:val="FootnoteAnchor"/>
          <w:rtl w:val="true"/>
        </w:rPr>
        <w:footnoteReference w:id="117"/>
      </w:r>
      <w:r>
        <w:rPr>
          <w:rFonts w:ascii="Amiri" w:hAnsi="Amiri" w:eastAsia="Amiri" w:cs="Amiri"/>
          <w:color w:val="111111"/>
          <w:sz w:val="28"/>
          <w:sz w:val="28"/>
          <w:szCs w:val="28"/>
          <w:rtl w:val="true"/>
          <w:lang w:bidi="ar-SA"/>
        </w:rPr>
        <w:t xml:space="preserve">في الأيّام الثلاثة ، بل يكفي كونها في ضمن العشرة ، فإذا رأت الدم يوماً أو يومين ثمّ رأت قبل انقضاء العشرة ما به يتمّ الثلاثة يمكن كونها حيضاً ، ويلحق بها أيّام النقاء الذي في البين ؛ إذ الطهر لا يكون أقلّ من عشرة ، بخلاف ما لو رأت يوماً أو يومين ثمّ رأت ما به تكمل الثلاثة بعد انقضاء العشرة كالحادي عشر أو الثاني عشر فإنّ الكلّ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يعتبر استمرار الدم في نفس الأيّام بأن يكون ثلاثة أيّام كاملة ، فلا يجزي الدماء المتفرّقة بين العشرة إذا كان المجموع بمقدار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الاستمرار العرفي فلا يضرّ الفترات اليسيرة المتعارفة بين النساء ، كما أنّ الظاهر كفاية التلفيق في الأيّام كما لو رأت الدم من الظهر واستمرّ إلى الظهر من اليوم الرابع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ينبغي ترك الاحتياط مع عدم التوالي بالجمع بين </w:t>
      </w:r>
    </w:p>
    <w:p>
      <w:pPr>
        <w:pStyle w:val="BookText"/>
        <w:rPr/>
      </w:pPr>
      <w:r>
        <w:rPr>
          <w:rFonts w:ascii="Amiri" w:hAnsi="Amiri" w:eastAsia="Amiri" w:cs="Amiri"/>
          <w:color w:val="111111"/>
          <w:sz w:val="28"/>
          <w:sz w:val="28"/>
          <w:szCs w:val="28"/>
          <w:rtl w:val="true"/>
          <w:lang w:bidi="ar-SA"/>
        </w:rPr>
        <w:t xml:space="preserve">وظيفتي الحائض والمستحاضة في أيّام الدم وبين وظيفتي الحائض والطاهر في النقاء في البين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اليوم النهار ؛ وهو ما بين طلوع الفجر إلى الغروب ، فالليالي خارجة ، فإذا رأت من الفجر إلى الغروب وانقطع ثمّ رأت يومين آخرين كذلك في ضمن العشرة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بناءً على اعتبار التوالي في الأيّام الثلاثة تدخل الليلتان المتوسّطتان خاصّة لو كان مبدأ الدم أوّل النهار والليالي الثلاث لو كان مبدؤه أوّل الليل أو عند التلفيق كالمثال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إمّا ذات العادة أو غيرها ، والثانية إمّا مبتدأة ؛ وهي التي لم تر حيضاً قطّ ، وإمّا مضطربة ؛ وهي التي تكرّر منها الحيض ولم تستقرّ لها عادة ، وإمّا ناسية ؛ وهي التي نسيت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المرأة ذات عادة بتكرّر الحيض مرّتين متواليتين متّفقتين في الزمان أو العدد أو فيهما ، فتصير بذلك ذات عادة وقتية</w:t>
      </w:r>
      <w:r>
        <w:rPr>
          <w:rStyle w:val="FootnoteAnchor"/>
          <w:rtl w:val="true"/>
        </w:rPr>
        <w:footnoteReference w:id="118"/>
      </w:r>
      <w:r>
        <w:rPr>
          <w:rFonts w:ascii="Amiri" w:hAnsi="Amiri" w:eastAsia="Amiri" w:cs="Amiri"/>
          <w:color w:val="111111"/>
          <w:sz w:val="28"/>
          <w:sz w:val="28"/>
          <w:szCs w:val="28"/>
          <w:rtl w:val="true"/>
          <w:lang w:bidi="ar-SA"/>
        </w:rPr>
        <w:t xml:space="preserve">أو عددية أو وقتية وعددية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 نّه لا تزول العادة برؤية الدم على خلافها مرّة ، كما أ نّه لا إشكال في زوالها بطروّ عادة اُخرى حاصلة من تكرّر الدم مرّتين متماثلتين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زوالها بتكرّر رؤية الدم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نسق واحد بل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أقواهما ذلك فيما لو وقع</w:t>
      </w:r>
      <w:r>
        <w:rPr>
          <w:rStyle w:val="FootnoteAnchor"/>
          <w:rtl w:val="true"/>
        </w:rPr>
        <w:footnoteReference w:id="119"/>
      </w:r>
      <w:r>
        <w:rPr>
          <w:rFonts w:ascii="Amiri" w:hAnsi="Amiri" w:eastAsia="Amiri" w:cs="Amiri"/>
          <w:color w:val="111111"/>
          <w:sz w:val="28"/>
          <w:sz w:val="28"/>
          <w:szCs w:val="28"/>
          <w:rtl w:val="true"/>
          <w:lang w:bidi="ar-SA"/>
        </w:rPr>
        <w:t xml:space="preserve">التخلّف مراراً بحيث يصدق في العرف أ نّها ليس لها أيّام معلومة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عددية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تتحيّض بمجرّد رؤية الدم في العادة فتترك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بصفة الحيض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رأت قبل العادة أو بعدها بيوم أو يومين أو أزيد ما دام يصدق عليه تعجيل الوقت والعادة وتأخّرهما ، فإن انكشف عليها بعد ذلك عدم كونه حيضاً ؛ لكونه أقلّ من أقلّه ، تقضي ما تركته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ذات العادة المذكورة فتتحيّض أيضاً بمجرّد الرؤية إذا كان بصفات الحيض ، وأمّا مع عدمها فتحتاط بالجمع بين تروك الحائض وأعمال المستحاضة ، فإن استمرّ إلى ثلاثة أيّام تجعلها حيضاً وإن زاد عليها إلى العشرة تجعل الزائد أيضاً حيضاً ، فتكتفي بوظيفة الحائض ولا تحتاج</w:t>
      </w:r>
      <w:r>
        <w:rPr>
          <w:rStyle w:val="FootnoteAnchor"/>
          <w:rtl w:val="true"/>
        </w:rPr>
        <w:footnoteReference w:id="120"/>
      </w:r>
      <w:r>
        <w:rPr>
          <w:rFonts w:ascii="Amiri" w:hAnsi="Amiri" w:eastAsia="Amiri" w:cs="Amiri"/>
          <w:color w:val="111111"/>
          <w:sz w:val="28"/>
          <w:sz w:val="28"/>
          <w:szCs w:val="28"/>
          <w:rtl w:val="true"/>
          <w:lang w:bidi="ar-SA"/>
        </w:rPr>
        <w:t xml:space="preserve">إلى مراعاة أعمال المستحاضة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الوقتية إذا رأت في العادة وقبلها أو رأت فيها وبعدها أو رأت فيها وفي الطرفين فإن لم يتجاوز المجموع عن العشرة جعلت المجموع حيضاً ، وإن تجاوز عنها فالحيض خصوص أيّام العادة والزائد استحاضة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المرأة ثلاثة أيّام متوالية وانقطع بأقلّ من عشرة ثمّ رأت ثلاثة أيّام أو أزيد فإن كان مجموع الدمين والنقاء المتخلّل في البين لا يزيد على عشرة كان الطرفان حيضاً ، ويلحق بهما النقاء المتخلّل ؛ سواء كان الدمان أو أحدهما بصفات الحيض أم لا ، وسواء كانت ذات العادة وصادف الدمان أو أحدهما العادة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تجاوز</w:t>
      </w:r>
      <w:r>
        <w:rPr>
          <w:rStyle w:val="FootnoteAnchor"/>
          <w:rtl w:val="true"/>
        </w:rPr>
        <w:footnoteReference w:id="121"/>
      </w:r>
      <w:r>
        <w:rPr>
          <w:rFonts w:ascii="Amiri" w:hAnsi="Amiri" w:eastAsia="Amiri" w:cs="Amiri"/>
          <w:color w:val="111111"/>
          <w:sz w:val="28"/>
          <w:sz w:val="28"/>
          <w:szCs w:val="28"/>
          <w:rtl w:val="true"/>
          <w:lang w:bidi="ar-SA"/>
        </w:rPr>
        <w:t xml:space="preserve">المجموع عن العشرة فإن كانت ذات عادة وكان أحد الدمين في العادة جعلته خاصّة حيضاً دون الآخر ، </w:t>
      </w:r>
    </w:p>
    <w:p>
      <w:pPr>
        <w:pStyle w:val="BookText"/>
        <w:rPr/>
      </w:pPr>
      <w:r>
        <w:rPr>
          <w:rFonts w:ascii="Amiri" w:hAnsi="Amiri" w:eastAsia="Amiri" w:cs="Amiri"/>
          <w:color w:val="111111"/>
          <w:sz w:val="28"/>
          <w:sz w:val="28"/>
          <w:szCs w:val="28"/>
          <w:rtl w:val="true"/>
          <w:lang w:bidi="ar-SA"/>
        </w:rPr>
        <w:t>وكذلك</w:t>
      </w:r>
      <w:r>
        <w:rPr>
          <w:rStyle w:val="FootnoteAnchor"/>
          <w:rtl w:val="true"/>
        </w:rPr>
        <w:footnoteReference w:id="122"/>
      </w:r>
      <w:r>
        <w:rPr>
          <w:rFonts w:ascii="IRNazanin" w:hAnsi="IRNazanin" w:eastAsia="IRNazanin"/>
          <w:color w:val="111111"/>
          <w:sz w:val="28"/>
          <w:sz w:val="28"/>
          <w:szCs w:val="28"/>
          <w:rtl w:val="true"/>
          <w:lang w:bidi="fa-IR"/>
        </w:rPr>
        <w:t>إذا وقع بعض</w:t>
      </w:r>
      <w:r>
        <w:rPr>
          <w:rStyle w:val="FootnoteAnchor"/>
          <w:rtl w:val="true"/>
        </w:rPr>
        <w:footnoteReference w:id="123"/>
      </w:r>
      <w:r>
        <w:rPr>
          <w:rFonts w:ascii="Amiri" w:hAnsi="Amiri" w:eastAsia="Amiri" w:cs="Amiri"/>
          <w:color w:val="111111"/>
          <w:sz w:val="28"/>
          <w:sz w:val="28"/>
          <w:szCs w:val="28"/>
          <w:rtl w:val="true"/>
          <w:lang w:bidi="ar-SA"/>
        </w:rPr>
        <w:t xml:space="preserve">أحدهما في العادة دون الآخر تجعل ذلك حيضاً دون الآخر ، وإن لم تكن ذات عادة أو لم يقع أحدهما أو بعض أحدهما في العادة تجعل ما كان بصفة الحيض حيضاً دون الآخر ، وإن تساويا في الصفة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أوّلهما</w:t>
      </w:r>
      <w:r>
        <w:rPr>
          <w:rStyle w:val="FootnoteAnchor"/>
          <w:rtl w:val="true"/>
        </w:rPr>
        <w:footnoteReference w:id="124"/>
      </w:r>
      <w:r>
        <w:rPr>
          <w:rFonts w:ascii="Amiri" w:hAnsi="Amiri" w:eastAsia="Amiri" w:cs="Amiri"/>
          <w:color w:val="111111"/>
          <w:sz w:val="28"/>
          <w:sz w:val="28"/>
          <w:szCs w:val="28"/>
          <w:rtl w:val="true"/>
          <w:lang w:bidi="ar-SA"/>
        </w:rPr>
        <w:t xml:space="preserve">حيضاً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إذا رأت أزيد من العادة ولم يتجاوز العشرة فالمجموع حيض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في البين ، فإن كان أحدهما في العادة تجعله حيضاً وكذلك الآخر إن كان بصفة الحيض ، وأمّا إن كان بصفة الاستحاضة تحتاط بالجمع بين تروك الحائض وأعمال المستحاضة ، وإن كانا معاً في غير وقت العادة تجعل كلّ واحد منهما حيضاً ؛ سواء كانا معاً واجدين لصفة الحيض أو فاقدين لها أو مختلفين ، وإن كان الاحتياط في الدم الثاني في الصورة الثانية وفي الفاقد منهما في الثالثة لا ينبغي تركه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المبتدأة والمضطربة ومن كانت عادتها عشرة إذا انقطع عنهنّ ظهور الدم قبل العشرة مع احتمال بقائه في الباطن يجب عليهنّ الاستبراء بإدخال قطنة ونحوها والصبر هنيئة ثمّ إخراجها ، فإن خرجت نقيّة اغتسلن وصلّين ، وإن خرجت متلطّخة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 حتّى تنقى أو تمضي عشرة أيّام ، فإن لم يتجاوز عن العشرة كان الكلّ حيضاً ، وإن تجاوز عنها فسيأتي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ذات العادة التي كانت عادتها أقلّ من عشرة فإن انقطع عنها ظهور الدم قبل العادة استبرأت فإن نقيت اغتسلت وصلّت ، وإلاّ صبرت إلى إكمال العادة ، فإن بقي الدم حتّى كملت العادة وانقطع عليها بالمرّة اغتسلت وصلّت ، وكذلك لو انقطع ظهور الدم على العادة فاستبرأت فرأتها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ينقطع على العادة وتجاوز عنها استظهرت بترك العبادة إلى العشرة وجوباً إذا كان</w:t>
      </w:r>
      <w:r>
        <w:rPr>
          <w:rStyle w:val="FootnoteAnchor"/>
          <w:rtl w:val="true"/>
        </w:rPr>
        <w:footnoteReference w:id="125"/>
      </w:r>
      <w:r>
        <w:rPr>
          <w:rFonts w:ascii="Amiri" w:hAnsi="Amiri" w:eastAsia="Amiri" w:cs="Amiri"/>
          <w:color w:val="111111"/>
          <w:sz w:val="28"/>
          <w:sz w:val="28"/>
          <w:szCs w:val="28"/>
          <w:rtl w:val="true"/>
          <w:lang w:bidi="ar-SA"/>
        </w:rPr>
        <w:t xml:space="preserve">بصفات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فاقداً لها استظهرت أيضاً إلى العشرة وجوباً في يوم واحد واستحباباً في الزائد ، وإن كان الأحوط في الزائد الجمع بين تروك الحائض وأعمال المستحاضة ، وحينئذٍ إذا دام الدم عليها ولم يتجاوز عن العشرة كان الكلّ حيضاً ، وإن تجاوز عنها فسيأتي حكمه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تجاوز الدم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اختلط حيضها بطهرها ، فإن كانت لها عادة معلومة من حيث الزمان والعدد تجعلها حيضاً وإن لم يكن بصفاته ، والبقيّة استحاضة وإن كان بصفاته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لها </w:t>
      </w:r>
    </w:p>
    <w:p>
      <w:pPr>
        <w:pStyle w:val="BookText"/>
        <w:rPr/>
      </w:pPr>
      <w:r>
        <w:rPr>
          <w:rFonts w:ascii="Amiri" w:hAnsi="Amiri" w:eastAsia="Amiri" w:cs="Amiri"/>
          <w:color w:val="111111"/>
          <w:sz w:val="28"/>
          <w:sz w:val="28"/>
          <w:szCs w:val="28"/>
          <w:rtl w:val="true"/>
          <w:lang w:bidi="ar-SA"/>
        </w:rPr>
        <w:t xml:space="preserve">عادة معلومة لا عدداً ولا وقتاً ؛ بأن كانت مبتدأة أو مضطربة وقتاً وعدداً أو ناسية كذلك ، فإن اختلف لون الدم فبعضه أسود أو أحمر وبعضه أصفر ترجع إلى التميّز ، فتجعل ما بصفة الحيض حيضاً وغيره استحاضة ؛ بشرط أن لا يكون ما بصفة الحيض أقلّ من ثلاثة ولا أزيد من عشرة ، وأن لا يعارضه دم آخر واجد لصفة الحيض مفصول بينه وبينه بالفاقد الذي يكون أقلّ من عشرة ، كما إذا رأت خمسة أيّام دماً أسود ثمّ خمسة أيّام أصفر ثمّ خمسة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الدم على لون واحد أو لم يجتمع الشروط المذكورة تكون فاقدة التميّز</w:t>
      </w:r>
      <w:r>
        <w:rPr>
          <w:rStyle w:val="FootnoteAnchor"/>
          <w:rtl w:val="true"/>
        </w:rPr>
        <w:footnoteReference w:id="126"/>
      </w:r>
      <w:r>
        <w:rPr>
          <w:rFonts w:ascii="Amiri" w:hAnsi="Amiri" w:eastAsia="Amiri" w:cs="Amiri"/>
          <w:color w:val="111111"/>
          <w:sz w:val="28"/>
          <w:sz w:val="28"/>
          <w:szCs w:val="28"/>
          <w:rtl w:val="true"/>
          <w:lang w:bidi="ar-SA"/>
        </w:rPr>
        <w:t xml:space="preserve">، وحينئذٍ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سبعة من كلّ شهر حيضاً والبقيّة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w:t>
      </w:r>
      <w:r>
        <w:rPr>
          <w:rStyle w:val="FootnoteAnchor"/>
          <w:rtl w:val="true"/>
        </w:rPr>
        <w:footnoteReference w:id="127"/>
      </w:r>
      <w:r>
        <w:rPr>
          <w:rFonts w:ascii="Amiri" w:hAnsi="Amiri" w:eastAsia="Amiri" w:cs="Amiri"/>
          <w:color w:val="111111"/>
          <w:sz w:val="28"/>
          <w:sz w:val="28"/>
          <w:szCs w:val="28"/>
          <w:rtl w:val="true"/>
          <w:lang w:bidi="ar-SA"/>
        </w:rPr>
        <w:t xml:space="preserve">على أنّ المبتدأة الفاقدة التميّز ترجع أوّلاً إلى عادة أقاربها من اُمّها واُختها وخالتها وعمّتها وغيرهنّ فتأخذ بها مع اتّفاقهنّ والعلم بحالهنّ ، ومع عدمهما ترجع إلى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بها الأكثر من لم تستقرّ لها عادة أيضاً ، وعندي في ذلك إشكال خصوصاً في الثانية ، والأحوط فيما إذا كانت عادتهنّ أقلّ من سبعة أيّام أو أكثر أن تجمع في مقدار التفاوت بين وظيفتي الحائض والمستحاضة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فاقدة التميّز</w:t>
      </w:r>
      <w:r>
        <w:rPr>
          <w:rStyle w:val="FootnoteAnchor"/>
          <w:rtl w:val="true"/>
        </w:rPr>
        <w:footnoteReference w:id="128"/>
      </w:r>
      <w:r>
        <w:rPr>
          <w:rFonts w:ascii="Amiri" w:hAnsi="Amiri" w:eastAsia="Amiri" w:cs="Amiri"/>
          <w:color w:val="111111"/>
          <w:sz w:val="28"/>
          <w:sz w:val="28"/>
          <w:szCs w:val="28"/>
          <w:rtl w:val="true"/>
          <w:lang w:bidi="ar-SA"/>
        </w:rPr>
        <w:t xml:space="preserve">سبعة </w:t>
      </w:r>
      <w:bookmarkStart w:id="80" w:name="pg15003_159633"/>
    </w:p>
    <w:p>
      <w:pPr>
        <w:pStyle w:val="BookText"/>
        <w:rPr/>
      </w:pPr>
      <w:bookmarkEnd w:id="80"/>
      <w:r>
        <w:rPr>
          <w:rFonts w:ascii="Amiri" w:hAnsi="Amiri" w:eastAsia="Amiri" w:cs="Amiri"/>
          <w:color w:val="111111"/>
          <w:sz w:val="28"/>
          <w:sz w:val="28"/>
          <w:szCs w:val="28"/>
          <w:rtl w:val="true"/>
          <w:lang w:bidi="ar-SA"/>
        </w:rPr>
        <w:t xml:space="preserve">التحيّض في أوّل رؤية الدم ، وإن استمرّ إلى أزيد من شهر واحد يجب عليها الموافقة بين الشهور ، فإذا كان ابتداء الدم في الشهر الأوّل من أوّله جعلتها في الشهور التالية أيضاً في أوّلها ، وإن كان من وسطه جعلتها فيها أيضاً في وسطها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العادة الوقتية فقط إذا تجاوز دمها العشرة ترجع في الوقت إلى عادتها ، وأمّا في العدد فإن كان لها تميّز يمكن رعايته مع الوقت رجعت إليه ، وإلاّ تحيّضت</w:t>
      </w:r>
      <w:r>
        <w:rPr>
          <w:rStyle w:val="FootnoteAnchor"/>
          <w:rtl w:val="true"/>
        </w:rPr>
        <w:footnoteReference w:id="129"/>
      </w:r>
      <w:r>
        <w:rPr>
          <w:rFonts w:ascii="Amiri" w:hAnsi="Amiri" w:eastAsia="Amiri" w:cs="Amiri"/>
          <w:color w:val="111111"/>
          <w:sz w:val="28"/>
          <w:sz w:val="28"/>
          <w:szCs w:val="28"/>
          <w:rtl w:val="true"/>
          <w:lang w:bidi="ar-SA"/>
        </w:rPr>
        <w:t xml:space="preserve">سبعة أيّام وجعلتها في وقت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ذات العادة العددية فقط ترجع في العدد إلى عادتها ، وأمّا بحسب الوقت فإن كان لها تميّز يوافق العدد رجعت إليه ، وإن كان مخالفاً له ترجع إليه أيضاً ، لكن تزيد مع نقصانه عن العدد وتنقص مع زيادته عليه ، ومع عدم التميّز أصلاً تجعل العدد في أوّل الدم كما تقدّم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87629_3406789950"/>
      <w:bookmarkStart w:id="82" w:name="_Toc29"/>
      <w:bookmarkEnd w:id="81"/>
      <w:r>
        <w:rPr>
          <w:rtl w:val="true"/>
        </w:rPr>
        <w:t xml:space="preserve">القول </w:t>
      </w:r>
      <w:r>
        <w:rPr>
          <w:rtl w:val="true"/>
        </w:rPr>
        <w:t xml:space="preserve">: </w:t>
      </w:r>
      <w:r>
        <w:rPr>
          <w:rtl w:val="true"/>
        </w:rPr>
        <w:t>في أحكام الحيض</w:t>
      </w:r>
      <w:bookmarkEnd w:id="8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والصيام والطواف والاعتكاف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ما يحرم على مطلق المحدث عليها ، وهي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اسم اللّه تعالى ، وكذا مسّ أسماء الأنبياء والأئمّة علیهم السلام على الأحوط ، ومسّ كتابة القرآن على التفصيل المتقدّم في الوضوء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 يحرم على الجنب عليها ، وهي أيضاً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السور العزائم أو بعضها ، ودخول المسجدين واللبث في غيرهما ، ووضع شيء في </w:t>
      </w:r>
    </w:p>
    <w:p>
      <w:pPr>
        <w:pStyle w:val="BookText"/>
        <w:rPr/>
      </w:pPr>
      <w:r>
        <w:rPr>
          <w:rFonts w:ascii="Amiri" w:hAnsi="Amiri" w:eastAsia="Amiri" w:cs="Amiri"/>
          <w:color w:val="111111"/>
          <w:sz w:val="28"/>
          <w:sz w:val="28"/>
          <w:szCs w:val="28"/>
          <w:rtl w:val="true"/>
          <w:lang w:bidi="ar-SA"/>
        </w:rPr>
        <w:t xml:space="preserve">المساجد على التفصيل المتقدّم في الجنابة ، فإنّ الحائض كالجنب في جميع هذه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الوط‌ء بها على الرجل وعليها ، ويجوز الاستمتاع بها بغير الوط‌ء ؛ من التقبيل والتفخيذ ونحوهما وإن كره الاستمتاع بها بما بين السرّة 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الوط‌ء في دبرها فالأحوط اجتنابه</w:t>
      </w:r>
      <w:r>
        <w:rPr>
          <w:rStyle w:val="FootnoteAnchor"/>
          <w:rtl w:val="true"/>
        </w:rPr>
        <w:footnoteReference w:id="130"/>
      </w:r>
      <w:r>
        <w:rPr>
          <w:rFonts w:ascii="Amiri" w:hAnsi="Amiri" w:eastAsia="Amiri" w:cs="Amiri"/>
          <w:color w:val="111111"/>
          <w:sz w:val="28"/>
          <w:sz w:val="28"/>
          <w:szCs w:val="28"/>
          <w:rtl w:val="true"/>
          <w:lang w:bidi="ar-SA"/>
        </w:rPr>
        <w:t xml:space="preserve">، وإنّما يحرم مع العلم بحيضها علماً وجدانياً أو بالأمارات الشرعية كالعادة والتميّز ونحوهما ، ولو جهل بحيضها وعلم به في حال المقاربة يجب المبادرة بالإخراج ، وكذا إذا لم تكن حائضاً فحاضت في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أخبرت بالحيض أو ارتفاعه يسمع قولها فيحرم الوط‌ء عند إخبارها به ويجوز عند إخبارها بارتفاعه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وط‌ء الحائض بين الزوجة الدائمة والمنقطعة والحرّة والأمة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طهرت جاز لزوجها وطؤها قبل الغسل على كراهية ، والأحوط</w:t>
      </w:r>
      <w:r>
        <w:rPr>
          <w:rStyle w:val="FootnoteAnchor"/>
          <w:rtl w:val="true"/>
        </w:rPr>
        <w:footnoteReference w:id="131"/>
      </w:r>
      <w:r>
        <w:rPr>
          <w:rFonts w:ascii="IRNazanin" w:hAnsi="IRNazanin" w:eastAsia="IRNazanin"/>
          <w:color w:val="111111"/>
          <w:sz w:val="28"/>
          <w:sz w:val="28"/>
          <w:szCs w:val="28"/>
          <w:rtl w:val="true"/>
          <w:lang w:bidi="fa-IR"/>
        </w:rPr>
        <w:t xml:space="preserve">التجنّب إلاّ بعد أن غسلت فرجها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الكفّارة على وطئها على الأحوط، وهي في وط‌ء الزوجة دينار في أوّل الحيض ونصفه في وسطه وربعه في آخره ، وفي وط‌ء مملوكته ثلاثة أمداد من طعام يتصدّق بها على ثلاثة مساكين لكلّ مسكين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على المرأة وإن كانت 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يوجب الكفّارة مع العلم</w:t>
      </w:r>
      <w:r>
        <w:rPr>
          <w:rStyle w:val="FootnoteAnchor"/>
          <w:rtl w:val="true"/>
        </w:rPr>
        <w:footnoteReference w:id="132"/>
      </w:r>
      <w:r>
        <w:rPr>
          <w:rFonts w:ascii="Amiri" w:hAnsi="Amiri" w:eastAsia="Amiri" w:cs="Amiri"/>
          <w:color w:val="111111"/>
          <w:sz w:val="28"/>
          <w:sz w:val="28"/>
          <w:szCs w:val="28"/>
          <w:rtl w:val="true"/>
          <w:lang w:bidi="ar-SA"/>
        </w:rPr>
        <w:t>بالحرمة وكونها حائضاً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بأوّل الحيض ثلثه الأوّل وبوسطه ثلثه الثاني وبآخره ثلثه الأخير ، فإن كان أيّام حيضها ستّة يكون كلّ ثلث يومين ، وإن كان سبعة فكلّ ثلث يومان وثلث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وطئها معتقداً حيضها فبان عدمه أو معتقداً عدم الحيض فبان وجوده 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حيضها حال المقاربة ولم يبادر في الإخراج فعليه الكفّارة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قيمة الدينار ، والمعتبر قيمة وقت 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تعطى كفّارة الأمداد لثلاثة مساكين ، وأمّا كفّارة الدينار فلا بأس بإعطائها لمسكين واحد ، والأحوط</w:t>
      </w:r>
      <w:r>
        <w:rPr>
          <w:rStyle w:val="FootnoteAnchor"/>
          <w:rtl w:val="true"/>
        </w:rPr>
        <w:footnoteReference w:id="134"/>
      </w:r>
      <w:r>
        <w:rPr>
          <w:rFonts w:ascii="Amiri" w:hAnsi="Amiri" w:eastAsia="Amiri" w:cs="Amiri"/>
          <w:color w:val="111111"/>
          <w:sz w:val="28"/>
          <w:sz w:val="28"/>
          <w:szCs w:val="28"/>
          <w:rtl w:val="true"/>
          <w:lang w:bidi="ar-SA"/>
        </w:rPr>
        <w:t xml:space="preserve">إعطاؤها لستّة أو سبعة مساكين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تتكرّر الكفّارة بتكرّر الوط‌ء إذا وقع في أوقات مختلفة ، كما إذا وطئها في أوّله وفي وسطه وفي آخره ، فتكفّر بدينار وثلاثة أرباع دينار ، وكذا إذا تكرّر منه في وقت واحد مع تخلّل التكفير ، وأمّا مع عدمه ففيه قولان ؛ أحوطهما ذلك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طلاقها إذا كانت مدخولة ولم تكن حاملاً وكان زوجها حاضراً أو بحكمه ؛ بأن 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استعلام حالها بسهولة مع غيبته ، فلو لم تكن مدخولاً بها أو كانت حاملاً أو كان زوجها غائباً أو بحكمه ؛ بأن لم يكن </w:t>
      </w:r>
    </w:p>
    <w:p>
      <w:pPr>
        <w:pStyle w:val="BookText"/>
        <w:rPr/>
      </w:pPr>
      <w:r>
        <w:rPr>
          <w:rFonts w:ascii="Amiri" w:hAnsi="Amiri" w:eastAsia="Amiri" w:cs="Amiri"/>
          <w:color w:val="111111"/>
          <w:sz w:val="28"/>
          <w:sz w:val="28"/>
          <w:szCs w:val="28"/>
          <w:rtl w:val="true"/>
          <w:lang w:bidi="ar-SA"/>
        </w:rPr>
        <w:t>متمكّناً من استعلام حالها مع حضوره ، صحّ طلاقها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الزوج غائباً ووكّل حاضراً متمكّناً من استعلام حالها لا يجوز له طلاقها في حال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عند انقطاع الحيض لكلّ مشروط بالطهارة من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 كغسل الجنابة في الكيفية والأحكام ، إلاّ أ نّه لا يجزي عن الوضوء ، فوجب الوضوء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مشروط به كالصلاة ونحوها ، بخلاف غسل الجنابة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الوضوء فقط تغتسل وتتيمّم بدلاً عنه ، كما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لو تعذّر الغسل فقط تتوضّأ وتتيمّم بدلاً عن الغسل ، ولو تعذّرا معاً تتيمّم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الغسل والآخر بدلاً عن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عندها الماء إلاّ بقدر أحدهما تقدّم الغسل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تيمّمت بدلاً عن الغسل ثمّ أحدثت بالحدث الأصغر لم يبطل تيمّمها بل هو باقٍ إلى أن تتمكّن من الغسل والأحوط تجديده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ما تركته في حال الحيض من الصيام الواجب ؛ سواء كان صوم شهر رمضان أو غيره على الأقوى ، وكذا الصلاة الواجبة غير اليومية كالآيات وركعتي الطواف والمنذورة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الصلاة اليومية فإنّه لا يجب عليها قضاء ما تركته في حال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إذا حاضت بعد دخول الوقت وقد مضى منه مقدار أقلّ الواجب من صلاتها بحسب حالها ؛ من البط‌ء والسرعة والصحّة والمرض والحضر والسفر ومقدار تحصيل الشرائط الغير الحاصلة بحسب تكليفها الفعلي ؛ من الوضوء أو الغسل أو التيمّم ولم تصلّ ، وجب عليها قضاء تلك الصلاة ، بخلاف ما إذا لم تدرك من أوّل الوقت هذا المقدار ؛ فإنّه لا يجب عليها القضاء ، وإن كان الأحوط القضاء إذا أدركت مقدار أداء الصلاة مع الطهارة وإن لم تدرك مقدار تحصيل سائر الشرائط ، بل لا يخلو من قوّة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من الحيض قبل خروج الوقت فإن أدركت منه مقدار أداء ركعة مع إحراز الشرائط وجب عليها الأداء ، ومع تركها وجب عليها القضاء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مع عدم سعة الوقت إلاّ للطهارة من الشرائط وأداء 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ظنّت ضيق الوقت عن أداء ركعة فتركت فبان السعة وجب القضاء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في آخر النهار وأدركت من الوقت مقدار أربع ركعات في الحضر أو ركعتين في السفر صلّت العصر وسقط عنها الظهر أداءً وقضاءً ، وإذا أدركت مقدار خمس ركعات في الحضر أو ثلاث ركعات في السفر تجب عليها الصلاتان ، وإذا تركتهما يجب قضاؤهما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العشاءان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بقي من آخر الليل مقدار خمس ركعات في الحضر أو أربع ركعات في </w:t>
      </w:r>
      <w:bookmarkStart w:id="83" w:name="pg15003_159638"/>
    </w:p>
    <w:p>
      <w:pPr>
        <w:pStyle w:val="BookText"/>
        <w:rPr/>
      </w:pPr>
      <w:bookmarkEnd w:id="83"/>
      <w:r>
        <w:rPr>
          <w:rFonts w:ascii="Amiri" w:hAnsi="Amiri" w:eastAsia="Amiri" w:cs="Amiri"/>
          <w:color w:val="111111"/>
          <w:sz w:val="28"/>
          <w:sz w:val="28"/>
          <w:szCs w:val="28"/>
          <w:rtl w:val="true"/>
          <w:lang w:bidi="ar-SA"/>
        </w:rPr>
        <w:t xml:space="preserve">السفر تجب الصلاتان ، ومع الترك يجب قضاؤهما ، وإذا بقي أقلّ من خمس ركعات في الحضر أو أقلّ من أربع في السفر تجب خصوص العشاء وسقط عنها المغرب أداءً وقضاءً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اعتقدت سعة الوقت للصلاتين فتبيّن عدمها وأنّ وظيفتها خصوص الثانية وجب قضاؤها ، وإذا قدّمت الثانية باعتقاد الضيق فبانت السعة صحّت ووجب إتيان الاُولى بعدها ، وإن كان التبيّن بعد خروج الوقت وجب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للحائض أن تبدّل القطنة وتتوضّأ وقت كلّ صلاة وتجلس بمقدار صلاتها مستقبلة ذاكرة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لها الخضاب بالحنّاء أو غيره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أقلّ من سبع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المصحف ولو بغلافه ولمس هامشه وما بين سطوره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87631_3406789950"/>
      <w:bookmarkStart w:id="85" w:name="_Toc30"/>
      <w:bookmarkEnd w:id="84"/>
      <w:r>
        <w:rPr>
          <w:rtl w:val="true"/>
        </w:rPr>
        <w:t xml:space="preserve">فصل </w:t>
      </w:r>
      <w:r>
        <w:rPr>
          <w:rtl w:val="true"/>
        </w:rPr>
        <w:t xml:space="preserve">: </w:t>
      </w:r>
      <w:r>
        <w:rPr>
          <w:rtl w:val="true"/>
        </w:rPr>
        <w:t>في الاستحاضة</w:t>
      </w:r>
      <w:bookmarkEnd w:id="85"/>
    </w:p>
    <w:p>
      <w:pPr>
        <w:pStyle w:val="Heading4"/>
        <w:numPr>
          <w:ilvl w:val="3"/>
          <w:numId w:val="1"/>
        </w:numPr>
        <w:rPr/>
      </w:pPr>
      <w:bookmarkStart w:id="86" w:name="__RefHeading___Toc487633_3406789950"/>
      <w:bookmarkStart w:id="87" w:name="_Toc31"/>
      <w:bookmarkEnd w:id="86"/>
      <w:r>
        <w:rPr>
          <w:rtl w:val="true"/>
        </w:rPr>
        <w:t xml:space="preserve">الكلام </w:t>
      </w:r>
      <w:r>
        <w:rPr>
          <w:rtl w:val="true"/>
        </w:rPr>
        <w:t xml:space="preserve">: </w:t>
      </w:r>
      <w:r>
        <w:rPr>
          <w:rtl w:val="true"/>
        </w:rPr>
        <w:t>في دم الاستحاضة وأحكامها</w:t>
      </w:r>
      <w:bookmarkEnd w:id="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الاستحاضة في الأغلب أصفر بارد رقيق يخرج بغير قوّة ولذع وحرقة ، وقد يكون بصفة الحيض كما مرّ ، وليس لقليله ولا لكثيره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دم</w:t>
      </w:r>
      <w:r>
        <w:rPr>
          <w:rStyle w:val="FootnoteAnchor"/>
          <w:rtl w:val="true"/>
        </w:rPr>
        <w:footnoteReference w:id="140"/>
      </w:r>
      <w:r>
        <w:rPr>
          <w:rFonts w:ascii="Amiri" w:hAnsi="Amiri" w:eastAsia="Amiri" w:cs="Amiri"/>
          <w:color w:val="111111"/>
          <w:sz w:val="28"/>
          <w:sz w:val="28"/>
          <w:szCs w:val="28"/>
          <w:rtl w:val="true"/>
          <w:lang w:bidi="ar-SA"/>
        </w:rPr>
        <w:t>تراه المرأة قبل البلوغ أو بعد اليأس أو أقلّ من ثلاثة ولم يكن دم قرح</w:t>
      </w:r>
      <w:r>
        <w:rPr>
          <w:rStyle w:val="FootnoteAnchor"/>
          <w:rtl w:val="true"/>
        </w:rPr>
        <w:footnoteReference w:id="141"/>
      </w:r>
      <w:r>
        <w:rPr>
          <w:rFonts w:ascii="Amiri" w:hAnsi="Amiri" w:eastAsia="Amiri" w:cs="Amiri"/>
          <w:color w:val="111111"/>
          <w:sz w:val="28"/>
          <w:sz w:val="28"/>
          <w:szCs w:val="28"/>
          <w:rtl w:val="true"/>
          <w:lang w:bidi="ar-SA"/>
        </w:rPr>
        <w:t xml:space="preserve">ولا جرح ولا نفاس فهو استحاضة ، وكذا إذا تجاوز الدم عن عشرة أيّام ، لكن حينئذٍ قد </w:t>
      </w:r>
    </w:p>
    <w:p>
      <w:pPr>
        <w:pStyle w:val="BookText"/>
        <w:rPr/>
      </w:pPr>
      <w:r>
        <w:rPr>
          <w:rFonts w:ascii="Amiri" w:hAnsi="Amiri" w:eastAsia="Amiri" w:cs="Amiri"/>
          <w:color w:val="111111"/>
          <w:sz w:val="28"/>
          <w:sz w:val="28"/>
          <w:szCs w:val="28"/>
          <w:rtl w:val="true"/>
          <w:lang w:bidi="ar-SA"/>
        </w:rPr>
        <w:t xml:space="preserve">امتزج حيضها بالاستحاضة ، فلا بدّ في تعيينهما من أن ترجع إلى التفصيل الذي سبق في فصل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ومتوسّطة وكثيرة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تتلوّث القطنة بالدم من دون أن يغمس فيها</w:t>
      </w:r>
      <w:r>
        <w:rPr>
          <w:rStyle w:val="FootnoteAnchor"/>
          <w:rtl w:val="true"/>
        </w:rPr>
        <w:footnoteReference w:id="142"/>
      </w:r>
      <w:r>
        <w:rPr>
          <w:rFonts w:ascii="Amiri" w:hAnsi="Amiri" w:eastAsia="Amiri" w:cs="Amiri"/>
          <w:color w:val="111111"/>
          <w:sz w:val="28"/>
          <w:sz w:val="28"/>
          <w:szCs w:val="28"/>
          <w:rtl w:val="true"/>
          <w:lang w:bidi="ar-SA"/>
        </w:rPr>
        <w:t>، وحكمها وجوب الوضوء لكلّ صلاة بعد تبديل القطنة أو تطهيرها على الأحوط</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يغمس الدم في القطنة ولا يسيل منها إلى الخرقة التي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يجب عليها في ذلك اليوم غسل واحد لصلاة الغداة بل لكلّ صلاة حدثت قبلها أو في أثنائها على الأقوى ، فإن حدثت بعد صلاة الغداة يجب للظهرين ، كما أ نّه إن حدثت بعدهما يجب للعشاءين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يسيل الدم من القطنة إلى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مضافاً إلى ما ذكر وإلى تبديل الخرقة أو تطهيرها غسل آخر للظهرين تجمع بينهما وغسل للعشاءين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قبل صلاة الفجر ، ولو حدثت بعدها يجب في ذلك اليوم غسلان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للظهرين وغسل للعشاءين ، كما أ نّه إن حدثت بعد الظهرين يجب غسل واحد للعشاءين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الجمع بين الصلاتين بغسل واحد مشروط بالجمع بينهما وأ نّه رخصة لا عزيمة ، فلو لم تجمع بينهما يجب الغسل لكلّ منهما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الاستحاضة الصغرى حدث أصغر كالبول ، فإذا استمرّت أو </w:t>
      </w:r>
    </w:p>
    <w:p>
      <w:pPr>
        <w:pStyle w:val="BookText"/>
        <w:rPr/>
      </w:pPr>
      <w:r>
        <w:rPr>
          <w:rFonts w:ascii="Amiri" w:hAnsi="Amiri" w:eastAsia="Amiri" w:cs="Amiri"/>
          <w:color w:val="111111"/>
          <w:sz w:val="28"/>
          <w:sz w:val="28"/>
          <w:szCs w:val="28"/>
          <w:rtl w:val="true"/>
          <w:lang w:bidi="ar-SA"/>
        </w:rPr>
        <w:t xml:space="preserve">حدثت قبل كلّ صلاة من الصلوات الخمس تكون كالحدث المستمرّ كالسلس ، والكبرى والوسطى كما أ نّهما حدث أصغر حدث أكبر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44"/>
      </w:r>
      <w:r>
        <w:rPr>
          <w:rFonts w:ascii="Amiri" w:hAnsi="Amiri" w:eastAsia="Amiri" w:cs="Amiri"/>
          <w:color w:val="111111"/>
          <w:sz w:val="28"/>
          <w:sz w:val="28"/>
          <w:szCs w:val="28"/>
          <w:rtl w:val="true"/>
          <w:lang w:bidi="ar-SA"/>
        </w:rPr>
        <w:t xml:space="preserve">على المستحاضة اختبار حالها في وقت كلّ صلاة ؛ بإدخال قطنة ونحوها والصبر قليلاً لتعلم أ نّها من أيّ قسم من الأقسام لتعمل بمقتضى وظيفتها ، ولا يكفي الاختبار قبل الوقت إلاّ إذا علمت بعدم تغيّر حالها إلى ما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تتمكّن من الاختبار فإن كان لها حالة سابقة من القلّة أو التوسّط أو الكثرة تأخذ بها وتعمل بمقتضى وظيفتها ، وإلاّ فتأخذ بالقدر المتيقّن ، فإذا تردّدت بين القليلة وغيرها تعمل عمل القليلة ، وإن تردّدت بين المتوسّطة والكثيرة تعمل عمل المتوسّطة ، والأحوط مراعاة أسوأ الحالات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تجديد الوضوء لكلّ صلاة والأعمال المذكورة إذا استمرّ الدم ، فلو فرض انقطاعه قبل صلاة الظهر يجب لها فقط ولا يجب للعصر ولا للعشاءين ، وإن انقطع بعد الظهر وجب للعصر فقط وهكذا ، بل إذا انقطع الدم وتوضّأت للظهر وبقي وضوؤها إلى المغرب والعشاء صلّتهما بذلك الوضوء ولم تحتج إلى تجديده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الوضوء والغسل المبادرة إلى الصلاة إذا لم ينقطع الدم بعدهما أو خافت عوده بعدهما قبل الصلاة أو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توضّأت واغتسلت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الدم حين الشروع في الوضوء والغسل ولو انقطاع فترة وعلمت بعدم عوده إلى آخر الوقت جاز لها تأخير الصلاة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عليها بعد الوضوء والغسل التحفّظ من خروج الدم مع عدم خوف الضرر بحشو قطنة أو غيرها وشدّها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خرج الدم لتقصيرها في الشدّ أعادت الصلاة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الغسل</w:t>
      </w:r>
      <w:r>
        <w:rPr>
          <w:rStyle w:val="FootnoteAnchor"/>
          <w:rtl w:val="true"/>
        </w:rPr>
        <w:footnoteReference w:id="14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خروج الدم لغلبته لا لتقصير منها في التحفّظ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انتقلت الاستحاضة من الأدنى إلى الأعلى ، كما إذا صارت القليلة متوسّطة أو كثيرة ، أو المتوسّطة كثيرة ، فبالنسبة إلى الصلاة التي صلّتها مع وظيفة الأدنى لا أثر لهذا الانتقال فلا يجب إعادتها ، وأمّا بالنسبة إلى الصلوات المتأخّرة</w:t>
      </w:r>
      <w:r>
        <w:rPr>
          <w:rStyle w:val="FootnoteAnchor"/>
          <w:rtl w:val="true"/>
        </w:rPr>
        <w:footnoteReference w:id="146"/>
      </w:r>
      <w:r>
        <w:rPr>
          <w:rFonts w:ascii="Amiri" w:hAnsi="Amiri" w:eastAsia="Amiri" w:cs="Amiri"/>
          <w:color w:val="111111"/>
          <w:sz w:val="28"/>
          <w:sz w:val="28"/>
          <w:szCs w:val="28"/>
          <w:rtl w:val="true"/>
          <w:lang w:bidi="ar-SA"/>
        </w:rPr>
        <w:t xml:space="preserve">تعمل عمل الأعلى ؛ فإذا تبدّلت القليلة بالمتوسّطة أو بالكثيرة بعد صلاة الصبح مضت صلاتها وتكون بالنسبة إلى الظهرين والعشاءين كما إذا حدثتا بعد الصلاة من دون سبق القلّة ، فتغتسل غسلاً واحداً للظهرين في الصورة الاُولى وغسلين لهما وللعشاءين في الصورة الثانية ، بخلاف ما إذا تبدّلت إليهما قبل صلاة الصبح فإنّه تغتسل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توضّأت قبل التبدّل تستأنف الوضوء ، حتّى إذا تبدّلت المتوسّطة بالكثيرة بعد الاغتسال لصلاة الصبح استأنفت الغسل وتعمل في ذلك اليوم عمل الكثيرة ، كما إذا لم يكن مسبوقاً بالتوسّط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انتقلت من الأعلى إلى الأدنى تعمل لصلاة واحدة عمل الأعلى ثمّ تعمل عمل الأدنى؛ فلو تبدّلت الكثيرة إلى القليلة قبل الاغتسال لصلاة الصبح واستمرّت عليها اغتسلت للصبح واكتفت بالوضوء للبواقي ، ولو تبدّلت الكثيرة إلى </w:t>
      </w:r>
    </w:p>
    <w:p>
      <w:pPr>
        <w:pStyle w:val="BookText"/>
        <w:rPr/>
      </w:pPr>
      <w:r>
        <w:rPr>
          <w:rFonts w:ascii="Amiri" w:hAnsi="Amiri" w:eastAsia="Amiri" w:cs="Amiri"/>
          <w:color w:val="111111"/>
          <w:sz w:val="28"/>
          <w:sz w:val="28"/>
          <w:szCs w:val="28"/>
          <w:rtl w:val="true"/>
          <w:lang w:bidi="ar-SA"/>
        </w:rPr>
        <w:t>المتوسّطة بعد صلاة الصبح اغتسلت للظهر واكتفت بالوضوء للعصر والعشاءين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الصوم من المستحاضة القليلة ، ولا يشترط في صحّته الوضوء ، وأمّا غيرها فيشترط في صحّة صومها الأغسال النهارية على الأحوط</w:t>
      </w:r>
      <w:r>
        <w:rPr>
          <w:rStyle w:val="FootnoteAnchor"/>
          <w:rtl w:val="true"/>
        </w:rPr>
        <w:footnoteReference w:id="147"/>
      </w:r>
      <w:r>
        <w:rPr>
          <w:rFonts w:ascii="Amiri" w:hAnsi="Amiri" w:eastAsia="Amiri" w:cs="Amiri"/>
          <w:color w:val="111111"/>
          <w:sz w:val="28"/>
          <w:sz w:val="28"/>
          <w:szCs w:val="28"/>
          <w:rtl w:val="true"/>
          <w:lang w:bidi="ar-SA"/>
        </w:rPr>
        <w:t>، وأمّا غسل العشاءين في الكثيرة فليس شرطاً في صحّة صوم ذلك اليوم وإن كان الأحوط</w:t>
      </w:r>
      <w:r>
        <w:rPr>
          <w:rStyle w:val="FootnoteAnchor"/>
          <w:rtl w:val="true"/>
        </w:rPr>
        <w:footnoteReference w:id="148"/>
      </w:r>
      <w:r>
        <w:rPr>
          <w:rFonts w:ascii="Amiri" w:hAnsi="Amiri" w:eastAsia="Amiri" w:cs="Amiri"/>
          <w:color w:val="111111"/>
          <w:sz w:val="28"/>
          <w:sz w:val="28"/>
          <w:szCs w:val="28"/>
          <w:rtl w:val="true"/>
          <w:lang w:bidi="ar-SA"/>
        </w:rPr>
        <w:t xml:space="preserve">مراعاته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دمها فإن كان قبل فعل الطهارة أتت بها وصلّت ، وإن كان بعد فعلها وقبل فعل الصلاة أعادتها وصلّت إذا كان الانقطاع لبرء ، وكذا لو كان لفترة وكانت واسعة للطهارة والصلاة في الوقت ، وأمّا لو لم تكن واسعة لهما اكتفت بتلك الطهارة وصلّت ، وكذلك لو كانت شاكّة في سعتها أو علمت بالسعة</w:t>
      </w:r>
      <w:r>
        <w:rPr>
          <w:rStyle w:val="FootnoteAnchor"/>
          <w:rtl w:val="true"/>
        </w:rPr>
        <w:footnoteReference w:id="149"/>
      </w:r>
      <w:r>
        <w:rPr>
          <w:rFonts w:ascii="Amiri" w:hAnsi="Amiri" w:eastAsia="Amiri" w:cs="Amiri"/>
          <w:color w:val="111111"/>
          <w:sz w:val="28"/>
          <w:sz w:val="28"/>
          <w:szCs w:val="28"/>
          <w:rtl w:val="true"/>
          <w:lang w:bidi="ar-SA"/>
        </w:rPr>
        <w:t xml:space="preserve">لكنّها شكّت في أ نّه للبرء أو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الصورة الثانية لو انكشف بعد ذلك كونه لبرء أعادت 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انقطع في أثناء الصلاة أعادت الطهارة والصلاة إن كان لبرء أو لفترة واسعة ، وإن لم تكن واسعة أتمّت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انقطع بعد فعل الصلاة فلا إعادة عليها على الأقوى وإن كان لبرء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ممّا مرّ حكم المستحاضة وما لها من الأقسام ووظائفها بالنسبة إلى الصلاة والصيام ، وأمّا بالنسبة إلى سائر الأحكام فلا إشكال في أ نّه يجب عليها الوضوء فقط للطواف الواجب إذا كانت ذات الصغرى ، وهو مع الغسل إذا كانت ذات الكبرى أو الوسطى ؛ لكونها محدثة بالحدث الأصغر في </w:t>
      </w:r>
    </w:p>
    <w:p>
      <w:pPr>
        <w:pStyle w:val="BookText"/>
        <w:rPr/>
      </w:pPr>
      <w:r>
        <w:rPr>
          <w:rFonts w:ascii="Amiri" w:hAnsi="Amiri" w:eastAsia="Amiri" w:cs="Amiri"/>
          <w:color w:val="111111"/>
          <w:sz w:val="28"/>
          <w:sz w:val="28"/>
          <w:szCs w:val="28"/>
          <w:rtl w:val="true"/>
          <w:lang w:bidi="ar-SA"/>
        </w:rPr>
        <w:t xml:space="preserve">الاُولى وبه وبالأكبر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Style w:val="FootnoteAnchor"/>
          <w:rtl w:val="true"/>
        </w:rPr>
        <w:footnoteReference w:id="150"/>
      </w:r>
      <w:r>
        <w:rPr>
          <w:rFonts w:ascii="Amiri" w:hAnsi="Amiri" w:eastAsia="Amiri" w:cs="Amiri"/>
          <w:color w:val="111111"/>
          <w:sz w:val="28"/>
          <w:sz w:val="28"/>
          <w:szCs w:val="28"/>
          <w:rtl w:val="true"/>
          <w:lang w:bidi="ar-SA"/>
        </w:rPr>
        <w:t xml:space="preserve">عدم كفاية الوضوء الصلاتي في الاُولى مع استدامتها ولا الإتيان به مع الغسل في غيرها ؛ خصوصاً إذا أوقعت ذات الوسطى الطواف في غير وقت الغداة أو ذات الكبرى في غير الأوقات الثلاثة ، فيتوقّف صحّة طوافها على الوضوء والغسل له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الطواف المستحبّ فحيث إنّه لا يشترط فيه الطهارة من الحدث لا يحتاج إلى الوضوء ولا إلى الغسل من حيث هو وإن احتاج إلى الغسل في غير ذات الصغرى من جهة دخول المسجد 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 كتابة القرآن فلا إشكال في أ نّه لا يحلّ لها إلاّ بالوضوء فقط في ذات الصغرى ، وبه مع الغسل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الإتيان بوظائف الصلاة بل يحتاج</w:t>
      </w:r>
      <w:r>
        <w:rPr>
          <w:rStyle w:val="FootnoteAnchor"/>
          <w:rtl w:val="true"/>
        </w:rPr>
        <w:footnoteReference w:id="151"/>
      </w:r>
      <w:r>
        <w:rPr>
          <w:rFonts w:ascii="Amiri" w:hAnsi="Amiri" w:eastAsia="Amiri" w:cs="Amiri"/>
          <w:color w:val="111111"/>
          <w:sz w:val="28"/>
          <w:sz w:val="28"/>
          <w:szCs w:val="28"/>
          <w:rtl w:val="true"/>
          <w:lang w:bidi="ar-SA"/>
        </w:rPr>
        <w:t xml:space="preserve">إلى الوضوء أو الغسل له مستقلاًّ ، نعم الظاهر جوازه حال إيقاع الصلاة التي أتت بوظيفتها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تكون ذات الكبرى والوسطى بحكم الحائض مطلقاً ، فيحرم عليهما ما يحرم عليها بدون الغسل أم لا ؟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يغشاها زوجها ما لم تغتسل ، بل الأحوط ضمّ الوضوء أيضاً ، ويكفي الغسل الصلاتي إذا واقع في وقتها بعد الصلاة ، وأمّا إذا واقع في وقت آخر فيحتاج إلى غسل له مستقلاًّ كما قلنا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مكثها في المساجد ودخولها في المسجدين فالأقوى جوازه لها بدون الاغتسال وإن كان الأحوط الاجتناب عنه بدونه للصلاة أو له مستقلاًّ كالوط‌ء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طلاقها فلا إشكال في عدم كونها مشروطة بالاغتسال </w:t>
      </w:r>
      <w:r>
        <w:rPr>
          <w:rFonts w:eastAsia="Amiri" w:cs="Amiri" w:ascii="Amiri" w:hAnsi="Amiri"/>
          <w:color w:val="111111"/>
          <w:sz w:val="28"/>
          <w:szCs w:val="28"/>
          <w:rtl w:val="true"/>
          <w:lang w:bidi="ar-SA"/>
        </w:rPr>
        <w:t xml:space="preserve">. </w:t>
      </w:r>
      <w:bookmarkStart w:id="88" w:name="pg15003_159644"/>
    </w:p>
    <w:p>
      <w:pPr>
        <w:pStyle w:val="Heading3"/>
        <w:numPr>
          <w:ilvl w:val="2"/>
          <w:numId w:val="1"/>
        </w:numPr>
        <w:rPr/>
      </w:pPr>
      <w:bookmarkStart w:id="89" w:name="__RefHeading___Toc487635_3406789950"/>
      <w:bookmarkStart w:id="90" w:name="_Toc32"/>
      <w:bookmarkEnd w:id="88"/>
      <w:bookmarkEnd w:id="89"/>
      <w:r>
        <w:rPr>
          <w:rtl w:val="true"/>
        </w:rPr>
        <w:t xml:space="preserve">فصل </w:t>
      </w:r>
      <w:r>
        <w:rPr>
          <w:rtl w:val="true"/>
        </w:rPr>
        <w:t xml:space="preserve">: </w:t>
      </w:r>
      <w:r>
        <w:rPr>
          <w:rtl w:val="true"/>
        </w:rPr>
        <w:t>في النفاس</w:t>
      </w:r>
      <w:bookmarkEnd w:id="90"/>
    </w:p>
    <w:p>
      <w:pPr>
        <w:pStyle w:val="BookText"/>
        <w:rPr/>
      </w:pPr>
      <w:r>
        <w:rPr>
          <w:rFonts w:ascii="Amiri" w:hAnsi="Amiri" w:eastAsia="Amiri" w:cs="Amiri"/>
          <w:color w:val="111111"/>
          <w:sz w:val="28"/>
          <w:sz w:val="28"/>
          <w:szCs w:val="28"/>
          <w:rtl w:val="true"/>
          <w:lang w:bidi="ar-SA"/>
        </w:rPr>
        <w:t xml:space="preserve">وهو دم الولادة معها أو بعدها قبل انقضاء عشرة أيّام من حينها ولو كان سقطاً ولم تلج فيه الروح ، بل ولو كان مضغة أو علقة إذا علم كونها مبدأ نشوء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لم يحكم بكونه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لأقلّه حدّ فيمكن أن يكون لحظة بين العشرة ، ولو لم تر دماً أصلاً أو رأته بعد العشرة من حين الولادة فلا نفاس لها ، وأكثره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وابتداء الحساب بعد انفصال الولد ، لا من حين الشروع في الولادة ، وإن ولدت في أوّل النهار فالليلة الأخيرة خارجة ، وأمّا الليلة الاُولى لو ولدت في الليل فهي جزء من النفاس وإن لم تحسب من العشرة ، وإن ولدت في وسط النهار يلفّق من اليوم الحادي عشر ، ولو ولدت اثنين كان ابتداء نفاسها من الأوّل ومبدأ العشرة من وضع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دمها على العشرة أو قبلها فكلّ ما رأته نفاس ؛ سواء رأت تمام العشرة أو بعضها ، وسواء كانت ذات العادة في حيضها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والنقاء المتخلّل بين الدمين أو الدماء بحكم النفاس على الأقوى ، فلو رأت يوماً بعد الولادة وانقطع ثمّ رأت العاشر يكون الكلّ نفاساً ، وكذا لو رأت يوماً فيوماً لا إلى العشرة ، ولو لم تر الدم إلاّ اليوم العاشر يكون هو النفاس ، وما سبق من النقاء طهر كلّه، ولو رأت الثالث ثمّ رأت العاشر يكون نفاسها ثمانية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رأت الدم في تمام العشرة واستمرّ إلى أن تجاوزها فإن كانت ذات عادة عددية في الحيض ترجع في نفاسها إلى مقدار أيّام حيضها ؛ سواء كانت عشرة أو أقلّ وعملت بعدها عمل المستحاضة ، وإن لم تكن ذات عادة تجعل نفاسها عشرة وتعمل بعدها عمل المستحاضة ، وإن </w:t>
      </w:r>
    </w:p>
    <w:p>
      <w:pPr>
        <w:pStyle w:val="BookText"/>
        <w:rPr/>
      </w:pPr>
      <w:r>
        <w:rPr>
          <w:rFonts w:ascii="Amiri" w:hAnsi="Amiri" w:eastAsia="Amiri" w:cs="Amiri"/>
          <w:color w:val="111111"/>
          <w:sz w:val="28"/>
          <w:sz w:val="28"/>
          <w:szCs w:val="28"/>
          <w:rtl w:val="true"/>
          <w:lang w:bidi="ar-SA"/>
        </w:rPr>
        <w:t xml:space="preserve">كان الاحتياط إلى الثمانية عشر بالجمع بين وظيفتي النفساء والمستحاضة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فصل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النفاس والحيض المتأخّر ، فلو رأت الدم من حين الولادة إلى اليوم السابع ثمّ رأت بعد العشرة ثلاثة أيّام أو أكثر لم يكن حيضاً بل كان استحاضة ، وإن كان الأحوط إلى الثمانية عشر الجمع بين وظيفتي النفساء والمستحاضة إذا لم تكن ذات عادة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بينه وبين الحيض المتقدّم فلا يعتبر فصل أقلّ الطهر على الأقوى ، فلو رأت قبل المخاض ثلاثة أيّام أو أكثر متّصلاً به أو منفصلاً عنه بأقلّ من عشرة يكون حيضاً ، خصوصاً إذا كان في عادة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استمرّ الدم إلى شهر أو أقلّ أو أزيد فبعد مضيّ العادة في ذات العادة والعشرة في غيرها محكوم بالاستحاضة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مضيّ عشرة أيّام من دم النفاس أمكن أن يكون حيضاً ؛ فإن كانت معتادة وصادف العادة يحكم بكونه حيضاً ، وإلاّ فترجع إلى الصفات والتميّز إن كان ، وإلاّ فتجعل سبعة حيضاً وما عداها استحاضة كما مرّ</w:t>
      </w:r>
      <w:r>
        <w:rPr>
          <w:rStyle w:val="FootnoteAnchor"/>
          <w:rtl w:val="true"/>
        </w:rPr>
        <w:footnoteReference w:id="153"/>
      </w:r>
      <w:r>
        <w:rPr>
          <w:rFonts w:ascii="Amiri" w:hAnsi="Amiri" w:eastAsia="Amiri" w:cs="Amiri"/>
          <w:color w:val="111111"/>
          <w:sz w:val="28"/>
          <w:sz w:val="28"/>
          <w:szCs w:val="28"/>
          <w:rtl w:val="true"/>
          <w:lang w:bidi="ar-SA"/>
        </w:rPr>
        <w:t xml:space="preserve">في الحيض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دم النفساء في الظاهر يجب عليها الاستظهار على نحو ما مرّ في الحيض</w:t>
      </w:r>
      <w:r>
        <w:rPr>
          <w:rStyle w:val="FootnoteAnchor"/>
          <w:rtl w:val="true"/>
        </w:rPr>
        <w:footnoteReference w:id="154"/>
      </w:r>
      <w:r>
        <w:rPr>
          <w:rFonts w:ascii="Amiri" w:hAnsi="Amiri" w:eastAsia="Amiri" w:cs="Amiri"/>
          <w:color w:val="111111"/>
          <w:sz w:val="28"/>
          <w:sz w:val="28"/>
          <w:szCs w:val="28"/>
          <w:rtl w:val="true"/>
          <w:lang w:bidi="ar-SA"/>
        </w:rPr>
        <w:t xml:space="preserve">، فإذا انقطع الدم واقعاً يجب عليها الغسل للمشروط به كالحائض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وأحكامها كأحكامها في عدم جواز وطئها ، وعدم صحّة طلاقها ، وحرمة الصلاة والصوم عليها ، ومسّ كتابة القرآن ، وقراءة العزائم ، ودخول </w:t>
      </w:r>
      <w:bookmarkStart w:id="91" w:name="pg15003_159646"/>
    </w:p>
    <w:p>
      <w:pPr>
        <w:pStyle w:val="BookText"/>
        <w:rPr/>
      </w:pPr>
      <w:bookmarkEnd w:id="91"/>
      <w:r>
        <w:rPr>
          <w:rFonts w:ascii="Amiri" w:hAnsi="Amiri" w:eastAsia="Amiri" w:cs="Amiri"/>
          <w:color w:val="111111"/>
          <w:sz w:val="28"/>
          <w:sz w:val="28"/>
          <w:szCs w:val="28"/>
          <w:rtl w:val="true"/>
          <w:lang w:bidi="ar-SA"/>
        </w:rPr>
        <w:t xml:space="preserve">المسجدين والمكث في غيرهما ، ووجوب قضاء الصوم عليها ، دون الصلاة على التفصيل الذي سبق في الحيض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87637_3406789950"/>
      <w:bookmarkStart w:id="93" w:name="_Toc33"/>
      <w:bookmarkEnd w:id="92"/>
      <w:r>
        <w:rPr>
          <w:rtl w:val="true"/>
        </w:rPr>
        <w:t xml:space="preserve">فصل </w:t>
      </w:r>
      <w:r>
        <w:rPr>
          <w:rtl w:val="true"/>
        </w:rPr>
        <w:t xml:space="preserve">: </w:t>
      </w:r>
      <w:r>
        <w:rPr>
          <w:rtl w:val="true"/>
        </w:rPr>
        <w:t>في غسل مسّ الميّت</w:t>
      </w:r>
      <w:bookmarkEnd w:id="93"/>
    </w:p>
    <w:p>
      <w:pPr>
        <w:pStyle w:val="BookText"/>
        <w:rPr/>
      </w:pPr>
      <w:r>
        <w:rPr>
          <w:rFonts w:ascii="Amiri" w:hAnsi="Amiri" w:eastAsia="Amiri" w:cs="Amiri"/>
          <w:color w:val="111111"/>
          <w:sz w:val="28"/>
          <w:sz w:val="28"/>
          <w:szCs w:val="28"/>
          <w:rtl w:val="true"/>
          <w:lang w:bidi="ar-SA"/>
        </w:rPr>
        <w:t xml:space="preserve">وسببه مسّ ميّت الإنسان بعد برد تمام جسده وقبل تمام غسله لا بعده ولو كان غسلاً اضطرارياً ، كما إذا كانت الأغسال الثلاثة بالماء القراح لفقد الخليطين ، بل ولو كان المغسّل كافراً لفقد المسلم المماثل وإن كان الأحوط عدم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بالغسل التيمّم عند تعذّره وإن كان الأحوط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الميّت بين المسلم والكافر والكبير والصغير حتّى السقط إذا تمّ له أربعة أشهر ، كما لا فرق بين ما تحلّه الحياة وغيره ماسّاً وممسوساً بعد صدق اسم المسّ ، فيجب الغسل بمسّ ظفره ولو 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يوجبه مسّ الشعر ماسّاً وممسوساً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القطعة المبانة من الحيّ بحكم الميّت في وجوب الغسل بمسّها إذا اشتملت على العظم دون المجرّدة عنه ، والأحوط</w:t>
      </w:r>
      <w:r>
        <w:rPr>
          <w:rStyle w:val="FootnoteAnchor"/>
          <w:rtl w:val="true"/>
        </w:rPr>
        <w:footnoteReference w:id="155"/>
      </w:r>
      <w:r>
        <w:rPr>
          <w:rFonts w:ascii="Amiri" w:hAnsi="Amiri" w:eastAsia="Amiri" w:cs="Amiri"/>
          <w:color w:val="111111"/>
          <w:sz w:val="28"/>
          <w:sz w:val="28"/>
          <w:szCs w:val="28"/>
          <w:rtl w:val="true"/>
          <w:lang w:bidi="ar-SA"/>
        </w:rPr>
        <w:t xml:space="preserve">إلحاق العظم المجرّد باللحم المشتمل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القطعة المبانة من الميّت فكلّ ما كان يوجب مسّه الغسل في حال الاتّصال يكون كذلك حال الانفصال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كالمغسّل فلا يوجب مسّه الغسل ، وكذا من وجب قتله قصاصاً أو حدّاً فاُمر بتقديم غسله ليقتل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ميّتاً وشكّ في أ نّه قبل برده أو بعده لا يجب الغسل ، </w:t>
      </w:r>
    </w:p>
    <w:p>
      <w:pPr>
        <w:pStyle w:val="BookText"/>
        <w:rPr/>
      </w:pPr>
      <w:r>
        <w:rPr>
          <w:rFonts w:ascii="Amiri" w:hAnsi="Amiri" w:eastAsia="Amiri" w:cs="Amiri"/>
          <w:color w:val="111111"/>
          <w:sz w:val="28"/>
          <w:sz w:val="28"/>
          <w:szCs w:val="28"/>
          <w:rtl w:val="true"/>
          <w:lang w:bidi="ar-SA"/>
        </w:rPr>
        <w:t>بخلاف ما إذا شكّ في أ نّه كان شهيداً أو غيره</w:t>
      </w:r>
      <w:r>
        <w:rPr>
          <w:rStyle w:val="FootnoteAnchor"/>
          <w:rtl w:val="true"/>
        </w:rPr>
        <w:footnoteReference w:id="156"/>
      </w:r>
      <w:r>
        <w:rPr>
          <w:rFonts w:ascii="Amiri" w:hAnsi="Amiri" w:eastAsia="Amiri" w:cs="Amiri"/>
          <w:color w:val="111111"/>
          <w:sz w:val="28"/>
          <w:sz w:val="28"/>
          <w:szCs w:val="28"/>
          <w:rtl w:val="true"/>
          <w:lang w:bidi="ar-SA"/>
        </w:rPr>
        <w:t xml:space="preserve">أو كان قبل الغسل أو بعده فيجب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يبس عضو من أعضاء الحيّ وخرج منه الروح بالمرّة لا يوجب مسّه الغسل ما دام متّصلاً ، وأمّا بعد الانفصال ففيه إشكال</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قطع عضو منه واتّصل 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الغسل بمسّه في حال الاتّصال ويجب بعد الانفصال إذا كان مشتملاً على العظم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الميّت ينقض الوضوء على الأحوط</w:t>
      </w:r>
      <w:r>
        <w:rPr>
          <w:rStyle w:val="FootnoteAnchor"/>
          <w:rtl w:val="true"/>
        </w:rPr>
        <w:footnoteReference w:id="158"/>
      </w:r>
      <w:r>
        <w:rPr>
          <w:rFonts w:ascii="Amiri" w:hAnsi="Amiri" w:eastAsia="Amiri" w:cs="Amiri"/>
          <w:color w:val="111111"/>
          <w:sz w:val="28"/>
          <w:sz w:val="28"/>
          <w:szCs w:val="28"/>
          <w:rtl w:val="true"/>
          <w:lang w:bidi="ar-SA"/>
        </w:rPr>
        <w:t xml:space="preserve">فيجب الوضوء مع غسله لكلّ مشروط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غسل المسّ لكلّ واجب مشروط بالطهارة من الحدث الأصغر على الأحوط</w:t>
      </w:r>
      <w:r>
        <w:rPr>
          <w:rStyle w:val="FootnoteAnchor"/>
          <w:rtl w:val="true"/>
        </w:rPr>
        <w:footnoteReference w:id="159"/>
      </w:r>
      <w:r>
        <w:rPr>
          <w:rFonts w:ascii="Amiri" w:hAnsi="Amiri" w:eastAsia="Amiri" w:cs="Amiri"/>
          <w:color w:val="111111"/>
          <w:sz w:val="28"/>
          <w:sz w:val="28"/>
          <w:szCs w:val="28"/>
          <w:rtl w:val="true"/>
          <w:lang w:bidi="ar-SA"/>
        </w:rPr>
        <w:t xml:space="preserve">وشرط على الأحوط فيما يشترط فيه الطهارة كالصلاة والطواف الواجب ومسّ كتابة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للماسّ قبل الغسل دخول المساجد والمشاهد والمكث فيها وقراءة العزائم ، ويجوز وطؤه لو كان امرأة ، فحال المسّ حال الحدث الأصغر إلاّ في إيجاب الغسل للصلاة ونحوها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المسّ لا يوجب تكرار الغسل كسائر الأحداث ولو كان الممسوس متعدّداً </w:t>
      </w:r>
      <w:r>
        <w:rPr>
          <w:rFonts w:eastAsia="Amiri" w:cs="Amiri" w:ascii="Amiri" w:hAnsi="Amiri"/>
          <w:color w:val="111111"/>
          <w:sz w:val="28"/>
          <w:szCs w:val="28"/>
          <w:rtl w:val="true"/>
          <w:lang w:bidi="ar-SA"/>
        </w:rPr>
        <w:t xml:space="preserve">. </w:t>
      </w:r>
      <w:bookmarkStart w:id="94" w:name="pg15003_159648"/>
    </w:p>
    <w:p>
      <w:pPr>
        <w:pStyle w:val="Heading3"/>
        <w:numPr>
          <w:ilvl w:val="2"/>
          <w:numId w:val="1"/>
        </w:numPr>
        <w:rPr/>
      </w:pPr>
      <w:bookmarkStart w:id="95" w:name="__RefHeading___Toc487639_3406789950"/>
      <w:bookmarkStart w:id="96" w:name="_Toc34"/>
      <w:bookmarkEnd w:id="94"/>
      <w:bookmarkEnd w:id="95"/>
      <w:r>
        <w:rPr>
          <w:rtl w:val="true"/>
        </w:rPr>
        <w:t xml:space="preserve">فصل </w:t>
      </w:r>
      <w:r>
        <w:rPr>
          <w:rtl w:val="true"/>
        </w:rPr>
        <w:t xml:space="preserve">: </w:t>
      </w:r>
      <w:r>
        <w:rPr>
          <w:rtl w:val="true"/>
        </w:rPr>
        <w:t>في أحكام الأموات</w:t>
      </w:r>
      <w:bookmarkEnd w:id="96"/>
    </w:p>
    <w:p>
      <w:pPr>
        <w:pStyle w:val="Heading4"/>
        <w:numPr>
          <w:ilvl w:val="3"/>
          <w:numId w:val="1"/>
        </w:numPr>
        <w:rPr/>
      </w:pPr>
      <w:bookmarkStart w:id="97" w:name="__RefHeading___Toc487641_3406789950"/>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يجب على من ظهر عنده أمارات الموت أداء الحقوق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خلقياً أو خالقياً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الأمانات التي عنده أو الإيصاء بها مع الاطمئنان بإنجازها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الإيصاء بالواجبات التي لا تقبل النيابة حال الحياة كالصلاة والصيام والحجّ ونحوها إذا كان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يجب على الوليّ كالصلاة والصوم يتخيّر بين إعلامه أو الإيصاء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عليه نصب قيّم على أطفاله الصغار إلاّ إذا كان عدمه تضييعاً لهم ولحقوقهم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نصب فليكن المنصوب أميناً وكذا من عيّنه لأداء الحقوق الواجبة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87643_3406789950"/>
      <w:bookmarkStart w:id="100" w:name="_Toc36"/>
      <w:bookmarkEnd w:id="99"/>
      <w:r>
        <w:rPr>
          <w:rtl w:val="true"/>
        </w:rPr>
        <w:t xml:space="preserve">القول </w:t>
      </w:r>
      <w:r>
        <w:rPr>
          <w:rtl w:val="true"/>
        </w:rPr>
        <w:t xml:space="preserve">: </w:t>
      </w:r>
      <w:r>
        <w:rPr>
          <w:rtl w:val="true"/>
        </w:rPr>
        <w:t>فيما يتعلّق بحال الاحتضار</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60"/>
      </w:r>
      <w:r>
        <w:rPr>
          <w:rFonts w:ascii="Amiri" w:hAnsi="Amiri" w:eastAsia="Amiri" w:cs="Amiri"/>
          <w:color w:val="111111"/>
          <w:sz w:val="28"/>
          <w:sz w:val="28"/>
          <w:szCs w:val="28"/>
          <w:rtl w:val="true"/>
          <w:lang w:bidi="ar-SA"/>
        </w:rPr>
        <w:t>كفايةً في حال الاحتضار والنزع توجيه المحتضر المسلم إلى القبلة ؛ بأن يلقى على ظهره ويجعل باطن قدميه ووجهه إلى القبلة ؛ بحيث لو جلس كان وجهه إليها ؛ رجلاً كان أو امرأة ، صغيراً كان أو كبيراً ، والأحوط</w:t>
      </w:r>
      <w:r>
        <w:rPr>
          <w:rStyle w:val="FootnoteAnchor"/>
          <w:rtl w:val="true"/>
        </w:rPr>
        <w:footnoteReference w:id="161"/>
      </w:r>
      <w:r>
        <w:rPr>
          <w:rFonts w:ascii="Amiri" w:hAnsi="Amiri" w:eastAsia="Amiri" w:cs="Amiri"/>
          <w:color w:val="111111"/>
          <w:sz w:val="28"/>
          <w:sz w:val="28"/>
          <w:szCs w:val="28"/>
          <w:rtl w:val="true"/>
          <w:lang w:bidi="ar-SA"/>
        </w:rPr>
        <w:t xml:space="preserve">مراعاة الاستقبال بالكيفية المذكورة في جميع الحالات إلى ما بعد الفراغ من الغسل ، وأمّا بعده إلى حال الدفن فالأولى بل الأحوط وضعه بنحو ما يوضع حال الصلاة عليه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تلقينه الشهادتين والإقرار بالأئمّة الاثني عشر وكلمات </w:t>
      </w:r>
      <w:bookmarkStart w:id="101" w:name="pg15003_159649"/>
    </w:p>
    <w:p>
      <w:pPr>
        <w:pStyle w:val="BookText"/>
        <w:rPr/>
      </w:pPr>
      <w:bookmarkEnd w:id="101"/>
      <w:r>
        <w:rPr>
          <w:rFonts w:ascii="Amiri" w:hAnsi="Amiri" w:eastAsia="Amiri" w:cs="Amiri"/>
          <w:color w:val="111111"/>
          <w:sz w:val="28"/>
          <w:sz w:val="28"/>
          <w:szCs w:val="28"/>
          <w:rtl w:val="true"/>
          <w:lang w:bidi="ar-SA"/>
        </w:rPr>
        <w:t xml:space="preserve">الفرج ، ونقله إلى مصلاّه إذا اشتدّ 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يوجب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لتعجيل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تغميض عينيه ، وتطبيق فمه ، وشدّ فكّيه ، ومدّ يديه إلى جنبيه ، ومدّ رجليه ، وتغطيته بثوب ، والإسراج عنده في الليل ، وإعلام المؤمنين ليحضروا جنازته ، والتعجيل في تجهيزه ، إلاّ مع اشتباه حاله فينتظر إلى حصول اليقين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مسّه في حال النزع ووضع شيء ثقيل على بطنه وإبقاؤه وحده فإنّ الشيطان يعبث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حضور الجنب والحائض عنده حال الاحتضار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87645_3406789950"/>
      <w:bookmarkStart w:id="103" w:name="_Toc37"/>
      <w:bookmarkEnd w:id="102"/>
      <w:r>
        <w:rPr>
          <w:rtl w:val="true"/>
        </w:rPr>
        <w:t xml:space="preserve">القول </w:t>
      </w:r>
      <w:r>
        <w:rPr>
          <w:rtl w:val="true"/>
        </w:rPr>
        <w:t xml:space="preserve">: </w:t>
      </w:r>
      <w:r>
        <w:rPr>
          <w:rtl w:val="true"/>
        </w:rPr>
        <w:t>في غسل الميّت</w:t>
      </w:r>
      <w:bookmarkEnd w:id="103"/>
    </w:p>
    <w:p>
      <w:pPr>
        <w:pStyle w:val="BookText"/>
        <w:rPr/>
      </w:pPr>
      <w:r>
        <w:rPr>
          <w:rFonts w:ascii="Amiri" w:hAnsi="Amiri" w:eastAsia="Amiri" w:cs="Amiri"/>
          <w:color w:val="111111"/>
          <w:sz w:val="28"/>
          <w:sz w:val="28"/>
          <w:szCs w:val="28"/>
          <w:rtl w:val="true"/>
          <w:lang w:bidi="ar-SA"/>
        </w:rPr>
        <w:t xml:space="preserve">يجب كفايةً تغسيل كلّ مسلم ولو كان مخالفاً </w:t>
      </w:r>
      <w:r>
        <w:rPr>
          <w:rStyle w:val="FootnoteAnchor"/>
          <w:rtl w:val="true"/>
        </w:rPr>
        <w:footnoteReference w:id="162"/>
      </w:r>
      <w:r>
        <w:rPr>
          <w:rFonts w:ascii="Amiri" w:hAnsi="Amiri" w:eastAsia="Amiri" w:cs="Amiri"/>
          <w:color w:val="111111"/>
          <w:sz w:val="28"/>
          <w:sz w:val="28"/>
          <w:szCs w:val="28"/>
          <w:rtl w:val="true"/>
          <w:lang w:bidi="ar-SA"/>
        </w:rPr>
        <w:t>، ولا يجوز تغسيل الكافر ومن حكم بكفره</w:t>
      </w:r>
      <w:r>
        <w:rPr>
          <w:rStyle w:val="FootnoteAnchor"/>
          <w:rtl w:val="true"/>
        </w:rPr>
        <w:footnoteReference w:id="163"/>
      </w:r>
      <w:r>
        <w:rPr>
          <w:rFonts w:ascii="Amiri" w:hAnsi="Amiri" w:eastAsia="Amiri" w:cs="Amiri"/>
          <w:color w:val="111111"/>
          <w:sz w:val="28"/>
          <w:sz w:val="28"/>
          <w:szCs w:val="28"/>
          <w:rtl w:val="true"/>
          <w:lang w:bidi="ar-SA"/>
        </w:rPr>
        <w:t xml:space="preserve">من المسلمين كالنواصب والغلاة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ولد الزنا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بحكمهم فيجب تغسيلهم ، بل يجب تغسيل السقط أيضاً إذا تمّ له أربعة أشهر ويكفَّن ويُدفن على المتعارف ، وإذا كان له أقلّ من أربعة أشهر لا يجب غسله بل يُلفّ في خرقة ويدفن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الغسل عن الشهيد</w:t>
      </w:r>
      <w:r>
        <w:rPr>
          <w:rStyle w:val="FootnoteAnchor"/>
          <w:rtl w:val="true"/>
        </w:rPr>
        <w:footnoteReference w:id="164"/>
      </w:r>
      <w:r>
        <w:rPr>
          <w:rFonts w:ascii="Amiri" w:hAnsi="Amiri" w:eastAsia="Amiri" w:cs="Amiri"/>
          <w:color w:val="111111"/>
          <w:sz w:val="28"/>
          <w:sz w:val="28"/>
          <w:szCs w:val="28"/>
          <w:rtl w:val="true"/>
          <w:lang w:bidi="ar-SA"/>
        </w:rPr>
        <w:t xml:space="preserve">؛ وهو المقتول في الجهاد مع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نائبه الخاصّ ، ويلحق به المقتول في حفظ بيضة الإسلام ، فلا يغسّل ولا يحنّط ولا يكفّن ، بل يدفن بثيابه إلاّ إذا كان عارياً فيكفّن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عمّن وجب قتله برجم أو قصاص ، فإنّ الإمام أو نائبه الخاصّ أو العامّ يأمره بأن يغتسل غسل الميّت ، ثمّ يكفّن كتكفينه ويحنّط ، ثمّ يقتل ويصلّى عليه ويدفن بلا تغسيل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نيّة الغسل من المأمور وإن كان الأحوط نيّة الآمر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القطعة المنفصلة من الحيّ</w:t>
      </w:r>
      <w:r>
        <w:rPr>
          <w:rStyle w:val="FootnoteAnchor"/>
          <w:rtl w:val="true"/>
        </w:rPr>
        <w:footnoteReference w:id="165"/>
      </w:r>
      <w:r>
        <w:rPr>
          <w:rFonts w:ascii="Amiri" w:hAnsi="Amiri" w:eastAsia="Amiri" w:cs="Amiri"/>
          <w:color w:val="111111"/>
          <w:sz w:val="28"/>
          <w:sz w:val="28"/>
          <w:szCs w:val="28"/>
          <w:rtl w:val="true"/>
          <w:lang w:bidi="ar-SA"/>
        </w:rPr>
        <w:t>أو الميّت قبل الاغتسال إن لم تشتمل على العظم لا يجب غسلها ، بل تلفّ</w:t>
      </w:r>
      <w:r>
        <w:rPr>
          <w:rStyle w:val="FootnoteAnchor"/>
          <w:rtl w:val="true"/>
        </w:rPr>
        <w:footnoteReference w:id="166"/>
      </w:r>
      <w:r>
        <w:rPr>
          <w:rFonts w:ascii="Amiri" w:hAnsi="Amiri" w:eastAsia="Amiri" w:cs="Amiri"/>
          <w:color w:val="111111"/>
          <w:sz w:val="28"/>
          <w:sz w:val="28"/>
          <w:szCs w:val="28"/>
          <w:rtl w:val="true"/>
          <w:lang w:bidi="ar-SA"/>
        </w:rPr>
        <w:t xml:space="preserve">في خرقة وتدفن ، وإن كان فيها عظم ولم تشتمل على الصدر تغسّل وتلفّ في خرقة وتدفن ، وكذا إن كان عظماً مجرّداً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صدراً أو اشتملت على الصدر أو كانت بعض الصدر المشتمل على القلب</w:t>
      </w:r>
      <w:r>
        <w:rPr>
          <w:rStyle w:val="FootnoteAnchor"/>
          <w:rtl w:val="true"/>
        </w:rPr>
        <w:footnoteReference w:id="168"/>
      </w:r>
      <w:r>
        <w:rPr>
          <w:rFonts w:ascii="Amiri" w:hAnsi="Amiri" w:eastAsia="Amiri" w:cs="Amiri"/>
          <w:color w:val="111111"/>
          <w:sz w:val="28"/>
          <w:sz w:val="28"/>
          <w:szCs w:val="28"/>
          <w:rtl w:val="true"/>
          <w:lang w:bidi="ar-SA"/>
        </w:rPr>
        <w:t xml:space="preserve">تغسّل وتكفّن ويصلّى عليها وتدفن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الاقتصار في الكفن على الثوب واللفّافة إلاّ إذا كانت مشتملة على بعض محلّ المئزر أيضاً ، وإذا كان معها بعض المساجد يحنّط ذلك البعض أيضاً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تغسيل الميّت كتكفينه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عليه فرض على الكفاية ، فهو فرض على جميع المكلّفين ، وبقيام بعضهم به يسقط عن الباقين ، وإن كان أولى الناس بذلك أولاهم بميراثه ؛ بمعنى أنّ الوليّ لو أراد القيام به أو عيّن شخصاً </w:t>
      </w:r>
    </w:p>
    <w:p>
      <w:pPr>
        <w:pStyle w:val="BookText"/>
        <w:rPr/>
      </w:pPr>
      <w:r>
        <w:rPr>
          <w:rFonts w:ascii="Amiri" w:hAnsi="Amiri" w:eastAsia="Amiri" w:cs="Amiri"/>
          <w:color w:val="111111"/>
          <w:sz w:val="28"/>
          <w:sz w:val="28"/>
          <w:szCs w:val="28"/>
          <w:rtl w:val="true"/>
          <w:lang w:bidi="ar-SA"/>
        </w:rPr>
        <w:t>لذلك لا يجوز مزاحمته ، لا أنّ إذنه شرط</w:t>
      </w:r>
      <w:r>
        <w:rPr>
          <w:rStyle w:val="FootnoteAnchor"/>
          <w:rtl w:val="true"/>
        </w:rPr>
        <w:footnoteReference w:id="169"/>
      </w:r>
      <w:r>
        <w:rPr>
          <w:rFonts w:ascii="Amiri" w:hAnsi="Amiri" w:eastAsia="Amiri" w:cs="Amiri"/>
          <w:color w:val="111111"/>
          <w:sz w:val="28"/>
          <w:sz w:val="28"/>
          <w:szCs w:val="28"/>
          <w:rtl w:val="true"/>
          <w:lang w:bidi="ar-SA"/>
        </w:rPr>
        <w:t xml:space="preserve">في صحّة عمل غيره على الأقوى ، فيجوز قيام الغير به بدون استئذان مع عدم المزاحمة ، خصوصاً فيما إذا كان الوليّ قاصراً ، وإن كان الأحوط الاستئذان ، حتّى فيما إذا كان الوليّ قاصراً أو غائباً الأحوط قيام الحاكم الشرعي به أو الاستئذان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والإذن أعمّ من الصريح والفحوى وشاهد الحال القطعي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مزاحمته أو يجب الاستئذان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يرثه بنسب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ولايتهم على ترتيب طبقات الإرث ؛ فالطبقة الاُولى مقدّمون على الثانية وهي على الثالثة ، وإذا فقدت الأرحام فالمولى المعتق</w:t>
      </w:r>
      <w:r>
        <w:rPr>
          <w:rStyle w:val="FootnoteAnchor"/>
          <w:rtl w:val="true"/>
        </w:rPr>
        <w:footnoteReference w:id="170"/>
      </w:r>
      <w:r>
        <w:rPr>
          <w:rFonts w:ascii="Amiri" w:hAnsi="Amiri" w:eastAsia="Amiri" w:cs="Amiri"/>
          <w:color w:val="111111"/>
          <w:sz w:val="28"/>
          <w:sz w:val="28"/>
          <w:szCs w:val="28"/>
          <w:rtl w:val="true"/>
          <w:lang w:bidi="ar-SA"/>
        </w:rPr>
        <w:t xml:space="preserve">ثمّ ضامن الجريرة ، وإذا فقد الجميع فالحاكم الشرعي فإنّه وليّ من لا 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نفس الطبقات فالذكور مقدّمون</w:t>
      </w:r>
      <w:r>
        <w:rPr>
          <w:rStyle w:val="FootnoteAnchor"/>
          <w:rtl w:val="true"/>
        </w:rPr>
        <w:footnoteReference w:id="171"/>
      </w:r>
      <w:r>
        <w:rPr>
          <w:rFonts w:ascii="Amiri" w:hAnsi="Amiri" w:eastAsia="Amiri" w:cs="Amiri"/>
          <w:color w:val="111111"/>
          <w:sz w:val="28"/>
          <w:sz w:val="28"/>
          <w:szCs w:val="28"/>
          <w:rtl w:val="true"/>
          <w:lang w:bidi="ar-SA"/>
        </w:rPr>
        <w:t>على الإناث والبالغون على غيرهم ومن تقرّب إلى الميّت بالأبوين مقدّم على من تقرّب إليه بأحدهما ، ومن انتسب إليه بالأب أولى ممّن انتسب إليه بالاُمّ ، وفي الطبقة الاُولى الأب مقدّم على الاُمّ والأولاد وهم على أولادهم ، وفي الطبقة الثانية الجدّ مقدّم</w:t>
      </w:r>
      <w:r>
        <w:rPr>
          <w:rStyle w:val="FootnoteAnchor"/>
          <w:rtl w:val="true"/>
        </w:rPr>
        <w:footnoteReference w:id="172"/>
      </w:r>
      <w:r>
        <w:rPr>
          <w:rFonts w:ascii="Amiri" w:hAnsi="Amiri" w:eastAsia="Amiri" w:cs="Amiri"/>
          <w:color w:val="111111"/>
          <w:sz w:val="28"/>
          <w:sz w:val="28"/>
          <w:szCs w:val="28"/>
          <w:rtl w:val="true"/>
          <w:lang w:bidi="ar-SA"/>
        </w:rPr>
        <w:t xml:space="preserve">على الإخوة وهم على أولادهم ، وفي الثالثة العمّ مقدّم على الخال وهما على أولادهما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أولى بزوجته من جميع أقاربها إلى أن يضعها في قبرها ؛ حرّة كانت أو أمة دائمة أو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أولى بعبده أو أمته من كلّ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في تجهيزه إلى غير الوليّ فالأقوى</w:t>
      </w:r>
      <w:r>
        <w:rPr>
          <w:rStyle w:val="FootnoteAnchor"/>
          <w:rtl w:val="true"/>
        </w:rPr>
        <w:footnoteReference w:id="173"/>
      </w:r>
      <w:r>
        <w:rPr>
          <w:rFonts w:ascii="Amiri" w:hAnsi="Amiri" w:eastAsia="Amiri" w:cs="Amiri"/>
          <w:color w:val="111111"/>
          <w:sz w:val="28"/>
          <w:sz w:val="28"/>
          <w:szCs w:val="28"/>
          <w:rtl w:val="true"/>
          <w:lang w:bidi="ar-SA"/>
        </w:rPr>
        <w:t xml:space="preserve">صحّة الوصيّة ووجوب العمل بها ، فيكون الوصيّ أولى فليس للوليّ مزاحمته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المماثلة بين المغسِّل والميّت في الذكورية والاُنوثية ، فلا يغسّل الرجل المرأة ولا العكس ولو كان من وراء الساتر ومن دون لمس ونظر ، إلاّ الطفل الذي لا يزيد عمره على ثلاث سنين فيجوز لكلّ من الرجل والمرأة تغسيل مخالفه ولو مع التجرّد، وإلاّ الزوج والزوجة فيجوز لكلّ منهما تغسيل الآخر ولو مع وجود المماثل والتجرّد ، حتّى أ نّه يجوز لكلّ منهما النظر إلى عورة الآخر على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الزوجة بين الحرّة والأمة والدائمة والمنقطعة بل والمطلّقة الرجعية</w:t>
      </w:r>
      <w:r>
        <w:rPr>
          <w:rStyle w:val="FootnoteAnchor"/>
          <w:rtl w:val="true"/>
        </w:rPr>
        <w:footnoteReference w:id="174"/>
      </w:r>
      <w:r>
        <w:rPr>
          <w:rFonts w:ascii="Amiri" w:hAnsi="Amiri" w:eastAsia="Amiri" w:cs="Amiri"/>
          <w:color w:val="111111"/>
          <w:sz w:val="28"/>
          <w:sz w:val="28"/>
          <w:szCs w:val="28"/>
          <w:rtl w:val="true"/>
          <w:lang w:bidi="ar-SA"/>
        </w:rPr>
        <w:t xml:space="preserve">، على إشكال في الأخيرتين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جواز تغسيل الرجل محارمه وبالعكس مع فقد المماثل من وراء الثياب ، وأمّا مع وجوده أو مجرّداً ففيه تأمّل</w:t>
      </w:r>
      <w:r>
        <w:rPr>
          <w:rStyle w:val="FootnoteAnchor"/>
          <w:rtl w:val="true"/>
        </w:rPr>
        <w:footnoteReference w:id="175"/>
      </w:r>
      <w:r>
        <w:rPr>
          <w:rFonts w:ascii="Amiri" w:hAnsi="Amiri" w:eastAsia="Amiri" w:cs="Amiri"/>
          <w:color w:val="111111"/>
          <w:sz w:val="28"/>
          <w:sz w:val="28"/>
          <w:szCs w:val="28"/>
          <w:rtl w:val="true"/>
          <w:lang w:bidi="ar-SA"/>
        </w:rPr>
        <w:t xml:space="preserve">وإشكال فلا يترك الاحتياط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للمولى تغسيل أمته إذا لم تكن مزوّجة ولا معتدّة </w:t>
      </w:r>
    </w:p>
    <w:p>
      <w:pPr>
        <w:pStyle w:val="BookText"/>
        <w:rPr/>
      </w:pPr>
      <w:r>
        <w:rPr>
          <w:rFonts w:ascii="Amiri" w:hAnsi="Amiri" w:eastAsia="Amiri" w:cs="Amiri"/>
          <w:color w:val="111111"/>
          <w:sz w:val="28"/>
          <w:sz w:val="28"/>
          <w:szCs w:val="28"/>
          <w:rtl w:val="true"/>
          <w:lang w:bidi="ar-SA"/>
        </w:rPr>
        <w:t>ولا مبعّضة</w:t>
      </w:r>
      <w:r>
        <w:rPr>
          <w:rStyle w:val="FootnoteAnchor"/>
          <w:rtl w:val="true"/>
        </w:rPr>
        <w:footnoteReference w:id="176"/>
      </w:r>
      <w:r>
        <w:rPr>
          <w:rFonts w:ascii="Amiri" w:hAnsi="Amiri" w:eastAsia="Amiri" w:cs="Amiri"/>
          <w:color w:val="111111"/>
          <w:sz w:val="28"/>
          <w:sz w:val="28"/>
          <w:szCs w:val="28"/>
          <w:rtl w:val="true"/>
          <w:lang w:bidi="ar-SA"/>
        </w:rPr>
        <w:t xml:space="preserve">، وأمّا تغسيل الأمة مولاها ففيه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المشتبه بين الذكر والاُنثى ولو من جهة كونه خنثى ، يغسّله من وراء الثوب كلّ من الرجل والاُنثى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المغسّل الإسلام بل الإيمان في حال الاختيار ، وإذا انحصر المماثل في الكتابي أو الكتابية أمر المسلمُ الكتابيةَ والمسلمةُ الكتابي أن يغتسل أوّلاً ثمّ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لا يمسّ الماء وبدن الميّت أو يغسّل في الكرّ أو الجاري تعيّن</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انحصر المماثل في المخالف فكذلك ، إلاّ أ نّه لا يحتاج إلى الاغتسال</w:t>
      </w:r>
      <w:r>
        <w:rPr>
          <w:rStyle w:val="FootnoteAnchor"/>
          <w:rtl w:val="true"/>
        </w:rPr>
        <w:footnoteReference w:id="178"/>
      </w:r>
      <w:r>
        <w:rPr>
          <w:rFonts w:ascii="Amiri" w:hAnsi="Amiri" w:eastAsia="Amiri" w:cs="Amiri"/>
          <w:color w:val="111111"/>
          <w:sz w:val="28"/>
          <w:sz w:val="28"/>
          <w:szCs w:val="28"/>
          <w:rtl w:val="true"/>
          <w:lang w:bidi="ar-SA"/>
        </w:rPr>
        <w:t xml:space="preserve">قبل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انحصر المماثل في الكتابي والمخالف يقدّم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يوجد المماثل حتّى الكتابي سقط الغسل على الأقوى وإن كان الأحوط</w:t>
      </w:r>
      <w:r>
        <w:rPr>
          <w:rStyle w:val="FootnoteAnchor"/>
          <w:rtl w:val="true"/>
        </w:rPr>
        <w:footnoteReference w:id="179"/>
      </w:r>
      <w:r>
        <w:rPr>
          <w:rFonts w:ascii="Amiri" w:hAnsi="Amiri" w:eastAsia="Amiri" w:cs="Amiri"/>
          <w:color w:val="111111"/>
          <w:sz w:val="28"/>
          <w:sz w:val="28"/>
          <w:szCs w:val="28"/>
          <w:rtl w:val="true"/>
          <w:lang w:bidi="ar-SA"/>
        </w:rPr>
        <w:t xml:space="preserve">تغسيل غير المماثل من وراء الستر ، كما أنّ الأحوط أن ينشّف بدنه قبل التكفين ؛ لاحتمال بقاء نجاسته فيتنجّس الكفن به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البلوغ في المغسِّل فيجزي تغسيل</w:t>
      </w:r>
      <w:r>
        <w:rPr>
          <w:rStyle w:val="FootnoteAnchor"/>
          <w:rtl w:val="true"/>
        </w:rPr>
        <w:footnoteReference w:id="180"/>
      </w:r>
      <w:r>
        <w:rPr>
          <w:rFonts w:ascii="Amiri" w:hAnsi="Amiri" w:eastAsia="Amiri" w:cs="Amiri"/>
          <w:color w:val="111111"/>
          <w:sz w:val="28"/>
          <w:sz w:val="28"/>
          <w:szCs w:val="28"/>
          <w:rtl w:val="true"/>
          <w:lang w:bidi="ar-SA"/>
        </w:rPr>
        <w:t xml:space="preserve">الصبيّ المميّز بناءً على صحّة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عن المكلّفين وإن كان الأحوط عدم الاجتزاء به </w:t>
      </w:r>
      <w:r>
        <w:rPr>
          <w:rFonts w:eastAsia="Amiri" w:cs="Amiri" w:ascii="Amiri" w:hAnsi="Amiri"/>
          <w:color w:val="111111"/>
          <w:sz w:val="28"/>
          <w:szCs w:val="28"/>
          <w:rtl w:val="true"/>
          <w:lang w:bidi="ar-SA"/>
        </w:rPr>
        <w:t xml:space="preserve">. </w:t>
      </w:r>
      <w:bookmarkStart w:id="104" w:name="pg15003_159654"/>
    </w:p>
    <w:p>
      <w:pPr>
        <w:pStyle w:val="Heading4"/>
        <w:numPr>
          <w:ilvl w:val="3"/>
          <w:numId w:val="1"/>
        </w:numPr>
        <w:rPr/>
      </w:pPr>
      <w:bookmarkStart w:id="105" w:name="__RefHeading___Toc487647_3406789950"/>
      <w:bookmarkStart w:id="106" w:name="_Toc38"/>
      <w:bookmarkEnd w:id="104"/>
      <w:bookmarkEnd w:id="105"/>
      <w:r>
        <w:rPr>
          <w:rtl w:val="true"/>
        </w:rPr>
        <w:t xml:space="preserve">القول </w:t>
      </w:r>
      <w:r>
        <w:rPr>
          <w:rtl w:val="true"/>
        </w:rPr>
        <w:t xml:space="preserve">: </w:t>
      </w:r>
      <w:r>
        <w:rPr>
          <w:rtl w:val="true"/>
        </w:rPr>
        <w:t>في كيفية غُسل الميّت</w:t>
      </w:r>
      <w:bookmarkEnd w:id="106"/>
    </w:p>
    <w:p>
      <w:pPr>
        <w:pStyle w:val="BookText"/>
        <w:rPr/>
      </w:pPr>
      <w:r>
        <w:rPr>
          <w:rFonts w:ascii="Amiri" w:hAnsi="Amiri" w:eastAsia="Amiri" w:cs="Amiri"/>
          <w:color w:val="111111"/>
          <w:sz w:val="28"/>
          <w:sz w:val="28"/>
          <w:szCs w:val="28"/>
          <w:rtl w:val="true"/>
          <w:lang w:bidi="ar-SA"/>
        </w:rPr>
        <w:t xml:space="preserve">يجب أوّلاً إزالة النجاسة عن بدنه ، والأقوى كفاية غسل كلّ عضو قبل تغسيله ، وإن كان الأحوط تطهير جميع الجسد قبل الشروع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تغسيله ثلاثة أغسال ، أوّلها بماء السدر ثمّ بماء الكافور ثمّ بالماء الخالص ، ولو خالف الترتيب عاد إلى ما يحصل به بإعادة ما حقّه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كلّ غسل من الأغسال الثلاثة كغسل الجنابة ، فيبدأ بغسل الرأس والرقبة ثمّ الطرف الأيمن ثمّ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الارتماس في الأغسال الثلاثة على الأحوط ؛ بأن يكتفي في كلّ غسل بارتماسة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في غسل كلّ عضو من الأعضاء الثلاثة من كلّ غسل من الأغسال الثلاثة رمس العضو في الماء الكثير مع مراعاة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كلّ من السدر والكافور أن يكون بمقدار يصدق أ نّه مخلوط بهما مع بقاء الماء على إطلاقه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أحد الخليطين أو كلاهما غسّل بالماء الخالص بدل المتعذّر على الأحوط</w:t>
      </w:r>
      <w:r>
        <w:rPr>
          <w:rStyle w:val="FootnoteAnchor"/>
          <w:rtl w:val="true"/>
        </w:rPr>
        <w:footnoteReference w:id="181"/>
      </w:r>
      <w:r>
        <w:rPr>
          <w:rFonts w:ascii="Amiri" w:hAnsi="Amiri" w:eastAsia="Amiri" w:cs="Amiri"/>
          <w:color w:val="111111"/>
          <w:sz w:val="28"/>
          <w:sz w:val="28"/>
          <w:szCs w:val="28"/>
          <w:rtl w:val="true"/>
          <w:lang w:bidi="ar-SA"/>
        </w:rPr>
        <w:t xml:space="preserve">قاصداً به البدلية مراعياً للترتيب بالنيّة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الماء للغسل ييمّم ثلاث تيمّمات بدلاً عن الأغسال الثلاثة على الترتيب ، والأحوط</w:t>
      </w:r>
      <w:r>
        <w:rPr>
          <w:rStyle w:val="FootnoteAnchor"/>
          <w:rtl w:val="true"/>
        </w:rPr>
        <w:footnoteReference w:id="182"/>
      </w:r>
      <w:r>
        <w:rPr>
          <w:rFonts w:ascii="Amiri" w:hAnsi="Amiri" w:eastAsia="Amiri" w:cs="Amiri"/>
          <w:color w:val="111111"/>
          <w:sz w:val="28"/>
          <w:sz w:val="28"/>
          <w:szCs w:val="28"/>
          <w:rtl w:val="true"/>
          <w:lang w:bidi="ar-SA"/>
        </w:rPr>
        <w:t xml:space="preserve">تيمّم آخر بقصد بدلية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وييمّم أيضاً إذا كان مجروحاً أو محروقاً أو مجدوراً بحيث يخاف من تناثر جلده لو اغتسل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أن يكون التيمّم بيد الحيّ</w:t>
      </w:r>
      <w:r>
        <w:rPr>
          <w:rStyle w:val="FootnoteAnchor"/>
          <w:rtl w:val="true"/>
        </w:rPr>
        <w:footnoteReference w:id="183"/>
      </w:r>
      <w:r>
        <w:rPr>
          <w:rFonts w:ascii="Amiri" w:hAnsi="Amiri" w:eastAsia="Amiri" w:cs="Amiri"/>
          <w:color w:val="111111"/>
          <w:sz w:val="28"/>
          <w:sz w:val="28"/>
          <w:szCs w:val="28"/>
          <w:rtl w:val="true"/>
          <w:lang w:bidi="ar-SA"/>
        </w:rPr>
        <w:t xml:space="preserve">وإن كان الأحوط تيمّم آخر بيد الميّت إن أمكن ، ويكفي ضربة واحدة للوجه واليدين وإن كان الأحوط التعدّد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من الماء إلاّ بمقدار غسل واحد غسّله غسلاً واحداً وييمّمه تيمّمين ، فإن كان عنده الخليطان أو السدر خاصّة صرف الماء في الغسل الأوّل وييمّمه للأخيرين ، وإن لم يكونا عنده فيحتمل أن يكون الحكم كذلك ، ويحتمل قريباً</w:t>
      </w:r>
      <w:r>
        <w:rPr>
          <w:rStyle w:val="FootnoteAnchor"/>
          <w:rtl w:val="true"/>
        </w:rPr>
        <w:footnoteReference w:id="184"/>
      </w:r>
      <w:r>
        <w:rPr>
          <w:rFonts w:ascii="Amiri" w:hAnsi="Amiri" w:eastAsia="Amiri" w:cs="Amiri"/>
          <w:color w:val="111111"/>
          <w:sz w:val="28"/>
          <w:sz w:val="28"/>
          <w:szCs w:val="28"/>
          <w:rtl w:val="true"/>
          <w:lang w:bidi="ar-SA"/>
        </w:rPr>
        <w:t xml:space="preserve">وجوب صرفه في الثالث والتيمّم للأوّلين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الاحتياط في مراعاة الاحتمالين ؛ بأن ييمّم تيمّمين بدلاً عن الغسلين الأوّلين على الترتيب احتياطاً ، ثمّ يغسّل بالماء بقصد ما في الذمّة مردّداً بين كونه الغسل الأوّل أو الثالث ، ثمّ تيمّمين بقصد الاحتياط أحدهما بدلاً عن الغسل الثاني والآخر بدلاً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عنده الكافور فقط صرفه في الغسل الثاني وييمّمه للأوّل والثالث ، ويحتمل صرفه</w:t>
      </w:r>
      <w:r>
        <w:rPr>
          <w:rStyle w:val="FootnoteAnchor"/>
          <w:rtl w:val="true"/>
        </w:rPr>
        <w:footnoteReference w:id="185"/>
      </w:r>
      <w:r>
        <w:rPr>
          <w:rFonts w:ascii="Amiri" w:hAnsi="Amiri" w:eastAsia="Amiri" w:cs="Amiri"/>
          <w:color w:val="111111"/>
          <w:sz w:val="28"/>
          <w:sz w:val="28"/>
          <w:szCs w:val="28"/>
          <w:rtl w:val="true"/>
          <w:lang w:bidi="ar-SA"/>
        </w:rPr>
        <w:t xml:space="preserve">في الأوّل والتيمّم للأخيرين ، والأحوط أن ييمّم أوّلاً بدلاً عن الغسل الأوّل ثمّ يغسّل بماء الكافور قاصداً به ما في الواقع ، من بدليته عن الغسل بماء السدر أو كونه الغسل الثاني ثمّ ييمّم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الغسل بماء الكافور والثاني بدلاً عن الغسل بالماء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 عنده من الماء يكفي لغسلين فإن كان عنده الخليطان صرفه في الأوّلين ويمّمه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w:t>
      </w:r>
      <w:r>
        <w:rPr>
          <w:rStyle w:val="FootnoteAnchor"/>
          <w:rtl w:val="true"/>
        </w:rPr>
        <w:footnoteReference w:id="186"/>
      </w:r>
      <w:r>
        <w:rPr>
          <w:rFonts w:ascii="Amiri" w:hAnsi="Amiri" w:eastAsia="Amiri" w:cs="Amiri"/>
          <w:color w:val="111111"/>
          <w:sz w:val="28"/>
          <w:sz w:val="28"/>
          <w:szCs w:val="28"/>
          <w:rtl w:val="true"/>
          <w:lang w:bidi="ar-SA"/>
        </w:rPr>
        <w:t xml:space="preserve">عنده السدر خاصّة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الميّت محرماً يغسّله ثلاثة أغسال كالمحلّ ، لكن لا يخلط الماء بالكافور في الغسل الثاني إلاّ أن يكون موته بعد الطواف</w:t>
      </w:r>
      <w:r>
        <w:rPr>
          <w:rStyle w:val="FootnoteAnchor"/>
          <w:rtl w:val="true"/>
        </w:rPr>
        <w:footnoteReference w:id="187"/>
      </w:r>
      <w:r>
        <w:rPr>
          <w:rFonts w:ascii="Amiri" w:hAnsi="Amiri" w:eastAsia="Amiri" w:cs="Amiri"/>
          <w:color w:val="111111"/>
          <w:sz w:val="28"/>
          <w:sz w:val="28"/>
          <w:szCs w:val="28"/>
          <w:rtl w:val="true"/>
          <w:lang w:bidi="ar-SA"/>
        </w:rPr>
        <w:t xml:space="preserve">في العمرة أو الحجّ ، وكذلك لا يحنّط بالكافور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يمّمه عند تعذّر الغسل أو غسّله بالماء الخالص لأجل تعذّر الخليط ثمّ ارتفع العذر فإن كان قبل الدفن يجب الغسل في الأوّل ويعيده</w:t>
      </w:r>
      <w:r>
        <w:rPr>
          <w:rStyle w:val="FootnoteAnchor"/>
          <w:rtl w:val="true"/>
        </w:rPr>
        <w:footnoteReference w:id="188"/>
      </w:r>
      <w:r>
        <w:rPr>
          <w:rFonts w:ascii="Amiri" w:hAnsi="Amiri" w:eastAsia="Amiri" w:cs="Amiri"/>
          <w:color w:val="111111"/>
          <w:sz w:val="28"/>
          <w:sz w:val="28"/>
          <w:szCs w:val="28"/>
          <w:rtl w:val="true"/>
          <w:lang w:bidi="ar-SA"/>
        </w:rPr>
        <w:t xml:space="preserve">مع الخليط في الثاني ، وإن كان بعده مضى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الميّت غسل جنابة أو حيض أو نحوهما أجزأ عنها غسل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الميّت بلا غسل ولو نسياناً وجب نبشه</w:t>
      </w:r>
      <w:r>
        <w:rPr>
          <w:rStyle w:val="FootnoteAnchor"/>
          <w:rtl w:val="true"/>
        </w:rPr>
        <w:footnoteReference w:id="189"/>
      </w:r>
      <w:r>
        <w:rPr>
          <w:rFonts w:ascii="Amiri" w:hAnsi="Amiri" w:eastAsia="Amiri" w:cs="Amiri"/>
          <w:color w:val="111111"/>
          <w:sz w:val="28"/>
          <w:sz w:val="28"/>
          <w:szCs w:val="28"/>
          <w:rtl w:val="true"/>
          <w:lang w:bidi="ar-SA"/>
        </w:rPr>
        <w:t xml:space="preserve">لتغسيله ، وكذا إذا ترك بعض الأغسال أو تبيّن بطلانها ، وكذا إذا دفن بلا تكفين أو مع الكفن الغصبي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تبيّن أ نّه لم يصلّ عليه أو تبيّن بطلانها فلا يجوز نبشه لأجلها بل يصلّى على قبره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أخذ الاُجرة على تغسيل الميّت إلاّ إذا جعل الاُجرة في قبال بعض الاُمور الغير الواجبة ، مثل تليين أصابعه ومفاصله وغسل يديه قبل </w:t>
      </w:r>
      <w:bookmarkStart w:id="107" w:name="pg15003_159657"/>
    </w:p>
    <w:p>
      <w:pPr>
        <w:pStyle w:val="BookText"/>
        <w:rPr/>
      </w:pPr>
      <w:bookmarkEnd w:id="107"/>
      <w:r>
        <w:rPr>
          <w:rFonts w:ascii="Amiri" w:hAnsi="Amiri" w:eastAsia="Amiri" w:cs="Amiri"/>
          <w:color w:val="111111"/>
          <w:sz w:val="28"/>
          <w:sz w:val="28"/>
          <w:szCs w:val="28"/>
          <w:rtl w:val="true"/>
          <w:lang w:bidi="ar-SA"/>
        </w:rPr>
        <w:t xml:space="preserve">التغسيل إلى نصف الذراع وغسل رأسه برغوة السدر أو الخطمي وغسل فرجيه بالسدر أو الاُشنان قبل التغسيل وتنشيفه بعد الفراغ بثوب نظيف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بدن الميّت بعد الغسل 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نجاسة أو نجاسة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معه إعادة الغسل حتّى فيما لو خرج منه بول أو غائط على الأقوى ، وإن كان الأحوط إعادته فيما لو خرجا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إزالة الخبث عن جسده ولو كان بعد وضعه</w:t>
      </w:r>
      <w:r>
        <w:rPr>
          <w:rStyle w:val="FootnoteAnchor"/>
          <w:rtl w:val="true"/>
        </w:rPr>
        <w:footnoteReference w:id="190"/>
      </w:r>
      <w:r>
        <w:rPr>
          <w:rFonts w:ascii="Amiri" w:hAnsi="Amiri" w:eastAsia="Amiri" w:cs="Amiri"/>
          <w:color w:val="111111"/>
          <w:sz w:val="28"/>
          <w:sz w:val="28"/>
          <w:szCs w:val="28"/>
          <w:rtl w:val="true"/>
          <w:lang w:bidi="ar-SA"/>
        </w:rPr>
        <w:t xml:space="preserve">في القبر إلاّ مع التعذّر ولو لاستلزامها هتك حرمته بسبب إخراجه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اللوح أو السرير الذي يغسّل عليه الميّت لا يجب غسله بعد كلّ غسل من الأغسال الثلاثة ، نعم الأحوط غسله لميّت آخر ، وإن كان الأقوى أ نّه يطهر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الخرقة الموضوعة عليه فإنّها أيضاً تطهر بالتبع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91"/>
      </w:r>
      <w:r>
        <w:rPr>
          <w:rFonts w:ascii="Amiri" w:hAnsi="Amiri" w:eastAsia="Amiri" w:cs="Amiri"/>
          <w:color w:val="111111"/>
          <w:sz w:val="28"/>
          <w:sz w:val="28"/>
          <w:szCs w:val="28"/>
          <w:rtl w:val="true"/>
          <w:lang w:bidi="ar-SA"/>
        </w:rPr>
        <w:t xml:space="preserve">أن يوضع الميّت حال الغسل مستقبل القبلة على هيئة المحتضر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الوضوء للميّت على الأصحّ ، نعم يقوى استحبابه بل هو الأحوط ، وينبغي تقديمه على الغسل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87649_3406789950"/>
      <w:bookmarkStart w:id="109" w:name="_Toc39"/>
      <w:bookmarkEnd w:id="108"/>
      <w:r>
        <w:rPr>
          <w:rtl w:val="true"/>
        </w:rPr>
        <w:t xml:space="preserve">القول </w:t>
      </w:r>
      <w:r>
        <w:rPr>
          <w:rtl w:val="true"/>
        </w:rPr>
        <w:t xml:space="preserve">: </w:t>
      </w:r>
      <w:r>
        <w:rPr>
          <w:rtl w:val="true"/>
        </w:rPr>
        <w:t>في آداب الغُسل</w:t>
      </w:r>
      <w:bookmarkEnd w:id="1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على ساجة أو سرير ، وأن ينزع قميصه من طرف رجليه بل وإن استلزم فتقه لكن حينئذٍ يراعى</w:t>
      </w:r>
      <w:r>
        <w:rPr>
          <w:rStyle w:val="FootnoteAnchor"/>
          <w:rtl w:val="true"/>
        </w:rPr>
        <w:footnoteReference w:id="192"/>
      </w:r>
      <w:r>
        <w:rPr>
          <w:rFonts w:ascii="Amiri" w:hAnsi="Amiri" w:eastAsia="Amiri" w:cs="Amiri"/>
          <w:color w:val="111111"/>
          <w:sz w:val="28"/>
          <w:sz w:val="28"/>
          <w:szCs w:val="28"/>
          <w:rtl w:val="true"/>
          <w:lang w:bidi="ar-SA"/>
        </w:rPr>
        <w:t xml:space="preserve">رضا الورثة ، وأن يكون تحت الظلال </w:t>
      </w:r>
      <w:bookmarkStart w:id="110" w:name="pg15003_159658"/>
    </w:p>
    <w:p>
      <w:pPr>
        <w:pStyle w:val="BookText"/>
        <w:rPr/>
      </w:pPr>
      <w:bookmarkEnd w:id="110"/>
      <w:r>
        <w:rPr>
          <w:rFonts w:ascii="Amiri" w:hAnsi="Amiri" w:eastAsia="Amiri" w:cs="Amiri"/>
          <w:color w:val="111111"/>
          <w:sz w:val="28"/>
          <w:sz w:val="28"/>
          <w:szCs w:val="28"/>
          <w:rtl w:val="true"/>
          <w:lang w:bidi="ar-SA"/>
        </w:rPr>
        <w:t>من سقف أو خيمة ونحوهما ، وستر عورته وإن لم ينظر إليها أو كان المغسّل ممّن يجوز له النظر إليها ، وتليين أصابعه ومفاصله برفق ، وغسل يديه قبل التغسيل إلى نصف الذراع ، وغسل رأسه برغوة السدر أو الخطمي ، وغسل فرجيه بالسدر أو الاُشنان أمام الغسل ، ومسح بطنه</w:t>
      </w:r>
      <w:r>
        <w:rPr>
          <w:rStyle w:val="FootnoteAnchor"/>
          <w:rtl w:val="true"/>
        </w:rPr>
        <w:footnoteReference w:id="193"/>
      </w:r>
      <w:r>
        <w:rPr>
          <w:rFonts w:ascii="Amiri" w:hAnsi="Amiri" w:eastAsia="Amiri" w:cs="Amiri"/>
          <w:color w:val="111111"/>
          <w:sz w:val="28"/>
          <w:sz w:val="28"/>
          <w:szCs w:val="28"/>
          <w:rtl w:val="true"/>
          <w:lang w:bidi="ar-SA"/>
        </w:rPr>
        <w:t>برفق في الغسلين الأوّلين ، وتثليث غسل</w:t>
      </w:r>
      <w:r>
        <w:rPr>
          <w:rStyle w:val="FootnoteAnchor"/>
          <w:rtl w:val="true"/>
        </w:rPr>
        <w:footnoteReference w:id="194"/>
      </w:r>
      <w:r>
        <w:rPr>
          <w:rFonts w:ascii="Amiri" w:hAnsi="Amiri" w:eastAsia="Amiri" w:cs="Amiri"/>
          <w:color w:val="111111"/>
          <w:sz w:val="28"/>
          <w:sz w:val="28"/>
          <w:szCs w:val="28"/>
          <w:rtl w:val="true"/>
          <w:lang w:bidi="ar-SA"/>
        </w:rPr>
        <w:t xml:space="preserve">كلّ عضو من كلّ غسل ، فيصير مجموع الغسلات سبعاً وعشرين ، وتنشيف بدنه بعد الفراغ بثوب نظيف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من بدن الميّت شيء ؛ من جلد أو شعر أو ظفر أو سنّ يجعل معه في كفنه ويدفن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87651_3406789950"/>
      <w:bookmarkStart w:id="112" w:name="_Toc40"/>
      <w:bookmarkEnd w:id="111"/>
      <w:r>
        <w:rPr>
          <w:rtl w:val="true"/>
        </w:rPr>
        <w:t xml:space="preserve">القول </w:t>
      </w:r>
      <w:r>
        <w:rPr>
          <w:rtl w:val="true"/>
        </w:rPr>
        <w:t xml:space="preserve">: </w:t>
      </w:r>
      <w:r>
        <w:rPr>
          <w:rtl w:val="true"/>
        </w:rPr>
        <w:t>في تكفين الميّت</w:t>
      </w:r>
      <w:bookmarkEnd w:id="112"/>
    </w:p>
    <w:p>
      <w:pPr>
        <w:pStyle w:val="BookText"/>
        <w:rPr/>
      </w:pPr>
      <w:r>
        <w:rPr>
          <w:rFonts w:ascii="Amiri" w:hAnsi="Amiri" w:eastAsia="Amiri" w:cs="Amiri"/>
          <w:color w:val="111111"/>
          <w:sz w:val="28"/>
          <w:sz w:val="28"/>
          <w:szCs w:val="28"/>
          <w:rtl w:val="true"/>
          <w:lang w:bidi="ar-SA"/>
        </w:rPr>
        <w:t xml:space="preserve">وهو واجب كفائي كالتغسيل ، والواجب منه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يستر ما بين السُرّة والرُكبة ، وقميص يصل إلى نصف الساق لا أقلّ على الأحوط بل الأقوى</w:t>
      </w:r>
      <w:r>
        <w:rPr>
          <w:rStyle w:val="FootnoteAnchor"/>
          <w:rtl w:val="true"/>
        </w:rPr>
        <w:footnoteReference w:id="195"/>
      </w:r>
      <w:r>
        <w:rPr>
          <w:rFonts w:ascii="Amiri" w:hAnsi="Amiri" w:eastAsia="Amiri" w:cs="Amiri"/>
          <w:color w:val="111111"/>
          <w:sz w:val="28"/>
          <w:sz w:val="28"/>
          <w:szCs w:val="28"/>
          <w:rtl w:val="true"/>
          <w:lang w:bidi="ar-SA"/>
        </w:rPr>
        <w:t>، وإزار يغطّي تمام البدن ، فيجب أن يكون طوله زائداً على طول الجسد وعرضه بمقدار يمكن أن يوضع أحد جانبيه على الآخر ويلفّ عليه بحيث يستر جميع الجسد ، وعند تعذّر الجميع أتى بما تيسّر</w:t>
      </w:r>
      <w:r>
        <w:rPr>
          <w:rStyle w:val="FootnoteAnchor"/>
          <w:rtl w:val="true"/>
        </w:rPr>
        <w:footnoteReference w:id="196"/>
      </w:r>
      <w:r>
        <w:rPr>
          <w:rFonts w:ascii="Amiri" w:hAnsi="Amiri" w:eastAsia="Amiri" w:cs="Amiri"/>
          <w:color w:val="111111"/>
          <w:sz w:val="28"/>
          <w:sz w:val="28"/>
          <w:szCs w:val="28"/>
          <w:rtl w:val="true"/>
          <w:lang w:bidi="ar-SA"/>
        </w:rPr>
        <w:t xml:space="preserve">، حتّى إذا لم يمكن إلاّ ستر العورة وجب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التكفين بالمغصوب ولو في حال الاضطرار ، ولا بالحرير </w:t>
      </w:r>
    </w:p>
    <w:p>
      <w:pPr>
        <w:pStyle w:val="BookText"/>
        <w:rPr/>
      </w:pPr>
      <w:r>
        <w:rPr>
          <w:rFonts w:ascii="Amiri" w:hAnsi="Amiri" w:eastAsia="Amiri" w:cs="Amiri"/>
          <w:color w:val="111111"/>
          <w:sz w:val="28"/>
          <w:sz w:val="28"/>
          <w:szCs w:val="28"/>
          <w:rtl w:val="true"/>
          <w:lang w:bidi="ar-SA"/>
        </w:rPr>
        <w:t xml:space="preserve">الخالص ولو للطفل والمرأة ، ولا بجلد الميتة ، ولا بالنجس حتّى ما عفي عنه في الصلاة ، ولا بما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جلداً كان أو شعراً أو 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بجلد المأكول أيضاً على الأحوط ، دون صوفه وشعره ووبره فإنّه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عدم جواز التكفين بما ذكر فيما عدا المغصوب بحال الاختيار ، فيجوز الجميع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الدوران يقدّم جلد المأكول</w:t>
      </w:r>
      <w:r>
        <w:rPr>
          <w:rStyle w:val="FootnoteAnchor"/>
          <w:rtl w:val="true"/>
        </w:rPr>
        <w:footnoteReference w:id="197"/>
      </w:r>
      <w:r>
        <w:rPr>
          <w:rFonts w:ascii="Amiri" w:hAnsi="Amiri" w:eastAsia="Amiri" w:cs="Amiri"/>
          <w:color w:val="111111"/>
          <w:sz w:val="28"/>
          <w:sz w:val="28"/>
          <w:szCs w:val="28"/>
          <w:rtl w:val="true"/>
          <w:lang w:bidi="ar-SA"/>
        </w:rPr>
        <w:t>ثمّ النجس ثمّ الحرير</w:t>
      </w:r>
      <w:r>
        <w:rPr>
          <w:rStyle w:val="FootnoteAnchor"/>
          <w:rtl w:val="true"/>
        </w:rPr>
        <w:footnoteReference w:id="198"/>
      </w:r>
      <w:r>
        <w:rPr>
          <w:rFonts w:ascii="Amiri" w:hAnsi="Amiri" w:eastAsia="Amiri" w:cs="Amiri"/>
          <w:color w:val="111111"/>
          <w:sz w:val="28"/>
          <w:sz w:val="28"/>
          <w:szCs w:val="28"/>
          <w:rtl w:val="true"/>
          <w:lang w:bidi="ar-SA"/>
        </w:rPr>
        <w:t xml:space="preserve">ثمّ أجزاء الغير المأكول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تنجّس الكفن قبل الوضع في القبر وجب إزالة النجاسة عنه ؛ بغسل أو قرض غير قادح في الكفن وكذا بعد الوضع</w:t>
      </w:r>
      <w:r>
        <w:rPr>
          <w:rStyle w:val="FootnoteAnchor"/>
          <w:rtl w:val="true"/>
        </w:rPr>
        <w:footnoteReference w:id="199"/>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غسله ولو من جهة توقّفه على إخراجه تعيّن القرض ، كما أ نّه يتعيّن الغسل</w:t>
      </w:r>
      <w:r>
        <w:rPr>
          <w:rStyle w:val="FootnoteAnchor"/>
          <w:rtl w:val="true"/>
        </w:rPr>
        <w:footnoteReference w:id="200"/>
      </w:r>
      <w:r>
        <w:rPr>
          <w:rFonts w:ascii="Amiri" w:hAnsi="Amiri" w:eastAsia="Amiri" w:cs="Amiri"/>
          <w:color w:val="111111"/>
          <w:sz w:val="28"/>
          <w:sz w:val="28"/>
          <w:szCs w:val="28"/>
          <w:rtl w:val="true"/>
          <w:lang w:bidi="ar-SA"/>
        </w:rPr>
        <w:t xml:space="preserve">لو تعذّر القرض ولو من جهة استلزامه زوال ساترية الكفن ، ولو تعذّرا وجب تبديله مع الإمكان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الكفن</w:t>
      </w:r>
      <w:r>
        <w:rPr>
          <w:rStyle w:val="FootnoteAnchor"/>
          <w:rtl w:val="true"/>
        </w:rPr>
        <w:footnoteReference w:id="201"/>
      </w:r>
      <w:r>
        <w:rPr>
          <w:rFonts w:ascii="Amiri" w:hAnsi="Amiri" w:eastAsia="Amiri" w:cs="Amiri"/>
          <w:color w:val="111111"/>
          <w:sz w:val="28"/>
          <w:sz w:val="28"/>
          <w:szCs w:val="28"/>
          <w:rtl w:val="true"/>
          <w:lang w:bidi="ar-SA"/>
        </w:rPr>
        <w:t xml:space="preserve">من أصل التركة مقدّماً على الديون والوصايا </w:t>
      </w:r>
    </w:p>
    <w:p>
      <w:pPr>
        <w:pStyle w:val="BookText"/>
        <w:rPr/>
      </w:pPr>
      <w:r>
        <w:rPr>
          <w:rFonts w:ascii="Amiri" w:hAnsi="Amiri" w:eastAsia="Amiri" w:cs="Amiri"/>
          <w:color w:val="111111"/>
          <w:sz w:val="28"/>
          <w:sz w:val="28"/>
          <w:szCs w:val="28"/>
          <w:rtl w:val="true"/>
          <w:lang w:bidi="ar-SA"/>
        </w:rPr>
        <w:t xml:space="preserve">والميراث ، وكذا القدر الواجب من سائر مؤن التجهيز ؛ من الماء والسدر والكافور وقيمة الأرض حتّى ما تأخذه الحكومة للدفن في الأرض المباحة واُجرة الحمّال والحفّار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التركة متعلّقاً لحقّ الغير بسبب الفلس أو الرهانة فالظاهر تقديم الكفن عليه ، نعم في تقديمه على حقّ الجناية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له تركة بمقدار الكفن دفن عرياناً ، ولا يجب على المسلمين بذله بل يستحبّ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الزوجة بل وسائر مؤن تجهيزها على زوجها ولو مع يسارها ؛ كبيرة كانت أو صغيرة ، مجنونة كانت أو عاقلة ، حرّة كانت أو أمة ، مدخولة كانت أو غير مدخولة ، مطيعة كانت أو 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المنقطعة سيّما إذا كانت مدّة نكاحها قصيرة جدّاً وكذلك في المطلّقة الرجعية</w:t>
      </w:r>
      <w:r>
        <w:rPr>
          <w:rStyle w:val="FootnoteAnchor"/>
          <w:rtl w:val="true"/>
        </w:rPr>
        <w:footnoteReference w:id="202"/>
      </w:r>
      <w:r>
        <w:rPr>
          <w:rFonts w:ascii="Amiri" w:hAnsi="Amiri" w:eastAsia="Amiri" w:cs="Amiri"/>
          <w:color w:val="111111"/>
          <w:sz w:val="28"/>
          <w:sz w:val="28"/>
          <w:szCs w:val="28"/>
          <w:rtl w:val="true"/>
          <w:lang w:bidi="ar-SA"/>
        </w:rPr>
        <w:t xml:space="preserve">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تبرّع متبرّع بكفنها سقط عن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الزوج بعد زوجته</w:t>
      </w:r>
      <w:r>
        <w:rPr>
          <w:rStyle w:val="FootnoteAnchor"/>
          <w:rtl w:val="true"/>
        </w:rPr>
        <w:footnoteReference w:id="203"/>
      </w:r>
      <w:r>
        <w:rPr>
          <w:rFonts w:ascii="Amiri" w:hAnsi="Amiri" w:eastAsia="Amiri" w:cs="Amiri"/>
          <w:color w:val="111111"/>
          <w:sz w:val="28"/>
          <w:sz w:val="28"/>
          <w:szCs w:val="28"/>
          <w:rtl w:val="true"/>
          <w:lang w:bidi="ar-SA"/>
        </w:rPr>
        <w:t xml:space="preserve">ولم يكن له من المال إلاّ بمقدار كفن واحد قدّم عليها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معسراً فكفن الزوجة من تركتها ، فلو أيسر بعد ذلك</w:t>
      </w:r>
      <w:r>
        <w:rPr>
          <w:rStyle w:val="FootnoteAnchor"/>
          <w:rtl w:val="true"/>
        </w:rPr>
        <w:footnoteReference w:id="204"/>
      </w:r>
      <w:r>
        <w:rPr>
          <w:rFonts w:ascii="Amiri" w:hAnsi="Amiri" w:eastAsia="Amiri" w:cs="Amiri"/>
          <w:color w:val="111111"/>
          <w:sz w:val="28"/>
          <w:sz w:val="28"/>
          <w:szCs w:val="28"/>
          <w:rtl w:val="true"/>
          <w:lang w:bidi="ar-SA"/>
        </w:rPr>
        <w:t xml:space="preserve">ليس للورثة مطالبة قيمته </w:t>
      </w:r>
      <w:r>
        <w:rPr>
          <w:rFonts w:eastAsia="Amiri" w:cs="Amiri" w:ascii="Amiri" w:hAnsi="Amiri"/>
          <w:color w:val="111111"/>
          <w:sz w:val="28"/>
          <w:szCs w:val="28"/>
          <w:rtl w:val="true"/>
          <w:lang w:bidi="ar-SA"/>
        </w:rPr>
        <w:t xml:space="preserve">. </w:t>
      </w:r>
      <w:bookmarkStart w:id="113" w:name="pg15003_159661"/>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بالزوجة في وجوب الكفن من وجبت نفقته من الأقارب ، نعم كفن المملوك على سيّده ، إلاّ الأمة المزوّجة فعلى زوجها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87653_3406789950"/>
      <w:bookmarkStart w:id="115" w:name="_Toc41"/>
      <w:bookmarkEnd w:id="114"/>
      <w:r>
        <w:rPr>
          <w:rtl w:val="true"/>
        </w:rPr>
        <w:t xml:space="preserve">القول </w:t>
      </w:r>
      <w:r>
        <w:rPr>
          <w:rtl w:val="true"/>
        </w:rPr>
        <w:t xml:space="preserve">: </w:t>
      </w:r>
      <w:r>
        <w:rPr>
          <w:rtl w:val="true"/>
        </w:rPr>
        <w:t>في مستحبّات الكفن وآداب التكفين</w:t>
      </w:r>
      <w:bookmarkEnd w:id="1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الزيادة على القطع الثلاث في كلّ من الرجل والمرأة بخرقة للفخذين ؛ طولها ثلاثة أذرع ونصف وعرضها شبر</w:t>
      </w:r>
      <w:r>
        <w:rPr>
          <w:rStyle w:val="FootnoteAnchor"/>
          <w:rtl w:val="true"/>
        </w:rPr>
        <w:footnoteReference w:id="205"/>
      </w:r>
      <w:r>
        <w:rPr>
          <w:rFonts w:ascii="Amiri" w:hAnsi="Amiri" w:eastAsia="Amiri" w:cs="Amiri"/>
          <w:color w:val="111111"/>
          <w:sz w:val="28"/>
          <w:sz w:val="28"/>
          <w:szCs w:val="28"/>
          <w:rtl w:val="true"/>
          <w:lang w:bidi="ar-SA"/>
        </w:rPr>
        <w:t>، تشدّ من الحقوين ثمّ تلفّ على الفخذين لفّاً شديداً على وجه لا يظهر منهما شيء إلى أن تصل إلى الركبتين ، ثمّ يخرج رأسها من تحت رجليه إلى جانب الأيمن</w:t>
      </w:r>
      <w:r>
        <w:rPr>
          <w:rStyle w:val="FootnoteAnchor"/>
          <w:rtl w:val="true"/>
        </w:rPr>
        <w:footnoteReference w:id="206"/>
      </w:r>
      <w:r>
        <w:rPr>
          <w:rFonts w:ascii="Amiri" w:hAnsi="Amiri" w:eastAsia="Amiri" w:cs="Amiri"/>
          <w:color w:val="111111"/>
          <w:sz w:val="28"/>
          <w:sz w:val="28"/>
          <w:szCs w:val="28"/>
          <w:rtl w:val="true"/>
          <w:lang w:bidi="ar-SA"/>
        </w:rPr>
        <w:t>وجعل شيء من القطن بين الأليتين على وجه يستر العورتين بعد وضع شيء من الحنوط عليه</w:t>
      </w:r>
      <w:r>
        <w:rPr>
          <w:rStyle w:val="FootnoteAnchor"/>
          <w:rtl w:val="true"/>
        </w:rPr>
        <w:footnoteReference w:id="207"/>
      </w:r>
      <w:r>
        <w:rPr>
          <w:rFonts w:ascii="Amiri" w:hAnsi="Amiri" w:eastAsia="Amiri" w:cs="Amiri"/>
          <w:color w:val="111111"/>
          <w:sz w:val="28"/>
          <w:sz w:val="28"/>
          <w:szCs w:val="28"/>
          <w:rtl w:val="true"/>
          <w:lang w:bidi="ar-SA"/>
        </w:rPr>
        <w:t xml:space="preserve">، ويحشى دُبره بشيء منه إذا خشي خروج شيء منه ، بل وقبل المرأة أيضاً ، سيّما إذا كان يخشى خروج دم النفاس ونحوه منه ، كلّ ذلك قبل اللفّ بالخرقة المذكورة ، ولفّافة اُخرى فوق اللفّافة الواجبة ، والأفضل كونها بُرداً يمانياً ، بل يقوى استحباب لفّافة ثالثة سيّما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الرجل خاصّة بعمامة يلفّ بها رأسه بالتدوير ، ويجعل طرفاها تحت الحنك ويلقيان على صدره ؛ الأيمن على الأيسر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المرأة خاصّة بمقنعة بدل العمامة ، ولفّافة يشدّ بها ثدياها إلى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إجادة الكفن ؛ فإنّ الموتى يتباهون يوم القيامة بأكفانهم ، وكونه من طهور المال لا تشوبه شبهة ، وأن يكون من القطن ، وأن يكون أبيض</w:t>
      </w:r>
      <w:r>
        <w:rPr>
          <w:rStyle w:val="FootnoteAnchor"/>
          <w:rtl w:val="true"/>
        </w:rPr>
        <w:footnoteReference w:id="208"/>
      </w:r>
      <w:r>
        <w:rPr>
          <w:rFonts w:ascii="IRNazanin" w:hAnsi="IRNazanin" w:eastAsia="IRNazanin"/>
          <w:color w:val="111111"/>
          <w:sz w:val="28"/>
          <w:sz w:val="28"/>
          <w:szCs w:val="28"/>
          <w:rtl w:val="true"/>
          <w:lang w:bidi="fa-IR"/>
        </w:rPr>
        <w:t xml:space="preserve">، </w:t>
      </w:r>
      <w:bookmarkStart w:id="116" w:name="pg15003_159662"/>
    </w:p>
    <w:p>
      <w:pPr>
        <w:pStyle w:val="BookText"/>
        <w:rPr/>
      </w:pPr>
      <w:bookmarkEnd w:id="116"/>
      <w:r>
        <w:rPr>
          <w:rFonts w:ascii="Amiri" w:hAnsi="Amiri" w:eastAsia="Amiri" w:cs="Amiri"/>
          <w:color w:val="111111"/>
          <w:sz w:val="28"/>
          <w:sz w:val="28"/>
          <w:szCs w:val="28"/>
          <w:rtl w:val="true"/>
          <w:lang w:bidi="ar-SA"/>
        </w:rPr>
        <w:t>وأن يكون من ثياب أحرم فيها أو كان يصلّي فيها ، وأن يخاط</w:t>
      </w:r>
      <w:r>
        <w:rPr>
          <w:rStyle w:val="FootnoteAnchor"/>
          <w:rtl w:val="true"/>
        </w:rPr>
        <w:footnoteReference w:id="209"/>
      </w:r>
      <w:r>
        <w:rPr>
          <w:rFonts w:ascii="Amiri" w:hAnsi="Amiri" w:eastAsia="Amiri" w:cs="Amiri"/>
          <w:color w:val="111111"/>
          <w:sz w:val="28"/>
          <w:sz w:val="28"/>
          <w:szCs w:val="28"/>
          <w:rtl w:val="true"/>
          <w:lang w:bidi="ar-SA"/>
        </w:rPr>
        <w:t>بخيوطه إذا احتاج إلى الخياطة ، وأن يلقى عليه</w:t>
      </w:r>
      <w:r>
        <w:rPr>
          <w:rStyle w:val="FootnoteAnchor"/>
          <w:rtl w:val="true"/>
        </w:rPr>
        <w:footnoteReference w:id="210"/>
      </w:r>
      <w:r>
        <w:rPr>
          <w:rFonts w:ascii="Amiri" w:hAnsi="Amiri" w:eastAsia="Amiri" w:cs="Amiri"/>
          <w:color w:val="111111"/>
          <w:sz w:val="28"/>
          <w:sz w:val="28"/>
          <w:szCs w:val="28"/>
          <w:rtl w:val="true"/>
          <w:lang w:bidi="ar-SA"/>
        </w:rPr>
        <w:t>شيء من الكافور ، وأن يكتب على حاشية جميع قطع الكفن</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فلان بن فلان يشهد أن لا إله إلاّ اللّه وحده لا شريك له وأنّ محمّداً رسول اللّه صلی الله علیه و آله وسلم وأنّ علياً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الأئمّة علیهم السلام إلى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أئمّته وسادته وقادته ، وأنّ البعث والثواب والعقاب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يكتب عليه الجوشن الصغير</w:t>
      </w:r>
      <w:r>
        <w:rPr>
          <w:rStyle w:val="FootnoteAnchor"/>
          <w:rtl w:val="true"/>
        </w:rPr>
        <w:footnoteReference w:id="212"/>
      </w:r>
      <w:r>
        <w:rPr>
          <w:rFonts w:ascii="Amiri" w:hAnsi="Amiri" w:eastAsia="Amiri" w:cs="Amiri"/>
          <w:color w:val="111111"/>
          <w:sz w:val="28"/>
          <w:sz w:val="28"/>
          <w:szCs w:val="28"/>
          <w:rtl w:val="true"/>
          <w:lang w:bidi="ar-SA"/>
        </w:rPr>
        <w:t xml:space="preserve">بل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بل الأحوط</w:t>
      </w:r>
      <w:r>
        <w:rPr>
          <w:rStyle w:val="FootnoteAnchor"/>
          <w:rtl w:val="true"/>
        </w:rPr>
        <w:footnoteReference w:id="213"/>
      </w:r>
      <w:r>
        <w:rPr>
          <w:rFonts w:ascii="Amiri" w:hAnsi="Amiri" w:eastAsia="Amiri" w:cs="Amiri"/>
          <w:color w:val="111111"/>
          <w:sz w:val="28"/>
          <w:sz w:val="28"/>
          <w:szCs w:val="28"/>
          <w:rtl w:val="true"/>
          <w:lang w:bidi="ar-SA"/>
        </w:rPr>
        <w:t xml:space="preserve">أن يكون ذلك كلّه في مقام يؤمن عليه من النجاسة والقذارة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w:t>
      </w:r>
      <w:r>
        <w:rPr>
          <w:rStyle w:val="FootnoteAnchor"/>
          <w:rtl w:val="true"/>
        </w:rPr>
        <w:footnoteReference w:id="214"/>
      </w:r>
      <w:r>
        <w:rPr>
          <w:rFonts w:ascii="Amiri" w:hAnsi="Amiri" w:eastAsia="Amiri" w:cs="Amiri"/>
          <w:color w:val="111111"/>
          <w:sz w:val="28"/>
          <w:sz w:val="28"/>
          <w:szCs w:val="28"/>
          <w:rtl w:val="true"/>
          <w:lang w:bidi="ar-SA"/>
        </w:rPr>
        <w:t xml:space="preserve">للمباشر للتكفين إذا كان هو المغسّل الغسل من المسّ والوضوء قبل التكفين ، وإذا كان غيره الطهارة من الحدث الأكبر والأصغر </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87655_3406789950"/>
      <w:bookmarkStart w:id="118" w:name="_Toc42"/>
      <w:bookmarkEnd w:id="117"/>
      <w:r>
        <w:rPr>
          <w:rtl w:val="true"/>
        </w:rPr>
        <w:t xml:space="preserve">القول </w:t>
      </w:r>
      <w:r>
        <w:rPr>
          <w:rtl w:val="true"/>
        </w:rPr>
        <w:t xml:space="preserve">: </w:t>
      </w:r>
      <w:r>
        <w:rPr>
          <w:rtl w:val="true"/>
        </w:rPr>
        <w:t>في الحنوط</w:t>
      </w:r>
      <w:bookmarkEnd w:id="1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واجب على الأصحّ ؛ صغيراً كان الميّت أو كبيراً ، ذكراً كان أو اُنثى ، ولا يجوز تحنيط المحرم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أن يكون بعد الغسل أو التيمّم ، والأقوى جوازه قبل التكفين وبعده وفي أثنائه وإن كان الأوّل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الكافور على مساجده السبعة ، ويستحبّ إضافة طرف الأنف إليها بل هو </w:t>
      </w:r>
      <w:bookmarkStart w:id="119" w:name="pg15003_159663"/>
    </w:p>
    <w:p>
      <w:pPr>
        <w:pStyle w:val="BookText"/>
        <w:rPr/>
      </w:pPr>
      <w:bookmarkEnd w:id="119"/>
      <w:r>
        <w:rPr>
          <w:rFonts w:ascii="Amiri" w:hAnsi="Amiri" w:eastAsia="Amiri" w:cs="Amiri"/>
          <w:color w:val="111111"/>
          <w:sz w:val="28"/>
          <w:sz w:val="28"/>
          <w:szCs w:val="28"/>
          <w:rtl w:val="true"/>
          <w:lang w:bidi="ar-SA"/>
        </w:rPr>
        <w:t>الأحوط ، بل لا يبعد</w:t>
      </w:r>
      <w:r>
        <w:rPr>
          <w:rStyle w:val="FootnoteAnchor"/>
          <w:rtl w:val="true"/>
        </w:rPr>
        <w:footnoteReference w:id="215"/>
      </w:r>
      <w:r>
        <w:rPr>
          <w:rFonts w:ascii="Amiri" w:hAnsi="Amiri" w:eastAsia="Amiri" w:cs="Amiri"/>
          <w:color w:val="111111"/>
          <w:sz w:val="28"/>
          <w:sz w:val="28"/>
          <w:szCs w:val="28"/>
          <w:rtl w:val="true"/>
          <w:lang w:bidi="ar-SA"/>
        </w:rPr>
        <w:t>استحباب مسح إبطيه ولَبّ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ومفاصله به ، ولا يقوم مقام الكافور طيب آخر حتّى عند الضرورة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مقدار معيّن من الكافور في الحنوط بل الواجب المسمّى ممّا يصدق معه المسح به ، والأفضل والأكمل أن يكون سبع مثاقيل صيرفية ، ودونه في الفضل أربعة مثاقيل شرعية ، ودونه أربعة دراهم ، ودونه مثقال</w:t>
      </w:r>
      <w:r>
        <w:rPr>
          <w:rStyle w:val="FootnoteAnchor"/>
          <w:rtl w:val="true"/>
        </w:rPr>
        <w:footnoteReference w:id="216"/>
      </w:r>
      <w:r>
        <w:rPr>
          <w:rFonts w:ascii="Amiri" w:hAnsi="Amiri" w:eastAsia="Amiri" w:cs="Amiri"/>
          <w:color w:val="111111"/>
          <w:sz w:val="28"/>
          <w:sz w:val="28"/>
          <w:szCs w:val="28"/>
          <w:rtl w:val="true"/>
          <w:lang w:bidi="ar-SA"/>
        </w:rPr>
        <w:t xml:space="preserve">شرعي ، ولو تعذّر الجميع حتّى المسمّى منه دفن بغير حنوط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خلط كافور الحنوط بشيء من التربة الشريفة ، لكن لا يمسح به المواضع المنافية لاحترامها كالإبهامين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87657_3406789950"/>
      <w:bookmarkStart w:id="121" w:name="_Toc43"/>
      <w:bookmarkEnd w:id="120"/>
      <w:r>
        <w:rPr>
          <w:rtl w:val="true"/>
        </w:rPr>
        <w:t xml:space="preserve">القول </w:t>
      </w:r>
      <w:r>
        <w:rPr>
          <w:rtl w:val="true"/>
        </w:rPr>
        <w:t xml:space="preserve">: </w:t>
      </w:r>
      <w:r>
        <w:rPr>
          <w:rtl w:val="true"/>
        </w:rPr>
        <w:t>في الجريدتين</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السنن الأكيدة عند الشيعة وضع عودين رطبين مع الميّت ؛ صغيراً</w:t>
      </w:r>
      <w:r>
        <w:rPr>
          <w:rStyle w:val="FootnoteAnchor"/>
          <w:rtl w:val="true"/>
        </w:rPr>
        <w:footnoteReference w:id="217"/>
      </w:r>
      <w:r>
        <w:rPr>
          <w:rFonts w:ascii="Amiri" w:hAnsi="Amiri" w:eastAsia="Amiri" w:cs="Amiri"/>
          <w:color w:val="111111"/>
          <w:sz w:val="28"/>
          <w:sz w:val="28"/>
          <w:szCs w:val="28"/>
          <w:rtl w:val="true"/>
          <w:lang w:bidi="ar-SA"/>
        </w:rPr>
        <w:t>أو كبيراً ، ذكراً أو اُنثى ، والأفضل كونهما من جريد النخل ، وإن لم يتيسّر فمن السدر ، وإلاّ فمن الخلاف أو الرمّان</w:t>
      </w:r>
      <w:r>
        <w:rPr>
          <w:rStyle w:val="FootnoteAnchor"/>
          <w:rtl w:val="true"/>
        </w:rPr>
        <w:footnoteReference w:id="218"/>
      </w:r>
      <w:r>
        <w:rPr>
          <w:rFonts w:ascii="Amiri" w:hAnsi="Amiri" w:eastAsia="Amiri" w:cs="Amiri"/>
          <w:color w:val="111111"/>
          <w:sz w:val="28"/>
          <w:sz w:val="28"/>
          <w:szCs w:val="28"/>
          <w:rtl w:val="true"/>
          <w:lang w:bidi="ar-SA"/>
        </w:rPr>
        <w:t xml:space="preserve">، وإلاّ فمن كلّ شجر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كونهما بمقدار عظم الذراع وإن أجزأ الأقلّ والأكثر</w:t>
      </w:r>
      <w:r>
        <w:rPr>
          <w:rStyle w:val="FootnoteAnchor"/>
          <w:rtl w:val="true"/>
        </w:rPr>
        <w:footnoteReference w:id="219"/>
      </w:r>
      <w:r>
        <w:rPr>
          <w:rFonts w:ascii="Amiri" w:hAnsi="Amiri" w:eastAsia="Amiri" w:cs="Amiri"/>
          <w:color w:val="111111"/>
          <w:sz w:val="28"/>
          <w:sz w:val="28"/>
          <w:szCs w:val="28"/>
          <w:rtl w:val="true"/>
          <w:lang w:bidi="ar-SA"/>
        </w:rPr>
        <w:t xml:space="preserve">، كما أنّ الأولى في كيفية وضعهما جعل إحداهما في جانبه الأيمن من عند الترقوة إلى ما بلغت ملصقة بجلده والاُخرى في جانبه الأيسر من عند الترقوة إلى ما بلغت فوق القميص تحت اللفّافة </w:t>
      </w:r>
      <w:r>
        <w:rPr>
          <w:rFonts w:eastAsia="Amiri" w:cs="Amiri" w:ascii="Amiri" w:hAnsi="Amiri"/>
          <w:color w:val="111111"/>
          <w:sz w:val="28"/>
          <w:szCs w:val="28"/>
          <w:rtl w:val="true"/>
          <w:lang w:bidi="ar-SA"/>
        </w:rPr>
        <w:t xml:space="preserve">. </w:t>
      </w:r>
      <w:bookmarkStart w:id="122" w:name="pg15003_159664"/>
    </w:p>
    <w:p>
      <w:pPr>
        <w:pStyle w:val="Heading4"/>
        <w:numPr>
          <w:ilvl w:val="3"/>
          <w:numId w:val="1"/>
        </w:numPr>
        <w:rPr/>
      </w:pPr>
      <w:bookmarkStart w:id="123" w:name="__RefHeading___Toc487659_3406789950"/>
      <w:bookmarkStart w:id="124" w:name="_Toc44"/>
      <w:bookmarkEnd w:id="122"/>
      <w:bookmarkEnd w:id="123"/>
      <w:r>
        <w:rPr>
          <w:rtl w:val="true"/>
        </w:rPr>
        <w:t xml:space="preserve">القول </w:t>
      </w:r>
      <w:r>
        <w:rPr>
          <w:rtl w:val="true"/>
        </w:rPr>
        <w:t xml:space="preserve">: </w:t>
      </w:r>
      <w:r>
        <w:rPr>
          <w:rtl w:val="true"/>
        </w:rPr>
        <w:t>في تشييع الجنازة</w:t>
      </w:r>
      <w:bookmarkEnd w:id="124"/>
    </w:p>
    <w:p>
      <w:pPr>
        <w:pStyle w:val="BookText"/>
        <w:rPr/>
      </w:pPr>
      <w:r>
        <w:rPr>
          <w:rFonts w:ascii="Amiri" w:hAnsi="Amiri" w:eastAsia="Amiri" w:cs="Amiri"/>
          <w:color w:val="111111"/>
          <w:sz w:val="28"/>
          <w:sz w:val="28"/>
          <w:szCs w:val="28"/>
          <w:rtl w:val="true"/>
          <w:lang w:bidi="ar-SA"/>
        </w:rPr>
        <w:t xml:space="preserve">وفضله كثير وثوابه خطير حتّى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فله بكلّ خطوة حتّى يرجع مائة ألف حسنة ، ويُمحى عنه مائة ألف سيّئة ، ويرفع له مائة ألف درجة ، فإن صلّى عليها يشيّعه مائة ألف ملك كلّهم يستغفرون له ، فإن شهد دفنها وكّل اللّه به مائة ألف ملك يستغفرون له حتّى يبعث من قبره ، ومن صلّى على ميّت صلّى عليه جبرئيل وسبعون ألف ملك وغفر له ما تقدّم من ذنبه ، وإن أقام عليه حتّى يدفنه وحثى عليه من التراب انقلب من الجنازة وله بكلّ قدم من حيث تبعها حتّى يرجع إلى منزله قيراط من الأجر ، والقيراط مثل جبل اُحد يلقى في ميزانه من الأجر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آدابه فهي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Style w:val="FootnoteAnchor"/>
          <w:rtl w:val="true"/>
        </w:rPr>
        <w:footnoteReference w:id="220"/>
      </w:r>
      <w:r>
        <w:rPr>
          <w:rFonts w:ascii="Amiri" w:hAnsi="Amiri" w:eastAsia="Amiri" w:cs="Amiri"/>
          <w:color w:val="111111"/>
          <w:sz w:val="28"/>
          <w:sz w:val="28"/>
          <w:szCs w:val="28"/>
          <w:rtl w:val="true"/>
          <w:lang w:bidi="ar-SA"/>
        </w:rPr>
        <w:t xml:space="preserve">حين حمل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وصلّى اللّه على محمّد وآل محمّد ، اللهمّ اغفر للمؤمنين والمؤمنات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 بل الظاهر</w:t>
      </w:r>
      <w:r>
        <w:rPr>
          <w:rStyle w:val="FootnoteAnchor"/>
          <w:rtl w:val="true"/>
        </w:rPr>
        <w:footnoteReference w:id="221"/>
      </w:r>
      <w:r>
        <w:rPr>
          <w:rFonts w:ascii="Amiri" w:hAnsi="Amiri" w:eastAsia="Amiri" w:cs="Amiri"/>
          <w:color w:val="111111"/>
          <w:sz w:val="28"/>
          <w:sz w:val="28"/>
          <w:szCs w:val="28"/>
          <w:rtl w:val="true"/>
          <w:lang w:bidi="ar-SA"/>
        </w:rPr>
        <w:t xml:space="preserve">كراهة الركوب إلاّ لعذر ، نعم لا يكره في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خلف الجنازة أو جانبيها لا قدّامها</w:t>
      </w:r>
      <w:r>
        <w:rPr>
          <w:rStyle w:val="FootnoteAnchor"/>
          <w:rtl w:val="true"/>
        </w:rPr>
        <w:footnoteReference w:id="222"/>
      </w:r>
      <w:r>
        <w:rPr>
          <w:rFonts w:ascii="IRNazanin" w:hAnsi="IRNazanin" w:eastAsia="IRNazanin"/>
          <w:color w:val="111111"/>
          <w:sz w:val="28"/>
          <w:sz w:val="28"/>
          <w:szCs w:val="28"/>
          <w:rtl w:val="true"/>
          <w:lang w:bidi="fa-IR"/>
        </w:rPr>
        <w:t xml:space="preserve">، والأوّل أفضل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لا على الدابّ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Style w:val="FootnoteAnchor"/>
          <w:rtl w:val="true"/>
        </w:rPr>
        <w:footnoteReference w:id="223"/>
      </w:r>
      <w:r>
        <w:rPr>
          <w:rFonts w:ascii="Amiri" w:hAnsi="Amiri" w:eastAsia="Amiri" w:cs="Amiri"/>
          <w:color w:val="111111"/>
          <w:sz w:val="28"/>
          <w:sz w:val="28"/>
          <w:szCs w:val="28"/>
          <w:rtl w:val="true"/>
          <w:lang w:bidi="ar-SA"/>
        </w:rPr>
        <w:t xml:space="preserve">ونحوها إلاّ لعذر كبعد المسافة </w:t>
      </w:r>
      <w:r>
        <w:rPr>
          <w:rFonts w:eastAsia="Amiri" w:cs="Amiri" w:ascii="Amiri" w:hAnsi="Amiri"/>
          <w:color w:val="111111"/>
          <w:sz w:val="28"/>
          <w:szCs w:val="28"/>
          <w:rtl w:val="true"/>
          <w:lang w:bidi="ar-SA"/>
        </w:rPr>
        <w:t xml:space="preserve">. </w:t>
      </w:r>
      <w:bookmarkStart w:id="125" w:name="pg15003_159665"/>
    </w:p>
    <w:p>
      <w:pPr>
        <w:pStyle w:val="BookText"/>
        <w:rPr/>
      </w:pPr>
      <w:bookmarkEnd w:id="125"/>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المشيّع خاشعاً متفكّراً متصوّراً أ نّه هو المحمول وقد سأل الرجوع إلى الدنيا فاُجيب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التربيع ؛ بمعنى أن يحمل الشخص الواحد جوانبها الأربعة ، والأفضل أن يبتدئ بمقدّم السرير من طرف يمين الميّت فيضعه على عاتقه الأيمن ، ثمّ يحمل مؤخّره الأيمن على عاتقه الأيمن ، ثمّ مؤخّره الأيسر على عاتقه الأيسر ، ثمّ ينتقل إلى المقدّم الأيسر ويضعه على عاتقه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المصيبة حافياً ، واضعاً رداءه ، أو مغيّراً زيّه على وجه آخر</w:t>
      </w:r>
      <w:r>
        <w:rPr>
          <w:rStyle w:val="FootnoteAnchor"/>
          <w:rtl w:val="true"/>
        </w:rPr>
        <w:footnoteReference w:id="224"/>
      </w:r>
      <w:r>
        <w:rPr>
          <w:rFonts w:ascii="Amiri" w:hAnsi="Amiri" w:eastAsia="Amiri" w:cs="Amiri"/>
          <w:color w:val="111111"/>
          <w:sz w:val="28"/>
          <w:sz w:val="28"/>
          <w:szCs w:val="28"/>
          <w:rtl w:val="true"/>
          <w:lang w:bidi="ar-SA"/>
        </w:rPr>
        <w:t>حتّى يعرف ، ويكره الضحك واللعب واللهو ووضع الرداء لغير صاحب المصيبة ، والكلام</w:t>
      </w:r>
      <w:r>
        <w:rPr>
          <w:rStyle w:val="FootnoteAnchor"/>
          <w:rtl w:val="true"/>
        </w:rPr>
        <w:footnoteReference w:id="225"/>
      </w:r>
      <w:r>
        <w:rPr>
          <w:rFonts w:ascii="Amiri" w:hAnsi="Amiri" w:eastAsia="Amiri" w:cs="Amiri"/>
          <w:color w:val="111111"/>
          <w:sz w:val="28"/>
          <w:sz w:val="28"/>
          <w:szCs w:val="28"/>
          <w:rtl w:val="true"/>
          <w:lang w:bidi="ar-SA"/>
        </w:rPr>
        <w:t>بغير الذكر والدعاء والاستغفار ، حتّى أ نّه نهي عن السلام على المشيّع ، وتشييع النساء</w:t>
      </w:r>
      <w:r>
        <w:rPr>
          <w:rStyle w:val="FootnoteAnchor"/>
          <w:rtl w:val="true"/>
        </w:rPr>
        <w:footnoteReference w:id="226"/>
      </w:r>
      <w:r>
        <w:rPr>
          <w:rFonts w:ascii="Amiri" w:hAnsi="Amiri" w:eastAsia="Amiri" w:cs="Amiri"/>
          <w:color w:val="111111"/>
          <w:sz w:val="28"/>
          <w:sz w:val="28"/>
          <w:szCs w:val="28"/>
          <w:rtl w:val="true"/>
          <w:lang w:bidi="ar-SA"/>
        </w:rPr>
        <w:t>الجنازة حتّى للنساء ، والإسراع في المشي على وجه ينافي الرفق بالميّت ، سيّما إذا كان بالعَدْو ، بل ينبغي الوسط في المشي ، واتّباعها بالنار ولو بمجمرة إلاّ المصباح</w:t>
      </w:r>
      <w:r>
        <w:rPr>
          <w:rStyle w:val="FootnoteAnchor"/>
          <w:rtl w:val="true"/>
        </w:rPr>
        <w:footnoteReference w:id="227"/>
      </w:r>
      <w:r>
        <w:rPr>
          <w:rFonts w:ascii="Amiri" w:hAnsi="Amiri" w:eastAsia="Amiri" w:cs="Amiri"/>
          <w:color w:val="111111"/>
          <w:sz w:val="28"/>
          <w:sz w:val="28"/>
          <w:szCs w:val="28"/>
          <w:rtl w:val="true"/>
          <w:lang w:bidi="ar-SA"/>
        </w:rPr>
        <w:t xml:space="preserve">في الليل ، والقيام عند مرورها إذا كان جالساً ، إلاّ إذا كان الميّت كافراً فيقوم لئلاّ يعلو على المسلم </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87661_3406789950"/>
      <w:bookmarkStart w:id="127" w:name="_Toc45"/>
      <w:bookmarkEnd w:id="126"/>
      <w:r>
        <w:rPr>
          <w:rtl w:val="true"/>
        </w:rPr>
        <w:t xml:space="preserve">القول </w:t>
      </w:r>
      <w:r>
        <w:rPr>
          <w:rtl w:val="true"/>
        </w:rPr>
        <w:t xml:space="preserve">: </w:t>
      </w:r>
      <w:r>
        <w:rPr>
          <w:rtl w:val="true"/>
        </w:rPr>
        <w:t>في الصلاة على الميّت</w:t>
      </w:r>
      <w:bookmarkEnd w:id="1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الصلاة على كلّ مسلم وإن كان مخالفاً للحقّ على الأصحّ ، ولا يجوز على الكافر بأقسامه حتّى المرتدّ ومن حكم بكفره</w:t>
      </w:r>
      <w:r>
        <w:rPr>
          <w:rStyle w:val="FootnoteAnchor"/>
          <w:rtl w:val="true"/>
        </w:rPr>
        <w:footnoteReference w:id="228"/>
      </w:r>
      <w:r>
        <w:rPr>
          <w:rFonts w:ascii="IRNazanin" w:hAnsi="IRNazanin" w:eastAsia="IRNazanin"/>
          <w:color w:val="111111"/>
          <w:sz w:val="28"/>
          <w:sz w:val="28"/>
          <w:szCs w:val="28"/>
          <w:rtl w:val="true"/>
          <w:lang w:bidi="fa-IR"/>
        </w:rPr>
        <w:t xml:space="preserve">ممّن انتحل بالإسلام </w:t>
      </w:r>
    </w:p>
    <w:p>
      <w:pPr>
        <w:pStyle w:val="BookText"/>
        <w:rPr/>
      </w:pPr>
      <w:r>
        <w:rPr>
          <w:rFonts w:ascii="Amiri" w:hAnsi="Amiri" w:eastAsia="Amiri" w:cs="Amiri"/>
          <w:color w:val="111111"/>
          <w:sz w:val="28"/>
          <w:sz w:val="28"/>
          <w:szCs w:val="28"/>
          <w:rtl w:val="true"/>
          <w:lang w:bidi="ar-SA"/>
        </w:rPr>
        <w:t xml:space="preserve">كالنواصب والخوارج والغلاة ، ومن وجد ميّتاً في بلاد المسلمين يلحق بهم ، وكذا لقيط دار الإسلام ، وأمّا لقيط دار الكفر إذا وجد فيها مسلم يحتمل كونه منه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 المسلمين حتّى ولد الزنا منهم بحكمهم في وجوب الصلاة عليهم إذا بلغوا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w:t>
      </w:r>
      <w:r>
        <w:rPr>
          <w:rStyle w:val="FootnoteAnchor"/>
          <w:rtl w:val="true"/>
        </w:rPr>
        <w:footnoteReference w:id="229"/>
      </w:r>
      <w:r>
        <w:rPr>
          <w:rFonts w:ascii="Amiri" w:hAnsi="Amiri" w:eastAsia="Amiri" w:cs="Amiri"/>
          <w:color w:val="111111"/>
          <w:sz w:val="28"/>
          <w:sz w:val="28"/>
          <w:szCs w:val="28"/>
          <w:rtl w:val="true"/>
          <w:lang w:bidi="ar-SA"/>
        </w:rPr>
        <w:t xml:space="preserve">على من لم يبلغ ذلك إذا ولد حيّاً دون من ولد ميّتاً وإن ولجته الروح قبل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30"/>
      </w:r>
      <w:r>
        <w:rPr>
          <w:rFonts w:ascii="Amiri" w:hAnsi="Amiri" w:eastAsia="Amiri" w:cs="Amiri"/>
          <w:color w:val="111111"/>
          <w:sz w:val="28"/>
          <w:sz w:val="28"/>
          <w:szCs w:val="28"/>
          <w:rtl w:val="true"/>
          <w:lang w:bidi="ar-SA"/>
        </w:rPr>
        <w:t xml:space="preserve">سابقاً أنّ بعض البدن إن كان صدراً أو مشتملاً على تمام الصدر أو كان بعض الصدر المشتمل على القلب حكمه حكم تمام البدن في وجوب الصلاة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الصلاة بعد الغسل والتكفين فلا تجزي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تسقط بتعذّرهما كما أ نّه لا تسقط بتعذّر الدفن أيضاً ، فلو وجد في الفلاة ميّت ولم يمكن غسله ولا تكفينه ولا دفنه يصلّى عليه ويخلّى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تعذّر من الواجبات يسقط وكلّ ما يمكن يثبت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المصلّي على الميّت أن يكون مؤمناً ، فلا يجزي صلاة المخالف فضلاً عن الكافر ، ولا يعتبر فيه البلوغ على الأقوى فيصحّ صلاة الصبيّ المميّز ، بل الظاهر</w:t>
      </w:r>
      <w:r>
        <w:rPr>
          <w:rStyle w:val="FootnoteAnchor"/>
          <w:rtl w:val="true"/>
        </w:rPr>
        <w:footnoteReference w:id="231"/>
      </w:r>
      <w:r>
        <w:rPr>
          <w:rFonts w:ascii="Amiri" w:hAnsi="Amiri" w:eastAsia="Amiri" w:cs="Amiri"/>
          <w:color w:val="111111"/>
          <w:sz w:val="28"/>
          <w:sz w:val="28"/>
          <w:szCs w:val="28"/>
          <w:rtl w:val="true"/>
          <w:lang w:bidi="ar-SA"/>
        </w:rPr>
        <w:t xml:space="preserve">إجزاؤها عن المكلّفين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الذكورة فتصحّ صلاة المرأة ولو على الرجال ، ولا يشترط</w:t>
      </w:r>
      <w:r>
        <w:rPr>
          <w:rStyle w:val="FootnoteAnchor"/>
          <w:rtl w:val="true"/>
        </w:rPr>
        <w:footnoteReference w:id="232"/>
      </w:r>
      <w:r>
        <w:rPr>
          <w:rFonts w:ascii="Amiri" w:hAnsi="Amiri" w:eastAsia="Amiri" w:cs="Amiri"/>
          <w:color w:val="111111"/>
          <w:sz w:val="28"/>
          <w:sz w:val="28"/>
          <w:szCs w:val="28"/>
          <w:rtl w:val="true"/>
          <w:lang w:bidi="ar-SA"/>
        </w:rPr>
        <w:t xml:space="preserve">في صحّة صلاتها عدم الرجال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الميّت وإن كان فرضاً على الكفاية إلاّ أ نّه كسائر </w:t>
      </w:r>
      <w:bookmarkStart w:id="128" w:name="pg15003_159667"/>
    </w:p>
    <w:p>
      <w:pPr>
        <w:pStyle w:val="BookText"/>
        <w:rPr/>
      </w:pPr>
      <w:bookmarkEnd w:id="128"/>
      <w:r>
        <w:rPr>
          <w:rFonts w:ascii="Amiri" w:hAnsi="Amiri" w:eastAsia="Amiri" w:cs="Amiri"/>
          <w:color w:val="111111"/>
          <w:sz w:val="28"/>
          <w:sz w:val="28"/>
          <w:szCs w:val="28"/>
          <w:rtl w:val="true"/>
          <w:lang w:bidi="ar-SA"/>
        </w:rPr>
        <w:t>أنواع تجهيزه أولى الناس بها أولاهم بميراثه ؛ بمعنى أنّ الوليّ لو أراد المباشرة بنفسه أو عيّن شخصاً لها لا يجوز لغيره مزاحمته ، لا أنّ إذنه شرط</w:t>
      </w:r>
      <w:r>
        <w:rPr>
          <w:rStyle w:val="FootnoteAnchor"/>
          <w:rtl w:val="true"/>
        </w:rPr>
        <w:footnoteReference w:id="233"/>
      </w:r>
      <w:r>
        <w:rPr>
          <w:rFonts w:ascii="Amiri" w:hAnsi="Amiri" w:eastAsia="Amiri" w:cs="Amiri"/>
          <w:color w:val="111111"/>
          <w:sz w:val="28"/>
          <w:sz w:val="28"/>
          <w:szCs w:val="28"/>
          <w:rtl w:val="true"/>
          <w:lang w:bidi="ar-SA"/>
        </w:rPr>
        <w:t xml:space="preserve">لصحّة عمل غيره ، وقد مرّ ذلك مفصّلاً في الغسل فلا نعيده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أوصى الميّت بأن يصلّي عليه شخص معيّن فالظاهر</w:t>
      </w:r>
      <w:r>
        <w:rPr>
          <w:rStyle w:val="FootnoteAnchor"/>
          <w:rtl w:val="true"/>
        </w:rPr>
        <w:footnoteReference w:id="234"/>
      </w:r>
      <w:r>
        <w:rPr>
          <w:rFonts w:ascii="Amiri" w:hAnsi="Amiri" w:eastAsia="Amiri" w:cs="Amiri"/>
          <w:color w:val="111111"/>
          <w:sz w:val="28"/>
          <w:sz w:val="28"/>
          <w:szCs w:val="28"/>
          <w:rtl w:val="true"/>
          <w:lang w:bidi="ar-SA"/>
        </w:rPr>
        <w:t>وجوب العمل بها على الوليّ بأن لا يزاحم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تستحبّ فيها الجماعة ، والأحوط</w:t>
      </w:r>
      <w:r>
        <w:rPr>
          <w:rStyle w:val="FootnoteAnchor"/>
          <w:rtl w:val="true"/>
        </w:rPr>
        <w:footnoteReference w:id="235"/>
      </w:r>
      <w:r>
        <w:rPr>
          <w:rFonts w:ascii="Amiri" w:hAnsi="Amiri" w:eastAsia="Amiri" w:cs="Amiri"/>
          <w:color w:val="111111"/>
          <w:sz w:val="28"/>
          <w:sz w:val="28"/>
          <w:szCs w:val="28"/>
          <w:rtl w:val="true"/>
          <w:lang w:bidi="ar-SA"/>
        </w:rPr>
        <w:t xml:space="preserve">اعتبار اجتماع شرائط الإمامة من العدالة ونحوها هنا أيضاً ، بل الأحوط اعتبار اجتماع شرائط الجماعة من عدم الحائل ونحوه أيضاً ، ولا يتحمّل الإمام هنا عن المأمومين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يصلّي على ميّت واحد في زمان واحد أشخاص متعدّدون فرادى ، بل وبالجماعات المتعدّدة ، ويجوز لكلّ واحد منهم قصد الوجوب ما لم يفرغ منها أحد ، فإذا فرغ نوى الباقون الاستحباب أو القربة ، وكذلك الحال في المصلّين المتعدّدين في جماعة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للمأموم نيّة الانفراد في الأثناء ، لكن بشرط أن لا يكون بعيداً عن الجنازة بما يضرّ ولا خارجاً عن المحاذاة المعتبرة في المنفرد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87663_3406789950"/>
      <w:bookmarkStart w:id="130" w:name="_Toc46"/>
      <w:bookmarkEnd w:id="129"/>
      <w:r>
        <w:rPr>
          <w:rtl w:val="true"/>
        </w:rPr>
        <w:t xml:space="preserve">القول </w:t>
      </w:r>
      <w:r>
        <w:rPr>
          <w:rtl w:val="true"/>
        </w:rPr>
        <w:t xml:space="preserve">: </w:t>
      </w:r>
      <w:r>
        <w:rPr>
          <w:rtl w:val="true"/>
        </w:rPr>
        <w:t>في كيفية صلاة الميّت</w:t>
      </w:r>
      <w:bookmarkEnd w:id="1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خمس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بالشهادتين بعد الاُولى ، والصلاة على النبي وآله بعد الثانية ، والدعاء للمؤمنين والمؤمنات بعد الثالثة ، والدعاء للميّت بعد الرابعة </w:t>
      </w:r>
    </w:p>
    <w:p>
      <w:pPr>
        <w:pStyle w:val="BookText"/>
        <w:rPr/>
      </w:pPr>
      <w:r>
        <w:rPr>
          <w:rFonts w:ascii="Amiri" w:hAnsi="Amiri" w:eastAsia="Amiri" w:cs="Amiri"/>
          <w:color w:val="111111"/>
          <w:sz w:val="28"/>
          <w:sz w:val="28"/>
          <w:szCs w:val="28"/>
          <w:rtl w:val="true"/>
          <w:lang w:bidi="ar-SA"/>
        </w:rPr>
        <w:t xml:space="preserve">ثمّ يكبّر الخامسة وينصرف ، ولا يجوز أقلّ من خمس تكبيرات إلاّ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أذان ولا إقامة ولا قراءة ولا ركوع ولا سجود ولا تشهّد ولا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الأدعية الأربعة مسمّاها ، فيجزي أن يقول بعد التكبيرة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لهذا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وينصرف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يقول بعد التكبيرة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إلهاً واحداً أحداً صمداً فرداً حيّاً قيّوماً دائماً أبداً لم يتّخذ صاحبة ولا ولداً ، وأشهد 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أفضلَ ما صلّيتَ وباركتَ وترحّمتَ على إبراهيمَ وآلِ إبراهيمَ إنّك حميدٌ مجيدٌ ، وصلِّ على جميع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 ،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اللهمّ بيننا وبينهم بالخيرات ،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المسجّى قُدّامنا عبدُكَ وابنُ عبدِك وابنُ أمتِك ، نَزَل بك وأنت خَيرُ مَنزُولٍ به ، اللهمّ إنّك قبضت روحَه إليك وقد احتاج إلى رحمتك وأنت غَنِيّ عن عذابه ، اللهمّ إنّا لا نعلم منه إلاّ خيراً وأنت أعلم به منّا ، اللهمّ إن كان محسناً فَزِدْ في إحسانه ، وإن كان مسيئاً فتجاوَزْ عن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ئاته ، واغْفِرْ لنا وله ، اللهمّ احشُرْه مع من يتولاّه ويُحِبُّه وأبْعِده ممّن يتبرّأ منه ويُبغِضه ، اللهمّ ألحِقه بنبيّك وعرِّف بينه وبينه ، وارحَمْنا إذا توفَّيتَنا ، يا إله العالمينَ ، اللهمّ اكتُبه عندك في أعلى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واخلُف على عَقِبِه في الغابرين ، </w:t>
      </w:r>
      <w:bookmarkStart w:id="131" w:name="pg15003_159669"/>
    </w:p>
    <w:p>
      <w:pPr>
        <w:pStyle w:val="BookText"/>
        <w:rPr/>
      </w:pPr>
      <w:bookmarkEnd w:id="131"/>
      <w:r>
        <w:rPr>
          <w:rFonts w:ascii="Amiri" w:hAnsi="Amiri" w:eastAsia="Amiri" w:cs="Amiri"/>
          <w:color w:val="111111"/>
          <w:sz w:val="28"/>
          <w:sz w:val="28"/>
          <w:szCs w:val="28"/>
          <w:rtl w:val="true"/>
          <w:lang w:bidi="ar-SA"/>
        </w:rPr>
        <w:t>واجعله من رُفَقاء محمّد وآله الطاهرين ، وارْحَمه وإيّانا برحمتك يا أرحم الراحمين ، اللهمّ عَفوَك عَفوَك عَفوَك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الميّت امرأة يقول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المسجّى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المسجّاة قدّامنا أمتك وابنة عبدك وابنة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بالضمائر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طفلاً دعا في الرابعة لأبويه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من الرجل والمرأة يجوز تذكير الضمائر باعتبار أ نّه ميّت أو شخص ، وتأنيثها باعتبار أ نّه جنازة ، فيسهل الأمر فيما إذا لم يعلم أنّ الميّت رجل أو امرأة ، ولا يحتاج إلى تكرار الدعاء أو الضمائر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التكبيرات بين الأقلّ والأكثر بنى على الأقلّ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487665_3406789950"/>
      <w:bookmarkStart w:id="133" w:name="_Toc47"/>
      <w:bookmarkEnd w:id="132"/>
      <w:r>
        <w:rPr>
          <w:rtl w:val="true"/>
        </w:rPr>
        <w:t xml:space="preserve">القول </w:t>
      </w:r>
      <w:r>
        <w:rPr>
          <w:rtl w:val="true"/>
        </w:rPr>
        <w:t xml:space="preserve">: </w:t>
      </w:r>
      <w:r>
        <w:rPr>
          <w:rtl w:val="true"/>
        </w:rPr>
        <w:t>في شرائط صلاة الميّت</w:t>
      </w:r>
      <w:bookmarkEnd w:id="1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فيها نيّة القربة ، وتعيين الميّت على وجه يرفع الإبهام ؛ ولو بأن يقصد الميّت الحاضر أو من عيّنه الإمام إن صلّى جماعة ، واستقبال القبلة والقيام ، وأن يوضع الميّت أمامه مستلقياً على قفاه محاذياً له إذا كان إماماً أو منفرداً بخلاف ما إذا كان مأموماً في صفّ اتّصل بمن يحاذيه ، وأن يكون رأسه إلى يمين المصلّي ورجله إلى يساره ، وأن لا يكون بينه وبين المصلّي حائل كستر أو جدار ممّا </w:t>
      </w:r>
    </w:p>
    <w:p>
      <w:pPr>
        <w:pStyle w:val="BookText"/>
        <w:rPr/>
      </w:pPr>
      <w:r>
        <w:rPr>
          <w:rFonts w:ascii="Amiri" w:hAnsi="Amiri" w:eastAsia="Amiri" w:cs="Amiri"/>
          <w:color w:val="111111"/>
          <w:sz w:val="28"/>
          <w:sz w:val="28"/>
          <w:szCs w:val="28"/>
          <w:rtl w:val="true"/>
          <w:lang w:bidi="ar-SA"/>
        </w:rPr>
        <w:t>لا يصدق معه اسم الصلاة عليه بخلاف الميّت في النعش ونحوه ممّا هو بين يدي المصلّي ، وأن لا يكون بينهما بُعد مفرط على وجه لا يصدق الوقوف عليه إلاّ في المأموم مع اتّصال الصفوف ، وأن لا يكون أحدهما أعلى من الآخر علوّاً مفرطاً ، وأن تكون الصلاة بعد التغسيل والتكفين والحنوط إلاّ فيمن سقط عنه ذلك كالشهيد أو تعذّر عليه فيصلّى عليه بدون ذلك ، وأن يكون مستور العورة ، ومن لم يكن له كفن أصلاً فإن أمكن ستر عورته بشيء قبل وضعه في القبر سترها وصلّى عليه ، وإلاّ فليحفر قبره ويوضع في لحده</w:t>
      </w:r>
      <w:r>
        <w:rPr>
          <w:rStyle w:val="FootnoteAnchor"/>
          <w:rtl w:val="true"/>
        </w:rPr>
        <w:footnoteReference w:id="237"/>
      </w:r>
      <w:r>
        <w:rPr>
          <w:rFonts w:ascii="Amiri" w:hAnsi="Amiri" w:eastAsia="Amiri" w:cs="Amiri"/>
          <w:color w:val="111111"/>
          <w:sz w:val="28"/>
          <w:sz w:val="28"/>
          <w:szCs w:val="28"/>
          <w:rtl w:val="true"/>
          <w:lang w:bidi="ar-SA"/>
        </w:rPr>
        <w:t xml:space="preserve">ويُوارى عورته بلبن أو أحجار أو تراب ثمّ يصلّى عليه ثمّ يوارى في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فيها الطهارة من الحدث والخبث ولا سائر شروط الصلاة ذات الركوع والسجود ولا ترك موانعها ، وإن كان الأحوط</w:t>
      </w:r>
      <w:r>
        <w:rPr>
          <w:rStyle w:val="FootnoteAnchor"/>
          <w:rtl w:val="true"/>
        </w:rPr>
        <w:footnoteReference w:id="238"/>
      </w:r>
      <w:r>
        <w:rPr>
          <w:rFonts w:ascii="Amiri" w:hAnsi="Amiri" w:eastAsia="Amiri" w:cs="Amiri"/>
          <w:color w:val="111111"/>
          <w:sz w:val="28"/>
          <w:sz w:val="28"/>
          <w:szCs w:val="28"/>
          <w:rtl w:val="true"/>
          <w:lang w:bidi="ar-SA"/>
        </w:rPr>
        <w:t xml:space="preserve">مراعاة جميع ما يعتبر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الاستقبال أصلاً سقط ، وإن اشتبهت القبلة ولم يتمكّن من تحصيل العلم بها وفقدت الأمارات التي يرجع إليها عند عدم إمكان العلم يعمل بالظنّ مع إمكانه ، وإلاّ فليصلّ إلى أربع جهات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القيام ولم يوجد من يقدر على الصلاة قائماً تعيّن عليه الصلاة جالساً ، ومع وجوده يجب عيناً على المتمكّن ، ولا يجزي عنه صلاة العاجز على الأظهر ، لكن إذا عصى ولم يقم بوظيفته يجب على العاجز القيام بوظيفته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فقد المتمكّن وصلّى العاجز جالساً ثمّ وجد قبل أن يدفن </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239"/>
      </w:r>
      <w:r>
        <w:rPr>
          <w:rFonts w:ascii="Amiri" w:hAnsi="Amiri" w:eastAsia="Amiri" w:cs="Amiri"/>
          <w:color w:val="111111"/>
          <w:sz w:val="28"/>
          <w:sz w:val="28"/>
          <w:szCs w:val="28"/>
          <w:rtl w:val="true"/>
          <w:lang w:bidi="ar-SA"/>
        </w:rPr>
        <w:t xml:space="preserve">إعادة المتمكّن ، وأولى بذلك ما إذا صلّى معتقداً عدم وجوده فتبيّن خلافه وظهر كونه موجوداً من الأوّل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أدرك الإمام في أثناء الصلاة جاز له الدخول معه وتابعه في التكبير وجعل أوّل صلاته أوّل تكبيراته فيأتي بوظيفته من الشهادتين ، فإذا كبّر الإمام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معه وكانت له الثانية فيأتي بالصلاة على النبي صلی الله علیه و آله وسلم ، فإذا فرغ الإمام أتمّ ما عليه من التكبير مع الأدعية إن تمكّن منها ولو مخفّفاً ، وإن لم يمهلوه اقتصر على التكبير ولاءً من غير دعاء في موقفه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يسقط صلاة الميّت عن المكلّفين ما لم يأت بها بعضهم على وجه صحيح ، فإذا شكّ في أصل الإتيان بنى على العدم ، وإن علم به وشكّ في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ما أتى به حمل على الصحّ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وإن علم بفساده وجب عليه الإعادة وإن كان المصلّي قاطعاً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تخالف المصلّي مع غيره بحسب التقليد أو الاجتهاد ؛ بأن كانت الصلاة صحيحة بحسب تقليد المصلّي أو اجتهاده ، فاسدة عند غيره بحسبهما ، ففي الاجتزاء بها وجه ، لكنّه لا يخلو عن إشكال فلا يترك الاحتياط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الصلاة قبل الدفن لا بعده ، نعم لو دفن قبل الصلاة نسياناً أو لعذر آخر أو تبيّن فسادها لا يجوز نبشه لأجل الصلاة ، بل يصلّى على قبره مراعياً للشرائط ؛ من الاستقبال وغيره ما لم يمض مدّة تلاشى فيها بحيث خرج عن صدق اسم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لم يدرك الصلاة على من صلّي عليه قبل </w:t>
      </w:r>
    </w:p>
    <w:p>
      <w:pPr>
        <w:pStyle w:val="BookText"/>
        <w:rPr/>
      </w:pPr>
      <w:r>
        <w:rPr>
          <w:rFonts w:ascii="Amiri" w:hAnsi="Amiri" w:eastAsia="Amiri" w:cs="Amiri"/>
          <w:color w:val="111111"/>
          <w:sz w:val="28"/>
          <w:sz w:val="28"/>
          <w:szCs w:val="28"/>
          <w:rtl w:val="true"/>
          <w:lang w:bidi="ar-SA"/>
        </w:rPr>
        <w:t xml:space="preserve">الدفن يجوز له أن يصلّي عليه بعده إلى يوم وليلة ، وإذا مضى أزيد من ذلك فالأحوط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تكرار الصلاة على الميّت على كراهية ، إلاّ إذا كان الميّت ذا شرف ومنقبة وفضيلة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حضرت جنازة في وقت الفريضة فإن لم تزاحم الصلاة عليها مع الفريضة من جهة سعة وقتها ولم يخش من الفساد على الميّت لو اُخّرت صلاته تخيّر بينهما ، والأفضل تقديم صلاته إلاّ إذا زاحمت مع وقت فضيلة الفريضة فترجّح عليها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تقديمها على الفريضة في سعة وقتها إذا خيف على الميّت من الفساد لو اُخّرت صلاته ، كما أ نّه يجب تقديم الفريضة مع ضيق وقتها وعدم الخوف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الخوف عليه وضيق وقت الفريضة فإن أمكن صونه عن الفساد بالدفن وإتيان الصلاة في وقتها ثمّ الصلاة عليه مدفوناً تعيّن ذلك ، وإن لم يمكن ذلك بل زاحم وقت الفريضة مع الدفن الذي يصونه عن الفساد فلو تشاغل بالدفن يفوته الفرض وإن تشاغل بالفريضة وأخّر الدفن عرض عليه الفساد ففي تقديم الدفن على الفريضة أو العكس تأمّل</w:t>
      </w:r>
      <w:r>
        <w:rPr>
          <w:rStyle w:val="FootnoteAnchor"/>
          <w:rtl w:val="true"/>
        </w:rPr>
        <w:footnoteReference w:id="241"/>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يصلّي الفريضة مومئاً مع التشاغل بالدفن صلّى كذلك لكن مع ذلك لا يترك القضاء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جنازات متعدّدة فالأولى انفراد كلّ واحدة منها بصلاة إذا لم يخش على بعضها الفساد من جهة تأخير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التشريك </w:t>
      </w:r>
      <w:bookmarkStart w:id="134" w:name="pg15003_159673"/>
    </w:p>
    <w:p>
      <w:pPr>
        <w:pStyle w:val="BookText"/>
        <w:rPr/>
      </w:pPr>
      <w:bookmarkEnd w:id="134"/>
      <w:r>
        <w:rPr>
          <w:rFonts w:ascii="Amiri" w:hAnsi="Amiri" w:eastAsia="Amiri" w:cs="Amiri"/>
          <w:color w:val="111111"/>
          <w:sz w:val="28"/>
          <w:sz w:val="28"/>
          <w:szCs w:val="28"/>
          <w:rtl w:val="true"/>
          <w:lang w:bidi="ar-SA"/>
        </w:rPr>
        <w:t>بينها في صلاة واحدة ؛ بأن يوضع الجميع قدّام المصلّي مع رعاية المحاذاة ، أو يجعل الجميع صفّاً واحداً ؛ بأن يجعل رأس كلّ عند ألية الآخر شبه الدرج</w:t>
      </w:r>
      <w:r>
        <w:rPr>
          <w:rStyle w:val="FootnoteAnchor"/>
          <w:rtl w:val="true"/>
        </w:rPr>
        <w:footnoteReference w:id="242"/>
      </w:r>
      <w:r>
        <w:rPr>
          <w:rFonts w:ascii="Amiri" w:hAnsi="Amiri" w:eastAsia="Amiri" w:cs="Amiri"/>
          <w:color w:val="111111"/>
          <w:sz w:val="28"/>
          <w:sz w:val="28"/>
          <w:szCs w:val="28"/>
          <w:rtl w:val="true"/>
          <w:lang w:bidi="ar-SA"/>
        </w:rPr>
        <w:t xml:space="preserve">ويقوم المصلّي وسط الصفّ ويراعي في الدعاء لهم بعد التكبير الرابع ما يناسبهم ؛ من تثنية الضمير أو جمعه وتذكيره وتأنيثه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 في أثناء الصلاة على الجنازة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بعد التكبيرة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اُخرى يجوز تشريك الاُولى مع الثانية في التكبيرات الباقية ، فتكون ثانية الاُولى اُولى الثانية ، وثالثة الاُولى ثانية الثانية ، وهكذا ، فإذا تمّت تكبيرات الاُولى يأتي ببقيّة تكبيرات الثانية ، فيأتي بعد كلّ تكبير مختصّ ما يخصّه من الدعاء ، وبعد التكبير المشترك يجمع بين الدعائين ، فيأتي بعد التكبير الذي هو أوّل الثانية وثاني الاُولى بالشهادتين مع الصلاة على النبي صلی الله علیه و آله وسلم وهكذا </w:t>
      </w:r>
      <w:r>
        <w:rPr>
          <w:rFonts w:eastAsia="IRNazanin" w:cs="IRNazanin"/>
          <w:color w:val="111111"/>
          <w:sz w:val="28"/>
          <w:szCs w:val="28"/>
          <w:rtl w:val="true"/>
          <w:lang w:bidi="fa-IR"/>
        </w:rPr>
        <w:t>.</w:t>
      </w:r>
    </w:p>
    <w:p>
      <w:pPr>
        <w:pStyle w:val="Heading4"/>
        <w:numPr>
          <w:ilvl w:val="3"/>
          <w:numId w:val="1"/>
        </w:numPr>
        <w:rPr/>
      </w:pPr>
      <w:bookmarkStart w:id="135" w:name="__RefHeading___Toc487667_3406789950"/>
      <w:bookmarkStart w:id="136" w:name="_Toc48"/>
      <w:bookmarkEnd w:id="135"/>
      <w:r>
        <w:rPr>
          <w:rtl w:val="true"/>
        </w:rPr>
        <w:t xml:space="preserve">القول </w:t>
      </w:r>
      <w:r>
        <w:rPr>
          <w:rtl w:val="true"/>
        </w:rPr>
        <w:t xml:space="preserve">: </w:t>
      </w:r>
      <w:r>
        <w:rPr>
          <w:rtl w:val="true"/>
        </w:rPr>
        <w:t>في آداب الصلاة على الميّت</w:t>
      </w:r>
      <w:bookmarkEnd w:id="13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ثلاث مرّات ، وهي بمنزلة الإقامة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على طهارة من الحدث ، من الوضوء أو الغسل أو التيمّم ، ويجوز التيمّم بدل الغسل أو الوضوء هنا حتّى مع وجدان الماء إن خاف فوت الصلاة لو توضّأ أو اغتسل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أو المنفرد عند وسط الرجل بل مطلق الذكر ، وعند صدر المرأة بل مطلق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bookmarkStart w:id="137" w:name="pg15003_159674"/>
    </w:p>
    <w:p>
      <w:pPr>
        <w:pStyle w:val="BookText"/>
        <w:rPr/>
      </w:pPr>
      <w:bookmarkEnd w:id="137"/>
      <w:r>
        <w:rPr>
          <w:rFonts w:ascii="Amiri" w:hAnsi="Amiri" w:eastAsia="Amiri" w:cs="Amiri"/>
          <w:color w:val="111111"/>
          <w:sz w:val="28"/>
          <w:sz w:val="28"/>
          <w:szCs w:val="28"/>
          <w:rtl w:val="true"/>
          <w:lang w:bidi="ar-SA"/>
        </w:rPr>
        <w:t xml:space="preserve">نزع النعل بل يكره الصلاة بالحذاء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الخفّ والجورب ، وإن كان الحفاء لا يخلو من رجحان خصوصاً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التكبيرات ولا سيّما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قريباً</w:t>
      </w:r>
      <w:r>
        <w:rPr>
          <w:rStyle w:val="FootnoteAnchor"/>
          <w:rtl w:val="true"/>
        </w:rPr>
        <w:footnoteReference w:id="244"/>
      </w:r>
      <w:r>
        <w:rPr>
          <w:rFonts w:ascii="Amiri" w:hAnsi="Amiri" w:eastAsia="Amiri" w:cs="Amiri"/>
          <w:color w:val="111111"/>
          <w:sz w:val="28"/>
          <w:sz w:val="28"/>
          <w:szCs w:val="28"/>
          <w:rtl w:val="true"/>
          <w:lang w:bidi="ar-SA"/>
        </w:rPr>
        <w:t xml:space="preserve">من الجنازة بحيث لو هبّت الريح وصل ثوبه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w:t>
      </w:r>
      <w:r>
        <w:rPr>
          <w:rStyle w:val="FootnoteAnchor"/>
          <w:rtl w:val="true"/>
        </w:rPr>
        <w:footnoteReference w:id="245"/>
      </w:r>
      <w:r>
        <w:rPr>
          <w:rFonts w:ascii="Amiri" w:hAnsi="Amiri" w:eastAsia="Amiri" w:cs="Amiri"/>
          <w:color w:val="111111"/>
          <w:sz w:val="28"/>
          <w:sz w:val="28"/>
          <w:szCs w:val="28"/>
          <w:rtl w:val="true"/>
          <w:lang w:bidi="ar-SA"/>
        </w:rPr>
        <w:t xml:space="preserve">للإمام والإسرار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w:t>
      </w:r>
      <w:r>
        <w:rPr>
          <w:rStyle w:val="FootnoteAnchor"/>
          <w:rtl w:val="true"/>
        </w:rPr>
        <w:footnoteReference w:id="246"/>
      </w:r>
      <w:r>
        <w:rPr>
          <w:rFonts w:ascii="Amiri" w:hAnsi="Amiri" w:eastAsia="Amiri" w:cs="Amiri"/>
          <w:color w:val="111111"/>
          <w:sz w:val="28"/>
          <w:sz w:val="28"/>
          <w:szCs w:val="28"/>
          <w:rtl w:val="true"/>
          <w:lang w:bidi="ar-SA"/>
        </w:rPr>
        <w:t xml:space="preserve">المعدّة للصلاة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توقع في المساجد عدا 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جماعة </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87669_3406789950"/>
      <w:bookmarkStart w:id="139" w:name="_Toc49"/>
      <w:bookmarkEnd w:id="138"/>
      <w:r>
        <w:rPr>
          <w:rtl w:val="true"/>
        </w:rPr>
        <w:t xml:space="preserve">القول </w:t>
      </w:r>
      <w:r>
        <w:rPr>
          <w:rtl w:val="true"/>
        </w:rPr>
        <w:t xml:space="preserve">: </w:t>
      </w:r>
      <w:r>
        <w:rPr>
          <w:rtl w:val="true"/>
        </w:rPr>
        <w:t>في الدفن</w:t>
      </w:r>
      <w:bookmarkEnd w:id="139"/>
    </w:p>
    <w:p>
      <w:pPr>
        <w:pStyle w:val="BookText"/>
        <w:rPr/>
      </w:pPr>
      <w:r>
        <w:rPr>
          <w:rFonts w:ascii="Amiri" w:hAnsi="Amiri" w:eastAsia="Amiri" w:cs="Amiri"/>
          <w:color w:val="111111"/>
          <w:sz w:val="28"/>
          <w:sz w:val="28"/>
          <w:szCs w:val="28"/>
          <w:rtl w:val="true"/>
          <w:lang w:bidi="ar-SA"/>
        </w:rPr>
        <w:t xml:space="preserve">يجب كفاية دفن الميّت المسلم ومن بحكمه ، وهو مواراته في حفيرة في الأرض ، فلا يجزي البناء عليه ولا وضعه في بناء أو تابوت ولو من صخر أو حديد مع القدرة على المواراة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تعذّر الحفر لصلابة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البناء عليه ووضعه فيه ونحو ذلك من أقسام المواراة ، كما أ نّه لو أمكن نقله إلى أرض يمكن حفرها قبل أن يحدث بالميّت شيء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كون الحفيرة بحيث تحرس جثّته من السباع وتكتم رائحته عن الناس ، وإن كان الأقوى كفاية مجرّد المواراة في الأرض مع الأمن من الأمرين ولو من جهة عدم وجود السباع وعدم من يؤذيه رائحته من الناس أو البناء على قبره بعد مواراته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البحر مع تعذّر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فساده لو انتظر أو لمانع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تعسّره يغسّل ويكفّن ويحنّط ويصلّى عليه ويوضع في خابية ونحوها ويوكأ </w:t>
      </w:r>
    </w:p>
    <w:p>
      <w:pPr>
        <w:pStyle w:val="BookText"/>
        <w:rPr/>
      </w:pPr>
      <w:r>
        <w:rPr>
          <w:rFonts w:ascii="Amiri" w:hAnsi="Amiri" w:eastAsia="Amiri" w:cs="Amiri"/>
          <w:color w:val="111111"/>
          <w:sz w:val="28"/>
          <w:sz w:val="28"/>
          <w:szCs w:val="28"/>
          <w:rtl w:val="true"/>
          <w:lang w:bidi="ar-SA"/>
        </w:rPr>
        <w:t xml:space="preserve">رأسها أو يثقل بحجر أو نحوه في رجله ويلقى فيه ، والأحوط اختيار الأوّل مع الإمكان ، وكذا لو خيف على الميّت من نبش العدوّ قبره والتمثيل به اُلقي في البحر بالكيفية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كون الدفن مستقبل القبلة ؛ بأن يضجعه على جنبه الأيمن بحيث يكون رأسه إلى المغرب ورجليه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الشمالية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رأسه إلى يمين من يستقبل القبلة ورجلاه إلى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دفن الجسد بلا رأس بل في الرأس بلا جسد ، بل وفي الصدر وحده ، إلاّ إذا كان الميّت كافرة حاملة بولد مسلم فإنّها تدفن مستدبرة القبلة على جانبها الأيسر ؛ ليصير الولد في بطنها مستقبلاً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مؤونة الدفن حتّى ما يحتاج إليه لأجل استحكامه ؛ من القير والساروج وغير ذلك بل ما يأخذه الجائر للدفن في الأرض المباحة تخرج من أصل التركة ، وكذا مؤونة الإلقاء في البحر من الحجر أو الحديد الذي يثقل به أو الخابية التي يوضع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اشتبهت القبلة يعمل بالظنّ</w:t>
      </w:r>
      <w:r>
        <w:rPr>
          <w:rStyle w:val="FootnoteAnchor"/>
          <w:rtl w:val="true"/>
        </w:rPr>
        <w:footnoteReference w:id="247"/>
      </w:r>
      <w:r>
        <w:rPr>
          <w:rFonts w:ascii="Amiri" w:hAnsi="Amiri" w:eastAsia="Amiri" w:cs="Amiri"/>
          <w:color w:val="111111"/>
          <w:sz w:val="28"/>
          <w:sz w:val="28"/>
          <w:szCs w:val="28"/>
          <w:rtl w:val="true"/>
          <w:lang w:bidi="ar-SA"/>
        </w:rPr>
        <w:t xml:space="preserve">على الأحوط ، ومع عدمه يسقط الاستقبال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دفن الأجزاء المبانة من الميّت حتّى الشعر والسنّ والظفر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ببدن الميّت والدفن معه مع الإمكان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شخص في البئر ولم يمكن إخراجه ولا استقباله يخلّى على حاله</w:t>
      </w:r>
      <w:r>
        <w:rPr>
          <w:rStyle w:val="FootnoteAnchor"/>
          <w:rtl w:val="true"/>
        </w:rPr>
        <w:footnoteReference w:id="249"/>
      </w:r>
      <w:r>
        <w:rPr>
          <w:rFonts w:ascii="Amiri" w:hAnsi="Amiri" w:eastAsia="Amiri" w:cs="Amiri"/>
          <w:color w:val="111111"/>
          <w:sz w:val="28"/>
          <w:sz w:val="28"/>
          <w:szCs w:val="28"/>
          <w:rtl w:val="true"/>
          <w:lang w:bidi="ar-SA"/>
        </w:rPr>
        <w:t xml:space="preserve">ويسدّ البئر ويجعل قبراً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الجنين في بطن الحامل وخيف عليها من بقائه يجب التوصّل إلى إخراجه بكلّ حيلة ملاحظاً للأرفق فالأرفق ولو بتقطيعه قطعة قطعة ، ويكون المباشر زوجها أو النساء ، ومع عدمها فالمحارم من الرجال ، فإن تعذّر فالأجانب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الحامل وكان الجنين حيّاً وجب إخراجه ولو بشقّ بطنها فيشقّ جنبها الأيسر</w:t>
      </w:r>
      <w:r>
        <w:rPr>
          <w:rStyle w:val="FootnoteAnchor"/>
          <w:rtl w:val="true"/>
        </w:rPr>
        <w:footnoteReference w:id="250"/>
      </w:r>
      <w:r>
        <w:rPr>
          <w:rFonts w:ascii="Amiri" w:hAnsi="Amiri" w:eastAsia="Amiri" w:cs="Amiri"/>
          <w:color w:val="111111"/>
          <w:sz w:val="28"/>
          <w:sz w:val="28"/>
          <w:szCs w:val="28"/>
          <w:rtl w:val="true"/>
          <w:lang w:bidi="ar-SA"/>
        </w:rPr>
        <w:t>ويخرج الطفل ثمّ يخاط وتدفن ، ولا فرق في ذلك بين رجاء بقاء الطفل بعد الإخراج وعدمه</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خيف مع حياتهما على كلّ منهما ينتظر حتّى يقضي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الدفن في الأرض المغصوبة عيناً أو منفعةً ، ومنها الأراضي الموقوفة لغير الدفن وما تعلّق بها حقّ الغير كالمرهونة بغير إذن المرتهن ، بل ومنها قبر ميّت آخر</w:t>
      </w:r>
      <w:r>
        <w:rPr>
          <w:rStyle w:val="FootnoteAnchor"/>
          <w:rtl w:val="true"/>
        </w:rPr>
        <w:footnoteReference w:id="252"/>
      </w:r>
      <w:r>
        <w:rPr>
          <w:rFonts w:ascii="Amiri" w:hAnsi="Amiri" w:eastAsia="Amiri" w:cs="Amiri"/>
          <w:color w:val="111111"/>
          <w:sz w:val="28"/>
          <w:sz w:val="28"/>
          <w:szCs w:val="28"/>
          <w:rtl w:val="true"/>
          <w:lang w:bidi="ar-SA"/>
        </w:rPr>
        <w:t xml:space="preserve">قبل صيرورته رميماً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الدفن في المساجد مع عدم الإضرار بالمسلمين وعدم المزاحمة للمصلّين تأمّل</w:t>
      </w:r>
      <w:r>
        <w:rPr>
          <w:rStyle w:val="FootnoteAnchor"/>
          <w:rtl w:val="true"/>
        </w:rPr>
        <w:footnoteReference w:id="253"/>
      </w:r>
      <w:r>
        <w:rPr>
          <w:rFonts w:ascii="Amiri" w:hAnsi="Amiri" w:eastAsia="Amiri" w:cs="Amiri"/>
          <w:color w:val="111111"/>
          <w:sz w:val="28"/>
          <w:sz w:val="28"/>
          <w:szCs w:val="28"/>
          <w:rtl w:val="true"/>
          <w:lang w:bidi="ar-SA"/>
        </w:rPr>
        <w:t>وإشكال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يدفن الكفّار وأولادهم في مقبرة المسلمين ، بل لو دفنوا نبشوا ، سيّما إذا كانت المقبرة مُسبَّلة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دفن </w:t>
      </w:r>
      <w:bookmarkStart w:id="140" w:name="pg15003_159677"/>
    </w:p>
    <w:p>
      <w:pPr>
        <w:pStyle w:val="BookText"/>
        <w:rPr/>
      </w:pPr>
      <w:bookmarkEnd w:id="140"/>
      <w:r>
        <w:rPr>
          <w:rFonts w:ascii="Amiri" w:hAnsi="Amiri" w:eastAsia="Amiri" w:cs="Amiri"/>
          <w:color w:val="111111"/>
          <w:sz w:val="28"/>
          <w:sz w:val="28"/>
          <w:szCs w:val="28"/>
          <w:rtl w:val="true"/>
          <w:lang w:bidi="ar-SA"/>
        </w:rPr>
        <w:t>المسلم في مقبرة الكفّار ، ولو دفن عصياناً أو نسياناً ففي جواز نبشه ونقله تأمّل</w:t>
      </w:r>
      <w:r>
        <w:rPr>
          <w:rStyle w:val="FootnoteAnchor"/>
          <w:rtl w:val="true"/>
        </w:rPr>
        <w:footnoteReference w:id="254"/>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87671_3406789950"/>
      <w:bookmarkStart w:id="142" w:name="_Toc50"/>
      <w:bookmarkEnd w:id="141"/>
      <w:r>
        <w:rPr>
          <w:rtl w:val="true"/>
        </w:rPr>
        <w:t xml:space="preserve">القول </w:t>
      </w:r>
      <w:r>
        <w:rPr>
          <w:rtl w:val="true"/>
        </w:rPr>
        <w:t xml:space="preserve">: </w:t>
      </w:r>
      <w:r>
        <w:rPr>
          <w:rtl w:val="true"/>
        </w:rPr>
        <w:t>في مستحبّات الدفن ومكروهاته</w:t>
      </w:r>
      <w:bookmarkEnd w:id="142"/>
    </w:p>
    <w:p>
      <w:pPr>
        <w:pStyle w:val="Heading5"/>
        <w:numPr>
          <w:ilvl w:val="4"/>
          <w:numId w:val="1"/>
        </w:numPr>
        <w:rPr/>
      </w:pPr>
      <w:bookmarkStart w:id="143" w:name="__RefHeading___Toc487673_3406789950"/>
      <w:bookmarkStart w:id="144" w:name="_Toc51"/>
      <w:bookmarkEnd w:id="143"/>
      <w:r>
        <w:rPr>
          <w:rtl w:val="true"/>
        </w:rPr>
        <w:t xml:space="preserve">أمّا المستحبّات فهي اُمور </w:t>
      </w:r>
      <w:r>
        <w:rPr>
          <w:rtl w:val="true"/>
        </w:rPr>
        <w:t>:</w:t>
      </w:r>
      <w:bookmarkEnd w:id="14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القبر إلى الترقوة أو بقدر القامة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في الأرض الصلبة ؛ بأن يحفر في حائط القبر ممّا يلي القبلة حفيرة بقدر ما تسع جثّته فيوضع فيها ، والشقّ في الأرض الرخوة بأن يحفر في قعر القبر حفيرة شبه النهر فيوضع فيها الميّت ويسقّف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جنازة الرجل قبل إنزاله في القبر ممّا يلي الرجلين وجنازة المرأة ممّا يلي القبلة أمام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يفجأ به القبر ولا ينزله فيه بغتة ، بل يضعه دون القبر بذراعين أو ثلاثة ويصبر عليه هنيئة ، ثمّ يقدّمه قليلاً ويصبر عليه هنيئة ، ثمّ يضعه على شفير القبر ليأخذ اُهبته للسؤال ، فإنّ للقبر أهوالاً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يسلّه من نعشه سلاًّ فيدخله برفق ؛ سابقاً برأسه إن كان رجلاً وعرضاً إن كان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جميع عقد الكفن بعد وضعه في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عن وجهه ويجعل خدّه على الأرض ويعمل له وسادة من تراب ويسند ظهره بلبنة أو مدرة لئلاّ يستلقي على قفاه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 اللحد باللبن أو الأحجار لئلاّ يصل إليه التراب ، وإذا </w:t>
      </w:r>
    </w:p>
    <w:p>
      <w:pPr>
        <w:pStyle w:val="BookText"/>
        <w:rPr/>
      </w:pPr>
      <w:r>
        <w:rPr>
          <w:rFonts w:ascii="Amiri" w:hAnsi="Amiri" w:eastAsia="Amiri" w:cs="Amiri"/>
          <w:color w:val="111111"/>
          <w:sz w:val="28"/>
          <w:sz w:val="28"/>
          <w:szCs w:val="28"/>
          <w:rtl w:val="true"/>
          <w:lang w:bidi="ar-SA"/>
        </w:rPr>
        <w:t xml:space="preserve">أحكمها بالطين كان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ينزله في القبر متطهّراً مكشوف الرأس حالاًّ أزراره نازعاً عمامته ورداءه ونعليه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المباشر لإنزال المرأة وحلّ أكفانها زوجها أو محارمها ، ومع عدمهم فأقرب أرحامها من الرجال فالنساء ثمّ الأجانب ، والزوج أولى من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عليه التراب غير أرحامه بظهر الأكفّ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بالأدعية المأثورة المذكورة في الكتب المبسوطة في مواضع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سلّه من النعش ، وعند معاينة القبر ، وعند إنزاله فيه ، وبعد وضعه فيه ، وبعد وضعه في لحده ، وحال اشتغاله بسدّ اللحد ، وعند الخروج من القبر ، وعند إهالة التراب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العقائد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اُصول دينه ومذهبه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 بعد وضعه في اللحد قبل أن يسدّه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 عن الأرض بمقدار أربع أصابع مضمومة أو مفرّجة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القبر ؛ بمعنى تسطيحه وجعله ذا أربع زوايا قائمة ، ويكره تسنيمه بل الأحوط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يرشّ الماء على قبره ، والأولى في كيفيته أن يستقبل القبلة ويبتدئ بالرشّ من عند الرأس إلى الرجل ثمّ يدور به على القبر حتّى ينتهي إلى الرأس ثمّ يرشّ على وسط القبر ما يفضل من الماء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القبر مفرّجة الأصابع مع غمزها بحيث يبقى أثرها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والاستغفار والدعاء له بنحو </w:t>
      </w:r>
      <w:r>
        <w:rPr>
          <w:rFonts w:eastAsia="Amiri" w:cs="Amiri" w:ascii="Amiri" w:hAnsi="Amiri"/>
          <w:color w:val="111111"/>
          <w:sz w:val="28"/>
          <w:szCs w:val="28"/>
          <w:rtl w:val="true"/>
          <w:lang w:bidi="ar-SA"/>
        </w:rPr>
        <w:t xml:space="preserve">: </w:t>
      </w:r>
      <w:bookmarkStart w:id="145" w:name="pg15003_159679"/>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 وأصعد إليك روحَه ، ولقّه منك رضواناً وأسكِن قبره من رحمتك ما تُغنِيه به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وآنِس وحشتَه وآمِن روعتَه وأفِض عليه من رحمتك وأسكِن إليه من بَرْد عفوك وسعة غفرانك ورحمتك ما يَستغني بها عن رحمة من سواك ، واحشُره مع من كان يتولاّه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يختصّ استحباب الاُمور المزبورة بهذه الحالة بل تستحبّ عند زيارة كلّ مؤمن في كلّ زمان وعلى كلّ حال ، كما أنّ لها آداباً خاصّة وأدعية مخصوصة مذكورة في الكتب المبسوطة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يلقّنه الوليّ أو من يأمره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الدفن ورجوع المشيّعين وانصرافهم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دينه ومذهبه بأرفع صوته ؛ من الإقرار بالتوحيد ، ورسالة سيّد المرسلين ، وإمامة الأئمّة المعصومين ، والإقرار بما جاء به النبي صلی الله علیه و آله وسلم ، والبعث والنشور والحساب والميزان والصراط والجنّة والنار ، وبذلك التلقين يدفع سؤال منكر ونكير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اسم الميّت على القبر أو على لوح أو حجر ، وينصب عند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الأقارب متقاربين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القبر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487675_3406789950"/>
      <w:bookmarkStart w:id="147" w:name="_Toc52"/>
      <w:bookmarkEnd w:id="146"/>
      <w:r>
        <w:rPr>
          <w:rtl w:val="true"/>
        </w:rPr>
        <w:t xml:space="preserve">وأمّا المكروهات فهي أيضاً اُمور </w:t>
      </w:r>
      <w:r>
        <w:rPr>
          <w:rtl w:val="true"/>
        </w:rPr>
        <w:t>:</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 في قبر واحد كجمعهما في جنازة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دفن ميّت في قبر ميّت آخر بعد دفنه فهو حرام</w:t>
      </w:r>
      <w:r>
        <w:rPr>
          <w:rStyle w:val="FootnoteAnchor"/>
          <w:rtl w:val="true"/>
        </w:rPr>
        <w:footnoteReference w:id="255"/>
      </w:r>
      <w:r>
        <w:rPr>
          <w:rFonts w:ascii="Amiri" w:hAnsi="Amiri" w:eastAsia="Amiri" w:cs="Amiri"/>
          <w:color w:val="111111"/>
          <w:sz w:val="28"/>
          <w:sz w:val="28"/>
          <w:szCs w:val="28"/>
          <w:rtl w:val="true"/>
          <w:lang w:bidi="ar-SA"/>
        </w:rPr>
        <w:t xml:space="preserve">قبل أن يصير رميماً </w:t>
      </w:r>
      <w:r>
        <w:rPr>
          <w:rFonts w:eastAsia="Amiri" w:cs="Amiri" w:ascii="Amiri" w:hAnsi="Amiri"/>
          <w:color w:val="111111"/>
          <w:sz w:val="28"/>
          <w:szCs w:val="28"/>
          <w:rtl w:val="true"/>
          <w:lang w:bidi="ar-SA"/>
        </w:rPr>
        <w:t xml:space="preserve">. </w:t>
      </w:r>
      <w:bookmarkStart w:id="148" w:name="pg15003_159680"/>
    </w:p>
    <w:p>
      <w:pPr>
        <w:pStyle w:val="BookText"/>
        <w:rPr/>
      </w:pPr>
      <w:bookmarkEnd w:id="14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القبر بساج ونحوه كالآجر</w:t>
      </w:r>
      <w:r>
        <w:rPr>
          <w:rStyle w:val="FootnoteAnchor"/>
          <w:rtl w:val="true"/>
        </w:rPr>
        <w:footnoteReference w:id="256"/>
      </w:r>
      <w:r>
        <w:rPr>
          <w:rFonts w:ascii="Amiri" w:hAnsi="Amiri" w:eastAsia="Amiri" w:cs="Amiri"/>
          <w:color w:val="111111"/>
          <w:sz w:val="28"/>
          <w:sz w:val="28"/>
          <w:szCs w:val="28"/>
          <w:rtl w:val="true"/>
          <w:lang w:bidi="ar-SA"/>
        </w:rPr>
        <w:t>والحجر إلاّ إذا كانت الأرض 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الوالد في قبر ولده خوفاً عن جزعه وفوات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ذو الرحم على رحمه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القبر وتطيينه بغير ترابه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القبر بعد اندراسه إلاّ قبور الأنبياء والأوصياء والصلحاء والعلماء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على القبر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في المقابر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كاء على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القبر من غير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 عن الأرض أزيد من أربع أصابع مفرّجات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87677_3406789950"/>
      <w:bookmarkStart w:id="150" w:name="_Toc53"/>
      <w:bookmarkEnd w:id="149"/>
      <w:r>
        <w:rPr>
          <w:rtl w:val="true"/>
        </w:rPr>
        <w:t xml:space="preserve">خاتمة تشتمل على مسائل </w:t>
      </w:r>
      <w:r>
        <w:rPr>
          <w:rtl w:val="true"/>
        </w:rPr>
        <w:t>:</w:t>
      </w:r>
      <w:bookmarkEnd w:id="1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نقل الميّت من بلد موته إلى بلد آخر قبل دفنه على كراهية ، إلاّ إلى المشاهد المشرّفة والأماكن المقدّسة ، فلا كراهة في النقل إليها بل فيه فضل ورجحان ، وإنّما يجوز النقل مع الكراهة في غير المشاهد وبدونها فيها إذا لم يستلزم من جهة بُعد المسافة وتأخير الدفن أو غير ذلك تغيّر الميّت وفساده وهتكه ، وأمّا مع استلزامه ذلك فلا يجوز في غير المشاهد قطعاً ، وأمّا </w:t>
      </w:r>
    </w:p>
    <w:p>
      <w:pPr>
        <w:pStyle w:val="BookText"/>
        <w:rPr/>
      </w:pPr>
      <w:r>
        <w:rPr>
          <w:rFonts w:ascii="Amiri" w:hAnsi="Amiri" w:eastAsia="Amiri" w:cs="Amiri"/>
          <w:color w:val="111111"/>
          <w:sz w:val="28"/>
          <w:sz w:val="28"/>
          <w:szCs w:val="28"/>
          <w:rtl w:val="true"/>
          <w:lang w:bidi="ar-SA"/>
        </w:rPr>
        <w:t>فيها ففيه تأمّل</w:t>
      </w:r>
      <w:r>
        <w:rPr>
          <w:rStyle w:val="FootnoteAnchor"/>
          <w:rtl w:val="true"/>
        </w:rPr>
        <w:footnoteReference w:id="257"/>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الدفن فلو فرض إخراج الميّت عن قبره أو خروجه بسبب من الأسباب يكون بحكم غير المدفون في التفصيل المزبور ، وأمّا نبشه للنقل فلا يجوز في غير المشاهد قطعاً ، وأمّا فيها ففيه تأمّل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تعارف في زماننا من توديع الميّت وتأمينه لينقل فيما بعد إلى المشاهد إنّما هو لأجل التخلّص عن محذور النبش وهو تخلّص حسن</w:t>
      </w:r>
      <w:r>
        <w:rPr>
          <w:rStyle w:val="FootnoteAnchor"/>
          <w:rtl w:val="true"/>
        </w:rPr>
        <w:footnoteReference w:id="258"/>
      </w:r>
      <w:r>
        <w:rPr>
          <w:rFonts w:ascii="Amiri" w:hAnsi="Amiri" w:eastAsia="Amiri" w:cs="Amiri"/>
          <w:color w:val="111111"/>
          <w:sz w:val="28"/>
          <w:sz w:val="28"/>
          <w:szCs w:val="28"/>
          <w:rtl w:val="true"/>
          <w:lang w:bidi="ar-SA"/>
        </w:rPr>
        <w:t xml:space="preserve">، إلاّ أنّ جواز أصل هذا العمل حتّى فيما إذا طالت المدّة إلى أن آل إلى طروّ التغيّر والفساد وتقطّع الأوصال عندي محلّ نظر وإشكال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البكاء على الميّت بل قد يستحبّ عند اشتداد الحزن والوجد ولكن لا يقول ما يسخط الربّ، وكذا يجوز النوح عليه بالنظم والنثر إذا لم يشتمل على الباطل من الكذب</w:t>
      </w:r>
      <w:r>
        <w:rPr>
          <w:rStyle w:val="FootnoteAnchor"/>
          <w:rtl w:val="true"/>
        </w:rPr>
        <w:footnoteReference w:id="259"/>
      </w:r>
      <w:r>
        <w:rPr>
          <w:rFonts w:ascii="Amiri" w:hAnsi="Amiri" w:eastAsia="Amiri" w:cs="Amiri"/>
          <w:color w:val="111111"/>
          <w:sz w:val="28"/>
          <w:sz w:val="28"/>
          <w:szCs w:val="28"/>
          <w:rtl w:val="true"/>
          <w:lang w:bidi="ar-SA"/>
        </w:rPr>
        <w:t xml:space="preserve">، بل والويل والثبور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اللطم والخدش وجزّ الشعر ونتفه بل والصراخ الخارج عن حدّ الاعتدال على الأحوط لو لم يكن الأقوى</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شقّ الثوب على غير الأب والأخ ، بل في بعض الاُمور المزبورة تجب الكفّارة ، ففي جزّ المرأة شعرها في المصيبة كفّارة شهر رمضان ، وفي نتفه كفّارة اليمين ، وكذا تجب كفّارة اليمين في خدش المرأة وجهها</w:t>
      </w:r>
      <w:r>
        <w:rPr>
          <w:rStyle w:val="FootnoteAnchor"/>
          <w:rtl w:val="true"/>
        </w:rPr>
        <w:footnoteReference w:id="261"/>
      </w:r>
      <w:r>
        <w:rPr>
          <w:rFonts w:ascii="Amiri" w:hAnsi="Amiri" w:eastAsia="Amiri" w:cs="Amiri"/>
          <w:color w:val="111111"/>
          <w:sz w:val="28"/>
          <w:sz w:val="28"/>
          <w:szCs w:val="28"/>
          <w:rtl w:val="true"/>
          <w:lang w:bidi="ar-SA"/>
        </w:rPr>
        <w:t xml:space="preserve">في المصاب وفي شقّ الرجل ثوبه في موت زوجته أو ولده ؛ وهي إطعام عشرة مساكين أو كسوتهم أو تحرير رقبة وإن لم يجد فصيام ثلاثة أيّام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نبش قبر المسلم ومن بحكمه إلاّ مع العلم باندراسه وصيرورته رميماً وتراباً ، نعم لا يجوز نبش قبور الأنبياء والأئمّة علیهم السلام وإن طالت المدّة ، بل وكذا قبور أولاد الأئمّة والصلحاء والشهداء ممّا اتّخذ مزاراً وملاذاً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بالنبش كشف جسد الميّت المدفون بعد ما كان مستوراً بالدفن ، فلو حفر القبر وأخرج ترابه من دون أن يظهر جسد الميّت لم يكن من النبش المحرّم ، وكذا إذا كان الميّت موضوعاً على وجه الأرض وبنى عليه بناءً أو كان في تابوت من صخرة ونحوها فاُخرج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النبش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دفن في مكان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عدواناً أو جهلاً أو نسياناً ، ولا يجب على المالك الرضا ببقائه مجّاناً أو بالعوض ، وإن كان الأولى بل الأحوط إبقاؤه ولو بالعوض ، خصوصاً فيما إذا كان وارثاً أو رحماً أو دفن فيه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المالك في دفن ميّت في ملكه وأباحه له ليس له أن يرجع عن إذنه وإباحته ، نعم إذا خرج الميّت بسبب من الأسباب لا يجب عليه الرضا والإذن بدفنه ثانياً في ذلك المكان بل له الرجوع عن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والدفن مع الكفن المغصوب أو مال آخر مغصوب كالدفن في المكان المغصوب ، فيجوز النبش لأخذه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معه شيء من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خاتم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معه ، ففي جواز نبش الورثة إيّاه لأخذه تأمّل وإشكال ، خصوصاً فيما إذا لم يجحف بهم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لتدارك الغسل</w:t>
      </w:r>
      <w:r>
        <w:rPr>
          <w:rStyle w:val="FootnoteAnchor"/>
          <w:rtl w:val="true"/>
        </w:rPr>
        <w:footnoteReference w:id="262"/>
      </w:r>
      <w:r>
        <w:rPr>
          <w:rFonts w:ascii="Amiri" w:hAnsi="Amiri" w:eastAsia="Amiri" w:cs="Amiri"/>
          <w:color w:val="111111"/>
          <w:sz w:val="28"/>
          <w:sz w:val="28"/>
          <w:szCs w:val="28"/>
          <w:rtl w:val="true"/>
          <w:lang w:bidi="ar-SA"/>
        </w:rPr>
        <w:t xml:space="preserve">أو الكفن أو الحنوط فيما إذا دفن بدونها مع التمكّن </w:t>
      </w:r>
    </w:p>
    <w:p>
      <w:pPr>
        <w:pStyle w:val="BookText"/>
        <w:rPr/>
      </w:pPr>
      <w:r>
        <w:rPr>
          <w:rFonts w:ascii="Amiri" w:hAnsi="Amiri" w:eastAsia="Amiri" w:cs="Amiri"/>
          <w:color w:val="111111"/>
          <w:sz w:val="28"/>
          <w:sz w:val="28"/>
          <w:szCs w:val="28"/>
          <w:rtl w:val="true"/>
          <w:lang w:bidi="ar-SA"/>
        </w:rPr>
        <w:t xml:space="preserve">منها ، وأمّا لو دفن بدونها لعذر كما إذا لم يوجد الماء أو الكفن أو الكافور ثمّ وجد بعد الدفن ففي جواز النبش لتدارك الفائت تأمّل وإشكال ، ولا سيّما فيما إذا لم يوجد الماء فيمّم بدلاً عن الغسل ودفن ثمّ وجد ، بل عدم جواز النبش لتدارك الغسل حينئذٍ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دفن بلا صلاة فلا ينبش لأجل تداركها قطعاً ، بل يصلّى على قبره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إثبات حقّ من الحقوق على مشاهدة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دفن في مكان يوجب هتكه كما إذا دفن في بالوعة أو مزبلة ، وكذا إذا دفن في مقبرة الكفّار في وجه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لنقله إلى المشاهد المشرّفة مع إيصاء الميّت بنقله إليها بعد دفنه ، أو بنقله إليها قبل دفنه فخولف عصياناً أو جهلاً أو نسياناً فدفن في مكان آخر ، أو بلا وصيّة منه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جميع هذه الصور الثلاث تأمّل وإشكال ، وإن كانت هي متفاوتة ، فأشكلها ثالثتها ثمّ ثانيتها</w:t>
      </w:r>
      <w:r>
        <w:rPr>
          <w:rStyle w:val="FootnoteAnchor"/>
          <w:rtl w:val="true"/>
        </w:rPr>
        <w:footnoteReference w:id="263"/>
      </w:r>
      <w:r>
        <w:rPr>
          <w:rFonts w:ascii="Amiri" w:hAnsi="Amiri" w:eastAsia="Amiri" w:cs="Amiri"/>
          <w:color w:val="111111"/>
          <w:sz w:val="28"/>
          <w:sz w:val="28"/>
          <w:szCs w:val="28"/>
          <w:rtl w:val="true"/>
          <w:lang w:bidi="ar-SA"/>
        </w:rPr>
        <w:t xml:space="preserve">ثمّ اُولاها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خيف عليه من سبع أو سيل أو عدوّ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محو</w:t>
      </w:r>
      <w:r>
        <w:rPr>
          <w:rStyle w:val="FootnoteAnchor"/>
          <w:rtl w:val="true"/>
        </w:rPr>
        <w:footnoteReference w:id="264"/>
      </w:r>
      <w:r>
        <w:rPr>
          <w:rFonts w:ascii="Amiri" w:hAnsi="Amiri" w:eastAsia="Amiri" w:cs="Amiri"/>
          <w:color w:val="111111"/>
          <w:sz w:val="28"/>
          <w:sz w:val="28"/>
          <w:szCs w:val="28"/>
          <w:rtl w:val="true"/>
          <w:lang w:bidi="ar-SA"/>
        </w:rPr>
        <w:t xml:space="preserve">آثار القبور التي علم اندراس ميّتها ، سيّما إذا كانت في المقبرة المسبَّلة للمسلمين مع حاجتهم ، عدا ما تقدّم من قبور الشهداء والصلحاء والعلماء وأولاد الأئمّة ممّا جعلت مزاراً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اُخرج الميّت عن قبره في مكان مباح عصياناً أو بنحو مباح أو </w:t>
      </w:r>
      <w:bookmarkStart w:id="151" w:name="pg15003_159684"/>
    </w:p>
    <w:p>
      <w:pPr>
        <w:pStyle w:val="BookText"/>
        <w:rPr/>
      </w:pPr>
      <w:bookmarkEnd w:id="151"/>
      <w:r>
        <w:rPr>
          <w:rFonts w:ascii="Amiri" w:hAnsi="Amiri" w:eastAsia="Amiri" w:cs="Amiri"/>
          <w:color w:val="111111"/>
          <w:sz w:val="28"/>
          <w:sz w:val="28"/>
          <w:szCs w:val="28"/>
          <w:rtl w:val="true"/>
          <w:lang w:bidi="ar-SA"/>
        </w:rPr>
        <w:t xml:space="preserve">خرج بسبب من الأسباب ، لا يجب دفنه ثانياً في ذلك المكان ، بل يجوز أن يدفن في مكان آخر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87679_3406789950"/>
      <w:bookmarkStart w:id="153" w:name="_Toc54"/>
      <w:bookmarkEnd w:id="152"/>
      <w:r>
        <w:rPr>
          <w:rtl w:val="true"/>
        </w:rPr>
        <w:t xml:space="preserve">ختامٌ فيه أمران </w:t>
      </w:r>
      <w:r>
        <w:rPr>
          <w:rtl w:val="true"/>
        </w:rPr>
        <w:t>:</w:t>
      </w:r>
      <w:bookmarkEnd w:id="1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الأكيدة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التعزية لأهل المصيبة وتسليتهم وتخفيف حزنهم بذكر ما يناسب المقام ، وما له دخل تامّ في هذا المرام ؛ من ذكر مصائب الدنيا ، وسرعة زوالها ، وأنّ كلّ نفس فانية ، والآجال متقاربة ، ونقل ما ورد فيما أعدّ اللّه تعالى للمصاب من الأجر ، ولا سيّما مصاب الولد ؛ من أ نّه شافع مشفّع لأبويه حتّى أنّ السقط يقف وقفة الغضبان على باب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يدخل أبواي ، فيدخلهما اللّه الجنّة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التعزية قبل الدفن وبعده وإن كان الأفضل كونها بعده وأجرها عظيم ، ولا سيّما تعزية الثكلى واليتيم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كان له مثل أجره ، من غير أن ينتقص من أجر المصاب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يعزّي أخاه بمصيبة إلاّ كساه اللّه من حلل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ناجى به موسى ربّه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ما لمن عزّى الثكلى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أظلّه في ظلّي يوم لا ظلّ إلاّ 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سكّت يتيماً عن البكاء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يمسح يده على رأس يتيم إلاّ ويكتب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بعدد كلّ شعرة مرّت عليها يده حسنة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ممّا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تحقّقها مجرّد الحضور عند المصاب لأجلها بحيث يراه ، فإنّ له دخلاً في تسلية الخاطر وتسكين لوعة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جلوس أهل الميّت للتعزية ، ولا كراهة فيه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أن لا يزيد على ثلاثة أيّام ، كما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يستحبّ إرسال الطعام إليهم في تلك المدّة </w:t>
      </w:r>
    </w:p>
    <w:p>
      <w:pPr>
        <w:pStyle w:val="BookText"/>
        <w:rPr/>
      </w:pPr>
      <w:r>
        <w:rPr>
          <w:rFonts w:ascii="Amiri" w:hAnsi="Amiri" w:eastAsia="Amiri" w:cs="Amiri"/>
          <w:color w:val="111111"/>
          <w:sz w:val="28"/>
          <w:sz w:val="28"/>
          <w:szCs w:val="28"/>
          <w:rtl w:val="true"/>
          <w:lang w:bidi="ar-SA"/>
        </w:rPr>
        <w:t xml:space="preserve">بل إلى الثلاثة ، وإن كان مدّة جلوسهم أقلّ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ليلة الدفن صلاة الهديّة للميّت ، وهي المشتهرة في الألسن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الخبر النبوي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 على الميّت ساعة أشدّ من أوّل ليلة ، فارحموا موتاكم بالصدقة ، فإن لم تجدوا فليصلِّ أحدكم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وكيفيتها على ما في الخبر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يقرأ في الاُولى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وفي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 وبعد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 وابعث ثوابها إلى قبر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من ساعته ألف ملك إلى قبره مع كلّ ملك ثوب وحلّة ، ويوسّع في قبره من الضيق إلى يوم ينفخ في الصور ويعطى المصلّي بعدد ما طلعت عليه الشمس حسنات وترفع له أربعون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رواية اُخرى يقرأ في الركعة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 ويقول بعد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 وابعث ثوابها إلى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أتى بالكيفيتين كان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وتكفي صلاة واحدة عن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تعارف من عدد الأربعين أو الواحد والأربعين غير وارد ، نعم لا بأس به إذا لم يكن بقصد الورود في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جواز الاستئجار وأخذ الاُجرة على هذه الصلاة إشكال</w:t>
      </w:r>
      <w:r>
        <w:rPr>
          <w:rStyle w:val="FootnoteAnchor"/>
          <w:rtl w:val="true"/>
        </w:rPr>
        <w:footnoteReference w:id="265"/>
      </w:r>
      <w:r>
        <w:rPr>
          <w:rFonts w:ascii="Amiri" w:hAnsi="Amiri" w:eastAsia="Amiri" w:cs="Amiri"/>
          <w:color w:val="111111"/>
          <w:sz w:val="28"/>
          <w:sz w:val="28"/>
          <w:szCs w:val="28"/>
          <w:rtl w:val="true"/>
          <w:lang w:bidi="ar-SA"/>
        </w:rPr>
        <w:t xml:space="preserve">، والأحوط البذل بنحو العطيّة والإحسان وتبرّع المصلّي بالصلاة ، والظاهر أنّ وقتها تمام الليل وإن كان الأولى إيقاعها في أوّله </w:t>
      </w:r>
      <w:r>
        <w:rPr>
          <w:rFonts w:eastAsia="Amiri" w:cs="Amiri" w:ascii="Amiri" w:hAnsi="Amiri"/>
          <w:color w:val="111111"/>
          <w:sz w:val="28"/>
          <w:szCs w:val="28"/>
          <w:rtl w:val="true"/>
          <w:lang w:bidi="ar-SA"/>
        </w:rPr>
        <w:t xml:space="preserve">. </w:t>
      </w:r>
      <w:bookmarkStart w:id="154" w:name="pg15003_159686"/>
    </w:p>
    <w:p>
      <w:pPr>
        <w:pStyle w:val="Heading4"/>
        <w:numPr>
          <w:ilvl w:val="3"/>
          <w:numId w:val="1"/>
        </w:numPr>
        <w:rPr/>
      </w:pPr>
      <w:bookmarkStart w:id="155" w:name="__RefHeading___Toc487681_3406789950"/>
      <w:bookmarkStart w:id="156" w:name="_Toc55"/>
      <w:bookmarkEnd w:id="154"/>
      <w:bookmarkEnd w:id="155"/>
      <w:r>
        <w:rPr>
          <w:rtl w:val="true"/>
        </w:rPr>
        <w:t xml:space="preserve">القول </w:t>
      </w:r>
      <w:r>
        <w:rPr>
          <w:rtl w:val="true"/>
        </w:rPr>
        <w:t xml:space="preserve">: </w:t>
      </w:r>
      <w:r>
        <w:rPr>
          <w:rtl w:val="true"/>
        </w:rPr>
        <w:t>في الأغسال المندوبة</w:t>
      </w:r>
      <w:bookmarkEnd w:id="156"/>
    </w:p>
    <w:p>
      <w:pPr>
        <w:pStyle w:val="BookText"/>
        <w:rPr/>
      </w:pPr>
      <w:r>
        <w:rPr>
          <w:rFonts w:ascii="Amiri" w:hAnsi="Amiri" w:eastAsia="Amiri" w:cs="Amiri"/>
          <w:color w:val="111111"/>
          <w:sz w:val="28"/>
          <w:sz w:val="28"/>
          <w:szCs w:val="28"/>
          <w:rtl w:val="true"/>
          <w:lang w:bidi="ar-SA"/>
        </w:rPr>
        <w:t xml:space="preserve">وهي أقسام زمانية ومكانية وفعلية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87683_3406789950"/>
      <w:bookmarkStart w:id="158" w:name="_Toc56"/>
      <w:bookmarkEnd w:id="157"/>
      <w:r>
        <w:rPr>
          <w:rtl w:val="true"/>
        </w:rPr>
        <w:t xml:space="preserve">أمّا الزمانية فكثيرة </w:t>
      </w:r>
      <w:r>
        <w:rPr>
          <w:rtl w:val="true"/>
        </w:rPr>
        <w:t>:</w:t>
      </w:r>
      <w:bookmarkEnd w:id="15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 وهو من المستحبّات المؤكّدة حتّى قال بعض بوجوبه ، ولكنّ الأقوى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من طلوع الفجر الثاني إلى الزوال وبعده إلى آخر</w:t>
      </w:r>
      <w:r>
        <w:rPr>
          <w:rStyle w:val="FootnoteAnchor"/>
          <w:rtl w:val="true"/>
        </w:rPr>
        <w:footnoteReference w:id="266"/>
      </w:r>
      <w:r>
        <w:rPr>
          <w:rFonts w:ascii="Amiri" w:hAnsi="Amiri" w:eastAsia="Amiri" w:cs="Amiri"/>
          <w:color w:val="111111"/>
          <w:sz w:val="28"/>
          <w:sz w:val="28"/>
          <w:szCs w:val="28"/>
          <w:rtl w:val="true"/>
          <w:lang w:bidi="ar-SA"/>
        </w:rPr>
        <w:t xml:space="preserve">يوم السبت قضاء ، ولكن الأحوط فيما بعد الزوال إلى الغروب من يوم الجمعة أن ينوي القربة من غير تعرّض للقضاء والأداء ، كما أنّ الأحوط إتيانه في ليلة السبت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تقديمه يوم الخميس إذا خاف إعواز الماء</w:t>
      </w:r>
      <w:r>
        <w:rPr>
          <w:rStyle w:val="FootnoteAnchor"/>
          <w:rtl w:val="true"/>
        </w:rPr>
        <w:footnoteReference w:id="267"/>
      </w:r>
      <w:r>
        <w:rPr>
          <w:rFonts w:ascii="Amiri" w:hAnsi="Amiri" w:eastAsia="Amiri" w:cs="Amiri"/>
          <w:color w:val="111111"/>
          <w:sz w:val="28"/>
          <w:sz w:val="28"/>
          <w:szCs w:val="28"/>
          <w:rtl w:val="true"/>
          <w:lang w:bidi="ar-SA"/>
        </w:rPr>
        <w:t>يوم الجمعة ، ثمّ إن تمكّن منه يومها</w:t>
      </w:r>
      <w:r>
        <w:rPr>
          <w:rStyle w:val="FootnoteAnchor"/>
          <w:rtl w:val="true"/>
        </w:rPr>
        <w:footnoteReference w:id="268"/>
      </w:r>
      <w:r>
        <w:rPr>
          <w:rFonts w:ascii="Amiri" w:hAnsi="Amiri" w:eastAsia="Amiri" w:cs="Amiri"/>
          <w:color w:val="111111"/>
          <w:sz w:val="28"/>
          <w:sz w:val="28"/>
          <w:szCs w:val="28"/>
          <w:rtl w:val="true"/>
          <w:lang w:bidi="ar-SA"/>
        </w:rPr>
        <w:t xml:space="preserve">يستحبّ إعادته وإن تركه حينئذٍ يستحبّ قضاؤه يوم السبت ، ولو دار الأمر بين التقديم والقضاء فالأوّل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ليلة الجمعة بيوم الخميس وجه ، لكن الأحوط</w:t>
      </w:r>
      <w:r>
        <w:rPr>
          <w:rStyle w:val="FootnoteAnchor"/>
          <w:rtl w:val="true"/>
        </w:rPr>
        <w:footnoteReference w:id="269"/>
      </w:r>
      <w:r>
        <w:rPr>
          <w:rFonts w:ascii="Amiri" w:hAnsi="Amiri" w:eastAsia="Amiri" w:cs="Amiri"/>
          <w:color w:val="111111"/>
          <w:sz w:val="28"/>
          <w:sz w:val="28"/>
          <w:szCs w:val="28"/>
          <w:rtl w:val="true"/>
          <w:lang w:bidi="ar-SA"/>
        </w:rPr>
        <w:t xml:space="preserve">إتيانه به فيها رجاءً ، كما أنّ الأحوط فيما إذا كان فوته يوم الجمعة لا لإعواز الماء بل لأمر آخر تقديمه يوم الخميس بعنوان الرجاء لا بقصد المشروعية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ليالي شهر رمضان ؛ وهي ليالي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والثالثة والخامسة وهكذا وتمام ليالي العشر الأخيرة ، والآكد منها ليالي القدر وليلة النصف وليلة سبعة عشر والخمس وعشرين والسبع وعشرين والتسع وعشرين </w:t>
      </w:r>
    </w:p>
    <w:p>
      <w:pPr>
        <w:pStyle w:val="BookText"/>
        <w:rPr/>
      </w:pPr>
      <w:r>
        <w:rPr>
          <w:rFonts w:ascii="Amiri" w:hAnsi="Amiri" w:eastAsia="Amiri" w:cs="Amiri"/>
          <w:color w:val="111111"/>
          <w:sz w:val="28"/>
          <w:sz w:val="28"/>
          <w:szCs w:val="28"/>
          <w:rtl w:val="true"/>
          <w:lang w:bidi="ar-SA"/>
        </w:rPr>
        <w:t xml:space="preserve">منه ، ويستحبّ في ليلة الثالث والعشرين غسل ثانٍ في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الغسل فيها تمام الليل وإن كان الأولى أوّله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 والغسل في هذين اليومين من السنن الأكيدة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بعد الفجر إلى الزوال ويحتمل إلى الغروب والأحوط إتيانه بعد الزوال رجاءً لا بقصد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التروية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عرفة والأولى إيقاعه عند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أيّام من رجب ، أوّله ووسطه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والأولى إتيانه قبل الزوال</w:t>
      </w:r>
      <w:r>
        <w:rPr>
          <w:rStyle w:val="FootnoteAnchor"/>
          <w:rtl w:val="true"/>
        </w:rPr>
        <w:footnoteReference w:id="271"/>
      </w:r>
      <w:r>
        <w:rPr>
          <w:rFonts w:ascii="Amiri" w:hAnsi="Amiri" w:eastAsia="Amiri" w:cs="Amiri"/>
          <w:color w:val="111111"/>
          <w:sz w:val="28"/>
          <w:sz w:val="28"/>
          <w:szCs w:val="28"/>
          <w:rtl w:val="true"/>
          <w:lang w:bidi="ar-SA"/>
        </w:rPr>
        <w:t xml:space="preserve">بنصف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المباهلة وهو الرابع والعشرون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w:t>
      </w:r>
      <w:r>
        <w:rPr>
          <w:rStyle w:val="FootnoteAnchor"/>
          <w:rtl w:val="true"/>
        </w:rPr>
        <w:footnoteReference w:id="272"/>
      </w:r>
      <w:r>
        <w:rPr>
          <w:rFonts w:ascii="Amiri" w:hAnsi="Amiri" w:eastAsia="Amiri" w:cs="Amiri"/>
          <w:color w:val="111111"/>
          <w:sz w:val="28"/>
          <w:sz w:val="28"/>
          <w:szCs w:val="28"/>
          <w:rtl w:val="true"/>
          <w:lang w:bidi="ar-SA"/>
        </w:rPr>
        <w:t xml:space="preserve">وهو الخامس والعشرون من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المبعث وهو السابع والعشرون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w:t>
      </w:r>
      <w:r>
        <w:rPr>
          <w:rStyle w:val="FootnoteAnchor"/>
          <w:rtl w:val="true"/>
        </w:rPr>
        <w:footnoteReference w:id="273"/>
      </w:r>
      <w:r>
        <w:rPr>
          <w:rFonts w:ascii="Amiri" w:hAnsi="Amiri" w:eastAsia="Amiri" w:cs="Amiri"/>
          <w:color w:val="111111"/>
          <w:sz w:val="28"/>
          <w:sz w:val="28"/>
          <w:szCs w:val="28"/>
          <w:rtl w:val="true"/>
          <w:lang w:bidi="ar-SA"/>
        </w:rPr>
        <w:t xml:space="preserve">وهو السابع عشر من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التاسع</w:t>
      </w:r>
      <w:r>
        <w:rPr>
          <w:rStyle w:val="FootnoteAnchor"/>
          <w:rtl w:val="true"/>
        </w:rPr>
        <w:footnoteReference w:id="274"/>
      </w:r>
      <w:r>
        <w:rPr>
          <w:rFonts w:ascii="Amiri" w:hAnsi="Amiri" w:eastAsia="Amiri" w:cs="Amiri"/>
          <w:color w:val="111111"/>
          <w:sz w:val="28"/>
          <w:sz w:val="28"/>
          <w:szCs w:val="28"/>
          <w:rtl w:val="true"/>
          <w:lang w:bidi="ar-SA"/>
        </w:rPr>
        <w:t xml:space="preserve">من ربيع الأوّل </w:t>
      </w:r>
      <w:r>
        <w:rPr>
          <w:rFonts w:eastAsia="Amiri" w:cs="Amiri" w:ascii="Amiri" w:hAnsi="Amiri"/>
          <w:color w:val="111111"/>
          <w:sz w:val="28"/>
          <w:szCs w:val="28"/>
          <w:rtl w:val="true"/>
          <w:lang w:bidi="ar-SA"/>
        </w:rPr>
        <w:t xml:space="preserve">. </w:t>
      </w:r>
      <w:bookmarkStart w:id="159" w:name="pg15003_159688"/>
    </w:p>
    <w:p>
      <w:pPr>
        <w:pStyle w:val="BookText"/>
        <w:rPr/>
      </w:pPr>
      <w:bookmarkEnd w:id="159"/>
      <w:r>
        <w:rPr>
          <w:rFonts w:ascii="Amiri" w:hAnsi="Amiri" w:eastAsia="Amiri" w:cs="Amiri"/>
          <w:color w:val="111111"/>
          <w:sz w:val="28"/>
          <w:sz w:val="28"/>
          <w:szCs w:val="28"/>
          <w:rtl w:val="true"/>
          <w:lang w:bidi="ar-SA"/>
        </w:rPr>
        <w:t>ولا تقضى هذه الأغسال بفوات وقتها، كما أ نّها لا تتقدّم على أوقاتها مع خوف فوتها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استحبّ للدخول في بعض الأمكنة الخاصّة ، مثل حرم مكّة وبلدها ومسجدها والكعبة وحرم المدينة وبلدتها ومسجدها وجميع المشاهد</w:t>
      </w:r>
      <w:r>
        <w:rPr>
          <w:rStyle w:val="FootnoteAnchor"/>
          <w:rtl w:val="true"/>
        </w:rPr>
        <w:footnoteReference w:id="275"/>
      </w:r>
      <w:r>
        <w:rPr>
          <w:rFonts w:ascii="Amiri" w:hAnsi="Amiri" w:eastAsia="Amiri" w:cs="Amiri"/>
          <w:color w:val="111111"/>
          <w:sz w:val="28"/>
          <w:sz w:val="28"/>
          <w:szCs w:val="28"/>
          <w:rtl w:val="true"/>
          <w:lang w:bidi="ar-SA"/>
        </w:rPr>
        <w:t xml:space="preserve">المشرّفة ، فإنّه يستحبّ الغسل للدخول في كلّ من هذه الأمكنة </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87685_3406789950"/>
      <w:bookmarkStart w:id="161" w:name="_Toc57"/>
      <w:bookmarkEnd w:id="160"/>
      <w:r>
        <w:rPr>
          <w:rtl w:val="true"/>
        </w:rPr>
        <w:t xml:space="preserve">وأمّا الفعلية فهي قسمان </w:t>
      </w:r>
      <w:r>
        <w:rPr>
          <w:rtl w:val="true"/>
        </w:rPr>
        <w:t>:</w:t>
      </w:r>
      <w:bookmarkEnd w:id="1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لأجل الفعل الذي يريد إيقاعه أو الأمر الذي يريد وقوعه كغسل الإحرام والطواف والزيارة ، والغسل للوقوف بعرفات وللوقوف بالمشعر</w:t>
      </w:r>
      <w:r>
        <w:rPr>
          <w:rStyle w:val="FootnoteAnchor"/>
          <w:rtl w:val="true"/>
        </w:rPr>
        <w:footnoteReference w:id="276"/>
      </w:r>
      <w:r>
        <w:rPr>
          <w:rFonts w:ascii="IRNazanin" w:hAnsi="IRNazanin" w:eastAsia="IRNazanin"/>
          <w:color w:val="111111"/>
          <w:sz w:val="28"/>
          <w:sz w:val="28"/>
          <w:szCs w:val="28"/>
          <w:rtl w:val="true"/>
          <w:lang w:bidi="fa-IR"/>
        </w:rPr>
        <w:t xml:space="preserve">وللذبح والنحر والحلق ولرؤية أحد الأئمّة في المنام ، كما روي عن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ذلك يغتسل ثلاث ليال ويناجيهم ، فيراهم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ولصلاة الحاجة وللاستخارة ولعمل الاستفتاح المعروف بعمل اُمّ داود ولأخذ التربة الشريفة من محلّها أو لإرادة السفر خصوصاً لزيارة الحسين علیه السلام ولصلاة الاستسقاء وللتوبة من الكفر بل من كلّ معصية وللتظلّم والاشتكاء إلى اللّه من ظلم من ظلمه ، فإنّه يغتسل ويصلّي ركعتين في موضع لا يحجبه عن السماء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ظلمني وليس لي أحد أصول به عليه غيرك ، فاستوف لي ظلامتي الساعة الساعة بالاسم الذي إذا سألك به المضطرّ أجبته فكشفت ما به من ضرّ ومكّنت له في الأرض وجعلته خليفتك على خلقك فأسأ لُك أن تصلّي على محمّد وآل محمّد وأن تستوفي ظلامتي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فسترى ما تحبّ ، وللخوف من الظالم ، فإنّه يغتسل ويصلّي ثمّ يكشف ركبتيه ويجعلهما قريباً من </w:t>
      </w:r>
    </w:p>
    <w:p>
      <w:pPr>
        <w:pStyle w:val="BookText"/>
        <w:rPr/>
      </w:pPr>
      <w:r>
        <w:rPr>
          <w:rFonts w:ascii="Amiri" w:hAnsi="Amiri" w:eastAsia="Amiri" w:cs="Amiri"/>
          <w:color w:val="111111"/>
          <w:sz w:val="28"/>
          <w:sz w:val="28"/>
          <w:szCs w:val="28"/>
          <w:rtl w:val="true"/>
          <w:lang w:bidi="ar-SA"/>
        </w:rPr>
        <w:t xml:space="preserve">مصلاّه ويقول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لا إله إلاّ أنت برحمتك أستغيث فصلِّ على محمّد وآل محمّد وأن تلطف لي وأن تغلب لي وأن تمكر لي وأن تخدع لي وأن تكيد لي وأن تكفيني مؤونة فلان بن فلان بلا مؤونة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لأجل الفعل الذي فعله ، وهي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المصلوب مع السعي إلى رؤيته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للتفريط في أداء صلاة الكسوفين مع احتراق القرص ، فإنّه يستحبّ أن يغتسل عند قضائها بل وجوبه</w:t>
      </w:r>
      <w:r>
        <w:rPr>
          <w:rStyle w:val="FootnoteAnchor"/>
          <w:rtl w:val="true"/>
        </w:rPr>
        <w:footnoteReference w:id="277"/>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الميّت بعد تغسيله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إيقاع الأغسال المكانية قبل الدخول</w:t>
      </w:r>
      <w:r>
        <w:rPr>
          <w:rStyle w:val="FootnoteAnchor"/>
          <w:rtl w:val="true"/>
        </w:rPr>
        <w:footnoteReference w:id="278"/>
      </w:r>
      <w:r>
        <w:rPr>
          <w:rFonts w:ascii="Amiri" w:hAnsi="Amiri" w:eastAsia="Amiri" w:cs="Amiri"/>
          <w:color w:val="111111"/>
          <w:sz w:val="28"/>
          <w:sz w:val="28"/>
          <w:szCs w:val="28"/>
          <w:rtl w:val="true"/>
          <w:lang w:bidi="ar-SA"/>
        </w:rPr>
        <w:t xml:space="preserve">في تلك الأمكنة ؛ بحيث يقع الدخول فيها بعده من دون فصل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الغسل في أوّل النهار أو الليل والدخول فيها في آخرهما ، بل كفاية غسل النهار للّيل وبالعكس لا يخلو من قوّة ، وكذا الحال في القسم الأوّل من الأغسال الفعلية ممّا استحبّ لإيجاد عمل بعد الغسل كالإحرام والزيارة ونحوهما ، فوقته قبل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الفصل بينهما بالمقدار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من الأغسال الفعلية فوقتها عند تحقّق السبب ، ويمتدّ إلى آخر العمر وإن استحبّ المبادرة إليها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ينتقض</w:t>
      </w:r>
      <w:r>
        <w:rPr>
          <w:rStyle w:val="FootnoteAnchor"/>
          <w:rtl w:val="true"/>
        </w:rPr>
        <w:footnoteReference w:id="279"/>
      </w:r>
      <w:r>
        <w:rPr>
          <w:rFonts w:ascii="Amiri" w:hAnsi="Amiri" w:eastAsia="Amiri" w:cs="Amiri"/>
          <w:color w:val="111111"/>
          <w:sz w:val="28"/>
          <w:sz w:val="28"/>
          <w:szCs w:val="28"/>
          <w:rtl w:val="true"/>
          <w:lang w:bidi="ar-SA"/>
        </w:rPr>
        <w:t xml:space="preserve">الأغسال الزمانية والقسم الثاني من الفعلية بشيء من الأحداث بعدها ، وأمّا المكانية والقسم الأوّل من الفعلية فالظاهر انتقاضها بالحدث الأصغر فضلاً عن الأكبر ، فإذا أحدث بينها وبين الدخول في تلك </w:t>
      </w:r>
      <w:bookmarkStart w:id="162" w:name="pg15003_159690"/>
    </w:p>
    <w:p>
      <w:pPr>
        <w:pStyle w:val="BookText"/>
        <w:rPr/>
      </w:pPr>
      <w:bookmarkEnd w:id="162"/>
      <w:r>
        <w:rPr>
          <w:rFonts w:ascii="Amiri" w:hAnsi="Amiri" w:eastAsia="Amiri" w:cs="Amiri"/>
          <w:color w:val="111111"/>
          <w:sz w:val="28"/>
          <w:sz w:val="28"/>
          <w:szCs w:val="28"/>
          <w:rtl w:val="true"/>
          <w:lang w:bidi="ar-SA"/>
        </w:rPr>
        <w:t xml:space="preserve">الأمكنة أو بينها وبين تلك الأفعال أعاد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أغسال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أو مكانية أو فعلية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 واحد عن الجميع إذا نواها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قيام التيمّم عند التعذّر مقام تلك الأغسال تأمّل وإشكال ، فالأحوط الإتيان به عنده بعنوان الرجاء واحتمال المطلوبية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87687_3406789950"/>
      <w:bookmarkStart w:id="164" w:name="_Toc58"/>
      <w:bookmarkEnd w:id="163"/>
      <w:r>
        <w:rPr>
          <w:rtl w:val="true"/>
        </w:rPr>
        <w:t xml:space="preserve">فصل </w:t>
      </w:r>
      <w:r>
        <w:rPr>
          <w:rtl w:val="true"/>
        </w:rPr>
        <w:t xml:space="preserve">: </w:t>
      </w:r>
      <w:r>
        <w:rPr>
          <w:rtl w:val="true"/>
        </w:rPr>
        <w:t>في التيمّم</w:t>
      </w:r>
      <w:bookmarkEnd w:id="164"/>
    </w:p>
    <w:p>
      <w:pPr>
        <w:pStyle w:val="Heading4"/>
        <w:numPr>
          <w:ilvl w:val="3"/>
          <w:numId w:val="1"/>
        </w:numPr>
        <w:rPr/>
      </w:pPr>
      <w:bookmarkStart w:id="165" w:name="__RefHeading___Toc487689_3406789950"/>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والكلام في مسوّغاته وفيما يصحّ التيمّم به وفي كيفيته وفيما يعتبر فيه وفي أحكامه </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87691_3406789950"/>
      <w:bookmarkStart w:id="168" w:name="_Toc60"/>
      <w:bookmarkEnd w:id="167"/>
      <w:r>
        <w:rPr>
          <w:rtl w:val="true"/>
        </w:rPr>
        <w:t xml:space="preserve">القول </w:t>
      </w:r>
      <w:r>
        <w:rPr>
          <w:rtl w:val="true"/>
        </w:rPr>
        <w:t xml:space="preserve">: </w:t>
      </w:r>
      <w:r>
        <w:rPr>
          <w:rtl w:val="true"/>
        </w:rPr>
        <w:t>في مسوّغاته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مسوّغات التيمّم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ما يكفيه من الماء لطهارته ؛ غسلاً كانت أو وضوءاً ، ويجب الفحص عنه إلى اليأس ، وفي البرّية يكفي الطلب غلوة سهم في الحزنة وغلوة سهمين في السهلة في الجوانب الأربعة مع احتمال وجوده في الجميع ، ويسقط عن الجانب الذي يعلم بعدمه فيه ، كما أ نّه يسقط في الجميع إذا قطع بعدمه في الجميع وإن احتمل وجوده فوق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بوجوده فوق المقدار وجب تحصيله إذا بقي الوقت ولم يتعسّر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المباشرة في الطلب ، بل يكفي الاستنابة</w:t>
      </w:r>
      <w:r>
        <w:rPr>
          <w:rStyle w:val="FootnoteAnchor"/>
          <w:rtl w:val="true"/>
        </w:rPr>
        <w:footnoteReference w:id="2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الظاهر كفاية نائب واحد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الأمانة والوثاقة ولا يعتبر فيه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في بعض الجوانب حزنة وفي بعضها سهلة يكون لكلّ جانب حكمه من الغلوة أو الغلوتين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المناط في السهم والرمي</w:t>
      </w:r>
      <w:r>
        <w:rPr>
          <w:rStyle w:val="FootnoteAnchor"/>
          <w:rtl w:val="true"/>
        </w:rPr>
        <w:footnoteReference w:id="281"/>
      </w:r>
      <w:r>
        <w:rPr>
          <w:rFonts w:ascii="Amiri" w:hAnsi="Amiri" w:eastAsia="Amiri" w:cs="Amiri"/>
          <w:color w:val="111111"/>
          <w:sz w:val="28"/>
          <w:sz w:val="28"/>
          <w:szCs w:val="28"/>
          <w:rtl w:val="true"/>
          <w:lang w:bidi="ar-SA"/>
        </w:rPr>
        <w:t>والقوس والهواء والرامي هو المتعارف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الطلب حتّى ضاق الوقت تيمّم وصلّى وصحّت صلاته وإن أثم بالترك ، والأحوط القضاء خصوصاً فيما لو طلب الماء لعثر به ، وأمّا مع السعة بطلت صلاته وتيمّمه وإن صادف عدم الماء في الواقع ، نعم مع المصادفة</w:t>
      </w:r>
      <w:r>
        <w:rPr>
          <w:rStyle w:val="FootnoteAnchor"/>
          <w:rtl w:val="true"/>
        </w:rPr>
        <w:footnoteReference w:id="282"/>
      </w:r>
      <w:r>
        <w:rPr>
          <w:rFonts w:ascii="Amiri" w:hAnsi="Amiri" w:eastAsia="Amiri" w:cs="Amiri"/>
          <w:color w:val="111111"/>
          <w:sz w:val="28"/>
          <w:sz w:val="28"/>
          <w:szCs w:val="28"/>
          <w:rtl w:val="true"/>
          <w:lang w:bidi="ar-SA"/>
        </w:rPr>
        <w:t xml:space="preserve">لو حصل منه قصد القربة لا يبعد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بالمقدار اللازم فلم يجده فتيمّم وصلّى ثمّ ظفر بالماء في محلّ الطلب أو في رحله أو قافلته ، صحّت صلاته ولا يجب القضاء أو الإعادة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وجوب الطلب مع الخوف على نفسه أو عرضه أو ماله</w:t>
      </w:r>
      <w:r>
        <w:rPr>
          <w:rStyle w:val="FootnoteAnchor"/>
          <w:rtl w:val="true"/>
        </w:rPr>
        <w:footnoteReference w:id="283"/>
      </w:r>
      <w:r>
        <w:rPr>
          <w:rFonts w:ascii="Amiri" w:hAnsi="Amiri" w:eastAsia="Amiri" w:cs="Amiri"/>
          <w:color w:val="111111"/>
          <w:sz w:val="28"/>
          <w:sz w:val="28"/>
          <w:szCs w:val="28"/>
          <w:rtl w:val="true"/>
          <w:lang w:bidi="ar-SA"/>
        </w:rPr>
        <w:t xml:space="preserve">؛ من سبع أو لصّ أو غير ذلك ، وكذلك مع ضيق الوقت عن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الضيق فتركه وتيمّم وصلّى ثمّ تبيّن السعة ، فإن كان في مكان صلّى فيه فليجدّد </w:t>
      </w:r>
    </w:p>
    <w:p>
      <w:pPr>
        <w:pStyle w:val="BookText"/>
        <w:rPr/>
      </w:pPr>
      <w:r>
        <w:rPr>
          <w:rFonts w:ascii="IRNazanin" w:hAnsi="IRNazanin" w:eastAsia="IRNazanin"/>
          <w:color w:val="111111"/>
          <w:sz w:val="28"/>
          <w:sz w:val="28"/>
          <w:szCs w:val="28"/>
          <w:rtl w:val="true"/>
          <w:lang w:bidi="fa-IR"/>
        </w:rPr>
        <w:t>الطلب</w:t>
      </w:r>
      <w:r>
        <w:rPr>
          <w:rStyle w:val="FootnoteAnchor"/>
          <w:rtl w:val="true"/>
        </w:rPr>
        <w:footnoteReference w:id="284"/>
      </w:r>
      <w:r>
        <w:rPr>
          <w:rFonts w:ascii="Amiri" w:hAnsi="Amiri" w:eastAsia="Amiri" w:cs="Amiri"/>
          <w:color w:val="111111"/>
          <w:sz w:val="28"/>
          <w:sz w:val="28"/>
          <w:szCs w:val="28"/>
          <w:rtl w:val="true"/>
          <w:lang w:bidi="ar-SA"/>
        </w:rPr>
        <w:t xml:space="preserve">، فإن لم يجد الماء تجزي صلاته ، وإن وجده 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انتقل إلى مكان آخر ، فإن علم بأ نّه لو طلبه لوجده ، يعيد الصلاة وإن كان في هذا الحال غير قادر على الطلب وكان تكليفه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بأ نّه لو طلب لما ظفر به ، صحّت صلاته ولا يعيدها ، ومع اشتباه الحال ففيه إشكال ، فلا يترك الاحتياط بالإعادة أو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كون الطلب في وقت الصلاة ، فلو طلب قبل الوقت ولم يجد الماء لا يحتاج إلى تجديده بعده ، وكذا إذا طلب في الوقت لصلاة فلم يجد يكفي لغيرها من الصلوات ، نعم لو احتمل تجدّد الماء بعد ذلك الطلب مع وجود أمارة</w:t>
      </w:r>
      <w:r>
        <w:rPr>
          <w:rStyle w:val="FootnoteAnchor"/>
          <w:rtl w:val="true"/>
        </w:rPr>
        <w:footnoteReference w:id="285"/>
      </w:r>
      <w:r>
        <w:rPr>
          <w:rFonts w:ascii="Amiri" w:hAnsi="Amiri" w:eastAsia="Amiri" w:cs="Amiri"/>
          <w:color w:val="111111"/>
          <w:sz w:val="28"/>
          <w:sz w:val="28"/>
          <w:szCs w:val="28"/>
          <w:rtl w:val="true"/>
          <w:lang w:bidi="ar-SA"/>
        </w:rPr>
        <w:t xml:space="preserve">ظنّية عليه يجب تجديده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إلاّ ماء واحد يكفي الطهارة لا يجوز إراقته بعد دخول الوقت ، بل ولو كان على وضوء ولم يكن له ماء لا يجوز له إبطاله ، ولو عصى فأراق أو أبطل يصحّ تيمّمه وصلاته وإن كان الأحوط قضاءها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الإراقة والإبطال قبل الوقت مع عدم الماء في الوقت تأمّل</w:t>
      </w:r>
      <w:r>
        <w:rPr>
          <w:rStyle w:val="FootnoteAnchor"/>
          <w:rtl w:val="true"/>
        </w:rPr>
        <w:footnoteReference w:id="286"/>
      </w:r>
      <w:r>
        <w:rPr>
          <w:rFonts w:ascii="Amiri" w:hAnsi="Amiri" w:eastAsia="Amiri" w:cs="Amiri"/>
          <w:color w:val="111111"/>
          <w:sz w:val="28"/>
          <w:sz w:val="28"/>
          <w:szCs w:val="28"/>
          <w:rtl w:val="true"/>
          <w:lang w:bidi="ar-SA"/>
        </w:rPr>
        <w:t xml:space="preserve">وإشكال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حفر البئر بلا حرج وجب على الأحوط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الوصول إليه من اللصّ أو السبع أو الضياع أو نحو ذلك ممّا </w:t>
      </w:r>
    </w:p>
    <w:p>
      <w:pPr>
        <w:pStyle w:val="BookText"/>
        <w:rPr/>
      </w:pPr>
      <w:r>
        <w:rPr>
          <w:rFonts w:ascii="Amiri" w:hAnsi="Amiri" w:eastAsia="Amiri" w:cs="Amiri"/>
          <w:color w:val="111111"/>
          <w:sz w:val="28"/>
          <w:sz w:val="28"/>
          <w:szCs w:val="28"/>
          <w:rtl w:val="true"/>
          <w:lang w:bidi="ar-SA"/>
        </w:rPr>
        <w:t>يحصل معه خوف الضرر ولو جبناً</w:t>
      </w:r>
      <w:r>
        <w:rPr>
          <w:rStyle w:val="FootnoteAnchor"/>
          <w:rtl w:val="true"/>
        </w:rPr>
        <w:footnoteReference w:id="287"/>
      </w:r>
      <w:r>
        <w:rPr>
          <w:rFonts w:ascii="IRNazanin" w:hAnsi="IRNazanin" w:eastAsia="IRNazanin"/>
          <w:color w:val="111111"/>
          <w:sz w:val="28"/>
          <w:sz w:val="28"/>
          <w:szCs w:val="28"/>
          <w:rtl w:val="true"/>
          <w:lang w:bidi="fa-IR"/>
        </w:rPr>
        <w:t xml:space="preserve">على النفس أو العرض أو المال المعتدّ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الضرر المانع من استعماله ؛ لمرض أو رمد أو ورم أو جرح أو قرح أو نحو ذلك ممّا يتضرّر معه باستعمال الماء على وجه لا يلحق بالجبيرة وما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الخوف من حصوله أو الخوف من زيادته أو بطوئه وبين شدّة الألم باستعماله على وجه لا يتحمّل للبرد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باستعماله من العطش للحيوان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والمشقّة الشديدة التي لا تتحمّل عادة في تحصيل الماء أو استعماله وإن لم يكن ضرر ولا خوفه ، ومن ذلك حصول المنّة التي لا تتحمّل عادةً باستيهابه والذلّ والهوان بالاكتساب لشرائه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حصوله على دفع جميع ما عنده أو دفع ما يضرّ بحاله ، بخلاف غير المضرّ فإنّه يجب وإن كان أضعاف ثمن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تحصيله أو عن استعماله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استعمال الموجود من الماء في غسل نجاسة ونحوه ممّا لا يقوم غير الماء مقامه ، فإنّه يتعيّن التيمّم حينئذٍ ، لكن الأحوط صرف الماء في الغسل أوّلاً ثمّ التيمّم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العطش الذي يسوغ معه التيمّم بين المؤدّي إلى الهلاك أو المرض أو المشقّة الشديدة التي لا تتحمّل عادة وإن أمن من ضرره ، كما لا فرق فيما يؤدّي إلى الهلاك بين ما يخاف على نفسه أو على غيره ؛ آدمياً كان أو غيره ، مملوكاً كان أو غيره ممّا يجب حفظه عن الهلاك ، بل لا يبعد التعدّي </w:t>
      </w:r>
    </w:p>
    <w:p>
      <w:pPr>
        <w:pStyle w:val="BookText"/>
        <w:rPr/>
      </w:pPr>
      <w:r>
        <w:rPr>
          <w:rFonts w:ascii="Amiri" w:hAnsi="Amiri" w:eastAsia="Amiri" w:cs="Amiri"/>
          <w:color w:val="111111"/>
          <w:sz w:val="28"/>
          <w:sz w:val="28"/>
          <w:szCs w:val="28"/>
          <w:rtl w:val="true"/>
          <w:lang w:bidi="ar-SA"/>
        </w:rPr>
        <w:t xml:space="preserve">إلى من لا يجوز قتله وإن لم يجب حفظه كالذمّي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عدم التعدّي إلى ما يجوز قتله بأيّ حيلة كالمؤذيات من الحيوانات ومن يكون مهدور الدم من الآدمي ، كالحربي والمرتدّ عن فطرة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رفع عطشه بما يحرم تناوله كالخمر والنجس ، وعنده ماء طاهر ، يجب حفظه لعطشه ، ويتيمّم لصلاته ؛ لأنّ وجود المحرّم كالعدم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متمكّناً من الصلاة مع الطهارة المائية ، فأخّر حتّى ضاق الوقت عن الوضوء والغسل ، تيمّم وصلّى وصحّ صلاته وإن أثم بالتأخير ، والأحوط احتياطاً شديداً قضاؤها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مقدار ما بقي من الوقت فتردّد بين ضيقه حتّى يتيمّم أو سعته حتّى يتوضّأ أو يغتسل ، بنى على السعة</w:t>
      </w:r>
      <w:r>
        <w:rPr>
          <w:rStyle w:val="FootnoteAnchor"/>
          <w:rtl w:val="true"/>
        </w:rPr>
        <w:footnoteReference w:id="288"/>
      </w:r>
      <w:r>
        <w:rPr>
          <w:rFonts w:ascii="Amiri" w:hAnsi="Amiri" w:eastAsia="Amiri" w:cs="Amiri"/>
          <w:color w:val="111111"/>
          <w:sz w:val="28"/>
          <w:sz w:val="28"/>
          <w:szCs w:val="28"/>
          <w:rtl w:val="true"/>
          <w:lang w:bidi="ar-SA"/>
        </w:rPr>
        <w:t xml:space="preserve">وتوضّأ واغتسل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مقدار ما بقي ولو تقريباً وشكّ في كفايته للطهارة المائية حتّى خاف فوت الوقت لأجلها ينتقل إلى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بين إيقاع تمام الصلاة في الوقت مع التيمّم وإيقاع ركعة منها مع الوضوء قدّم الأوّل</w:t>
      </w:r>
      <w:r>
        <w:rPr>
          <w:rStyle w:val="FootnoteAnchor"/>
          <w:rtl w:val="true"/>
        </w:rPr>
        <w:footnoteReference w:id="289"/>
      </w:r>
      <w:r>
        <w:rPr>
          <w:rFonts w:ascii="IRNazanin" w:hAnsi="IRNazanin" w:eastAsia="IRNazanin"/>
          <w:color w:val="111111"/>
          <w:sz w:val="28"/>
          <w:sz w:val="28"/>
          <w:szCs w:val="28"/>
          <w:rtl w:val="true"/>
          <w:lang w:bidi="fa-IR"/>
        </w:rPr>
        <w:t xml:space="preserve">على الأقوى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لأجل ضيق الوقت مع وجدان الماء لا يستباح به إلاّ الصلاة التي ضاق وقتها فلا ينفع لصلاة اُخرى ولو صار فاقداً للماء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فقد في أثناء الصلاة الاُولى لا يبعد كفايته لصلاة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يستباح</w:t>
      </w:r>
      <w:r>
        <w:rPr>
          <w:rStyle w:val="FootnoteAnchor"/>
          <w:rtl w:val="true"/>
        </w:rPr>
        <w:footnoteReference w:id="290"/>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 xml:space="preserve">غير تلك الصلاة أيضاً من الغايات إذا أتى بها حال الصلاة فيجوز له مسّ كتابة القرآن حالها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عدم الماء أصلاً ووجود ما لا يكفيه لتمام الأعضاء وكان كافياً لبعضها في الانتقال إلى التيمّم ؛ لأنّ الوضوء والغسل لا يتبعّضان ، ولو تمكّن من مزج الماء الذي لا يكفيه لطهارته بما لا يخرج عن الإطلاق ويحصل به الكفاية فهل يجب عليه ذلك أم لا ؟ وجهان ، أحوطهما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خالف من كان فرضه التيمّم فتوضّأ أو اغتسل فطهارته باطلة</w:t>
      </w:r>
      <w:r>
        <w:rPr>
          <w:rStyle w:val="FootnoteAnchor"/>
          <w:rtl w:val="true"/>
        </w:rPr>
        <w:footnoteReference w:id="291"/>
      </w:r>
      <w:r>
        <w:rPr>
          <w:rFonts w:ascii="Amiri" w:hAnsi="Amiri" w:eastAsia="Amiri" w:cs="Amiri"/>
          <w:color w:val="111111"/>
          <w:sz w:val="28"/>
          <w:sz w:val="28"/>
          <w:szCs w:val="28"/>
          <w:rtl w:val="true"/>
          <w:lang w:bidi="ar-SA"/>
        </w:rPr>
        <w:t xml:space="preserve">، إلاّ أن يأتي بها في مقام ضيق الوقت لا للأمر بها من حيث الصلاة ، بل يفعلها بعنوان الكون على الطهارة أو غيره من الغايات فتصحّ حينئذٍ ، كما أ نّها تصحّ أيضاً لو خالف ودفع المضرّ بحاله ثمناً عن الماء ، أو تحمّل المنّة والهوان ، أو المخاطرة في تحصيله ، ونحو ذلك ممّا كان الممنوع منه مقدّمات الطهارة لا هي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لو تحمّل ألم البرد أو مشقّة العطش وتطهّر إذا فرض عدم الضرر وأنّ المانع مجرّد الألم والمشقّة ، وإن كان الأحوط خلافه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لصلاة الجنازة والنوم مع التمكّن من الماء ، إلاّ أ نّه ينبغي الاقتصار في الأخير على ما كان من الحدث الأصغر</w:t>
      </w:r>
      <w:r>
        <w:rPr>
          <w:rStyle w:val="FootnoteAnchor"/>
          <w:rtl w:val="true"/>
        </w:rPr>
        <w:footnoteReference w:id="293"/>
      </w:r>
      <w:r>
        <w:rPr>
          <w:rFonts w:ascii="Amiri" w:hAnsi="Amiri" w:eastAsia="Amiri" w:cs="Amiri"/>
          <w:color w:val="111111"/>
          <w:sz w:val="28"/>
          <w:sz w:val="28"/>
          <w:szCs w:val="28"/>
          <w:rtl w:val="true"/>
          <w:lang w:bidi="ar-SA"/>
        </w:rPr>
        <w:t xml:space="preserve">بخلاف الأوّل ، فإنّه يجوز مع الحدث الأصغر والأكبر </w:t>
      </w:r>
      <w:r>
        <w:rPr>
          <w:rFonts w:eastAsia="Amiri" w:cs="Amiri" w:ascii="Amiri" w:hAnsi="Amiri"/>
          <w:color w:val="111111"/>
          <w:sz w:val="28"/>
          <w:szCs w:val="28"/>
          <w:rtl w:val="true"/>
          <w:lang w:bidi="ar-SA"/>
        </w:rPr>
        <w:t xml:space="preserve">. </w:t>
      </w:r>
      <w:bookmarkStart w:id="169" w:name="pg15003_159696"/>
    </w:p>
    <w:p>
      <w:pPr>
        <w:pStyle w:val="Heading4"/>
        <w:numPr>
          <w:ilvl w:val="3"/>
          <w:numId w:val="1"/>
        </w:numPr>
        <w:rPr/>
      </w:pPr>
      <w:bookmarkStart w:id="170" w:name="__RefHeading___Toc487693_3406789950"/>
      <w:bookmarkStart w:id="171" w:name="_Toc61"/>
      <w:bookmarkEnd w:id="169"/>
      <w:bookmarkEnd w:id="170"/>
      <w:r>
        <w:rPr>
          <w:rtl w:val="true"/>
        </w:rPr>
        <w:t xml:space="preserve">القول </w:t>
      </w:r>
      <w:r>
        <w:rPr>
          <w:rtl w:val="true"/>
        </w:rPr>
        <w:t xml:space="preserve">: </w:t>
      </w:r>
      <w:r>
        <w:rPr>
          <w:rtl w:val="true"/>
        </w:rPr>
        <w:t>فيما يتيمّم به</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فيما يتيمّم به أن يكون صعيداً ، وهو مطلق وجه الأرض ؛ من غير فرق بين التراب ، والرمل ، والحجر ، والمدر ، وأرض الجصّ والنورة قبل الإحراق ، وتراب القبر ، والمستعمل في التيمّم ، وذي اللون ، والحصى ، وغيرها ممّا يندرج تحت اسمها وإن لم يعلّق منه في اليد شيء ، إلاّ أنّ الأحوط التراب ، بخلاف ما لا يندرج تحت اسمها وإن كان منها ، كالنبات والذهب والفضّة وغيرهما من المعادن الخارجة عن اسمها ، وكذا الرماد وإن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كون شيء تراباً أو غيره ممّا لا يتيمّم به ، فإن علم بكونه تراباً في السابق وشكّ في استحالته إلى غيره يجوز التيمّم به ، وإن لم يعلم حالته السابقة يجمع</w:t>
      </w:r>
      <w:r>
        <w:rPr>
          <w:rStyle w:val="FootnoteAnchor"/>
          <w:rtl w:val="true"/>
        </w:rPr>
        <w:footnoteReference w:id="294"/>
      </w:r>
      <w:r>
        <w:rPr>
          <w:rFonts w:ascii="Amiri" w:hAnsi="Amiri" w:eastAsia="Amiri" w:cs="Amiri"/>
          <w:color w:val="111111"/>
          <w:sz w:val="28"/>
          <w:sz w:val="28"/>
          <w:szCs w:val="28"/>
          <w:rtl w:val="true"/>
          <w:lang w:bidi="ar-SA"/>
        </w:rPr>
        <w:t xml:space="preserve">بين التيمّم به والتيمّم بالمرتبة اللاحقة من الغبار والطين لو كانت ، وإلاّ يحتاط بالجمع بين التيمّم به والصلاة في الوقت والقضاء في خارجه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التيمّم بالخزف</w:t>
      </w:r>
      <w:r>
        <w:rPr>
          <w:rStyle w:val="FootnoteAnchor"/>
          <w:rtl w:val="true"/>
        </w:rPr>
        <w:footnoteReference w:id="295"/>
      </w:r>
      <w:r>
        <w:rPr>
          <w:rFonts w:ascii="Amiri" w:hAnsi="Amiri" w:eastAsia="Amiri" w:cs="Amiri"/>
          <w:color w:val="111111"/>
          <w:sz w:val="28"/>
          <w:sz w:val="28"/>
          <w:szCs w:val="28"/>
          <w:rtl w:val="true"/>
          <w:lang w:bidi="ar-SA"/>
        </w:rPr>
        <w:t xml:space="preserve">والجصّ والنورة بعد الإحراق مع التمكّن من التراب ونحوه ، وأمّا مع عدم التمكّن فالأحوط الجمع بين التيمّم بواحد منها وبين الغبار أو الطين اللذين هما مرتبة متأخّرة ، وأمّا مع فرض الانحصار فالأحوط الجمع بينهما وبين الإعادة أو القضاء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التيمّم بالصعيد النجس وإن كان جاهلاً بنجاسته أو ناسياً ، ولا بالمغصوب إلاّ إذا اُكره على المكث فيه كالمحبوس أو كان </w:t>
      </w:r>
    </w:p>
    <w:p>
      <w:pPr>
        <w:pStyle w:val="BookText"/>
        <w:rPr/>
      </w:pPr>
      <w:r>
        <w:rPr>
          <w:rFonts w:ascii="Amiri" w:hAnsi="Amiri" w:eastAsia="Amiri" w:cs="Amiri"/>
          <w:color w:val="111111"/>
          <w:sz w:val="28"/>
          <w:sz w:val="28"/>
          <w:szCs w:val="28"/>
          <w:rtl w:val="true"/>
          <w:lang w:bidi="ar-SA"/>
        </w:rPr>
        <w:t>جاهلاً</w:t>
      </w:r>
      <w:r>
        <w:rPr>
          <w:rStyle w:val="FootnoteAnchor"/>
          <w:rtl w:val="true"/>
        </w:rPr>
        <w:footnoteReference w:id="296"/>
      </w:r>
      <w:r>
        <w:rPr>
          <w:rFonts w:ascii="Amiri" w:hAnsi="Amiri" w:eastAsia="Amiri" w:cs="Amiri"/>
          <w:color w:val="111111"/>
          <w:sz w:val="28"/>
          <w:sz w:val="28"/>
          <w:szCs w:val="28"/>
          <w:rtl w:val="true"/>
          <w:lang w:bidi="ar-SA"/>
        </w:rPr>
        <w:t xml:space="preserve">، ولا بالممتزج بغيره مزجاً يخرجه عن إطلاق اسم التراب عليه ، فلا بأس بالمستهلك ولا الخليط المتميّز الذي لا يمنع شيئاً يعتدّ به من باطن الكفّ بحيث ينافي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المشتبه هنا بالمغصوب والممتزج ، حكم الماء بالنسبة إلى الوضوء والغسل ، بخلاف المشتبه بالنجس مع الانحصار فإنّه يتيمّم بهما وإن لم نقل به في المائين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ماء وتراب وعلم بنجاسة أحدهما يجب عليه مع الانحصار الجمع بين التيمّم والوضوء أو الغسل مقدّماً للتيمّم عليهما وإن كان جواز الاكتفاء بالغسل أو الوضوء لا يخلو من وجه</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إباحة</w:t>
      </w:r>
      <w:r>
        <w:rPr>
          <w:rStyle w:val="FootnoteAnchor"/>
          <w:rtl w:val="true"/>
        </w:rPr>
        <w:footnoteReference w:id="298"/>
      </w:r>
      <w:r>
        <w:rPr>
          <w:rFonts w:ascii="Amiri" w:hAnsi="Amiri" w:eastAsia="Amiri" w:cs="Amiri"/>
          <w:color w:val="111111"/>
          <w:sz w:val="28"/>
          <w:sz w:val="28"/>
          <w:szCs w:val="28"/>
          <w:rtl w:val="true"/>
          <w:lang w:bidi="ar-SA"/>
        </w:rPr>
        <w:t xml:space="preserve">مكان التيمّم كالوضوء والغسل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المحبوس في مكان مغصوب يجوز أن يتيمّم فيه بلا إشكال</w:t>
      </w:r>
      <w:r>
        <w:rPr>
          <w:rStyle w:val="FootnoteAnchor"/>
          <w:rtl w:val="true"/>
        </w:rPr>
        <w:footnoteReference w:id="299"/>
      </w:r>
      <w:r>
        <w:rPr>
          <w:rFonts w:ascii="Amiri" w:hAnsi="Amiri" w:eastAsia="Amiri" w:cs="Amiri"/>
          <w:color w:val="111111"/>
          <w:sz w:val="28"/>
          <w:sz w:val="28"/>
          <w:szCs w:val="28"/>
          <w:rtl w:val="true"/>
          <w:lang w:bidi="ar-SA"/>
        </w:rPr>
        <w:t xml:space="preserve">، وأمّا التيمّم به فلا يبعد جوازه أيضاً وإن لم يخل عن إشكال ، وأمّا التوضّؤ فيه فإن كان بماء مباح فهو كالتيمّم فيه لا بأس به ؛ خصوصاً إذا تحفّظ من وقوع قطرات الوضوء على أرض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بالماء الذي في المحبس فلا يجوز التوضّؤ به ما لم يحرز رضا صاحبه كخارج المحبس فإن لم يرض به يكون كفاقد الماء يتعيّن عليه التيمّم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 الصعيد تيمّم بغبار ثوبه أو لبد سرجه أو عرف دابّته ممّا يكون على ظاهره غبار الأرض ضارباً على ذي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الضرب على </w:t>
      </w:r>
      <w:bookmarkStart w:id="172" w:name="pg15003_159698"/>
    </w:p>
    <w:p>
      <w:pPr>
        <w:pStyle w:val="BookText"/>
        <w:rPr/>
      </w:pPr>
      <w:bookmarkEnd w:id="172"/>
      <w:r>
        <w:rPr>
          <w:rFonts w:ascii="Amiri" w:hAnsi="Amiri" w:eastAsia="Amiri" w:cs="Amiri"/>
          <w:color w:val="111111"/>
          <w:sz w:val="28"/>
          <w:sz w:val="28"/>
          <w:szCs w:val="28"/>
          <w:rtl w:val="true"/>
          <w:lang w:bidi="ar-SA"/>
        </w:rPr>
        <w:t xml:space="preserve">ما في باطنه الغبار دون ظاهره وإن ثار منه بالضرب عليه ، هذا إذا لم يتمكّن من نفضه وجمعه ثمّ التيمّم به وإلاّ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ذلك تيمّم بالوحل ، ولو تمكّن من تجفيفه ثمّ التيمّم به وجب وليس منه الأرض النديّة والتراب النديّ ، بل يكونان من 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تيمّم بالوحل فلصق بيده يجب إزالته</w:t>
      </w:r>
      <w:r>
        <w:rPr>
          <w:rStyle w:val="FootnoteAnchor"/>
          <w:rtl w:val="true"/>
        </w:rPr>
        <w:footnoteReference w:id="300"/>
      </w:r>
      <w:r>
        <w:rPr>
          <w:rFonts w:ascii="Amiri" w:hAnsi="Amiri" w:eastAsia="Amiri" w:cs="Amiri"/>
          <w:color w:val="111111"/>
          <w:sz w:val="28"/>
          <w:sz w:val="28"/>
          <w:szCs w:val="28"/>
          <w:rtl w:val="true"/>
          <w:lang w:bidi="ar-SA"/>
        </w:rPr>
        <w:t xml:space="preserve">أوّلاً ثمّ المسح بها ، وفي جواز إزالته بالغسل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التيمّم بالثلج ، فمن لم يجد غيره ممّا ذكر ولم يتمكّن</w:t>
      </w:r>
      <w:r>
        <w:rPr>
          <w:rStyle w:val="FootnoteAnchor"/>
          <w:rtl w:val="true"/>
        </w:rPr>
        <w:footnoteReference w:id="301"/>
      </w:r>
      <w:r>
        <w:rPr>
          <w:rFonts w:ascii="Amiri" w:hAnsi="Amiri" w:eastAsia="Amiri" w:cs="Amiri"/>
          <w:color w:val="111111"/>
          <w:sz w:val="28"/>
          <w:sz w:val="28"/>
          <w:szCs w:val="28"/>
          <w:rtl w:val="true"/>
          <w:lang w:bidi="ar-SA"/>
        </w:rPr>
        <w:t>من حصول مسمّى الغسل به كان فاقد الطهورين ، والأحوط</w:t>
      </w:r>
      <w:r>
        <w:rPr>
          <w:rStyle w:val="FootnoteAnchor"/>
          <w:rtl w:val="true"/>
        </w:rPr>
        <w:footnoteReference w:id="302"/>
      </w:r>
      <w:r>
        <w:rPr>
          <w:rFonts w:ascii="Amiri" w:hAnsi="Amiri" w:eastAsia="Amiri" w:cs="Amiri"/>
          <w:color w:val="111111"/>
          <w:sz w:val="28"/>
          <w:sz w:val="28"/>
          <w:szCs w:val="28"/>
          <w:rtl w:val="true"/>
          <w:lang w:bidi="ar-SA"/>
        </w:rPr>
        <w:t xml:space="preserve">هنا التمسّح بالثلج على أعضاء الوضوء والتيمّم به وفعل الصلاة في الوقت ثمّ القضاء بعده إذا تمكّن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التيمّم بالرمل وكذا بالسبخة ، بل لا يجوز في بعض أفرادها الخارج عن اسم الأرض ، ويستحبّ له نفض اليدين بعد الضرب وأن يكون ما يتيمّم به من ربى الأرض وعواليها ، بل يكره أيضاً أن يكون من مهابطها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87695_3406789950"/>
      <w:bookmarkStart w:id="174" w:name="_Toc62"/>
      <w:bookmarkEnd w:id="173"/>
      <w:r>
        <w:rPr>
          <w:rtl w:val="true"/>
        </w:rPr>
        <w:t xml:space="preserve">القول </w:t>
      </w:r>
      <w:r>
        <w:rPr>
          <w:rtl w:val="true"/>
        </w:rPr>
        <w:t xml:space="preserve">: </w:t>
      </w:r>
      <w:r>
        <w:rPr>
          <w:rtl w:val="true"/>
        </w:rPr>
        <w:t>في كيفية التيمّم</w:t>
      </w:r>
      <w:bookmarkEnd w:id="1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التيمّم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الأرض بباطن الكفّين معاً دفعة ، ثمّ مسح الجبهة والجبينين بهما معاً مستوعباً لهما من قصاص الشعر إلى طرف </w:t>
      </w:r>
    </w:p>
    <w:p>
      <w:pPr>
        <w:pStyle w:val="BookText"/>
        <w:rPr/>
      </w:pPr>
      <w:r>
        <w:rPr>
          <w:rFonts w:ascii="Amiri" w:hAnsi="Amiri" w:eastAsia="Amiri" w:cs="Amiri"/>
          <w:color w:val="111111"/>
          <w:sz w:val="28"/>
          <w:sz w:val="28"/>
          <w:szCs w:val="28"/>
          <w:rtl w:val="true"/>
          <w:lang w:bidi="ar-SA"/>
        </w:rPr>
        <w:t xml:space="preserve">الأنف الأعلى وإلى الحاجبين ، والأحوط المسح عليهما ثمّ مسح تمام ظاهر الكفّ اليمنى من الزند إلى أطراف الأصابع بباطن الكفّ اليسرى ، ثمّ مسح تمام ظاهر الكفّ اليسرى بباطن الكفّ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بين الأصابع من الظاهر ؛ إذ المراد ما يماسّه ظاهر بشرة الماسح بل لا يعتبر التدقيق والتعميق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الوضع</w:t>
      </w:r>
      <w:r>
        <w:rPr>
          <w:rStyle w:val="FootnoteAnchor"/>
          <w:rtl w:val="true"/>
        </w:rPr>
        <w:footnoteReference w:id="303"/>
      </w:r>
      <w:r>
        <w:rPr>
          <w:rFonts w:ascii="Amiri" w:hAnsi="Amiri" w:eastAsia="Amiri" w:cs="Amiri"/>
          <w:color w:val="111111"/>
          <w:sz w:val="28"/>
          <w:sz w:val="28"/>
          <w:szCs w:val="28"/>
          <w:rtl w:val="true"/>
          <w:lang w:bidi="ar-SA"/>
        </w:rPr>
        <w:t>من دون مسمّى الضرب ، ولا الضرب بأحدهما ، ولا بهما على التعاقب ، ولا الضرب بظاهرهما ، ولا ببعض الباطن بحيث لا يصدق عليه الضرب بتمام الكفّ عرفاً ، ولا المسح بأحدهما ، ولا بهما على التعاقب ، ولا بهما على وجه لا يصدق المسح بتمامهما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تعذّر</w:t>
      </w:r>
      <w:r>
        <w:rPr>
          <w:rStyle w:val="FootnoteAnchor"/>
          <w:rtl w:val="true"/>
        </w:rPr>
        <w:footnoteReference w:id="305"/>
      </w:r>
      <w:r>
        <w:rPr>
          <w:rFonts w:ascii="Amiri" w:hAnsi="Amiri" w:eastAsia="Amiri" w:cs="Amiri"/>
          <w:color w:val="111111"/>
          <w:sz w:val="28"/>
          <w:sz w:val="28"/>
          <w:szCs w:val="28"/>
          <w:rtl w:val="true"/>
          <w:lang w:bidi="ar-SA"/>
        </w:rPr>
        <w:t>الضرب والمسح بالباطن انتقل إلى الظاهر ، ولا ينتقل إليه لو كان الباطن متنجّساً بغير المتعدّي وتعذّرت الإزالة ، بل يضرب بهما</w:t>
      </w:r>
      <w:r>
        <w:rPr>
          <w:rStyle w:val="FootnoteAnchor"/>
          <w:rtl w:val="true"/>
        </w:rPr>
        <w:footnoteReference w:id="306"/>
      </w:r>
      <w:r>
        <w:rPr>
          <w:rFonts w:ascii="Amiri" w:hAnsi="Amiri" w:eastAsia="Amiri" w:cs="Amiri"/>
          <w:color w:val="111111"/>
          <w:sz w:val="28"/>
          <w:sz w:val="28"/>
          <w:szCs w:val="28"/>
          <w:rtl w:val="true"/>
          <w:lang w:bidi="ar-SA"/>
        </w:rPr>
        <w:t xml:space="preserve">ويمسح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النجاسة حائلة مستوعبة ولم يمكن التطهير والإزالة فالأحوط الجمع بين الضرب بالباطن والضرب بالظاهر ، نعم مع التعدّي إلى الصعيد ولم يمكن التجفيف ينتقل إلى الظاهر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النجاسة على الأعضاء الممسوحة وتعذّر التطهير والإزالة مسح عليها </w:t>
      </w:r>
      <w:r>
        <w:rPr>
          <w:rFonts w:eastAsia="Amiri" w:cs="Amiri" w:ascii="Amiri" w:hAnsi="Amiri"/>
          <w:color w:val="111111"/>
          <w:sz w:val="28"/>
          <w:szCs w:val="28"/>
          <w:rtl w:val="true"/>
          <w:lang w:bidi="ar-SA"/>
        </w:rPr>
        <w:t xml:space="preserve">. </w:t>
      </w:r>
      <w:bookmarkStart w:id="175" w:name="pg15003_159700"/>
    </w:p>
    <w:p>
      <w:pPr>
        <w:pStyle w:val="Heading4"/>
        <w:numPr>
          <w:ilvl w:val="3"/>
          <w:numId w:val="1"/>
        </w:numPr>
        <w:rPr/>
      </w:pPr>
      <w:bookmarkStart w:id="176" w:name="__RefHeading___Toc487697_3406789950"/>
      <w:bookmarkStart w:id="177" w:name="_Toc63"/>
      <w:bookmarkEnd w:id="175"/>
      <w:bookmarkEnd w:id="176"/>
      <w:r>
        <w:rPr>
          <w:rtl w:val="true"/>
        </w:rPr>
        <w:t xml:space="preserve">القول </w:t>
      </w:r>
      <w:r>
        <w:rPr>
          <w:rtl w:val="true"/>
        </w:rPr>
        <w:t xml:space="preserve">: </w:t>
      </w:r>
      <w:r>
        <w:rPr>
          <w:rtl w:val="true"/>
        </w:rPr>
        <w:t>فيما يعتبر في التيمّم</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النيّة في التيمّم على نحو ما سمعته في الوضوء ، قاصداً به البدلية عمّا عليه من الوضوء أو الغسل ، مقارناً بها الضرب الذي هو أوّل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المباشرة ،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والموالاة ؛ بمعنى عدم الفصل المنافي لهيئته وصورته ، والمسح من الأعلى إلى الأسفل في الجبهة واليدين ؛ بحيث يصدق ذلك عليه عرفاً ، ورفع الحاجب عن الماسح والممسوح حتّى مثل الخاتم والطهارة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الشعر النابت على المحلّ من الحاجب فيمسح عليه ، نعم يكون منه الشعر المتدلّي من الرأس على الجبهة إذا كان خارجاً</w:t>
      </w:r>
      <w:r>
        <w:rPr>
          <w:rStyle w:val="FootnoteAnchor"/>
          <w:rtl w:val="true"/>
        </w:rPr>
        <w:footnoteReference w:id="307"/>
      </w:r>
      <w:r>
        <w:rPr>
          <w:rFonts w:ascii="Amiri" w:hAnsi="Amiri" w:eastAsia="Amiri" w:cs="Amiri"/>
          <w:color w:val="111111"/>
          <w:sz w:val="28"/>
          <w:sz w:val="28"/>
          <w:szCs w:val="28"/>
          <w:rtl w:val="true"/>
          <w:lang w:bidi="ar-SA"/>
        </w:rPr>
        <w:t xml:space="preserve">عن المتعارف فيجب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الاختيار ، أمّا مع الاضطرار فيسقط المعسور ولكن لا يسقط به الميسور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ضربة واحدة للوجه واليدين في بدل الوضوء والغسل وإن كان الأفضل ضربتين مخيّراً بين إيقاعهما متعاقبتين قبل مسح الوجه ، أو موزّعتين على الوجه واليدين ، وأفضل من ذلك ثلاث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متعاقبتان قبل مسح الوجه وواحدة قبل مسح اليدين ، ومع ذلك لا ينبغي</w:t>
      </w:r>
      <w:r>
        <w:rPr>
          <w:rStyle w:val="FootnoteAnchor"/>
          <w:rtl w:val="true"/>
        </w:rPr>
        <w:footnoteReference w:id="308"/>
      </w:r>
      <w:r>
        <w:rPr>
          <w:rFonts w:ascii="Amiri" w:hAnsi="Amiri" w:eastAsia="Amiri" w:cs="Amiri"/>
          <w:color w:val="111111"/>
          <w:sz w:val="28"/>
          <w:sz w:val="28"/>
          <w:szCs w:val="28"/>
          <w:rtl w:val="true"/>
          <w:lang w:bidi="ar-SA"/>
        </w:rPr>
        <w:t xml:space="preserve">ترك الاحتياط بالضربتين ، خصوصاً فيما هو بدل عن الغسل بإيقاع واحدة للوجه واُخرى لليدين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العاجز ييمّمه غيره ، لكن يضرب الأرض بيد العاجز ثمّ يمسح </w:t>
      </w:r>
      <w:bookmarkStart w:id="178" w:name="pg15003_159701"/>
    </w:p>
    <w:p>
      <w:pPr>
        <w:pStyle w:val="BookText"/>
        <w:rPr/>
      </w:pPr>
      <w:bookmarkEnd w:id="178"/>
      <w:r>
        <w:rPr>
          <w:rFonts w:ascii="Amiri" w:hAnsi="Amiri" w:eastAsia="Amiri" w:cs="Amiri"/>
          <w:color w:val="111111"/>
          <w:sz w:val="28"/>
          <w:sz w:val="28"/>
          <w:szCs w:val="28"/>
          <w:rtl w:val="true"/>
          <w:lang w:bidi="ar-SA"/>
        </w:rPr>
        <w:t xml:space="preserve">بها ، نعم مع فرض العجز عن ذلك يضرب المتولّي بيديه ويمسح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وجوده على اُجرة وجب بذلها وإن كانت أضعاف</w:t>
      </w:r>
      <w:r>
        <w:rPr>
          <w:rStyle w:val="FootnoteAnchor"/>
          <w:rtl w:val="true"/>
        </w:rPr>
        <w:footnoteReference w:id="309"/>
      </w:r>
      <w:r>
        <w:rPr>
          <w:rFonts w:ascii="Amiri" w:hAnsi="Amiri" w:eastAsia="Amiri" w:cs="Amiri"/>
          <w:color w:val="111111"/>
          <w:sz w:val="28"/>
          <w:sz w:val="28"/>
          <w:szCs w:val="28"/>
          <w:rtl w:val="true"/>
          <w:lang w:bidi="ar-SA"/>
        </w:rPr>
        <w:t>اُجرة المثل ما لم يضرّ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قطعت إحدى يديه ضرب الأرض بالموجودة</w:t>
      </w:r>
      <w:r>
        <w:rPr>
          <w:rStyle w:val="FootnoteAnchor"/>
          <w:rtl w:val="true"/>
        </w:rPr>
        <w:footnoteReference w:id="310"/>
      </w:r>
      <w:r>
        <w:rPr>
          <w:rFonts w:ascii="Amiri" w:hAnsi="Amiri" w:eastAsia="Amiri" w:cs="Amiri"/>
          <w:color w:val="111111"/>
          <w:sz w:val="28"/>
          <w:sz w:val="28"/>
          <w:szCs w:val="28"/>
          <w:rtl w:val="true"/>
          <w:lang w:bidi="ar-SA"/>
        </w:rPr>
        <w:t xml:space="preserve">ومسح بها جبهته ثمّ مسح ظهرها بالأرض ، والأحوط الجمع بينه وبين تولية الغير إن أمكن ؛ بأن يضرب يده على الأرض ويمسح بها ظهر كفّ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قطعت يداه يمسح بجبهته على الأرض ، والأحوط تولية الغير أيضاً إن أمكن ؛ بأن يضرب يديه على الأرض ويمسح بهما جبهته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مسح الجبهة واليدين يجب إمرار الماسح على الممسوح ، فلا يكفي جرّ الممسوح تحت الماسح، نعم لا تضرّ الحركة اليسيرة في الممسوح إذا صدق كونه ممسوحاً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87699_3406789950"/>
      <w:bookmarkStart w:id="180" w:name="_Toc64"/>
      <w:bookmarkEnd w:id="179"/>
      <w:r>
        <w:rPr>
          <w:rtl w:val="true"/>
        </w:rPr>
        <w:t xml:space="preserve">القول </w:t>
      </w:r>
      <w:r>
        <w:rPr>
          <w:rtl w:val="true"/>
        </w:rPr>
        <w:t xml:space="preserve">: </w:t>
      </w:r>
      <w:r>
        <w:rPr>
          <w:rtl w:val="true"/>
        </w:rPr>
        <w:t>في أحكام التيمّم</w:t>
      </w:r>
      <w:bookmarkEnd w:id="1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w:t>
      </w:r>
      <w:r>
        <w:rPr>
          <w:rStyle w:val="FootnoteAnchor"/>
          <w:rtl w:val="true"/>
        </w:rPr>
        <w:footnoteReference w:id="311"/>
      </w:r>
      <w:r>
        <w:rPr>
          <w:rFonts w:ascii="Amiri" w:hAnsi="Amiri" w:eastAsia="Amiri" w:cs="Amiri"/>
          <w:color w:val="111111"/>
          <w:sz w:val="28"/>
          <w:sz w:val="28"/>
          <w:szCs w:val="28"/>
          <w:rtl w:val="true"/>
          <w:lang w:bidi="ar-SA"/>
        </w:rPr>
        <w:t xml:space="preserve">التيمّم للفريضة قبل دخول وقتها وإن علم بعدم التمكّن منه في الوقت على إشكال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w:t>
      </w:r>
      <w:r>
        <w:rPr>
          <w:rStyle w:val="FootnoteAnchor"/>
          <w:rtl w:val="true"/>
        </w:rPr>
        <w:footnoteReference w:id="312"/>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يعلم </w:t>
      </w:r>
    </w:p>
    <w:p>
      <w:pPr>
        <w:pStyle w:val="BookText"/>
        <w:rPr/>
      </w:pPr>
      <w:r>
        <w:rPr>
          <w:rFonts w:ascii="Amiri" w:hAnsi="Amiri" w:eastAsia="Amiri" w:cs="Amiri"/>
          <w:color w:val="111111"/>
          <w:sz w:val="28"/>
          <w:sz w:val="28"/>
          <w:szCs w:val="28"/>
          <w:rtl w:val="true"/>
          <w:lang w:bidi="ar-SA"/>
        </w:rPr>
        <w:t xml:space="preserve">بعدم التمكّن منه في الوقت إيجاده قبله لشيء من غاياته وعدم نقضه إلى وقت الصلاة مقدّمة لإدراك الصلاة مع الطهور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دخول الوقت فيصحّ وإن لم يتضيّق مع رجاء</w:t>
      </w:r>
      <w:r>
        <w:rPr>
          <w:rStyle w:val="FootnoteAnchor"/>
          <w:rtl w:val="true"/>
        </w:rPr>
        <w:footnoteReference w:id="313"/>
      </w:r>
      <w:r>
        <w:rPr>
          <w:rFonts w:ascii="Amiri" w:hAnsi="Amiri" w:eastAsia="Amiri" w:cs="Amiri"/>
          <w:color w:val="111111"/>
          <w:sz w:val="28"/>
          <w:sz w:val="28"/>
          <w:szCs w:val="28"/>
          <w:rtl w:val="true"/>
          <w:lang w:bidi="ar-SA"/>
        </w:rPr>
        <w:t xml:space="preserve">ارتفاع العذر في آخره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العلم بالارتفاع يجب الانتظار ، والأحوط مراعاة الضيق مطلقاً ولا يعيد ما صلاّه بتيمّمه الصحيح بعد ارتفاع العذر من غير فرق بين الوقت وخارجه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تيمّم لصلاة قد حضر وقتها ولم ينتقض ولم يرتفع العذر حتّى دخل وقت صلاة اُخرى جاز الإتيان بها في أوّل وقتها إلاّ مع العلم</w:t>
      </w:r>
      <w:r>
        <w:rPr>
          <w:rStyle w:val="FootnoteAnchor"/>
          <w:rtl w:val="true"/>
        </w:rPr>
        <w:footnoteReference w:id="314"/>
      </w:r>
      <w:r>
        <w:rPr>
          <w:rFonts w:ascii="Amiri" w:hAnsi="Amiri" w:eastAsia="Amiri" w:cs="Amiri"/>
          <w:color w:val="111111"/>
          <w:sz w:val="28"/>
          <w:sz w:val="28"/>
          <w:szCs w:val="28"/>
          <w:rtl w:val="true"/>
          <w:lang w:bidi="ar-SA"/>
        </w:rPr>
        <w:t xml:space="preserve">بارتفاع العذر في آخره فيجب تأخيرها ، بل يستبيح بالتيمّم لغاية كالصلاة غيرها من الغايات كالمتطهّر ما لم ينتقض وبقي العذر ، فله أن يأتي بكلّ ما يشترط فيه الطهارة كمسّ كتابة القرآن ودخول المساجد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يقوم الصعيد مقام الماء في كلّ ما طلب الوضوء أو الغسل له وإن لم يكن طهارة ، فيجوز التيمّم حينئذٍ بدلاً عن الأغسال المندوبة والوضوء الصوري والوضوء التجديدي ؟ فيه تأمّل وإشكال ، فالأحوط الإتيان به برجاء المطلوبية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بالأكبر غير الجنابة يتيمّم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الغسل والآخر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ما يكفي لأحدهما</w:t>
      </w:r>
      <w:r>
        <w:rPr>
          <w:rStyle w:val="FootnoteAnchor"/>
          <w:rtl w:val="true"/>
        </w:rPr>
        <w:footnoteReference w:id="315"/>
      </w:r>
      <w:r>
        <w:rPr>
          <w:rFonts w:ascii="Amiri" w:hAnsi="Amiri" w:eastAsia="Amiri" w:cs="Amiri"/>
          <w:color w:val="111111"/>
          <w:sz w:val="28"/>
          <w:sz w:val="28"/>
          <w:szCs w:val="28"/>
          <w:rtl w:val="true"/>
          <w:lang w:bidi="ar-SA"/>
        </w:rPr>
        <w:t>خاصّة صرفه فيه وتيمّم عن الآخر ، ولو وجد ما يكفي أحدهما وأمكن صرفه في كلّ منهما قدّم الغسل</w:t>
      </w:r>
      <w:r>
        <w:rPr>
          <w:rStyle w:val="FootnoteAnchor"/>
          <w:rtl w:val="true"/>
        </w:rPr>
        <w:footnoteReference w:id="316"/>
      </w:r>
      <w:r>
        <w:rPr>
          <w:rFonts w:ascii="Amiri" w:hAnsi="Amiri" w:eastAsia="Amiri" w:cs="Amiri"/>
          <w:color w:val="111111"/>
          <w:sz w:val="28"/>
          <w:sz w:val="28"/>
          <w:szCs w:val="28"/>
          <w:rtl w:val="true"/>
          <w:lang w:bidi="ar-SA"/>
        </w:rPr>
        <w:t xml:space="preserve">وتيمّم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الجنابة تيمّم واحد 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اجتمعت أسباب مختلفة للحدث الأكبر كفاه</w:t>
      </w:r>
      <w:r>
        <w:rPr>
          <w:rStyle w:val="FootnoteAnchor"/>
          <w:rtl w:val="true"/>
        </w:rPr>
        <w:footnoteReference w:id="317"/>
      </w:r>
      <w:r>
        <w:rPr>
          <w:rFonts w:ascii="Amiri" w:hAnsi="Amiri" w:eastAsia="Amiri" w:cs="Amiri"/>
          <w:color w:val="111111"/>
          <w:sz w:val="28"/>
          <w:sz w:val="28"/>
          <w:szCs w:val="28"/>
          <w:rtl w:val="true"/>
          <w:lang w:bidi="ar-SA"/>
        </w:rPr>
        <w:t xml:space="preserve">تيمّم واحد عن الجميع ، فلو كان فيها جنابة فنواها خاصّة أو نوى الجميع لا يحتاج إلى تيمّم عن الوضوء ، وإلاّ أتى بتيمّم آخر عنه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ينتقض التيمّم الواقع عن الوضوء بالحدث الأصغر فضلاً عن الأكبر ، كما أ نّه ينتقض ما يكون بدلاً عن الغسل بما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ينتقض ما يكون بدلاً عن الغسل بما ينقض الوضوء فيعود إلى ما كان ، فالمجنب المتيمّم إذا أحدث بالأصغر يعيد تيمّمه ،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أحدثت انتقض تيمّماها ، أو لا ، بل لا يوجب الحدث الأصغر إلاّ الوضوء أو التيمّم بدلاً عنه إلى أن يجد الماء أو يتمكّن من استعماله في الغسل فحينئذٍ ينقض ما كان بدلاً عنه ؟ قولان ، أشهرهما الأوّل وأقواهما</w:t>
      </w:r>
      <w:r>
        <w:rPr>
          <w:rStyle w:val="FootnoteAnchor"/>
          <w:rtl w:val="true"/>
        </w:rPr>
        <w:footnoteReference w:id="318"/>
      </w:r>
      <w:r>
        <w:rPr>
          <w:rFonts w:ascii="Amiri" w:hAnsi="Amiri" w:eastAsia="Amiri" w:cs="Amiri"/>
          <w:color w:val="111111"/>
          <w:sz w:val="28"/>
          <w:sz w:val="28"/>
          <w:szCs w:val="28"/>
          <w:rtl w:val="true"/>
          <w:lang w:bidi="ar-SA"/>
        </w:rPr>
        <w:t xml:space="preserve">الثاني ، خصوصاً في غير الجنب ، فالمجنب إذا أحدث بعد تيمّمه يكون كالمغتسل المحدث بعد غسله ، لا يحتاج إلاّ إلى الوضوء أو التيمّم بدلاً عنه ، والحائض إذا أحدثت بعد تيمّمها تكون كما أحدثت بعد أن توضّأت واغتسلت ، لا ينتقض إلاّ تيمّمها الوضوئي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لمن تمكّن من الوضوء الجمع بينه وبين التيمّم بدلاً عن الغسل ، ولمن لم يتمكّن منه الإتيان بتيمّم واحد بقصد ما في الذمّة مردّداً بين كونه بدلاً عن الغسل أو الوضوء إذا كان مجنباً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فيأتي بتيمّمين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الوضوء والآخر بدلاً عن الغسل احتياطاً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الماء</w:t>
      </w:r>
      <w:r>
        <w:rPr>
          <w:rStyle w:val="FootnoteAnchor"/>
          <w:rtl w:val="true"/>
        </w:rPr>
        <w:footnoteReference w:id="319"/>
      </w:r>
      <w:r>
        <w:rPr>
          <w:rFonts w:ascii="Amiri" w:hAnsi="Amiri" w:eastAsia="Amiri" w:cs="Amiri"/>
          <w:color w:val="111111"/>
          <w:sz w:val="28"/>
          <w:sz w:val="28"/>
          <w:szCs w:val="28"/>
          <w:rtl w:val="true"/>
          <w:lang w:bidi="ar-SA"/>
        </w:rPr>
        <w:t xml:space="preserve">أو زال عذره قبل الصلاة انتقض تيمّمه ولا يصحّ </w:t>
      </w:r>
    </w:p>
    <w:p>
      <w:pPr>
        <w:pStyle w:val="BookText"/>
        <w:rPr/>
      </w:pPr>
      <w:r>
        <w:rPr>
          <w:rFonts w:ascii="Amiri" w:hAnsi="Amiri" w:eastAsia="Amiri" w:cs="Amiri"/>
          <w:color w:val="111111"/>
          <w:sz w:val="28"/>
          <w:sz w:val="28"/>
          <w:szCs w:val="28"/>
          <w:rtl w:val="true"/>
          <w:lang w:bidi="ar-SA"/>
        </w:rPr>
        <w:t xml:space="preserve">أن يصلّي به ، وإن تجدّد فقدان الماء أو حصول العذر فيجب أن يتيمّم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يسع زمان الوجدان أو ارتفاع العذر للوضوء أو الغسل لا يبعد عدم انتقاضه وإن كان الأحوط تجديده ثانياً مطلقاً ، وكذا إذا كان وجدان الماء أو زوال العذر في ضيق الوقت ، لا ينتقض تيمّمه ويكتفى به للصلاة التي ضاق 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المجنب المتيمّم إذا وجد ماءً بقدر كفاية وضوئه لا يبطل تيمّمه ، وأمّا غيره ممّن تيمّم تيمّمين إذا وجد بقدر الوضوء بطل خصوص تيمّمه الذي هو بدل عنه ، وإذا وجد ما يكفي للغسل فقط</w:t>
      </w:r>
      <w:r>
        <w:rPr>
          <w:rStyle w:val="FootnoteAnchor"/>
          <w:rtl w:val="true"/>
        </w:rPr>
        <w:footnoteReference w:id="320"/>
      </w:r>
      <w:r>
        <w:rPr>
          <w:rFonts w:ascii="Amiri" w:hAnsi="Amiri" w:eastAsia="Amiri" w:cs="Amiri"/>
          <w:color w:val="111111"/>
          <w:sz w:val="28"/>
          <w:sz w:val="28"/>
          <w:szCs w:val="28"/>
          <w:rtl w:val="true"/>
          <w:lang w:bidi="ar-SA"/>
        </w:rPr>
        <w:t xml:space="preserve">صرفه فيه وبقي تيمّم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إذا كان كافياً لأحدهما وأمكن صرفه في كلّ منهما لا في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بعد الصلاة لا يجب إعادتها ، بل تمّت وصحّت ، وكذا إذا وجده في أثناء الصلاة بعد الركوع من الركعة الاُولى ، وأمّا إذا كان قبل الركوع ففي بطلان تيمّمه وصلاته إشكال ، لا يبعد عدم البطلان مع استحباب الرجوع واستئناف الصلاة من رأس مع الطهارة المائية ، ولكن الاحتياط بالإتمام والإعادة مع سعة الوقت لا ينبغي تركه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بعض أجزاء التيمّم بعد الفراغ منه لم يعتن وبنى على الصحّة ، بخلاف ما إذا شكّ في جزء من أجزائه في أثنائه ، فإنّه يأتي به على الأحوط لو لم يكن الأقوى</w:t>
      </w:r>
      <w:r>
        <w:rPr>
          <w:rStyle w:val="FootnoteAnchor"/>
          <w:rtl w:val="true"/>
        </w:rPr>
        <w:footnoteReference w:id="321"/>
      </w:r>
      <w:r>
        <w:rPr>
          <w:rFonts w:ascii="Amiri" w:hAnsi="Amiri" w:eastAsia="Amiri" w:cs="Amiri"/>
          <w:color w:val="111111"/>
          <w:sz w:val="28"/>
          <w:sz w:val="28"/>
          <w:szCs w:val="28"/>
          <w:rtl w:val="true"/>
          <w:lang w:bidi="ar-SA"/>
        </w:rPr>
        <w:t>من غير فرق بين ما هو بدل عن الوضوء أو الغسل</w:t>
      </w:r>
      <w:r>
        <w:rPr>
          <w:rFonts w:eastAsia="Amiri" w:cs="Amiri" w:ascii="Amiri" w:hAnsi="Amiri"/>
          <w:color w:val="111111"/>
          <w:sz w:val="28"/>
          <w:szCs w:val="28"/>
          <w:rtl w:val="true"/>
          <w:lang w:bidi="ar-SA"/>
        </w:rPr>
        <w:t xml:space="preserve">. </w:t>
      </w:r>
      <w:bookmarkStart w:id="181" w:name="pg15003_159705"/>
    </w:p>
    <w:p>
      <w:pPr>
        <w:pStyle w:val="Heading3"/>
        <w:numPr>
          <w:ilvl w:val="2"/>
          <w:numId w:val="1"/>
        </w:numPr>
        <w:rPr/>
      </w:pPr>
      <w:bookmarkStart w:id="182" w:name="__RefHeading___Toc487701_3406789950"/>
      <w:bookmarkStart w:id="183" w:name="_Toc65"/>
      <w:bookmarkEnd w:id="181"/>
      <w:bookmarkEnd w:id="182"/>
      <w:r>
        <w:rPr>
          <w:rtl w:val="true"/>
        </w:rPr>
        <w:t xml:space="preserve">فصل </w:t>
      </w:r>
      <w:r>
        <w:rPr>
          <w:rtl w:val="true"/>
        </w:rPr>
        <w:t xml:space="preserve">: </w:t>
      </w:r>
      <w:r>
        <w:rPr>
          <w:rtl w:val="true"/>
        </w:rPr>
        <w:t>في النجاسات</w:t>
      </w:r>
      <w:bookmarkEnd w:id="183"/>
    </w:p>
    <w:p>
      <w:pPr>
        <w:pStyle w:val="Heading4"/>
        <w:numPr>
          <w:ilvl w:val="3"/>
          <w:numId w:val="1"/>
        </w:numPr>
        <w:rPr/>
      </w:pPr>
      <w:bookmarkStart w:id="184" w:name="__RefHeading___Toc487703_3406789950"/>
      <w:bookmarkStart w:id="185" w:name="_Toc6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والكلام فيها ، وفي أحكامها ، وكيفية التنجيس بها ، وما يعفى عنه منها ، وما يطهر منها </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87705_3406789950"/>
      <w:bookmarkStart w:id="187" w:name="_Toc67"/>
      <w:bookmarkEnd w:id="186"/>
      <w:r>
        <w:rPr>
          <w:rtl w:val="true"/>
        </w:rPr>
        <w:t xml:space="preserve">القول </w:t>
      </w:r>
      <w:r>
        <w:rPr>
          <w:rtl w:val="true"/>
        </w:rPr>
        <w:t xml:space="preserve">: </w:t>
      </w:r>
      <w:r>
        <w:rPr>
          <w:rtl w:val="true"/>
        </w:rPr>
        <w:t>في النجاسات</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النجاسات إحدى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والخرء من الحيوان ذي النفس السائلة غير مأكول اللحم ولو بالعارض ، كالجلاّل وموطوء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المأكول وغير ذي النفس</w:t>
      </w:r>
      <w:r>
        <w:rPr>
          <w:rStyle w:val="FootnoteAnchor"/>
          <w:rtl w:val="true"/>
        </w:rPr>
        <w:footnoteReference w:id="322"/>
      </w:r>
      <w:r>
        <w:rPr>
          <w:rFonts w:ascii="Amiri" w:hAnsi="Amiri" w:eastAsia="Amiri" w:cs="Amiri"/>
          <w:color w:val="111111"/>
          <w:sz w:val="28"/>
          <w:sz w:val="28"/>
          <w:szCs w:val="28"/>
          <w:rtl w:val="true"/>
          <w:lang w:bidi="ar-SA"/>
        </w:rPr>
        <w:t>فإنّهما منهما طاهران ، كما أ نّهما من الطير كذلك مطلقاً وإن كان غير مأكول اللحم</w:t>
      </w:r>
      <w:r>
        <w:rPr>
          <w:rStyle w:val="FootnoteAnchor"/>
          <w:rtl w:val="true"/>
        </w:rPr>
        <w:footnoteReference w:id="323"/>
      </w:r>
      <w:r>
        <w:rPr>
          <w:rFonts w:ascii="Amiri" w:hAnsi="Amiri" w:eastAsia="Amiri" w:cs="Amiri"/>
          <w:color w:val="111111"/>
          <w:sz w:val="28"/>
          <w:sz w:val="28"/>
          <w:szCs w:val="28"/>
          <w:rtl w:val="true"/>
          <w:lang w:bidi="ar-SA"/>
        </w:rPr>
        <w:t xml:space="preserve">حتّى بول الخفّاش ، وإن كان الاحتياط فيهما من غير المأكول منه التجنّب خصوصاً الأخير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خرء حيوان وشكّ في كونه من مأكول اللحم أو من محرّمه أو في أ نّه ممّا له نفس سائلة</w:t>
      </w:r>
      <w:r>
        <w:rPr>
          <w:rStyle w:val="FootnoteAnchor"/>
          <w:rtl w:val="true"/>
        </w:rPr>
        <w:footnoteReference w:id="324"/>
      </w:r>
      <w:r>
        <w:rPr>
          <w:rFonts w:ascii="Amiri" w:hAnsi="Amiri" w:eastAsia="Amiri" w:cs="Amiri"/>
          <w:color w:val="111111"/>
          <w:sz w:val="28"/>
          <w:sz w:val="28"/>
          <w:szCs w:val="28"/>
          <w:rtl w:val="true"/>
          <w:lang w:bidi="ar-SA"/>
        </w:rPr>
        <w:t xml:space="preserve">أو من غيره ؛ إمّا من جهة الشكّ في ذلك الحيوان الذي هذا خرؤه ، وإمّا من جهة الشكّ في الخرء وأ نّه من الحيوان الفلاني الذي يكون خرؤه نجساً ، أو من الفلاني الذي يكون خرؤه طاهراً ، كما إذا رأى شيئاً لا يدري أ نّه بعرة فأر أو بعرة خنفساء ، ففي جميع هذه الصور يحكم </w:t>
      </w:r>
    </w:p>
    <w:p>
      <w:pPr>
        <w:pStyle w:val="BookText"/>
        <w:rPr/>
      </w:pPr>
      <w:r>
        <w:rPr>
          <w:rFonts w:ascii="Amiri" w:hAnsi="Amiri" w:eastAsia="Amiri" w:cs="Amiri"/>
          <w:color w:val="111111"/>
          <w:sz w:val="28"/>
          <w:sz w:val="28"/>
          <w:szCs w:val="28"/>
          <w:rtl w:val="true"/>
          <w:lang w:bidi="ar-SA"/>
        </w:rPr>
        <w:t xml:space="preserve">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يحكم بطهارة خرء الحيّة ؛ لعدم العلم بأنّ لها دماً سائلاً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ذي نفس حلّ أكله أو حرم ، دون غير ذي النفس فإنّه منه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ذي النفس من الحيوان ممّا تحلّه الحياة ، وما يقطع من جسده حيّاً ممّا تحلّه الحياة ، عدا ما ينفصل من بدن الإنسان</w:t>
      </w:r>
      <w:r>
        <w:rPr>
          <w:rStyle w:val="FootnoteAnchor"/>
          <w:rtl w:val="true"/>
        </w:rPr>
        <w:footnoteReference w:id="325"/>
      </w:r>
      <w:r>
        <w:rPr>
          <w:rFonts w:ascii="Amiri" w:hAnsi="Amiri" w:eastAsia="Amiri" w:cs="Amiri"/>
          <w:color w:val="111111"/>
          <w:sz w:val="28"/>
          <w:sz w:val="28"/>
          <w:szCs w:val="28"/>
          <w:rtl w:val="true"/>
          <w:lang w:bidi="ar-SA"/>
        </w:rPr>
        <w:t xml:space="preserve">من الأجزاء الصغار كالبثور والثؤلول وما يعلو الشفة والقروح ونحوها عند البرء وقشور الجرب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تحلّه الحياة كالعظم والقرن والسنّ والمنقار والظفر والحافر والشعر والصوف والوبر والريش فإنّه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البيض من الميتة الذي اكتسى القشر الأعلى من مأكول اللحم بل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بما ذكر 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الشيء الأصفر الذي يجبن به ويكون منجمداً في جوف كرش الحمل والجدي قبل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اللبن في الضرع ، ولا ينجسان بمحلّهما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بلبن مأكول اللحم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فأرة المسك المبانة من الحيّ طاهرة بلا إشكال إذا زال عنها الحياة قبل الانفصال ، وإلاّ ففيه إشكال</w:t>
      </w:r>
      <w:r>
        <w:rPr>
          <w:rStyle w:val="FootnoteAnchor"/>
          <w:rtl w:val="true"/>
        </w:rPr>
        <w:footnoteReference w:id="327"/>
      </w:r>
      <w:r>
        <w:rPr>
          <w:rFonts w:ascii="Amiri" w:hAnsi="Amiri" w:eastAsia="Amiri" w:cs="Amiri"/>
          <w:color w:val="111111"/>
          <w:sz w:val="28"/>
          <w:sz w:val="28"/>
          <w:szCs w:val="28"/>
          <w:rtl w:val="true"/>
          <w:lang w:bidi="ar-SA"/>
        </w:rPr>
        <w:t xml:space="preserve">، وكذا المبانة من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مسكها </w:t>
      </w:r>
    </w:p>
    <w:p>
      <w:pPr>
        <w:pStyle w:val="BookText"/>
        <w:rPr/>
      </w:pPr>
      <w:r>
        <w:rPr>
          <w:rFonts w:ascii="Amiri" w:hAnsi="Amiri" w:eastAsia="Amiri" w:cs="Amiri"/>
          <w:color w:val="111111"/>
          <w:sz w:val="28"/>
          <w:sz w:val="28"/>
          <w:szCs w:val="28"/>
          <w:rtl w:val="true"/>
          <w:lang w:bidi="ar-SA"/>
        </w:rPr>
        <w:t xml:space="preserve">فلا إشكال في طهارته في جميع الصور إلاّ في الصورة الثانية إذا كانت رطوبة مسرية حال الانفصال ، وكذا في المبان من الميّت إذا كانت رطوبة مسرية حال موت الظبي ، فطهارته في الصورتين لا تخلو من إشكال ، ومع الجهل بالحال محكوم بالطهارة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 يد المسلم وسوق المسلمين من اللحم أو الشحم أو الجلد إذا لم يعلم كونه مسبوقاً بيد الكافر محكوم بالطهارة وإن لم يعلم تذكيته ، وكذا ما يوجد مطروحاً في أرض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علم بكونه مسبوقاً بيد الكفّار فإن احتمل</w:t>
      </w:r>
      <w:r>
        <w:rPr>
          <w:rStyle w:val="FootnoteAnchor"/>
          <w:rtl w:val="true"/>
        </w:rPr>
        <w:footnoteReference w:id="328"/>
      </w:r>
      <w:r>
        <w:rPr>
          <w:rFonts w:ascii="Amiri" w:hAnsi="Amiri" w:eastAsia="Amiri" w:cs="Amiri"/>
          <w:color w:val="111111"/>
          <w:sz w:val="28"/>
          <w:sz w:val="28"/>
          <w:szCs w:val="28"/>
          <w:rtl w:val="true"/>
          <w:lang w:bidi="ar-SA"/>
        </w:rPr>
        <w:t xml:space="preserve">أنّ المسلم الذي أخذه من الكفّار قد تفحّص من حاله وأحرز تذكيته فهو أيضاً محكوم بالطهارة ، وأمّا إذا علم أنّ المسلم قد أخذه من الكافر من غير فحص فالأحوط بل الأقوى وجوب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لحماً أو شحماً أو جلداً من الكافر أو من سوق الكفّار ولم يعلم أ نّه من ذي النفس أو من غيره كالسمك ونحوه ، فهو محكوم بالطهارة وإن لم يحرز تذكيته ، ولكن لا يجوز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اُخذ شيء من الكفّار أو من سوقهم ولم يعلم أ نّه من أجزاء الحيوان أو غيره فهو محكوم بالطهارة ما لم يعلم بملاقاته للنجاسة ، بل يصحّ الصلاة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اللاستيك والشمع المجلوبان من بلاد الكفر في هذه الأزمنة عند من لم يطّلع على حقيقتهما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ذي النفس السائلة ، بخلاف دم غيره كالسمك والبقّ والقمّل </w:t>
      </w:r>
    </w:p>
    <w:p>
      <w:pPr>
        <w:pStyle w:val="BookText"/>
        <w:rPr/>
      </w:pPr>
      <w:r>
        <w:rPr>
          <w:rFonts w:ascii="Amiri" w:hAnsi="Amiri" w:eastAsia="Amiri" w:cs="Amiri"/>
          <w:color w:val="111111"/>
          <w:sz w:val="28"/>
          <w:sz w:val="28"/>
          <w:szCs w:val="28"/>
          <w:rtl w:val="true"/>
          <w:lang w:bidi="ar-SA"/>
        </w:rPr>
        <w:t xml:space="preserve">والبراغيث فإنّه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في أ نّه من أيّهما محكوم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والعلقة المستحيلة من المنيّ نجسة حتّى العلقة</w:t>
      </w:r>
      <w:r>
        <w:rPr>
          <w:rStyle w:val="FootnoteAnchor"/>
          <w:rtl w:val="true"/>
        </w:rPr>
        <w:footnoteReference w:id="329"/>
      </w:r>
      <w:r>
        <w:rPr>
          <w:rFonts w:ascii="Amiri" w:hAnsi="Amiri" w:eastAsia="Amiri" w:cs="Amiri"/>
          <w:color w:val="111111"/>
          <w:sz w:val="28"/>
          <w:sz w:val="28"/>
          <w:szCs w:val="28"/>
          <w:rtl w:val="true"/>
          <w:lang w:bidi="ar-SA"/>
        </w:rPr>
        <w:t xml:space="preserve">في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الاجتناب</w:t>
      </w:r>
      <w:r>
        <w:rPr>
          <w:rStyle w:val="FootnoteAnchor"/>
          <w:rtl w:val="true"/>
        </w:rPr>
        <w:footnoteReference w:id="330"/>
      </w:r>
      <w:r>
        <w:rPr>
          <w:rFonts w:ascii="Amiri" w:hAnsi="Amiri" w:eastAsia="Amiri" w:cs="Amiri"/>
          <w:color w:val="111111"/>
          <w:sz w:val="28"/>
          <w:sz w:val="28"/>
          <w:szCs w:val="28"/>
          <w:rtl w:val="true"/>
          <w:lang w:bidi="ar-SA"/>
        </w:rPr>
        <w:t xml:space="preserve">عن الدم الذي يوجد فيها بل عن جميع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الدم في عرق أو تحت جلدة رقيقة حائلة بينه وبين غيره يكفي الاجتناب عن خصوص الدم فيكتفى بأخذه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المتخلّف</w:t>
      </w:r>
      <w:r>
        <w:rPr>
          <w:rStyle w:val="FootnoteAnchor"/>
          <w:rtl w:val="true"/>
        </w:rPr>
        <w:footnoteReference w:id="331"/>
      </w:r>
      <w:r>
        <w:rPr>
          <w:rFonts w:ascii="Amiri" w:hAnsi="Amiri" w:eastAsia="Amiri" w:cs="Amiri"/>
          <w:color w:val="111111"/>
          <w:sz w:val="28"/>
          <w:sz w:val="28"/>
          <w:szCs w:val="28"/>
          <w:rtl w:val="true"/>
          <w:lang w:bidi="ar-SA"/>
        </w:rPr>
        <w:t>في الذبيحة طاهر بعد قذف ما يعتاد قذفه من الدم بالذبح أو النحر ؛ من غير فرق بين المتخلّف في بطنها أو في لحمها أو عروقها أو قلبها أو كبدها إذا لم ينجس بنجاسة آلة التذكية ونحوها ، إلاّ أنّ الأحوط</w:t>
      </w:r>
      <w:r>
        <w:rPr>
          <w:rStyle w:val="FootnoteAnchor"/>
          <w:rtl w:val="true"/>
        </w:rPr>
        <w:footnoteReference w:id="332"/>
      </w:r>
      <w:r>
        <w:rPr>
          <w:rFonts w:ascii="Amiri" w:hAnsi="Amiri" w:eastAsia="Amiri" w:cs="Amiri"/>
          <w:color w:val="111111"/>
          <w:sz w:val="28"/>
          <w:sz w:val="28"/>
          <w:szCs w:val="28"/>
          <w:rtl w:val="true"/>
          <w:lang w:bidi="ar-SA"/>
        </w:rPr>
        <w:t xml:space="preserve">الاجتناب عن دم الأجزاء الغير المأكولة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الدم المتخلّف الذي يكون طاهراً ما يرجع من دم المذبح إلى الجوف ؛ لردّ النفس أو لكون رأس الذبيحة في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الطاهر من المتخلّف حرام أكله إلاّ ما كان مستهلكاً في الأمراق ونحوها أو كان في اللحم بحيث عدّ جزءاً منه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 في أ نّه دم أو غيره طاهر ، مثل ما إذا خرج من الجرح شيء أصفر قد شكّ في أ نّه دم أم لا ، أو شكّ من جهة الظلمة أو العمى أو غير ذلك في أنّ ما خرج منه دم أو قيح ، ولا يجب عليه الاستعلام ، وكذا ما شكّ في أ نّه ممّا له نفس سائلة أو لا ؛ إمّا من جهة عدم العلم بحال الحيوان كالحيّة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الشكّ في الدم وأ نّه من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السمك ، فإذا رأى في ثوبه </w:t>
      </w:r>
    </w:p>
    <w:p>
      <w:pPr>
        <w:pStyle w:val="BookText"/>
        <w:rPr/>
      </w:pPr>
      <w:r>
        <w:rPr>
          <w:rFonts w:ascii="Amiri" w:hAnsi="Amiri" w:eastAsia="Amiri" w:cs="Amiri"/>
          <w:color w:val="111111"/>
          <w:sz w:val="28"/>
          <w:sz w:val="28"/>
          <w:szCs w:val="28"/>
          <w:rtl w:val="true"/>
          <w:lang w:bidi="ar-SA"/>
        </w:rPr>
        <w:t xml:space="preserve">دماً ولا يدري أ نّه منه أو من البقّ أو البرغوث يحكم بطهارته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الخارج من بين الأسنان نجس وحرام لا يجوز بلعه ، وإذا استهلك في الريق يطهر ويجوز بلعه ولا يجب تطهير الفم بالمضمضة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المنجمد تحت الأظفار أو الجلد بسبب الرضّ نجس</w:t>
      </w:r>
      <w:r>
        <w:rPr>
          <w:rStyle w:val="FootnoteAnchor"/>
          <w:rtl w:val="true"/>
        </w:rPr>
        <w:footnoteReference w:id="333"/>
      </w:r>
      <w:r>
        <w:rPr>
          <w:rFonts w:ascii="Amiri" w:hAnsi="Amiri" w:eastAsia="Amiri" w:cs="Amiri"/>
          <w:color w:val="111111"/>
          <w:sz w:val="28"/>
          <w:sz w:val="28"/>
          <w:szCs w:val="28"/>
          <w:rtl w:val="true"/>
          <w:lang w:bidi="ar-SA"/>
        </w:rPr>
        <w:t xml:space="preserve">ما لم يعلم استحالته ، فلو انخرق الجلد ووصل إليه الماء تنجّس ويشكل معه الوضوء أو الغسل ، فيجب إخراجه إن لم يكن حرج ، ومعه يجب أن يجعل عليه شيئاً كالجبيرة ويمسح عليه ، أو يتوضّأ أو يغتسل بالغمس في ماء معتصم كالكرّ والجاري ، هذا إذا علم من أوّل الأمر أ نّه دم منجمد ، وإن احتمل أ نّه لحم صار كالدم بسبب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البرّيان ، عيناً ولعاباً وجميع أجزائهما وإن كانت ممّا لا تحلّه الحياة كالشعر والعظم ونحوهما ، أمّا كلب الماء وخنزيره فطاهران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المائع بالأصل دون الجامد كالحشيش ، وإن غلى وصار مائعاً بالعارض ، وأمّا العصير العنبي فالظاهر طهارته إذا غلى بالنار ولم يذهب ثلثاه وإن كان حراماً بلا إشكال ، وكذلك الحال في الزبيبي</w:t>
      </w:r>
      <w:r>
        <w:rPr>
          <w:rStyle w:val="FootnoteAnchor"/>
          <w:rtl w:val="true"/>
        </w:rPr>
        <w:footnoteReference w:id="334"/>
      </w:r>
      <w:r>
        <w:rPr>
          <w:rFonts w:ascii="Amiri" w:hAnsi="Amiri" w:eastAsia="Amiri" w:cs="Amiri"/>
          <w:color w:val="111111"/>
          <w:sz w:val="28"/>
          <w:sz w:val="28"/>
          <w:szCs w:val="28"/>
          <w:rtl w:val="true"/>
          <w:lang w:bidi="ar-SA"/>
        </w:rPr>
        <w:t>، كما أنّ الظاهر نجاستهما لو غليا بنفسهما</w:t>
      </w:r>
      <w:r>
        <w:rPr>
          <w:rStyle w:val="FootnoteAnchor"/>
          <w:rtl w:val="true"/>
        </w:rPr>
        <w:footnoteReference w:id="335"/>
      </w:r>
      <w:r>
        <w:rPr>
          <w:rFonts w:ascii="Amiri" w:hAnsi="Amiri" w:eastAsia="Amiri" w:cs="Amiri"/>
          <w:color w:val="111111"/>
          <w:sz w:val="28"/>
          <w:sz w:val="28"/>
          <w:szCs w:val="28"/>
          <w:rtl w:val="true"/>
          <w:lang w:bidi="ar-SA"/>
        </w:rPr>
        <w:t xml:space="preserve">وكذلك التمري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 الزبيب والكشمش إذا غليا في الدهن أو جعلا في </w:t>
      </w:r>
    </w:p>
    <w:p>
      <w:pPr>
        <w:pStyle w:val="BookText"/>
        <w:rPr/>
      </w:pPr>
      <w:r>
        <w:rPr>
          <w:rFonts w:ascii="Amiri" w:hAnsi="Amiri" w:eastAsia="Amiri" w:cs="Amiri"/>
          <w:color w:val="111111"/>
          <w:sz w:val="28"/>
          <w:sz w:val="28"/>
          <w:szCs w:val="28"/>
          <w:rtl w:val="true"/>
          <w:lang w:bidi="ar-SA"/>
        </w:rPr>
        <w:t xml:space="preserve">المحشيّ والطبيخ ، بل إذا جعلا في الأمراق إذا لم يعلم بغليان ما في جوفهما كما هو الغالب فيما إذا انتفخا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بغليان ما في جوفهما فيشكل</w:t>
      </w:r>
      <w:r>
        <w:rPr>
          <w:rStyle w:val="FootnoteAnchor"/>
          <w:rtl w:val="true"/>
        </w:rPr>
        <w:footnoteReference w:id="336"/>
      </w:r>
      <w:r>
        <w:rPr>
          <w:rFonts w:ascii="Amiri" w:hAnsi="Amiri" w:eastAsia="Amiri" w:cs="Amiri"/>
          <w:color w:val="111111"/>
          <w:sz w:val="28"/>
          <w:sz w:val="28"/>
          <w:szCs w:val="28"/>
          <w:rtl w:val="true"/>
          <w:lang w:bidi="ar-SA"/>
        </w:rPr>
        <w:t xml:space="preserve">أكلهما من حيث الحرمة لا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التمر فيجوز أكله على كلّ حال وإن جعل في المرق وعلم بغليانه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 وهو شراب مخصوص متّخذ من الشعير غالباً ، أمّا المتّخذ من غيره ففي حرمته ونجاسته تأمّل وإن سمّي فقّاعاً ، إلاّ إذا كان مسكراً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 وهو من انتحل غير الإسلام أو انتحله وجحد</w:t>
      </w:r>
      <w:r>
        <w:rPr>
          <w:rStyle w:val="FootnoteAnchor"/>
          <w:rtl w:val="true"/>
        </w:rPr>
        <w:footnoteReference w:id="337"/>
      </w:r>
      <w:r>
        <w:rPr>
          <w:rFonts w:ascii="Amiri" w:hAnsi="Amiri" w:eastAsia="Amiri" w:cs="Amiri"/>
          <w:color w:val="111111"/>
          <w:sz w:val="28"/>
          <w:sz w:val="28"/>
          <w:szCs w:val="28"/>
          <w:rtl w:val="true"/>
          <w:lang w:bidi="ar-SA"/>
        </w:rPr>
        <w:t xml:space="preserve">ما يعلم من الدين ضرورة ، أو صدر منه ما يقتضي كفره من قول أو فعل ؛ من غير فرق بين المرتدّ والكافر الأصلي الحربي والذمّي والخارجي والغالي والناصبي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الاثني عشرية من فرق الشيعة إذا لم يظهر منهم نصب ومعاداة وسبّ لسائر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يعتقدون بإمامتهم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طاهرون ، وأمّا مع ظهور ذلك منهم فهم مثل سائر النواصب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 بل عرق مطلق الحيوان الجلاّل على الأحوط</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نجاسة عرق الجنب من الحرام تردّد ، والأظهر الطهارة وإن وجب</w:t>
      </w:r>
      <w:r>
        <w:rPr>
          <w:rStyle w:val="FootnoteAnchor"/>
          <w:rtl w:val="true"/>
        </w:rPr>
        <w:footnoteReference w:id="339"/>
      </w:r>
      <w:r>
        <w:rPr>
          <w:rFonts w:ascii="Amiri" w:hAnsi="Amiri" w:eastAsia="Amiri" w:cs="Amiri"/>
          <w:color w:val="111111"/>
          <w:sz w:val="28"/>
          <w:sz w:val="28"/>
          <w:szCs w:val="28"/>
          <w:rtl w:val="true"/>
          <w:lang w:bidi="ar-SA"/>
        </w:rPr>
        <w:t xml:space="preserve">التجنّب عنه في الصلاة ، والأحوط التجنّب عنه مطلقاً </w:t>
      </w:r>
      <w:r>
        <w:rPr>
          <w:rFonts w:eastAsia="Amiri" w:cs="Amiri" w:ascii="Amiri" w:hAnsi="Amiri"/>
          <w:color w:val="111111"/>
          <w:sz w:val="28"/>
          <w:szCs w:val="28"/>
          <w:rtl w:val="true"/>
          <w:lang w:bidi="ar-SA"/>
        </w:rPr>
        <w:t xml:space="preserve">. </w:t>
      </w:r>
      <w:bookmarkStart w:id="188" w:name="pg15003_159711"/>
    </w:p>
    <w:p>
      <w:pPr>
        <w:pStyle w:val="Heading4"/>
        <w:numPr>
          <w:ilvl w:val="3"/>
          <w:numId w:val="1"/>
        </w:numPr>
        <w:rPr/>
      </w:pPr>
      <w:bookmarkStart w:id="189" w:name="__RefHeading___Toc487707_3406789950"/>
      <w:bookmarkStart w:id="190" w:name="_Toc68"/>
      <w:bookmarkEnd w:id="188"/>
      <w:bookmarkEnd w:id="189"/>
      <w:r>
        <w:rPr>
          <w:rtl w:val="true"/>
        </w:rPr>
        <w:t xml:space="preserve">القول </w:t>
      </w:r>
      <w:r>
        <w:rPr>
          <w:rtl w:val="true"/>
        </w:rPr>
        <w:t xml:space="preserve">: </w:t>
      </w:r>
      <w:r>
        <w:rPr>
          <w:rtl w:val="true"/>
        </w:rPr>
        <w:t>في أحكام النجاسات</w:t>
      </w:r>
      <w:bookmarkEnd w:id="1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الصلاة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واجبهما ومندوبهما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حتّى الشعر والظفر وغيرهما ممّا هو من توابع الجسد واللباس الساتر منه وغيره عدا ما استثني من النجاسات وما في حكمها من متنجّس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وقليلها ولو مثل رؤوس الإبر ككثيرها عدا ما استثني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صحّة الصلاة أيضاً طهارة موضع الجبهة في حال السجود دون المواضع الاُخر فلا بأس بنجاستها ما دامت غير مسرية إلى بدنه أو لباسه بنجاسة غير معفوّ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إزالة النجاسة عن المساجد بجميع أجزائها ؛ من أرضها وبنائها حتّى الطرف الخارج من جدرانها على الأحوط ، كما أ نّه يحرم تنجيسها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بها المشاهد المشرّفة والضرائح المقدّسة وكلّ ما علم من الشرع وجوب تعظيمه على وجه ينافيه التنجيس كالتربة الحسينية بل وتربة الرسول وسائر الأئمّة والمصحف الكريم حتّى جلده وغلافه بل وكتب الأحاديث المعصومية على الأحوط لو لم يكن الأقوى</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تطهير ما ذكر كفائي لا يختصّ بمن نجّسها ، كما أ نّه يجب المبادرة مع القدرة على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تطهيرها على صرف مال وجب ، وهل يرجع به على من نجّسها ؟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تطهير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حفر أرضه أو على تخريب شيء منه جاز بل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ضمان من نجّسه لخسارة التعمير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رأى نجاسة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وقت الصلاة تجب المبادرة إلى إزالتها مقدّماً على الصلاة مع سعة وقتها ، فلو ترك الإزالة مع </w:t>
      </w:r>
    </w:p>
    <w:p>
      <w:pPr>
        <w:pStyle w:val="BookText"/>
        <w:rPr/>
      </w:pPr>
      <w:r>
        <w:rPr>
          <w:rFonts w:ascii="Amiri" w:hAnsi="Amiri" w:eastAsia="Amiri" w:cs="Amiri"/>
          <w:color w:val="111111"/>
          <w:sz w:val="28"/>
          <w:sz w:val="28"/>
          <w:szCs w:val="28"/>
          <w:rtl w:val="true"/>
          <w:lang w:bidi="ar-SA"/>
        </w:rPr>
        <w:t xml:space="preserve">القدرة واشتغل بها عصى ، لكنّ الأقوى صحّة صلاته ، ومع ضيق وقت الصلاة قدّمها على الإزالة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حصير المسجد</w:t>
      </w:r>
      <w:r>
        <w:rPr>
          <w:rStyle w:val="FootnoteAnchor"/>
          <w:rtl w:val="true"/>
        </w:rPr>
        <w:footnoteReference w:id="341"/>
      </w:r>
      <w:r>
        <w:rPr>
          <w:rFonts w:ascii="Amiri" w:hAnsi="Amiri" w:eastAsia="Amiri" w:cs="Amiri"/>
          <w:color w:val="111111"/>
          <w:sz w:val="28"/>
          <w:sz w:val="28"/>
          <w:szCs w:val="28"/>
          <w:rtl w:val="true"/>
          <w:lang w:bidi="ar-SA"/>
        </w:rPr>
        <w:t xml:space="preserve">وفرشه كنفس المسجد في حرمة تلويثه ووجوب إزالة النجاسة عنه ولو بقطع موضع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المساجد بين المعمورة والمخروبة أو المهجورة ، بل لا يبعد</w:t>
      </w:r>
      <w:r>
        <w:rPr>
          <w:rStyle w:val="FootnoteAnchor"/>
          <w:rtl w:val="true"/>
        </w:rPr>
        <w:footnoteReference w:id="342"/>
      </w:r>
      <w:r>
        <w:rPr>
          <w:rFonts w:ascii="Amiri" w:hAnsi="Amiri" w:eastAsia="Amiri" w:cs="Amiri"/>
          <w:color w:val="111111"/>
          <w:sz w:val="28"/>
          <w:sz w:val="28"/>
          <w:szCs w:val="28"/>
          <w:rtl w:val="true"/>
          <w:lang w:bidi="ar-SA"/>
        </w:rPr>
        <w:t xml:space="preserve">جريان الحكم فيما إذا تغيّر عنوانه كما إذا غصب وجعل داراً أو خاناً أو دكّاناً أو بستاناً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إخراج الواقف بعض أجزاء المسجد عن المسجد لا يلحقه الحكم ، ومع الشكّ في ذلك ففيه إشكال</w:t>
      </w:r>
      <w:r>
        <w:rPr>
          <w:rStyle w:val="FootnoteAnchor"/>
          <w:rtl w:val="true"/>
        </w:rPr>
        <w:footnoteReference w:id="343"/>
      </w:r>
      <w:r>
        <w:rPr>
          <w:rFonts w:ascii="Amiri" w:hAnsi="Amiri" w:eastAsia="Amiri" w:cs="Amiri"/>
          <w:color w:val="111111"/>
          <w:sz w:val="28"/>
          <w:sz w:val="28"/>
          <w:szCs w:val="28"/>
          <w:rtl w:val="true"/>
          <w:lang w:bidi="ar-SA"/>
        </w:rPr>
        <w:t xml:space="preserve">فلا يترك الاحتياط ، ولا سيّما في السقف والجدران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تنجيس المصحف يحرم كتابته بالمداد النجس ، ولو كتب جهلاً أو عمداً يجب محوه فيما ينمحي ، وفي غيره كمداد الطبع يجب تطهيره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بالنجاسة متعمّداً بطلت صلاته ووجبت إعادتها من غير فرق بين بقاء الوقت وخروجه ، وكذا الناسي لها ولم يذكر حتّى فرغ من صلاته أو ذكرها في أثنائها ، بخلاف الجاهل بها حتّى فرغ ، فإنّه لا يعيد في الوقت فضلاً عن خارجه وإن كان الأحوط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بها في أثناء صلاته فإن لم </w:t>
      </w:r>
    </w:p>
    <w:p>
      <w:pPr>
        <w:pStyle w:val="BookText"/>
        <w:rPr/>
      </w:pPr>
      <w:r>
        <w:rPr>
          <w:rFonts w:ascii="Amiri" w:hAnsi="Amiri" w:eastAsia="Amiri" w:cs="Amiri"/>
          <w:color w:val="111111"/>
          <w:sz w:val="28"/>
          <w:sz w:val="28"/>
          <w:szCs w:val="28"/>
          <w:rtl w:val="true"/>
          <w:lang w:bidi="ar-SA"/>
        </w:rPr>
        <w:t>يعلم بسبقها وأمكنه إزالتها بنزع أو غيره على وجه لا ينافي الصلاة وبقاء التستّر فعل ذلك ومضى في صلاته ، وإن لم يمكنه ذلك استأنفها من رأس إذا كان الوقت واسعاً وصلّى بها</w:t>
      </w:r>
      <w:r>
        <w:rPr>
          <w:rStyle w:val="FootnoteAnchor"/>
          <w:rtl w:val="true"/>
        </w:rPr>
        <w:footnoteReference w:id="344"/>
      </w:r>
      <w:r>
        <w:rPr>
          <w:rFonts w:ascii="Amiri" w:hAnsi="Amiri" w:eastAsia="Amiri" w:cs="Amiri"/>
          <w:color w:val="111111"/>
          <w:sz w:val="28"/>
          <w:sz w:val="28"/>
          <w:szCs w:val="28"/>
          <w:rtl w:val="true"/>
          <w:lang w:bidi="ar-SA"/>
        </w:rPr>
        <w:t xml:space="preserve">مع ضيقه ، وكذا لو عرضت له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بسبقها وجب الاستئناف مع سعة الوقت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الساتر في النجس فإن لم يقدر على نزعه لبرد ونحوه صلّى فيه</w:t>
      </w:r>
      <w:r>
        <w:rPr>
          <w:rStyle w:val="FootnoteAnchor"/>
          <w:rtl w:val="true"/>
        </w:rPr>
        <w:footnoteReference w:id="345"/>
      </w:r>
      <w:r>
        <w:rPr>
          <w:rFonts w:ascii="Amiri" w:hAnsi="Amiri" w:eastAsia="Amiri" w:cs="Amiri"/>
          <w:color w:val="111111"/>
          <w:sz w:val="28"/>
          <w:sz w:val="28"/>
          <w:szCs w:val="28"/>
          <w:rtl w:val="true"/>
          <w:lang w:bidi="ar-SA"/>
        </w:rPr>
        <w:t>ولا يجب عليه الإعادة ، وإن تمكّن من نزعه فالأحوط</w:t>
      </w:r>
      <w:r>
        <w:rPr>
          <w:rStyle w:val="FootnoteAnchor"/>
          <w:rtl w:val="true"/>
        </w:rPr>
        <w:footnoteReference w:id="346"/>
      </w:r>
      <w:r>
        <w:rPr>
          <w:rFonts w:ascii="Amiri" w:hAnsi="Amiri" w:eastAsia="Amiri" w:cs="Amiri"/>
          <w:color w:val="111111"/>
          <w:sz w:val="28"/>
          <w:sz w:val="28"/>
          <w:szCs w:val="28"/>
          <w:rtl w:val="true"/>
          <w:lang w:bidi="ar-SA"/>
        </w:rPr>
        <w:t xml:space="preserve">تكرار الصلاة بالإتيان بها عارياً ومعه مع سعة الوقت ، ومع الضيق الأحوط اختيار أحد الأمرين والقضاء في خارج الوقت مع الثوب الطاهر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الثوب الطاهر بالنجس يكرّر الصلاة فيهما مع الانحصار بهما ، وإذا لم يسع الوقت فالأحوط</w:t>
      </w:r>
      <w:r>
        <w:rPr>
          <w:rStyle w:val="FootnoteAnchor"/>
          <w:rtl w:val="true"/>
        </w:rPr>
        <w:footnoteReference w:id="347"/>
      </w:r>
      <w:r>
        <w:rPr>
          <w:rFonts w:ascii="Amiri" w:hAnsi="Amiri" w:eastAsia="Amiri" w:cs="Amiri"/>
          <w:color w:val="111111"/>
          <w:sz w:val="28"/>
          <w:sz w:val="28"/>
          <w:szCs w:val="28"/>
          <w:rtl w:val="true"/>
          <w:lang w:bidi="ar-SA"/>
        </w:rPr>
        <w:t xml:space="preserve">أن يصلّي في أحدهما ويقضي في الثوب الآخر أو في ثوب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أطراف الشبهة ثلاثة أو أكثر يكرّر الصلاة على نحو يعلم بوقوع الصلاة في ثوب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أن يزاد عدد الصلاة على عدد الثوب النجس المعلوم بواحدة ، فإذا كان عنده ثلاثة أثواب واحد منها نجس صلّى صلاتين في اثنين ، وإذا كان النجس اثنين في ثلاثة أو أزيد صلّى ثلاث صلوات في ثلاثة أثواب وهكذا </w:t>
      </w:r>
      <w:r>
        <w:rPr>
          <w:rFonts w:eastAsia="Amiri" w:cs="Amiri" w:ascii="Amiri" w:hAnsi="Amiri"/>
          <w:color w:val="111111"/>
          <w:sz w:val="28"/>
          <w:szCs w:val="28"/>
          <w:rtl w:val="true"/>
          <w:lang w:bidi="ar-SA"/>
        </w:rPr>
        <w:t xml:space="preserve">. </w:t>
      </w:r>
      <w:bookmarkStart w:id="191" w:name="pg15003_159714"/>
    </w:p>
    <w:p>
      <w:pPr>
        <w:pStyle w:val="Heading4"/>
        <w:numPr>
          <w:ilvl w:val="3"/>
          <w:numId w:val="1"/>
        </w:numPr>
        <w:rPr/>
      </w:pPr>
      <w:bookmarkStart w:id="192" w:name="__RefHeading___Toc487709_3406789950"/>
      <w:bookmarkStart w:id="193" w:name="_Toc69"/>
      <w:bookmarkEnd w:id="191"/>
      <w:bookmarkEnd w:id="192"/>
      <w:r>
        <w:rPr>
          <w:rtl w:val="true"/>
        </w:rPr>
        <w:t xml:space="preserve">القول </w:t>
      </w:r>
      <w:r>
        <w:rPr>
          <w:rtl w:val="true"/>
        </w:rPr>
        <w:t xml:space="preserve">: </w:t>
      </w:r>
      <w:r>
        <w:rPr>
          <w:rtl w:val="true"/>
        </w:rPr>
        <w:t>في كيفية التنجيس بها</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ينجس الملاقي لها مع اليبوسة في كلّ منهما ولا مع النداوة التي لم تنتقل منها أجزاء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ينجس الملاقي مع البلّة في أحدهما على وجه تصل منه إلى الآخر ، فلا يكفي مجرّد الميعان كالزئبق ، بل والذهب والفضّة الذائبين ما لم يكن رطوبة من الخارج مسرية، فالذهب الذائب في البوتقة النجسة لا يتنجّس ما لم يكن رطوبة مسرية فيها أو فيه ، ولو كانت لا تنجّس إلاّ ظاهره كالجامد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الشكّ في الرطوبة أو السراية يحكم بعدم التنجيس ، فإذا وقع الذباب على النجس ثمّ على الثوب لا يحكم بالتنجيس ؛ لاحتمال عدم تبلّل رجله ببلّة تسري إلى ملاقيه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بنجاسة الشيء ولا بطهارة ما ثبتت نجاسته إلاّ باليقين أو بإخبار ذي اليد أو بشهادة العدلين ، وفي الاكتفاء بالعدل الواحد إشكال فلا يترك مراعاة الاحتياط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الحكم في المقامين بالظنّ وإن كان قويّاً ، ولا بالشكّ ، إلاّ الخارج قبل الاستبراء كما عرفته سابقاً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كالتفصيلي ؛ فإذا علم بنجاسة أحد الشيئين يجب الاجتناب عنهما إلاّ إذا لم يكن أحدهما محلاًّ لابتلائه ، فلا يجب</w:t>
      </w:r>
      <w:r>
        <w:rPr>
          <w:rStyle w:val="FootnoteAnchor"/>
          <w:rtl w:val="true"/>
        </w:rPr>
        <w:footnoteReference w:id="348"/>
      </w:r>
      <w:r>
        <w:rPr>
          <w:rFonts w:ascii="Amiri" w:hAnsi="Amiri" w:eastAsia="Amiri" w:cs="Amiri"/>
          <w:color w:val="111111"/>
          <w:sz w:val="28"/>
          <w:sz w:val="28"/>
          <w:szCs w:val="28"/>
          <w:rtl w:val="true"/>
          <w:lang w:bidi="ar-SA"/>
        </w:rPr>
        <w:t xml:space="preserve">الاجتناب عمّا هو محلّ ابتلائه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العلم الإجمالي الشهادة</w:t>
      </w:r>
      <w:r>
        <w:rPr>
          <w:rStyle w:val="FootnoteAnchor"/>
          <w:rtl w:val="true"/>
        </w:rPr>
        <w:footnoteReference w:id="349"/>
      </w:r>
      <w:r>
        <w:rPr>
          <w:rFonts w:ascii="Amiri" w:hAnsi="Amiri" w:eastAsia="Amiri" w:cs="Amiri"/>
          <w:color w:val="111111"/>
          <w:sz w:val="28"/>
          <w:sz w:val="28"/>
          <w:szCs w:val="28"/>
          <w:rtl w:val="true"/>
          <w:lang w:bidi="ar-SA"/>
        </w:rPr>
        <w:t xml:space="preserve">بالإجمال ، كما </w:t>
      </w:r>
    </w:p>
    <w:p>
      <w:pPr>
        <w:pStyle w:val="BookText"/>
        <w:rPr/>
      </w:pPr>
      <w:r>
        <w:rPr>
          <w:rFonts w:ascii="Amiri" w:hAnsi="Amiri" w:eastAsia="Amiri" w:cs="Amiri"/>
          <w:color w:val="111111"/>
          <w:sz w:val="28"/>
          <w:sz w:val="28"/>
          <w:szCs w:val="28"/>
          <w:rtl w:val="true"/>
          <w:lang w:bidi="ar-SA"/>
        </w:rPr>
        <w:t xml:space="preserve">إذا قامت البيّنة على وقوع قطرة من البول في أحد الإناءين ولا يدري أ نّها وقعت في أيّ منهما فحينئذٍ يجب الاجتناب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الشاهدان بالنجاسة السابقة مع الشكّ في زوالها كفى في وجوب الاجتناب عملاً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بذي اليد كلّ من كان مستولياً </w:t>
      </w:r>
      <w:r>
        <w:rPr>
          <w:rStyle w:val="FootnoteAnchor"/>
          <w:rtl w:val="true"/>
        </w:rPr>
        <w:footnoteReference w:id="350"/>
      </w:r>
      <w:r>
        <w:rPr>
          <w:rFonts w:ascii="Amiri" w:hAnsi="Amiri" w:eastAsia="Amiri" w:cs="Amiri"/>
          <w:color w:val="111111"/>
          <w:sz w:val="28"/>
          <w:sz w:val="28"/>
          <w:szCs w:val="28"/>
          <w:rtl w:val="true"/>
          <w:lang w:bidi="ar-SA"/>
        </w:rPr>
        <w:t xml:space="preserve">عليه ؛ سواء كان بملك أو إجارة أو إعارة أو أمانة بل أو غصب ، فإذا أخبرت الزوجة أو الخادمة أو المملوكة بنجاسة ما في يدها ؛ من ثياب الزوج أو المولى أو ظروف البيت ، كفى في الحكم بالنجاسة ، بل وكذا إذا أخبرت المربّية للطفل بنجاسته أو نجاسة ثيابه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الشيء بيد شخصين كالشريكين يسمع قول كلّ منهما في نجاسته ولو أخبر أحدهما بنجاسته والآخر بطهارته تساقطا</w:t>
      </w:r>
      <w:r>
        <w:rPr>
          <w:rStyle w:val="FootnoteAnchor"/>
          <w:rtl w:val="true"/>
        </w:rPr>
        <w:footnoteReference w:id="351"/>
      </w:r>
      <w:r>
        <w:rPr>
          <w:rFonts w:ascii="Amiri" w:hAnsi="Amiri" w:eastAsia="Amiri" w:cs="Amiri"/>
          <w:color w:val="111111"/>
          <w:sz w:val="28"/>
          <w:sz w:val="28"/>
          <w:szCs w:val="28"/>
          <w:rtl w:val="true"/>
          <w:lang w:bidi="ar-SA"/>
        </w:rPr>
        <w:t xml:space="preserve">، كما أنّ البيّنة تسقط عند التعارض ، ولو عارضت مع قول صاحب اليد تقدّم عليه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ذي اليد بين كونه عادلاً أو فاسقاً ، وفي اعتبار قول الكافر إشكال</w:t>
      </w:r>
      <w:r>
        <w:rPr>
          <w:rStyle w:val="FootnoteAnchor"/>
          <w:rtl w:val="true"/>
        </w:rPr>
        <w:footnoteReference w:id="352"/>
      </w:r>
      <w:r>
        <w:rPr>
          <w:rFonts w:ascii="Amiri" w:hAnsi="Amiri" w:eastAsia="Amiri" w:cs="Amiri"/>
          <w:color w:val="111111"/>
          <w:sz w:val="28"/>
          <w:sz w:val="28"/>
          <w:szCs w:val="28"/>
          <w:rtl w:val="true"/>
          <w:lang w:bidi="ar-SA"/>
        </w:rPr>
        <w:t>، وكذا الصبيّ وإن لم يكن بعيداً إذا كان مراهقاً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94" w:name="pg15003_159716"/>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المتنجّس منجّس على الأقوى</w:t>
      </w:r>
      <w:r>
        <w:rPr>
          <w:rStyle w:val="FootnoteAnchor"/>
          <w:rtl w:val="true"/>
        </w:rPr>
        <w:footnoteReference w:id="354"/>
      </w:r>
      <w:r>
        <w:rPr>
          <w:rFonts w:ascii="Amiri" w:hAnsi="Amiri" w:eastAsia="Amiri" w:cs="Amiri"/>
          <w:color w:val="111111"/>
          <w:sz w:val="28"/>
          <w:sz w:val="28"/>
          <w:szCs w:val="28"/>
          <w:rtl w:val="true"/>
          <w:lang w:bidi="ar-SA"/>
        </w:rPr>
        <w:t>وإن لم يجر</w:t>
      </w:r>
      <w:r>
        <w:rPr>
          <w:rStyle w:val="FootnoteAnchor"/>
          <w:rtl w:val="true"/>
        </w:rPr>
        <w:footnoteReference w:id="355"/>
      </w:r>
      <w:r>
        <w:rPr>
          <w:rFonts w:ascii="Amiri" w:hAnsi="Amiri" w:eastAsia="Amiri" w:cs="Amiri"/>
          <w:color w:val="111111"/>
          <w:sz w:val="28"/>
          <w:sz w:val="28"/>
          <w:szCs w:val="28"/>
          <w:rtl w:val="true"/>
          <w:lang w:bidi="ar-SA"/>
        </w:rPr>
        <w:t xml:space="preserve">عليه أحكام ذلك النجس الذي تنجّس به ، فالمتنجّس بالبول إذا لاقى شيئاً ينجّسه ، لكن لا يكون ذلك الشيء كملاقي البول ، وكذلك الإناء الذي ولغ فيه الكلب إذا لاقى إناءً آخر ينجّسه ، لكن لا يكون الإناء الثاني بحكم الإناء الأوّل في وجوب تعفيره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ملاقاة ما في الباطن بالنجاسة التي في الباطن لا ينجّسه ، فالنخامة إذا لاقت الدم في الباطن وخرجت غير متلطّخة به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شيء من الخارج ولاقى النجاسة في الباطن فالأحوط</w:t>
      </w:r>
      <w:r>
        <w:rPr>
          <w:rStyle w:val="FootnoteAnchor"/>
          <w:rtl w:val="true"/>
        </w:rPr>
        <w:footnoteReference w:id="356"/>
      </w:r>
      <w:r>
        <w:rPr>
          <w:rFonts w:ascii="IRNazanin" w:hAnsi="IRNazanin" w:eastAsia="IRNazanin"/>
          <w:color w:val="111111"/>
          <w:sz w:val="28"/>
          <w:sz w:val="28"/>
          <w:szCs w:val="28"/>
          <w:rtl w:val="true"/>
          <w:lang w:bidi="fa-IR"/>
        </w:rPr>
        <w:t xml:space="preserve">الاجتناب عنه </w:t>
      </w:r>
      <w:r>
        <w:rPr>
          <w:rFonts w:eastAsia="IRNazanin" w:cs="IRNazanin"/>
          <w:color w:val="111111"/>
          <w:sz w:val="28"/>
          <w:szCs w:val="28"/>
          <w:rtl w:val="true"/>
          <w:lang w:bidi="fa-IR"/>
        </w:rPr>
        <w:t>.</w:t>
      </w:r>
    </w:p>
    <w:p>
      <w:pPr>
        <w:pStyle w:val="Heading4"/>
        <w:numPr>
          <w:ilvl w:val="3"/>
          <w:numId w:val="1"/>
        </w:numPr>
        <w:rPr/>
      </w:pPr>
      <w:bookmarkStart w:id="195" w:name="__RefHeading___Toc487711_3406789950"/>
      <w:bookmarkStart w:id="196" w:name="_Toc70"/>
      <w:bookmarkEnd w:id="195"/>
      <w:r>
        <w:rPr>
          <w:rtl w:val="true"/>
        </w:rPr>
        <w:t xml:space="preserve">القول </w:t>
      </w:r>
      <w:r>
        <w:rPr>
          <w:rtl w:val="true"/>
        </w:rPr>
        <w:t xml:space="preserve">: </w:t>
      </w:r>
      <w:r>
        <w:rPr>
          <w:rtl w:val="true"/>
        </w:rPr>
        <w:t>فيما يعفى عنه منها في الصلاة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يعفى عنه منها في الصلاة اُمور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والقروح في البدن واللباس حتّى يبرأ ، إلاّ أنّ الأحوط</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اعتبار المشقّة النوعية في الإزالة والتبديل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دم البواسير منها فيما إذا لم يكن قرحة في الظاهر تأمّل وإشكال</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قرح أو جرح باطني خرج دمه إلى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في البدن واللباس إذا كان سعته أقلّ من الدرهم البغلّي</w:t>
      </w:r>
      <w:r>
        <w:rPr>
          <w:rStyle w:val="FootnoteAnchor"/>
          <w:rtl w:val="true"/>
        </w:rPr>
        <w:footnoteReference w:id="359"/>
      </w:r>
      <w:r>
        <w:rPr>
          <w:rFonts w:ascii="Amiri" w:hAnsi="Amiri" w:eastAsia="Amiri" w:cs="Amiri"/>
          <w:color w:val="111111"/>
          <w:sz w:val="28"/>
          <w:sz w:val="28"/>
          <w:szCs w:val="28"/>
          <w:rtl w:val="true"/>
          <w:lang w:bidi="ar-SA"/>
        </w:rPr>
        <w:t xml:space="preserve">ولم يكن من 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والنفاس والاستحاضة</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نجس العين والميتة ، بل الأولى الاجتناب عمّا كان من غير مأكول اللحم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الدم متفرّقاً في الثياب والبدن لوحظ التقدير على فرض اجتماعه فيدور العفو مداره</w:t>
      </w:r>
      <w:r>
        <w:rPr>
          <w:rStyle w:val="FootnoteAnchor"/>
          <w:rtl w:val="true"/>
        </w:rPr>
        <w:footnoteReference w:id="361"/>
      </w:r>
      <w:r>
        <w:rPr>
          <w:rFonts w:ascii="Amiri" w:hAnsi="Amiri" w:eastAsia="Amiri" w:cs="Amiri"/>
          <w:color w:val="111111"/>
          <w:sz w:val="28"/>
          <w:sz w:val="28"/>
          <w:szCs w:val="28"/>
          <w:rtl w:val="true"/>
          <w:lang w:bidi="ar-SA"/>
        </w:rPr>
        <w:t>، ولو تفشّى الدم من أحد جانبي الثوب إلى الآخر فهو دم واحد على إشكال</w:t>
      </w:r>
      <w:r>
        <w:rPr>
          <w:rStyle w:val="FootnoteAnchor"/>
          <w:rtl w:val="true"/>
        </w:rPr>
        <w:footnoteReference w:id="362"/>
      </w:r>
      <w:r>
        <w:rPr>
          <w:rFonts w:ascii="Amiri" w:hAnsi="Amiri" w:eastAsia="Amiri" w:cs="Amiri"/>
          <w:color w:val="111111"/>
          <w:sz w:val="28"/>
          <w:sz w:val="28"/>
          <w:szCs w:val="28"/>
          <w:rtl w:val="true"/>
          <w:lang w:bidi="ar-SA"/>
        </w:rPr>
        <w:t xml:space="preserve">خصوصاً إذا كان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مثل الظهارة والبطانة والملفوف من طيّات عديدة ونحو ذلك فلا إشكال في كونه متعدّداً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الدم الذي يكون أقلّ من الدرهم أ نّه من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غيرها حكم بالعفو عنه حتّى يعلم أ 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بان بعد ذلك أ نّه منها فهو من الجاهل</w:t>
      </w:r>
      <w:r>
        <w:rPr>
          <w:rStyle w:val="FootnoteAnchor"/>
          <w:rtl w:val="true"/>
        </w:rPr>
        <w:footnoteReference w:id="363"/>
      </w:r>
      <w:r>
        <w:rPr>
          <w:rFonts w:ascii="Amiri" w:hAnsi="Amiri" w:eastAsia="Amiri" w:cs="Amiri"/>
          <w:color w:val="111111"/>
          <w:sz w:val="28"/>
          <w:sz w:val="28"/>
          <w:szCs w:val="28"/>
          <w:rtl w:val="true"/>
          <w:lang w:bidi="ar-SA"/>
        </w:rPr>
        <w:t xml:space="preserve">بالنجاسة ، وقد عرفت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 نّه من </w:t>
      </w:r>
    </w:p>
    <w:p>
      <w:pPr>
        <w:pStyle w:val="BookText"/>
        <w:rPr/>
      </w:pPr>
      <w:r>
        <w:rPr>
          <w:rFonts w:ascii="Amiri" w:hAnsi="Amiri" w:eastAsia="Amiri" w:cs="Amiri"/>
          <w:color w:val="111111"/>
          <w:sz w:val="28"/>
          <w:sz w:val="28"/>
          <w:szCs w:val="28"/>
          <w:rtl w:val="true"/>
          <w:lang w:bidi="ar-SA"/>
        </w:rPr>
        <w:t>غيرها وشكّ في أ نّه أقلّ من الدرهم أم لا ، فالأحوط</w:t>
      </w:r>
      <w:r>
        <w:rPr>
          <w:rStyle w:val="FootnoteAnchor"/>
          <w:rtl w:val="true"/>
        </w:rPr>
        <w:footnoteReference w:id="364"/>
      </w:r>
      <w:r>
        <w:rPr>
          <w:rFonts w:ascii="Amiri" w:hAnsi="Amiri" w:eastAsia="Amiri" w:cs="Amiri"/>
          <w:color w:val="111111"/>
          <w:sz w:val="28"/>
          <w:sz w:val="28"/>
          <w:szCs w:val="28"/>
          <w:rtl w:val="true"/>
          <w:lang w:bidi="ar-SA"/>
        </w:rPr>
        <w:t xml:space="preserve">عدم العفو ، إلاّ إذا كان مسبوقاً بالأقلّية وشكّ في زيادته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المتنجّس بالدم ليس كالدم في العفو عنه إذا كان أقلّ من الدرهم ، ولكنّ الدم الأقلّ إذا اُزيل عينه يبقى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تتمّ به الصلاة منفرداً كالتكّة والجورب ونحوهما فإنّه معفوّ عنه إذا كان متنجّساً ولو بنجاسة من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يعفى عمّا كان منه متّخذاً من النجس ، كجزء ميتة أو شعر كلب أو خنزير أو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من البواطن والتوابع ، كالميتة التي أكلها ، والخمر الذي شربه ، والدم النجس الذي أدخله تحت جلده ، والخيط النجس الذي خاط به جلده ، فإنّ ذلك معفوّ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النجس فيها فالأحوط الاجتناب عنه ، خصوصاً الميتة ، بل وكذا المتنجّس</w:t>
      </w:r>
      <w:r>
        <w:rPr>
          <w:rStyle w:val="FootnoteAnchor"/>
          <w:rtl w:val="true"/>
        </w:rPr>
        <w:footnoteReference w:id="365"/>
      </w:r>
      <w:r>
        <w:rPr>
          <w:rFonts w:ascii="Amiri" w:hAnsi="Amiri" w:eastAsia="Amiri" w:cs="Amiri"/>
          <w:color w:val="111111"/>
          <w:sz w:val="28"/>
          <w:sz w:val="28"/>
          <w:szCs w:val="28"/>
          <w:rtl w:val="true"/>
          <w:lang w:bidi="ar-SA"/>
        </w:rPr>
        <w:t xml:space="preserve">الذي تتمّ فيه 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تتمّ فيه الصلاة مثل السكّين والدراهم فالأقوى جواز الصلاة معه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معفوّ عنه إن تنجّس ببوله وغسلته في اليوم والليلة مرّة</w:t>
      </w:r>
      <w:r>
        <w:rPr>
          <w:rStyle w:val="FootnoteAnchor"/>
          <w:rtl w:val="true"/>
        </w:rPr>
        <w:footnoteReference w:id="366"/>
      </w:r>
      <w:r>
        <w:rPr>
          <w:rFonts w:ascii="Amiri" w:hAnsi="Amiri" w:eastAsia="Amiri" w:cs="Amiri"/>
          <w:color w:val="111111"/>
          <w:sz w:val="28"/>
          <w:sz w:val="28"/>
          <w:szCs w:val="28"/>
          <w:rtl w:val="true"/>
          <w:lang w:bidi="ar-SA"/>
        </w:rPr>
        <w:t xml:space="preserve">ولم يكن عندها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من البول إلى غيره ، ولا من الثوب إلى البدن على الأحوط</w:t>
      </w:r>
      <w:r>
        <w:rPr>
          <w:rStyle w:val="FootnoteAnchor"/>
          <w:rtl w:val="true"/>
        </w:rPr>
        <w:footnoteReference w:id="367"/>
      </w:r>
      <w:r>
        <w:rPr>
          <w:rFonts w:ascii="Amiri" w:hAnsi="Amiri" w:eastAsia="Amiri" w:cs="Amiri"/>
          <w:color w:val="111111"/>
          <w:sz w:val="28"/>
          <w:sz w:val="28"/>
          <w:szCs w:val="28"/>
          <w:rtl w:val="true"/>
          <w:lang w:bidi="ar-SA"/>
        </w:rPr>
        <w:t xml:space="preserve">، ولا من المربّية </w:t>
      </w:r>
      <w:bookmarkStart w:id="197" w:name="pg15003_159719"/>
    </w:p>
    <w:p>
      <w:pPr>
        <w:pStyle w:val="BookText"/>
        <w:rPr/>
      </w:pPr>
      <w:bookmarkEnd w:id="197"/>
      <w:r>
        <w:rPr>
          <w:rFonts w:ascii="Amiri" w:hAnsi="Amiri" w:eastAsia="Amiri" w:cs="Amiri"/>
          <w:color w:val="111111"/>
          <w:sz w:val="28"/>
          <w:sz w:val="28"/>
          <w:szCs w:val="28"/>
          <w:rtl w:val="true"/>
          <w:lang w:bidi="ar-SA"/>
        </w:rPr>
        <w:t xml:space="preserve">إلى المربّي ، ولا من ذات الثوب إلى ذات الثياب المتعدّدة مع عدم الحاجة إلى لبسهنّ جميعاً وإلاّ كانت كذات الثوب الواحد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87713_3406789950"/>
      <w:bookmarkStart w:id="199" w:name="_Toc71"/>
      <w:bookmarkEnd w:id="198"/>
      <w:r>
        <w:rPr>
          <w:rtl w:val="true"/>
        </w:rPr>
        <w:t xml:space="preserve">القول </w:t>
      </w:r>
      <w:r>
        <w:rPr>
          <w:rtl w:val="true"/>
        </w:rPr>
        <w:t xml:space="preserve">: </w:t>
      </w:r>
      <w:r>
        <w:rPr>
          <w:rtl w:val="true"/>
        </w:rPr>
        <w:t>في المطهّرات</w:t>
      </w:r>
      <w:bookmarkEnd w:id="199"/>
    </w:p>
    <w:p>
      <w:pPr>
        <w:pStyle w:val="BookText"/>
        <w:rPr/>
      </w:pPr>
      <w:r>
        <w:rPr>
          <w:rFonts w:ascii="Amiri" w:hAnsi="Amiri" w:eastAsia="Amiri" w:cs="Amiri"/>
          <w:color w:val="111111"/>
          <w:sz w:val="28"/>
          <w:sz w:val="28"/>
          <w:szCs w:val="28"/>
          <w:rtl w:val="true"/>
          <w:lang w:bidi="ar-SA"/>
        </w:rPr>
        <w:t xml:space="preserve">وهي أحد عشر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 ويطهّر به كلّ متنجّس حتّى الماء ، كما تقدّم في فصل المياه ، وقد مرّ كيفية تطهيره به ، وأمّا كيفية تطهير غيره به فيكفي في المطر استيلاؤه على المتنجّس بعد زوال العين كما مرّ</w:t>
      </w:r>
      <w:r>
        <w:rPr>
          <w:rStyle w:val="FootnoteAnchor"/>
          <w:rtl w:val="true"/>
        </w:rPr>
        <w:footnoteReference w:id="368"/>
      </w:r>
      <w:r>
        <w:rPr>
          <w:rFonts w:ascii="Amiri" w:hAnsi="Amiri" w:eastAsia="Amiri" w:cs="Amiri"/>
          <w:color w:val="111111"/>
          <w:sz w:val="28"/>
          <w:sz w:val="28"/>
          <w:szCs w:val="28"/>
          <w:rtl w:val="true"/>
          <w:lang w:bidi="ar-SA"/>
        </w:rPr>
        <w:t>وكذا في الكرّ والجاري</w:t>
      </w:r>
      <w:r>
        <w:rPr>
          <w:rStyle w:val="FootnoteAnchor"/>
          <w:rtl w:val="true"/>
        </w:rPr>
        <w:footnoteReference w:id="369"/>
      </w:r>
      <w:r>
        <w:rPr>
          <w:rFonts w:ascii="Amiri" w:hAnsi="Amiri" w:eastAsia="Amiri" w:cs="Amiri"/>
          <w:color w:val="111111"/>
          <w:sz w:val="28"/>
          <w:sz w:val="28"/>
          <w:szCs w:val="28"/>
          <w:rtl w:val="true"/>
          <w:lang w:bidi="ar-SA"/>
        </w:rPr>
        <w:t>على الأظهر ، فلا يحتاج في التطهير بهما إلى العصر فيما يقبله كالثياب ، ولا التعدّد ؛ من غير فرق بين أنواع النجاسات وأصناف</w:t>
      </w:r>
      <w:r>
        <w:rPr>
          <w:rStyle w:val="FootnoteAnchor"/>
          <w:rtl w:val="true"/>
        </w:rPr>
        <w:footnoteReference w:id="370"/>
      </w:r>
      <w:r>
        <w:rPr>
          <w:rFonts w:ascii="Amiri" w:hAnsi="Amiri" w:eastAsia="Amiri" w:cs="Amiri"/>
          <w:color w:val="111111"/>
          <w:sz w:val="28"/>
          <w:sz w:val="28"/>
          <w:szCs w:val="28"/>
          <w:rtl w:val="true"/>
          <w:lang w:bidi="ar-SA"/>
        </w:rPr>
        <w:t>المتنجّسات ، فيطهر المتنجّس الذي لا ينفذ فيه الماء والنجاسة كالبدن بمجرّد غمسه في الكرّ</w:t>
      </w:r>
      <w:r>
        <w:rPr>
          <w:rStyle w:val="FootnoteAnchor"/>
          <w:rtl w:val="true"/>
        </w:rPr>
        <w:footnoteReference w:id="371"/>
      </w:r>
      <w:r>
        <w:rPr>
          <w:rFonts w:ascii="Amiri" w:hAnsi="Amiri" w:eastAsia="Amiri" w:cs="Amiri"/>
          <w:color w:val="111111"/>
          <w:sz w:val="28"/>
          <w:sz w:val="28"/>
          <w:szCs w:val="28"/>
          <w:rtl w:val="true"/>
          <w:lang w:bidi="ar-SA"/>
        </w:rPr>
        <w:t xml:space="preserve">والجاري بعد زوال عين النجاسة وإزالة المانع لو كان ، وكذلك الثوب المتنجّس ونحوه ممّا يرسب فيه الماء ويمكن عصره ، والأولى والأحوط فيه تحريكه في الماء بحيث يتخلّل الماء في أعماقه ، وأحوط منه عصره أو ما يقوم مقامه كالفرك والغمز بالكفّ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والمتنجّس الذي ينفذ فيه الماء ولا يمكن عصره كالكوز والخشب </w:t>
      </w:r>
    </w:p>
    <w:p>
      <w:pPr>
        <w:pStyle w:val="BookText"/>
        <w:rPr/>
      </w:pPr>
      <w:r>
        <w:rPr>
          <w:rFonts w:ascii="Amiri" w:hAnsi="Amiri" w:eastAsia="Amiri" w:cs="Amiri"/>
          <w:color w:val="111111"/>
          <w:sz w:val="28"/>
          <w:sz w:val="28"/>
          <w:szCs w:val="28"/>
          <w:rtl w:val="true"/>
          <w:lang w:bidi="ar-SA"/>
        </w:rPr>
        <w:t>والصابون ونحو ذلك يطهر ظاهره بمجرّد غمسه فيهما وباطنه بنفوذ</w:t>
      </w:r>
      <w:r>
        <w:rPr>
          <w:rStyle w:val="FootnoteAnchor"/>
          <w:rtl w:val="true"/>
        </w:rPr>
        <w:footnoteReference w:id="372"/>
      </w:r>
      <w:r>
        <w:rPr>
          <w:rFonts w:ascii="Amiri" w:hAnsi="Amiri" w:eastAsia="Amiri" w:cs="Amiri"/>
          <w:color w:val="111111"/>
          <w:sz w:val="28"/>
          <w:sz w:val="28"/>
          <w:szCs w:val="28"/>
          <w:rtl w:val="true"/>
          <w:lang w:bidi="ar-SA"/>
        </w:rPr>
        <w:t xml:space="preserve">الماء المطلق إلى حيث نفذت النجاسة ، ولا يحتاج إلى التجفيف أوّلاً لو كانت في أعماقه الرطوبة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كيفية التطهير بالكرّ والجاري وسنذكر بعض ما يتعلّق به في طيّ المسائل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التطهير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فالمتنجّس بالبول غير الآنية يعتبر فيه التعدّد مرّتين ، والأحوط كونهما غير غسلة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المتنجّس بغير البول ولم يكن آنية فيجزي فيه المرّة بعد الإزالة ولا يكتفى بما حصل به الإزالة ، نعم يكفي استمرار إجراء الماء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التطهير بالقليل انفصال الغسالة ، ففي مثل الثياب ممّا ينفذ فيه الماء ويقبل العصر لا بدّ من العصر أو ما يقوم مقامه ، وفي مثل الصابون وغيره ممّا ينفذ فيه الماء ولا يقبل العصر يطهر ظاهره بإجراء الماء عليه ، ولا يضرّ بقاء نجاسة الباطن لو نفذت فيها ، بل القول بطهارة الباطن تبعاً للظاهر غير بعيد</w:t>
      </w:r>
      <w:r>
        <w:rPr>
          <w:rStyle w:val="FootnoteAnchor"/>
          <w:rtl w:val="true"/>
        </w:rPr>
        <w:footnoteReference w:id="373"/>
      </w:r>
      <w:r>
        <w:rPr>
          <w:rFonts w:ascii="Amiri" w:hAnsi="Amiri" w:eastAsia="Amiri" w:cs="Amiri"/>
          <w:color w:val="111111"/>
          <w:sz w:val="28"/>
          <w:sz w:val="28"/>
          <w:szCs w:val="28"/>
          <w:rtl w:val="true"/>
          <w:lang w:bidi="ar-SA"/>
        </w:rPr>
        <w:t xml:space="preserve">وإن 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تطهير غير الآنية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تنجّست بولوغ الكلب فيما فيها من ماء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يتحقّق معه اسم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ثلاثاً ؛ اُولاهنّ بالتراب</w:t>
      </w:r>
      <w:r>
        <w:rPr>
          <w:rStyle w:val="FootnoteAnchor"/>
          <w:rtl w:val="true"/>
        </w:rPr>
        <w:footnoteReference w:id="374"/>
      </w:r>
      <w:r>
        <w:rPr>
          <w:rFonts w:ascii="Amiri" w:hAnsi="Amiri" w:eastAsia="Amiri" w:cs="Amiri"/>
          <w:color w:val="111111"/>
          <w:sz w:val="28"/>
          <w:sz w:val="28"/>
          <w:szCs w:val="28"/>
          <w:rtl w:val="true"/>
          <w:lang w:bidi="ar-SA"/>
        </w:rPr>
        <w:t>ويعتبر</w:t>
      </w:r>
      <w:r>
        <w:rPr>
          <w:rStyle w:val="FootnoteAnchor"/>
          <w:rtl w:val="true"/>
        </w:rPr>
        <w:footnoteReference w:id="375"/>
      </w:r>
      <w:r>
        <w:rPr>
          <w:rFonts w:ascii="Amiri" w:hAnsi="Amiri" w:eastAsia="Amiri" w:cs="Amiri"/>
          <w:color w:val="111111"/>
          <w:sz w:val="28"/>
          <w:sz w:val="28"/>
          <w:szCs w:val="28"/>
          <w:rtl w:val="true"/>
          <w:lang w:bidi="ar-SA"/>
        </w:rPr>
        <w:t xml:space="preserve">فيه الطهارة ، ولا يقوم غير التراب مقامه ولو عند الاضطرار ، والأولى والأحوط في الغسل </w:t>
      </w:r>
    </w:p>
    <w:p>
      <w:pPr>
        <w:pStyle w:val="BookText"/>
        <w:rPr/>
      </w:pPr>
      <w:r>
        <w:rPr>
          <w:rFonts w:ascii="Amiri" w:hAnsi="Amiri" w:eastAsia="Amiri" w:cs="Amiri"/>
          <w:color w:val="111111"/>
          <w:sz w:val="28"/>
          <w:sz w:val="28"/>
          <w:szCs w:val="28"/>
          <w:rtl w:val="true"/>
          <w:lang w:bidi="ar-SA"/>
        </w:rPr>
        <w:t>بالتراب مسحه بالتراب الخالص أوّلاً ، ثمّ غسله بوضع ماء عليه بحيث لا يخرجه عن اسم التراب ، ثمّ يوضع ماء</w:t>
      </w:r>
      <w:r>
        <w:rPr>
          <w:rStyle w:val="FootnoteAnchor"/>
          <w:rtl w:val="true"/>
        </w:rPr>
        <w:footnoteReference w:id="376"/>
      </w:r>
      <w:r>
        <w:rPr>
          <w:rFonts w:ascii="Amiri" w:hAnsi="Amiri" w:eastAsia="Amiri" w:cs="Amiri"/>
          <w:color w:val="111111"/>
          <w:sz w:val="28"/>
          <w:sz w:val="28"/>
          <w:szCs w:val="28"/>
          <w:rtl w:val="true"/>
          <w:lang w:bidi="ar-SA"/>
        </w:rPr>
        <w:t xml:space="preserve">عليه بحيث لا يخرجه التراب عن اسم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مطلق مباشرته بالفم كاللطع ونحوه والشرب بلا ولوغ بالولوغ وجه قويّ</w:t>
      </w:r>
      <w:r>
        <w:rPr>
          <w:rStyle w:val="FootnoteAnchor"/>
          <w:rtl w:val="true"/>
        </w:rPr>
        <w:footnoteReference w:id="377"/>
      </w:r>
      <w:r>
        <w:rPr>
          <w:rFonts w:ascii="Amiri" w:hAnsi="Amiri" w:eastAsia="Amiri" w:cs="Amiri"/>
          <w:color w:val="111111"/>
          <w:sz w:val="28"/>
          <w:sz w:val="28"/>
          <w:szCs w:val="28"/>
          <w:rtl w:val="true"/>
          <w:lang w:bidi="ar-SA"/>
        </w:rPr>
        <w:t xml:space="preserve">، بل إلحاق مطلق مباشرته ولو بباقي أعضائه به لا يخلو من وجه ، وكذا مباشرة لعابه من غير 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الجميع بالجمع بين التعفير والغسل بالماء ثلاثاً</w:t>
      </w:r>
      <w:r>
        <w:rPr>
          <w:rStyle w:val="FootnoteAnchor"/>
          <w:rtl w:val="true"/>
        </w:rPr>
        <w:footnoteReference w:id="378"/>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الآنية المتنجّسة بالولوغ ممّا يتعذّر تعفيرها بالتراب لضيق رأس أو غيره فلا يسقط تعفيرها بما يمكن ولو بإدخال التراب فيها وتحريكها تحريكاً عنيفاً</w:t>
      </w:r>
      <w:r>
        <w:rPr>
          <w:rStyle w:val="FootnoteAnchor"/>
          <w:rtl w:val="true"/>
        </w:rPr>
        <w:footnoteReference w:id="379"/>
      </w:r>
      <w:r>
        <w:rPr>
          <w:rFonts w:ascii="Amiri" w:hAnsi="Amiri" w:eastAsia="Amiri" w:cs="Amiri"/>
          <w:color w:val="111111"/>
          <w:sz w:val="28"/>
          <w:sz w:val="28"/>
          <w:szCs w:val="28"/>
          <w:rtl w:val="true"/>
          <w:lang w:bidi="ar-SA"/>
        </w:rPr>
        <w:t xml:space="preserve">، ولو فرض التعذّر أصلاً لم يبعد البقاء على النجاسة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التعفير بالغسل بالماء الكثير والجاري ، بل والأحوط</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العدد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سقوطهما</w:t>
      </w:r>
      <w:r>
        <w:rPr>
          <w:rStyle w:val="FootnoteAnchor"/>
          <w:rtl w:val="true"/>
        </w:rPr>
        <w:footnoteReference w:id="381"/>
      </w:r>
      <w:r>
        <w:rPr>
          <w:rFonts w:ascii="Amiri" w:hAnsi="Amiri" w:eastAsia="Amiri" w:cs="Amiri"/>
          <w:color w:val="111111"/>
          <w:sz w:val="28"/>
          <w:sz w:val="28"/>
          <w:szCs w:val="28"/>
          <w:rtl w:val="true"/>
          <w:lang w:bidi="ar-SA"/>
        </w:rPr>
        <w:t xml:space="preserve">في ماء المطر ولكن لا يترك الاحتياط بالتعفير فيه أيضاً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الإناء سبعاً لموت الجرذ ولشرب الخنزير ولا يجب </w:t>
      </w:r>
    </w:p>
    <w:p>
      <w:pPr>
        <w:pStyle w:val="BookText"/>
        <w:rPr/>
      </w:pPr>
      <w:r>
        <w:rPr>
          <w:rFonts w:ascii="Amiri" w:hAnsi="Amiri" w:eastAsia="Amiri" w:cs="Amiri"/>
          <w:color w:val="111111"/>
          <w:sz w:val="28"/>
          <w:sz w:val="28"/>
          <w:szCs w:val="28"/>
          <w:rtl w:val="true"/>
          <w:lang w:bidi="ar-SA"/>
        </w:rPr>
        <w:t xml:space="preserve">التعفير ، نعم هو أحوط في الثاني قبل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غسله سبعاً أيضاً لموت الفأرة ولشرب النبيذ فيه أو الخمر أو المسكر ومباشرة الكلب وإن لم يجب ذلك ، وإنّما الواجب أن يغسل بالقليل ثلاثاً كما يغسل من غيرها من النجاسات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الأواني الصغيرة والكبيرة ضيّقة الرأس وواسعته بالكثير والجاري واضح ؛ بأن توضع فيه حتّى يستولي</w:t>
      </w:r>
      <w:r>
        <w:rPr>
          <w:rStyle w:val="FootnoteAnchor"/>
          <w:rtl w:val="true"/>
        </w:rPr>
        <w:footnoteReference w:id="382"/>
      </w:r>
      <w:r>
        <w:rPr>
          <w:rFonts w:ascii="Amiri" w:hAnsi="Amiri" w:eastAsia="Amiri" w:cs="Amiri"/>
          <w:color w:val="111111"/>
          <w:sz w:val="28"/>
          <w:sz w:val="28"/>
          <w:szCs w:val="28"/>
          <w:rtl w:val="true"/>
          <w:lang w:bidi="ar-SA"/>
        </w:rPr>
        <w:t xml:space="preserve">عليها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بالقليل فبصبّ الماء فيها وإدارته حتّى يستوعب جميع أجزائها بالإجراء الذي يتحقّق به الغسل ثمّ يراق منها ، يفعل ذلك بها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الفورية في الإدارة عقيب الصبّ فيها والإفراغ عقيب الإدارة على جميع أجزائها ، هذا في الأواني الصغار والكبار التي يمكن فيها الإدارة والإفراغ عقيبها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الأواني الكبار المثبتة والحياض ونحوها فتطهيرها بإجراء الماء عليها حتّى يستوعب جميع أجزائها ثمّ يخرج حينئذٍ ماء الغسالة المجتمع 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وغيره من غير اعتبار للفورية المزبورة ، بل لا يعتبر</w:t>
      </w:r>
      <w:r>
        <w:rPr>
          <w:rStyle w:val="FootnoteAnchor"/>
          <w:rtl w:val="true"/>
        </w:rPr>
        <w:footnoteReference w:id="383"/>
      </w:r>
      <w:r>
        <w:rPr>
          <w:rFonts w:ascii="Amiri" w:hAnsi="Amiri" w:eastAsia="Amiri" w:cs="Amiri"/>
          <w:color w:val="111111"/>
          <w:sz w:val="28"/>
          <w:sz w:val="28"/>
          <w:szCs w:val="28"/>
          <w:rtl w:val="true"/>
          <w:lang w:bidi="ar-SA"/>
        </w:rPr>
        <w:t xml:space="preserve">تطهير آلة النزح إذا اُريد عودها إليه ، كما أ نّه لا بأس بما يتقاطر فيه حال النزح وإن كان الأحوط ذلك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التنّور يطهر بصبّ الماء في الموضع النجس من فوق إلى تحت ولا يحتاج إلى التثليث ؛ لعدم كونه من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 عليه مرّتين إذا تنجّس بالبول ، وفي غيره يكفي المرّة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الأرز أو الماش ونحوهما يجعل في وصلة ويغمس </w:t>
      </w:r>
    </w:p>
    <w:p>
      <w:pPr>
        <w:pStyle w:val="BookText"/>
        <w:rPr/>
      </w:pPr>
      <w:r>
        <w:rPr>
          <w:rFonts w:ascii="Amiri" w:hAnsi="Amiri" w:eastAsia="Amiri" w:cs="Amiri"/>
          <w:color w:val="111111"/>
          <w:sz w:val="28"/>
          <w:sz w:val="28"/>
          <w:szCs w:val="28"/>
          <w:rtl w:val="true"/>
          <w:lang w:bidi="ar-SA"/>
        </w:rPr>
        <w:t>في الكرّ أو الجاري فيطهر ، وإن نفذ فيه الماء النجس يصبر</w:t>
      </w:r>
      <w:r>
        <w:rPr>
          <w:rStyle w:val="FootnoteAnchor"/>
          <w:rtl w:val="true"/>
        </w:rPr>
        <w:footnoteReference w:id="384"/>
      </w:r>
      <w:r>
        <w:rPr>
          <w:rFonts w:ascii="Amiri" w:hAnsi="Amiri" w:eastAsia="Amiri" w:cs="Amiri"/>
          <w:color w:val="111111"/>
          <w:sz w:val="28"/>
          <w:sz w:val="28"/>
          <w:szCs w:val="28"/>
          <w:rtl w:val="true"/>
          <w:lang w:bidi="ar-SA"/>
        </w:rPr>
        <w:t xml:space="preserve">حتّى يعلم بنفوذ الماء الطاهر إلى حيث نفذ فيه الماء النجس ، ولا يحتاج إلى التجفيف وإن كان أحوط ، بل لا يبعد تطهيره بالقليل ؛ بأن يجعل في ظرف ويصبّ عليه الماء ثمّ يراق غسالته ، ويطهر الظرف أيضاً بالتبع ، والأحوط التثليث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المطبوخ بالماء النجس يمكن تطهيره في الكثير بل والقليل أيضاً إذا صبّ عليه الماء ونفذ فيه</w:t>
      </w:r>
      <w:r>
        <w:rPr>
          <w:rStyle w:val="FootnoteAnchor"/>
          <w:rtl w:val="true"/>
        </w:rPr>
        <w:footnoteReference w:id="385"/>
      </w:r>
      <w:r>
        <w:rPr>
          <w:rFonts w:ascii="Amiri" w:hAnsi="Amiri" w:eastAsia="Amiri" w:cs="Amiri"/>
          <w:color w:val="111111"/>
          <w:sz w:val="28"/>
          <w:sz w:val="28"/>
          <w:szCs w:val="28"/>
          <w:rtl w:val="true"/>
          <w:lang w:bidi="ar-SA"/>
        </w:rPr>
        <w:t xml:space="preserve">إلى المقدار الذي نفذ فيه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يمكن تطهير الكوز الذي صنع من طين نجس بوضعه في الكثير أو الجاري فنفذ الماء في أعماقه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ثوبه المتنجّس ثمّ رأى فيه شيئاً من الطين أو الاُشنان لا يضرّ</w:t>
      </w:r>
      <w:r>
        <w:rPr>
          <w:rStyle w:val="FootnoteAnchor"/>
          <w:rtl w:val="true"/>
        </w:rPr>
        <w:footnoteReference w:id="386"/>
      </w:r>
      <w:r>
        <w:rPr>
          <w:rFonts w:ascii="Amiri" w:hAnsi="Amiri" w:eastAsia="Amiri" w:cs="Amiri"/>
          <w:color w:val="111111"/>
          <w:sz w:val="28"/>
          <w:sz w:val="28"/>
          <w:szCs w:val="28"/>
          <w:rtl w:val="true"/>
          <w:lang w:bidi="ar-SA"/>
        </w:rPr>
        <w:t xml:space="preserve">ذلك بتطهيره ، بل يحكم بطهارته أيضاً ؛ لانغساله بغسل الثوب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طعاماً نجساً فما يبقى منه بين أسنانه باقٍ على نجاسته ويطهر بالمضمضة</w:t>
      </w:r>
      <w:r>
        <w:rPr>
          <w:rStyle w:val="FootnoteAnchor"/>
          <w:rtl w:val="true"/>
        </w:rPr>
        <w:footnoteReference w:id="387"/>
      </w:r>
      <w:r>
        <w:rPr>
          <w:rFonts w:ascii="Amiri" w:hAnsi="Amiri" w:eastAsia="Amiri" w:cs="Amiri"/>
          <w:color w:val="111111"/>
          <w:sz w:val="28"/>
          <w:sz w:val="28"/>
          <w:szCs w:val="28"/>
          <w:rtl w:val="true"/>
          <w:lang w:bidi="ar-SA"/>
        </w:rPr>
        <w:t xml:space="preserve">، وأمّا إذا كان الطعام طاهراً وخرج الدم من بين أسنانه فإن لم يلاقه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لاقاه الريق الملاقي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 وإن لاقاه ففي الحكم بنجاسته إشكال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فإنّها تطهّر ما يماسّها من القدم بالمشي عليها أو بالمسح بها ممّا يزول معه عين النجاسة إن كانت ، وكذا ما يوقى به القدم كالنعل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زوالها قبل ذلك كفى في التطهير حينئذٍ المماسّة على إشكال ، والأحوط أقلّ مسمّى المسح أو المشي حينئذٍ ، كما أنّ الأحوط قصر الحكم بالطهارة على ما إذا حصلت النجاسة من المشي على الأرض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الأرض بين التراب والرمل والحجر ؛ أصلياً كان أو مفروشة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المفروش بالآجر أو الجصّ على الأقوى ، بخلاف المطليّ بالقير والمفروش بالخشب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جفاف الأرض وطهارتها على الأحوط</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 فإنّها تطهّر الأرض وكلّ ما لا ينقل ، من الأبنية وما اتّصل بها من الأخشاب والأبواب والأعتاب والأوتاد</w:t>
      </w:r>
      <w:r>
        <w:rPr>
          <w:rStyle w:val="FootnoteAnchor"/>
          <w:rtl w:val="true"/>
        </w:rPr>
        <w:footnoteReference w:id="390"/>
      </w:r>
      <w:r>
        <w:rPr>
          <w:rFonts w:ascii="IRNazanin" w:hAnsi="IRNazanin" w:eastAsia="IRNazanin"/>
          <w:color w:val="111111"/>
          <w:sz w:val="28"/>
          <w:sz w:val="28"/>
          <w:szCs w:val="28"/>
          <w:rtl w:val="true"/>
          <w:lang w:bidi="fa-IR"/>
        </w:rPr>
        <w:t>والأشجار</w:t>
      </w:r>
      <w:r>
        <w:rPr>
          <w:rStyle w:val="FootnoteAnchor"/>
          <w:rtl w:val="true"/>
        </w:rPr>
        <w:footnoteReference w:id="391"/>
      </w:r>
      <w:r>
        <w:rPr>
          <w:rFonts w:ascii="Amiri" w:hAnsi="Amiri" w:eastAsia="Amiri" w:cs="Amiri"/>
          <w:color w:val="111111"/>
          <w:sz w:val="28"/>
          <w:sz w:val="28"/>
          <w:szCs w:val="28"/>
          <w:rtl w:val="true"/>
          <w:lang w:bidi="ar-SA"/>
        </w:rPr>
        <w:t xml:space="preserve">والنبات والثمار والخضروات وإن حان قطفها وغير ذلك حتّى الأواني المثبتة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السفينة والطرّادة من غير المنقول ، وفي الكاري ونحوه إشكال ، وفي تطهير الحصر</w:t>
      </w:r>
      <w:r>
        <w:rPr>
          <w:rStyle w:val="FootnoteAnchor"/>
          <w:rtl w:val="true"/>
        </w:rPr>
        <w:footnoteReference w:id="392"/>
      </w:r>
      <w:r>
        <w:rPr>
          <w:rFonts w:ascii="Amiri" w:hAnsi="Amiri" w:eastAsia="Amiri" w:cs="Amiri"/>
          <w:color w:val="111111"/>
          <w:sz w:val="28"/>
          <w:sz w:val="28"/>
          <w:szCs w:val="28"/>
          <w:rtl w:val="true"/>
          <w:lang w:bidi="ar-SA"/>
        </w:rPr>
        <w:t xml:space="preserve">والبواري بها ممّا ينقل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طهارة المذكورات ونحوها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عين النجاسة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رطبة رطوبة تعلّق باليد ثمّ تجفّفها الشمس تجفيفاً يستند إلى إشراقها بنفسها بدون واسطة ، بل لا يبعد اعتبار اليبس على النحو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باطن الشيء الواحد إذا طهر ظاهره </w:t>
      </w:r>
    </w:p>
    <w:p>
      <w:pPr>
        <w:pStyle w:val="BookText"/>
        <w:rPr/>
      </w:pPr>
      <w:r>
        <w:rPr>
          <w:rFonts w:ascii="Amiri" w:hAnsi="Amiri" w:eastAsia="Amiri" w:cs="Amiri"/>
          <w:color w:val="111111"/>
          <w:sz w:val="28"/>
          <w:sz w:val="28"/>
          <w:szCs w:val="28"/>
          <w:rtl w:val="true"/>
          <w:lang w:bidi="ar-SA"/>
        </w:rPr>
        <w:t>بإشراقها عليه</w:t>
      </w:r>
      <w:r>
        <w:rPr>
          <w:rStyle w:val="FootnoteAnchor"/>
          <w:rtl w:val="true"/>
        </w:rPr>
        <w:footnoteReference w:id="393"/>
      </w:r>
      <w:r>
        <w:rPr>
          <w:rFonts w:ascii="Amiri" w:hAnsi="Amiri" w:eastAsia="Amiri" w:cs="Amiri"/>
          <w:color w:val="111111"/>
          <w:sz w:val="28"/>
          <w:sz w:val="28"/>
          <w:szCs w:val="28"/>
          <w:rtl w:val="true"/>
          <w:lang w:bidi="ar-SA"/>
        </w:rPr>
        <w:t xml:space="preserve">على الوجه المذكور دون المتعدّد المتلاصق إذا أشرقت على بعضه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أو نحوها جافّة واُريد تطهيرها بالشمس يصبّ عليها الماء الطاهر أو النجس ممّا يورث الرطوبة فيها حتّى تجفّفها فتطهر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الحصى والتراب والطين والأحجار ما دامت واقعة على الأرض</w:t>
      </w:r>
      <w:r>
        <w:rPr>
          <w:rStyle w:val="FootnoteAnchor"/>
          <w:rtl w:val="true"/>
        </w:rPr>
        <w:footnoteReference w:id="394"/>
      </w:r>
      <w:r>
        <w:rPr>
          <w:rFonts w:ascii="Amiri" w:hAnsi="Amiri" w:eastAsia="Amiri" w:cs="Amiri"/>
          <w:color w:val="111111"/>
          <w:sz w:val="28"/>
          <w:sz w:val="28"/>
          <w:szCs w:val="28"/>
          <w:rtl w:val="true"/>
          <w:lang w:bidi="ar-SA"/>
        </w:rPr>
        <w:t xml:space="preserve">تكون بحكمها وإن اُخذت منها اُلحقت بالمنقولات ، وإن اُعيدت عاد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المسمار</w:t>
      </w:r>
      <w:r>
        <w:rPr>
          <w:rStyle w:val="FootnoteAnchor"/>
          <w:rtl w:val="true"/>
        </w:rPr>
        <w:footnoteReference w:id="395"/>
      </w:r>
      <w:r>
        <w:rPr>
          <w:rFonts w:ascii="Amiri" w:hAnsi="Amiri" w:eastAsia="Amiri" w:cs="Amiri"/>
          <w:color w:val="111111"/>
          <w:sz w:val="28"/>
          <w:sz w:val="28"/>
          <w:szCs w:val="28"/>
          <w:rtl w:val="true"/>
          <w:lang w:bidi="ar-SA"/>
        </w:rPr>
        <w:t xml:space="preserve">الثابت في الأرض أو البناء يلحقهما في الحكم ، وإذا قلع زال حكمه وإذا اُعيد عاد وهكذا كلّ ما يشبه ذلك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إلى جسم آخر ، فيطهر ما أحالته النار رماداً أو دخاناً أو بخاراً ؛ سواء كان نجساً أو متنجّساً ، وكذا المستحيل بُخاراً بغيرها</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أحالته فحماً أو خزفاً أو آجراً أو جصّاً أو نورة فهو باقٍ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كلّ حيوان تكوّن من نجس أو متنجّس كدود العذرة والميتة ، ويطهر الخمر بانقلابه خلاًّ بنفسه أو بعلاج كطرح جسم فيه ونحوه ؛ سواء استهلك الجسم أو لا ، نعم لو تنجّس الخمر بنجاسة خارجية ثمّ انقلب خلاًّ لم يطهر على الأحوط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في العصير بالنار أو بالشمس إذا غلى بأحدهما ، فإنّه مطهّر للثلث الباقي بناءً على النجاسة ، وقد مرّ أنّ الأقوى طهارته فلا يؤثّر التثليث إلاّ في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غلى بنفسه</w:t>
      </w:r>
      <w:r>
        <w:rPr>
          <w:rStyle w:val="FootnoteAnchor"/>
          <w:rtl w:val="true"/>
        </w:rPr>
        <w:footnoteReference w:id="397"/>
      </w:r>
      <w:r>
        <w:rPr>
          <w:rFonts w:ascii="Amiri" w:hAnsi="Amiri" w:eastAsia="Amiri" w:cs="Amiri"/>
          <w:color w:val="111111"/>
          <w:sz w:val="28"/>
          <w:sz w:val="28"/>
          <w:szCs w:val="28"/>
          <w:rtl w:val="true"/>
          <w:lang w:bidi="ar-SA"/>
        </w:rPr>
        <w:t xml:space="preserve">فقد مرّ أنّ الأقوى نجاسته ، وحينئذٍ لا يؤثّر التثليث في زوالها بل يتوقّف طهارته على صيرورته 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 فإنّه موجب لطهارة المنتقل إذا اُضيف إلى المنتقل إليه وعدّ جزءاً منه ، كانتقال دم ذي النفس إلى غير ذي النفس ، وكذا لو كان المنتقل غير الدم والمنتقل إليه غير الحيوان من النبات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عدم الإضافة أو شكّ فيها من حيث عدم الاستقرار في بطن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يستند إليه كالدم الذي يمصّه العلق بقي على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فإنّه مطهّر للكافر بجميع أقسامه حتّى الرجل المرتدّ عن فطرة إذا علم توبته فضلاً عن الامرأة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الكافر فضلاته المتّصلة به ؛ من شعره وظفره وبصاقه ونخامته وقيحه ونحو ذلك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 فإنّ الكافر إذا أسلم يتبعه ولده في الطهارة ؛ أباً كان أو جدّاً أو اُمّاً ، كما أنّ الطفل يتبع</w:t>
      </w:r>
      <w:r>
        <w:rPr>
          <w:rStyle w:val="FootnoteAnchor"/>
          <w:rtl w:val="true"/>
        </w:rPr>
        <w:footnoteReference w:id="398"/>
      </w:r>
      <w:r>
        <w:rPr>
          <w:rFonts w:ascii="Amiri" w:hAnsi="Amiri" w:eastAsia="Amiri" w:cs="Amiri"/>
          <w:color w:val="111111"/>
          <w:sz w:val="28"/>
          <w:sz w:val="28"/>
          <w:szCs w:val="28"/>
          <w:rtl w:val="true"/>
          <w:lang w:bidi="ar-SA"/>
        </w:rPr>
        <w:t xml:space="preserve">السابي المسلم إذا لم يكن معه أحد آبائه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الميّت بعد طهارته آلات تغسيله من السدّة والخرقة الموضوعة عليه وثيابه التي غسّل فيها ويد الغاسل</w:t>
      </w:r>
      <w:r>
        <w:rPr>
          <w:rStyle w:val="FootnoteAnchor"/>
          <w:rtl w:val="true"/>
        </w:rPr>
        <w:footnoteReference w:id="399"/>
      </w:r>
      <w:r>
        <w:rPr>
          <w:rFonts w:ascii="Amiri" w:hAnsi="Amiri" w:eastAsia="Amiri" w:cs="Amiri"/>
          <w:color w:val="111111"/>
          <w:sz w:val="28"/>
          <w:sz w:val="28"/>
          <w:szCs w:val="28"/>
          <w:rtl w:val="true"/>
          <w:lang w:bidi="ar-SA"/>
        </w:rPr>
        <w:t xml:space="preserve">، وفي باقي بدنه وثيابه إشكال ؛ أحوطه العدم ، بل الأولى الاحتياط فيما عدا يد الغاسل </w:t>
      </w:r>
      <w:r>
        <w:rPr>
          <w:rFonts w:eastAsia="Amiri" w:cs="Amiri" w:ascii="Amiri" w:hAnsi="Amiri"/>
          <w:color w:val="111111"/>
          <w:sz w:val="28"/>
          <w:szCs w:val="28"/>
          <w:rtl w:val="true"/>
          <w:lang w:bidi="ar-SA"/>
        </w:rPr>
        <w:t xml:space="preserve">. </w:t>
      </w:r>
      <w:bookmarkStart w:id="200" w:name="pg15003_159727"/>
    </w:p>
    <w:p>
      <w:pPr>
        <w:pStyle w:val="BookText"/>
        <w:rPr/>
      </w:pPr>
      <w:bookmarkEnd w:id="200"/>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بالنسبة إلى الصامت من الحيوان وبواطن الإنسان ، فيطهر منقار الدجاجة الملوّث بالعذرة بمجرّد زوال عينها وجفاف رطوبتها ، وكذا بدن الدابّة المجروح وفم الهرّة الملوّث بالدم وولد الحيوان المتلطّخ به عند الولادة بمجرّد زوال الدم عنها ، وكذا يطهر فم الإنسان إذا أكل أو شرب شيئاً متنجّساً أو نجساً كالدم والخمر بمجرّد بلعه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 فإنّها مطهّرة للإنسان وثيابه وفرشه وأوانيه وغيرها من توابعه إذا كان عالماً</w:t>
      </w:r>
      <w:r>
        <w:rPr>
          <w:rStyle w:val="FootnoteAnchor"/>
          <w:rtl w:val="true"/>
        </w:rPr>
        <w:footnoteReference w:id="400"/>
      </w:r>
      <w:r>
        <w:rPr>
          <w:rFonts w:ascii="Amiri" w:hAnsi="Amiri" w:eastAsia="Amiri" w:cs="Amiri"/>
          <w:color w:val="111111"/>
          <w:sz w:val="28"/>
          <w:sz w:val="28"/>
          <w:szCs w:val="28"/>
          <w:rtl w:val="true"/>
          <w:lang w:bidi="ar-SA"/>
        </w:rPr>
        <w:t xml:space="preserve">بالنجاسة واحتمل تطهيره لها ، من غير فرق بين المتسامح في دينه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الجلاّل من الحيوان المحلّل بما يخرجه عن اسم الجلل ، فإنّه مطهّر لبوله وخرئه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مع زوال</w:t>
      </w:r>
      <w:r>
        <w:rPr>
          <w:rStyle w:val="FootnoteAnchor"/>
          <w:rtl w:val="true"/>
        </w:rPr>
        <w:footnoteReference w:id="401"/>
      </w:r>
      <w:r>
        <w:rPr>
          <w:rFonts w:ascii="Amiri" w:hAnsi="Amiri" w:eastAsia="Amiri" w:cs="Amiri"/>
          <w:color w:val="111111"/>
          <w:sz w:val="28"/>
          <w:sz w:val="28"/>
          <w:szCs w:val="28"/>
          <w:rtl w:val="true"/>
          <w:lang w:bidi="ar-SA"/>
        </w:rPr>
        <w:t xml:space="preserve">اسم الجلل استبراء الحيوان في المدّة المنصوصة للحيوانات ؛ وهي في الإبل أربعون يوماً ، وفي البقرة ثلاثون ، وفي الغنم عشرة أيّام ، وفي البطّة خمسة أو سبعة ، وفي الدجاجة ثلاثة أيّام ، وفي غيرها يكفي زوال الاسم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87715_3406789950"/>
      <w:bookmarkStart w:id="202" w:name="_Toc72"/>
      <w:bookmarkEnd w:id="201"/>
      <w:r>
        <w:rPr>
          <w:rtl w:val="true"/>
        </w:rPr>
        <w:t xml:space="preserve">القول </w:t>
      </w:r>
      <w:r>
        <w:rPr>
          <w:rtl w:val="true"/>
        </w:rPr>
        <w:t xml:space="preserve">: </w:t>
      </w:r>
      <w:r>
        <w:rPr>
          <w:rtl w:val="true"/>
        </w:rPr>
        <w:t>في الأواني</w:t>
      </w:r>
      <w:bookmarkEnd w:id="2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أواني الكفّار كأواني غيرهم محكومة بالطهارة ما لم يعلم ملاقاتهم لها مع الرطوبة المسرية ، وكذا كلّ ما في أيديهم من اللباس والفرش </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 في أيديهم من الجلود محكومة بالنجاسة إذا علم كونها من الحيوان الذي له نفس سائلة ولم يعلم تذكية حيوانها ولم يعلم سبق يد مسلم عليها ، وكذلك الحال في اللحوم والشحوم التي في أيديهم بل في سوقهم ، فإنّها محكومة بالنجاسة مع الشروط المزبورة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استعمال أواني الذهب والفضّة في الأكل والشرب والطهارة من الحدث والخبث وغيرها ، والمحرّم</w:t>
      </w:r>
      <w:r>
        <w:rPr>
          <w:rStyle w:val="FootnoteAnchor"/>
          <w:rtl w:val="true"/>
        </w:rPr>
        <w:footnoteReference w:id="402"/>
      </w:r>
      <w:r>
        <w:rPr>
          <w:rFonts w:ascii="Amiri" w:hAnsi="Amiri" w:eastAsia="Amiri" w:cs="Amiri"/>
          <w:color w:val="111111"/>
          <w:sz w:val="28"/>
          <w:sz w:val="28"/>
          <w:szCs w:val="28"/>
          <w:rtl w:val="true"/>
          <w:lang w:bidi="ar-SA"/>
        </w:rPr>
        <w:t xml:space="preserve">نفس استعمالها وتناول المأكول أو 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دون المأكول والمشروب ، فلو أكل منها طعاماً مباحاً في نهار شهر رمضان لا يكون مفطراً بالحرام وإن ارتكب الحرام من جهة التناول منها واستعمالها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استعمالها </w:t>
      </w:r>
      <w:r>
        <w:rPr>
          <w:rStyle w:val="FootnoteAnchor"/>
          <w:rtl w:val="true"/>
        </w:rPr>
        <w:footnoteReference w:id="403"/>
      </w:r>
      <w:r>
        <w:rPr>
          <w:rFonts w:ascii="Amiri" w:hAnsi="Amiri" w:eastAsia="Amiri" w:cs="Amiri"/>
          <w:color w:val="111111"/>
          <w:sz w:val="28"/>
          <w:sz w:val="28"/>
          <w:szCs w:val="28"/>
          <w:rtl w:val="true"/>
          <w:lang w:bidi="ar-SA"/>
        </w:rPr>
        <w:t>المحرّم على الأحوط وضعها على الرفوف للتزيين بل وتزيين المساجد والمشاهد بها ، وهل يحرم اقتناؤها من غير استعمال ؟ فيه تردّد</w:t>
      </w:r>
      <w:r>
        <w:rPr>
          <w:rStyle w:val="FootnoteAnchor"/>
          <w:rtl w:val="true"/>
        </w:rPr>
        <w:footnoteReference w:id="404"/>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استعمال الملبّس</w:t>
      </w:r>
      <w:r>
        <w:rPr>
          <w:rStyle w:val="FootnoteAnchor"/>
          <w:rtl w:val="true"/>
        </w:rPr>
        <w:footnoteReference w:id="405"/>
      </w:r>
      <w:r>
        <w:rPr>
          <w:rFonts w:ascii="Amiri" w:hAnsi="Amiri" w:eastAsia="Amiri" w:cs="Amiri"/>
          <w:color w:val="111111"/>
          <w:sz w:val="28"/>
          <w:sz w:val="28"/>
          <w:szCs w:val="28"/>
          <w:rtl w:val="true"/>
          <w:lang w:bidi="ar-SA"/>
        </w:rPr>
        <w:t xml:space="preserve">بأحدهما إذا كان على وجه لو انفصل كان إناءً مستقلاًّ ، دون ما إذا لم يكن كذلك ، ودون المفضّض </w:t>
      </w:r>
    </w:p>
    <w:p>
      <w:pPr>
        <w:pStyle w:val="BookText"/>
        <w:rPr/>
      </w:pPr>
      <w:r>
        <w:rPr>
          <w:rFonts w:ascii="Amiri" w:hAnsi="Amiri" w:eastAsia="Amiri" w:cs="Amiri"/>
          <w:color w:val="111111"/>
          <w:sz w:val="28"/>
          <w:sz w:val="28"/>
          <w:szCs w:val="28"/>
          <w:rtl w:val="true"/>
          <w:lang w:bidi="ar-SA"/>
        </w:rPr>
        <w:t xml:space="preserve">والمموّه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والممتزج منهما بحكم أحدهما وإن لم يصدق عليه اسم أحدهما ، بخلاف الممتزج من أحدهما بغيرهما إذا لم يكن بحيث يصدق عليه اسم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المراد من الأواني ما يستعمل في الأكل والشرب والطبخ والغسل أو العجن ، مثل الكأس والكوز والقصاع والقدور والجفان والأقداح والطست والسماور والقوري والفنجان بل وكوز القليان والنعلبكي والقاشق</w:t>
      </w:r>
      <w:r>
        <w:rPr>
          <w:rStyle w:val="FootnoteAnchor"/>
          <w:rtl w:val="true"/>
        </w:rPr>
        <w:footnoteReference w:id="406"/>
      </w:r>
      <w:r>
        <w:rPr>
          <w:rFonts w:ascii="Amiri" w:hAnsi="Amiri" w:eastAsia="Amiri" w:cs="Amiri"/>
          <w:color w:val="111111"/>
          <w:sz w:val="28"/>
          <w:sz w:val="28"/>
          <w:szCs w:val="28"/>
          <w:rtl w:val="true"/>
          <w:lang w:bidi="ar-SA"/>
        </w:rPr>
        <w:t xml:space="preserve">، فلا يشمل مثل رأس القليان ورأس الشطب وغلاف السيف والخنجر والسكّين والصندوق وما يصنع بيتاً للتعويذ وقاب الساعة والقنديل والخلخال وإن كان مجوّفاً ، وفي شمولها للهاون والمجامر والمباخر وظروف الغالية والمعجون والترياك ونحو ذلك تردّد وإشكال ، فلا يترك الاحتياط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الأكل والشرب من آنية الذهب والفضّة بوضعها على فمه وأخذ اللقمة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يحرم تفريغ ما فيها في إناء آخر بقصد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تفريغ ما فيها في إناء آخر بقصد التخلّص من الحرام لا بأس به ، بل ولا يحرم الأكل والشرب أيضاً من ذلك الإناء بعد ذلك ، بل لا يبعد أن يكون المحرّم في الصورة الاُولى أيضاً نفس التفريغ في إناء آخر بذلك القصد دون الأكل أو الشرب من ذلك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الصابّ منها في إناء آخر شخص وأكل أو شرب منه شخص آخر كان الصابّ مرتكباً للحرام بسبب صبّه دون </w:t>
      </w:r>
    </w:p>
    <w:p>
      <w:pPr>
        <w:pStyle w:val="BookText"/>
        <w:rPr/>
      </w:pPr>
      <w:r>
        <w:rPr>
          <w:rFonts w:ascii="Amiri" w:hAnsi="Amiri" w:eastAsia="Amiri" w:cs="Amiri"/>
          <w:color w:val="111111"/>
          <w:sz w:val="28"/>
          <w:sz w:val="28"/>
          <w:szCs w:val="28"/>
          <w:rtl w:val="true"/>
          <w:lang w:bidi="ar-SA"/>
        </w:rPr>
        <w:t>الآكل والشارب بسبب أكله أو شربه ، نعم لو كان الصبّ بأمره واستدعائه لا يبعد أن يكون كلاهما مرتكباً للحرام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الوضوء من آنية الذهب والفضّة كالوضوء من الآنية المغصوبة يبطل إن كان بنحو الرمس ، وإن كان بنحو الاغتراف يبطل مع الانحصار ويصحّ مع عدمه وقد تقدّم </w:t>
      </w:r>
      <w:r>
        <w:rPr>
          <w:rFonts w:eastAsia="Amiri" w:cs="Amiri" w:ascii="Amiri" w:hAnsi="Amiri"/>
          <w:color w:val="111111"/>
          <w:sz w:val="28"/>
          <w:szCs w:val="28"/>
          <w:rtl w:val="true"/>
          <w:lang w:bidi="ar-SA"/>
        </w:rPr>
        <w:t xml:space="preserve">. </w:t>
      </w:r>
      <w:bookmarkStart w:id="203" w:name="pg15003_159731"/>
    </w:p>
    <w:p>
      <w:pPr>
        <w:pStyle w:val="Heading2"/>
        <w:numPr>
          <w:ilvl w:val="1"/>
          <w:numId w:val="1"/>
        </w:numPr>
        <w:rPr/>
      </w:pPr>
      <w:bookmarkStart w:id="204" w:name="__RefHeading___Toc487717_3406789950"/>
      <w:bookmarkStart w:id="205" w:name="_Toc73"/>
      <w:bookmarkEnd w:id="203"/>
      <w:bookmarkEnd w:id="204"/>
      <w:r>
        <w:rPr>
          <w:rtl w:val="true"/>
        </w:rPr>
        <w:t>كتاب الصلاة</w:t>
      </w:r>
      <w:bookmarkEnd w:id="205"/>
    </w:p>
    <w:p>
      <w:pPr>
        <w:pStyle w:val="Heading3"/>
        <w:numPr>
          <w:ilvl w:val="2"/>
          <w:numId w:val="1"/>
        </w:numPr>
        <w:rPr/>
      </w:pPr>
      <w:bookmarkStart w:id="206" w:name="__RefHeading___Toc487719_3406789950"/>
      <w:bookmarkStart w:id="207" w:name="_Toc7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وهي التي تنهى عن الفحشاء والمنكر ، وهي عمود الدين ، إن قبلت قبل ما سواها ، وإن ردّت ردّ ما سواها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87721_3406789950"/>
      <w:bookmarkStart w:id="209" w:name="_Toc75"/>
      <w:bookmarkEnd w:id="208"/>
      <w:r>
        <w:rPr>
          <w:rtl w:val="true"/>
        </w:rPr>
        <w:t xml:space="preserve">فصل </w:t>
      </w:r>
      <w:r>
        <w:rPr>
          <w:rtl w:val="true"/>
        </w:rPr>
        <w:t xml:space="preserve">: </w:t>
      </w:r>
      <w:r>
        <w:rPr>
          <w:rtl w:val="true"/>
        </w:rPr>
        <w:t>في مقدّمات الصلاة</w:t>
      </w:r>
      <w:bookmarkEnd w:id="209"/>
    </w:p>
    <w:p>
      <w:pPr>
        <w:pStyle w:val="Heading4"/>
        <w:numPr>
          <w:ilvl w:val="3"/>
          <w:numId w:val="1"/>
        </w:numPr>
        <w:rPr/>
      </w:pPr>
      <w:bookmarkStart w:id="210" w:name="__RefHeading___Toc487723_3406789950"/>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وهي ستّ </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87725_3406789950"/>
      <w:bookmarkStart w:id="213" w:name="_Toc77"/>
      <w:bookmarkEnd w:id="212"/>
      <w:r>
        <w:rPr>
          <w:rtl w:val="true"/>
        </w:rPr>
        <w:t xml:space="preserve">المقدّمة الاُولى </w:t>
      </w:r>
      <w:r>
        <w:rPr>
          <w:rtl w:val="true"/>
        </w:rPr>
        <w:t xml:space="preserve">: </w:t>
      </w:r>
      <w:r>
        <w:rPr>
          <w:rtl w:val="true"/>
        </w:rPr>
        <w:t>في أعداد الفرائض ومواقيت اليومية ونوافلها</w:t>
      </w:r>
      <w:bookmarkEnd w:id="21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واجبة ومندوبة ، فالواجبة خمس</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الآيات ، والطواف الواجب ، والأموات ، وما التزمه المكلّف بنذر أو إجارة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والمندوبة أكثر من أن تحصى ؛ منها الرواتب اليومية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للظهر قبله ، وثمان للعصر قبله أيضاً ، وأربع للمغرب بعده ، وركعتان من جلوس بعد العشاء تعدّان بركعة تسمّى بالوتيرة ، ويمتدّ وقتها بامتداد وقتها ، </w:t>
      </w:r>
    </w:p>
    <w:p>
      <w:pPr>
        <w:pStyle w:val="BookText"/>
        <w:rPr/>
      </w:pPr>
      <w:r>
        <w:rPr>
          <w:rFonts w:ascii="Amiri" w:hAnsi="Amiri" w:eastAsia="Amiri" w:cs="Amiri"/>
          <w:color w:val="111111"/>
          <w:sz w:val="28"/>
          <w:sz w:val="28"/>
          <w:szCs w:val="28"/>
          <w:rtl w:val="true"/>
          <w:lang w:bidi="ar-SA"/>
        </w:rPr>
        <w:t>وركعتان للفجر قبل الفريضة ووقتها الفجر الأوّل</w:t>
      </w:r>
      <w:r>
        <w:rPr>
          <w:rStyle w:val="FootnoteAnchor"/>
          <w:rtl w:val="true"/>
        </w:rPr>
        <w:footnoteReference w:id="409"/>
      </w:r>
      <w:r>
        <w:rPr>
          <w:rFonts w:ascii="Amiri" w:hAnsi="Amiri" w:eastAsia="Amiri" w:cs="Amiri"/>
          <w:color w:val="111111"/>
          <w:sz w:val="28"/>
          <w:sz w:val="28"/>
          <w:szCs w:val="28"/>
          <w:rtl w:val="true"/>
          <w:lang w:bidi="ar-SA"/>
        </w:rPr>
        <w:t>ويمتدّ إلى أن يبقى من طلوع الحمرة مقدار أداء الفريضة ، ويجوز دسّها في صلاة الليل قبل الفجر ولو عند نصف الليل ، وإحدى عشر ركعة نافلة الليل ؛ صلاة الليل ثمان ركعات ثمّ ركعتا الشفع ثمّ ركعة الوتر ، وهي مع الشفع أفضل صلاة الليل وركعتا الفجر أفضل منهما ، ويجوز الاقتصار على الشفع والوتر بل على الوتر خاصّة</w:t>
      </w:r>
      <w:r>
        <w:rPr>
          <w:rStyle w:val="FootnoteAnchor"/>
          <w:rtl w:val="true"/>
        </w:rPr>
        <w:footnoteReference w:id="410"/>
      </w:r>
      <w:r>
        <w:rPr>
          <w:rFonts w:ascii="Amiri" w:hAnsi="Amiri" w:eastAsia="Amiri" w:cs="Amiri"/>
          <w:color w:val="111111"/>
          <w:sz w:val="28"/>
          <w:sz w:val="28"/>
          <w:szCs w:val="28"/>
          <w:rtl w:val="true"/>
          <w:lang w:bidi="ar-SA"/>
        </w:rPr>
        <w:t>، ووقت صلاة الليل نصف الليل إلى الفجر الصادق ، والسحر أفضل</w:t>
      </w:r>
      <w:r>
        <w:rPr>
          <w:rStyle w:val="FootnoteAnchor"/>
          <w:rtl w:val="true"/>
        </w:rPr>
        <w:footnoteReference w:id="411"/>
      </w:r>
      <w:r>
        <w:rPr>
          <w:rFonts w:ascii="Amiri" w:hAnsi="Amiri" w:eastAsia="Amiri" w:cs="Amiri"/>
          <w:color w:val="111111"/>
          <w:sz w:val="28"/>
          <w:sz w:val="28"/>
          <w:szCs w:val="28"/>
          <w:rtl w:val="true"/>
          <w:lang w:bidi="ar-SA"/>
        </w:rPr>
        <w:t xml:space="preserve">من غيره ، والثلث الأخير من الليل كلّه سحر وأفضله القريب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النوافل بعد عدّ الوتيرة بركعة أربع وثلاثون ركعة ضعف عدد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في السفر الموجب للقصر ثمانية الظهر وثمانية العصر وتثبت البواقي حتّى الوتيرة على الأقوى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ثبوت صلاة الغفيلة وليست من الرواتب ، وهي ركعتان بين العشاءين</w:t>
      </w:r>
      <w:r>
        <w:rPr>
          <w:rStyle w:val="FootnoteAnchor"/>
          <w:rtl w:val="true"/>
        </w:rPr>
        <w:footnoteReference w:id="413"/>
      </w:r>
      <w:r>
        <w:rPr>
          <w:rFonts w:ascii="Amiri" w:hAnsi="Amiri" w:eastAsia="Amiri" w:cs="Amiri"/>
          <w:color w:val="111111"/>
          <w:sz w:val="28"/>
          <w:sz w:val="28"/>
          <w:szCs w:val="28"/>
          <w:rtl w:val="true"/>
          <w:lang w:bidi="ar-SA"/>
        </w:rPr>
        <w:t xml:space="preserve">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وَذَا النُّونِ إِذ ذَهَبَ مُغاضِباً فَظَنَّ أَنْ لَن نَقْدِرَ عَلَيْهِ فَنَادَى فِى الظُّلُماتِ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سُبْحانَكَ إِنّى كُنتُ مِنَ الظالِمِينَ فَاسْتَجَبْنا لَهُ وَنَجَّيْناهُ مِنَ الْغَمِّ وَكَذلِكَ نُنجِى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وَعِنْدَهُ مَفَاتِحُ الْغَيْبِ لاَ يَعْلَمُهَا إِلاّ هُوَ وَيَعْلَمُ مَا فِى الْبَرِّ وَالْبَحْرِ وَمَا تَسْقُطُ مِن وَرَقَةٍ إِلاّ يَعْلَمُهَا وَلا حَبَّةٍ فِى ظُلُماتِ الأَرْضِ وَلا </w:t>
      </w:r>
    </w:p>
    <w:p>
      <w:pPr>
        <w:pStyle w:val="BookText"/>
        <w:rPr/>
      </w:pPr>
      <w:r>
        <w:rPr>
          <w:rFonts w:ascii="Amiri" w:hAnsi="Amiri" w:eastAsia="Amiri" w:cs="Amiri"/>
          <w:color w:val="111111"/>
          <w:sz w:val="28"/>
          <w:sz w:val="28"/>
          <w:szCs w:val="28"/>
          <w:rtl w:val="true"/>
          <w:lang w:bidi="ar-SA"/>
        </w:rPr>
        <w:t>رَطْبٍ وَلا يابِسٍ إِلاّ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فرغ من القراءة 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 لُك بمفاتح الغيب التي لا يعلمها إلاّ أنت أن تصلّي على محمّد وآل محمّد وأن تفعل بي كذا وكذا ، اللهمّ أنت وليّ نعمتي والقادر على طلبتي تعلم حاجتي فأسأ لُك بحقّ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اللّه حاجته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سأله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إتيان النوافل الرواتب وغيرها جالساً حتّى في حال الاختيار ، لكنّ الأولى حينئذٍ عدّ كلّ ركعتين بركعة حتّى في الوتر فيأتي بها مرّتين كلّ مرّة 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الظهر من الزوال إلى الذراع ؛ أي سبعي الشاخص ، والعصر إلى الذراعين ؛ أي أربعة أسباعه ، فإذا وصل إلى هذا الحدّ يقدّم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تقديم نافلتي الظهر والعصر على الزوال في يوم الجمعة ، بل يزاد على عددهما أربع ركعات فتصير عشرين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يوم الجمعة فالأقوى</w:t>
      </w:r>
      <w:r>
        <w:rPr>
          <w:rStyle w:val="FootnoteAnchor"/>
          <w:rtl w:val="true"/>
        </w:rPr>
        <w:footnoteReference w:id="414"/>
      </w:r>
      <w:r>
        <w:rPr>
          <w:rFonts w:ascii="Amiri" w:hAnsi="Amiri" w:eastAsia="Amiri" w:cs="Amiri"/>
          <w:color w:val="111111"/>
          <w:sz w:val="28"/>
          <w:sz w:val="28"/>
          <w:szCs w:val="28"/>
          <w:rtl w:val="true"/>
          <w:lang w:bidi="ar-SA"/>
        </w:rPr>
        <w:t xml:space="preserve">جواز تقديمهما أيضاً ؛ خصوصاً إذا علم بعدم التمكّن من إتيانهما فيما بعد وإن كان فيه خلاف الفضل ، وكذا يجوز تقديم نافلة الليل على النصف للمسافر والشابّ الذي يخاف من فوتها في وقتها ، بل وكلّ ذي عذر كالشيخ وخائف البرد أو الاحتلام ، وينبغي لهم نيّة التعجيل لا الأداء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الظهرين من الزوال إلى المغرب ، ويختصّ الظهر بأوّله مقدار أدائها بحسب حاله ، والعصر بآخره كذلك ، وما بينهما مشترك بينهما ، ومن </w:t>
      </w:r>
    </w:p>
    <w:p>
      <w:pPr>
        <w:pStyle w:val="BookText"/>
        <w:rPr/>
      </w:pPr>
      <w:r>
        <w:rPr>
          <w:rFonts w:ascii="Amiri" w:hAnsi="Amiri" w:eastAsia="Amiri" w:cs="Amiri"/>
          <w:color w:val="111111"/>
          <w:sz w:val="28"/>
          <w:sz w:val="28"/>
          <w:szCs w:val="28"/>
          <w:rtl w:val="true"/>
          <w:lang w:bidi="ar-SA"/>
        </w:rPr>
        <w:t xml:space="preserve">المغرب إلى نصف الليل وقت العشاءين للمختار ، ويختصّ المغرب بأوّله بمقدار أدائها ، والعشاء بآخره كذلك ، وما بينهما 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وقتهما</w:t>
      </w:r>
      <w:r>
        <w:rPr>
          <w:rStyle w:val="FootnoteAnchor"/>
          <w:rtl w:val="true"/>
        </w:rPr>
        <w:footnoteReference w:id="415"/>
      </w:r>
      <w:r>
        <w:rPr>
          <w:rFonts w:ascii="Amiri" w:hAnsi="Amiri" w:eastAsia="Amiri" w:cs="Amiri"/>
          <w:color w:val="111111"/>
          <w:sz w:val="28"/>
          <w:sz w:val="28"/>
          <w:szCs w:val="28"/>
          <w:rtl w:val="true"/>
          <w:lang w:bidi="ar-SA"/>
        </w:rPr>
        <w:t xml:space="preserve">إلى طلوع الفجر للمضطرّ ؛ لنوم أو نسيان أو حيض أو غيرها ، ويختصّ العشاء من آخره بمقدار أدائها ، ولا يبعد امتداد وقتهما إليه للعامد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صلاته بعد نصف الليل قضاءً وإن أثم بالتأخير منه ، ولكن الأحوط الإتيان بعده بقصد ما في الذمّة من الأداء والقضاء ، وما بين طلوع الفجر الصادق إلى طلوع الشمس وقت الصبح ، ووقت فضيلة الظهر من الزوال إلى بلوغ الظلّ الحادث مثل الشاخص ، كما أنّ منتهى فضيلة العصر المثلان ، ومبدأ فضيلته</w:t>
      </w:r>
      <w:r>
        <w:rPr>
          <w:rStyle w:val="FootnoteAnchor"/>
          <w:rtl w:val="true"/>
        </w:rPr>
        <w:footnoteReference w:id="416"/>
      </w:r>
      <w:r>
        <w:rPr>
          <w:rFonts w:ascii="Amiri" w:hAnsi="Amiri" w:eastAsia="Amiri" w:cs="Amiri"/>
          <w:color w:val="111111"/>
          <w:sz w:val="28"/>
          <w:sz w:val="28"/>
          <w:szCs w:val="28"/>
          <w:rtl w:val="true"/>
          <w:lang w:bidi="ar-SA"/>
        </w:rPr>
        <w:t>إذا بلغ الظلّ أربعة أقدام ؛ أي أربعة أسباع الشاخص ، ووقت فضيلة المغرب من المغرب إلى ذهاب الشفق</w:t>
      </w:r>
      <w:r>
        <w:rPr>
          <w:rStyle w:val="FootnoteAnchor"/>
          <w:rtl w:val="true"/>
        </w:rPr>
        <w:footnoteReference w:id="417"/>
      </w:r>
      <w:r>
        <w:rPr>
          <w:rFonts w:ascii="Amiri" w:hAnsi="Amiri" w:eastAsia="Amiri" w:cs="Amiri"/>
          <w:color w:val="111111"/>
          <w:sz w:val="28"/>
          <w:sz w:val="28"/>
          <w:szCs w:val="28"/>
          <w:rtl w:val="true"/>
          <w:lang w:bidi="ar-SA"/>
        </w:rPr>
        <w:t xml:space="preserve">، وهو أوّل فضيلة العشاء إلى ثلث الليل ، فلها وقتا 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ذهاب الشفق وبعد الثلث إلى النصف ، ووقت فضيلة الصبح من أوّله إلى حدوث الحمرة المشرقية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باختصاص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الشريكة فيه مع عدم أداء صاحبتها بوجه صحيح ، فلا مانع من إتيان غير الشريكة كصلاة القضاء من ذلك اليوم أو غيره فيه ، وكذا لا مانع من إتيان الشريكة فيه إذا حصل فراغ الذمّة من صاحبة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العصر سهواً على الظهر وبقي من الوقت مقدار أربع ركعات يصحّ إتيان الظهر في ذلك الوقت أداءً ، وكذا لو صلّى الظهر قبل الزوال </w:t>
      </w:r>
    </w:p>
    <w:p>
      <w:pPr>
        <w:pStyle w:val="BookText"/>
        <w:rPr/>
      </w:pPr>
      <w:r>
        <w:rPr>
          <w:rFonts w:ascii="IRNazanin" w:hAnsi="IRNazanin" w:eastAsia="IRNazanin"/>
          <w:color w:val="111111"/>
          <w:sz w:val="28"/>
          <w:sz w:val="28"/>
          <w:szCs w:val="28"/>
          <w:rtl w:val="true"/>
          <w:lang w:bidi="fa-IR"/>
        </w:rPr>
        <w:t>بظنّ دخول الوقت فدخل الوقت</w:t>
      </w:r>
      <w:r>
        <w:rPr>
          <w:rStyle w:val="FootnoteAnchor"/>
          <w:rtl w:val="true"/>
        </w:rPr>
        <w:footnoteReference w:id="419"/>
      </w:r>
      <w:r>
        <w:rPr>
          <w:rFonts w:ascii="Amiri" w:hAnsi="Amiri" w:eastAsia="Amiri" w:cs="Amiri"/>
          <w:color w:val="111111"/>
          <w:sz w:val="28"/>
          <w:sz w:val="28"/>
          <w:szCs w:val="28"/>
          <w:rtl w:val="true"/>
          <w:lang w:bidi="ar-SA"/>
        </w:rPr>
        <w:t xml:space="preserve">قبل تمامها لا مانع من إتيان العصر بعد الفراغ منها ولا يجب التأخير إلى مضيّ مقدار أربع ركعات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 العصر على الظهر أو العشاء على المغرب عمداً بطل ما قدّمه ؛ سواء كان في الوقت المختصّ بالاُولى أو في الوقت المشترك ، وإذا قدّم سهواً وتذكّر بعد الفراغ صحّ ما قدّمه ويأتي بالاُولى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تذكّر في الأثناء عدل بنيّته إلى السابقة إلاّ إذا لم يبق محلّ العدول ، كما إذا قدّم العشاء وتذكّر بعد ركوع الرابعة فيتمّ بنيّة اللاحقة</w:t>
      </w:r>
      <w:r>
        <w:rPr>
          <w:rStyle w:val="FootnoteAnchor"/>
          <w:rtl w:val="true"/>
        </w:rPr>
        <w:footnoteReference w:id="420"/>
      </w:r>
      <w:r>
        <w:rPr>
          <w:rFonts w:ascii="Amiri" w:hAnsi="Amiri" w:eastAsia="Amiri" w:cs="Amiri"/>
          <w:color w:val="111111"/>
          <w:sz w:val="28"/>
          <w:sz w:val="28"/>
          <w:szCs w:val="28"/>
          <w:rtl w:val="true"/>
          <w:lang w:bidi="ar-SA"/>
        </w:rPr>
        <w:t xml:space="preserve">ويأتي بعدها بالسابقة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للحاضر مقدار خمس ركعات إلى الغروب وللمسافر ثلاث أو أكثر قدّم الظهر وإن وقع بعض العصر في خارج الوقت ، وإذا بقي للحاضر أربع أو أقلّ وللمسافر ركعتان أو أقلّ صلّى العصر ، وإذا بقي للحاضر إلى نصف الليل خمس ركعات أو أكثر وللمسافر أربع ركعات أو أكثر قدّم المغرب ثمّ العشاء ، وإذا بقي للمسافر إليه أقلّ من أربع ركعات قدّم العشاء ، ويجب المبادرة</w:t>
      </w:r>
      <w:r>
        <w:rPr>
          <w:rStyle w:val="FootnoteAnchor"/>
          <w:rtl w:val="true"/>
        </w:rPr>
        <w:footnoteReference w:id="421"/>
      </w:r>
      <w:r>
        <w:rPr>
          <w:rFonts w:ascii="Amiri" w:hAnsi="Amiri" w:eastAsia="Amiri" w:cs="Amiri"/>
          <w:color w:val="111111"/>
          <w:sz w:val="28"/>
          <w:sz w:val="28"/>
          <w:szCs w:val="28"/>
          <w:rtl w:val="true"/>
          <w:lang w:bidi="ar-SA"/>
        </w:rPr>
        <w:t xml:space="preserve">إلى إتيان المغرب بعده إذا بقي بعده مقدار ركعة أو أزيد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اللاحقة إلى السابقة بخلاف العكس ، فلو </w:t>
      </w:r>
    </w:p>
    <w:p>
      <w:pPr>
        <w:pStyle w:val="BookText"/>
        <w:rPr/>
      </w:pPr>
      <w:r>
        <w:rPr>
          <w:rFonts w:ascii="Amiri" w:hAnsi="Amiri" w:eastAsia="Amiri" w:cs="Amiri"/>
          <w:color w:val="111111"/>
          <w:sz w:val="28"/>
          <w:sz w:val="28"/>
          <w:szCs w:val="28"/>
          <w:rtl w:val="true"/>
          <w:lang w:bidi="ar-SA"/>
        </w:rPr>
        <w:t xml:space="preserve">دخل في الظهر أو المغرب فتبيّن في الأثناء أ نّه صلاّهما لا يجوز له العدول إلى اللاحقة ، بخلاف ما إذا دخل في الثانية بتخيّل أ نّه صلّى الاُولى فتبيّن في الأثناء خلافه ، فإنّه يعدل إلى الاُولى إذا بقي محلّ العدول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مسافراً وبقي من الوقت مقدار أربع ركعات فنوى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نوى الإقامة في الأثناء بطلت صلاته ، ولا يجوز له العدول إلى اللاحقة فيقطعها ويشرع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الفرض ناوياً للإقامة فشرع في اللاحقة ثمّ عدل عن نيّة الإقامة فالظاهر أ نّه يعدل</w:t>
      </w:r>
      <w:r>
        <w:rPr>
          <w:rStyle w:val="FootnoteAnchor"/>
          <w:rtl w:val="true"/>
        </w:rPr>
        <w:footnoteReference w:id="422"/>
      </w:r>
      <w:r>
        <w:rPr>
          <w:rFonts w:ascii="Amiri" w:hAnsi="Amiri" w:eastAsia="Amiri" w:cs="Amiri"/>
          <w:color w:val="111111"/>
          <w:sz w:val="28"/>
          <w:sz w:val="28"/>
          <w:szCs w:val="28"/>
          <w:rtl w:val="true"/>
          <w:lang w:bidi="ar-SA"/>
        </w:rPr>
        <w:t xml:space="preserve">إلى الاُولى فيأتي بها ثمّ يأتي باللاحقة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423"/>
      </w:r>
      <w:r>
        <w:rPr>
          <w:rFonts w:ascii="Amiri" w:hAnsi="Amiri" w:eastAsia="Amiri" w:cs="Amiri"/>
          <w:color w:val="111111"/>
          <w:sz w:val="28"/>
          <w:sz w:val="28"/>
          <w:szCs w:val="28"/>
          <w:rtl w:val="true"/>
          <w:lang w:bidi="ar-SA"/>
        </w:rPr>
        <w:t xml:space="preserve">تأخير الصلاة عن أوّل وقتها لذوي الأعذار مع رجاء زوالها في آخر الوقت ، إلاّ في التيمّم فإنّه يجوز فيه البدار إلاّ مع العلم بارتفاع العذر في آخره وقد مرّ في 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التطوّع في وقت الفريضة ما لم تتضيّق ، وكذا لمن عليه قضاء الفريضة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بدخول الوقت فصلّى أو عوّل على الظنّ المعتبر كشهادة العدلين أو أذان الثقة</w:t>
      </w:r>
      <w:r>
        <w:rPr>
          <w:rStyle w:val="FootnoteAnchor"/>
          <w:rtl w:val="true"/>
        </w:rPr>
        <w:footnoteReference w:id="424"/>
      </w:r>
      <w:r>
        <w:rPr>
          <w:rFonts w:ascii="Amiri" w:hAnsi="Amiri" w:eastAsia="Amiri" w:cs="Amiri"/>
          <w:color w:val="111111"/>
          <w:sz w:val="28"/>
          <w:sz w:val="28"/>
          <w:szCs w:val="28"/>
          <w:rtl w:val="true"/>
          <w:lang w:bidi="ar-SA"/>
        </w:rPr>
        <w:t xml:space="preserve">، فإن وقع تمام الصلاة قبل الوقت بطلت ، وإن وقع بعضها في الوقت ولو قليلاً منها صحّت </w:t>
      </w:r>
      <w:r>
        <w:rPr>
          <w:rFonts w:eastAsia="Amiri" w:cs="Amiri" w:ascii="Amiri" w:hAnsi="Amiri"/>
          <w:color w:val="111111"/>
          <w:sz w:val="28"/>
          <w:szCs w:val="28"/>
          <w:rtl w:val="true"/>
          <w:lang w:bidi="ar-SA"/>
        </w:rPr>
        <w:t xml:space="preserve">. </w:t>
      </w:r>
      <w:bookmarkStart w:id="214" w:name="pg15003_159737"/>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مضى من أوّل الوقت مقدار أداء الصلاة</w:t>
      </w:r>
      <w:r>
        <w:rPr>
          <w:rStyle w:val="FootnoteAnchor"/>
          <w:rtl w:val="true"/>
        </w:rPr>
        <w:footnoteReference w:id="425"/>
      </w:r>
      <w:r>
        <w:rPr>
          <w:rFonts w:ascii="Amiri" w:hAnsi="Amiri" w:eastAsia="Amiri" w:cs="Amiri"/>
          <w:color w:val="111111"/>
          <w:sz w:val="28"/>
          <w:sz w:val="28"/>
          <w:szCs w:val="28"/>
          <w:rtl w:val="true"/>
          <w:lang w:bidi="ar-SA"/>
        </w:rPr>
        <w:t xml:space="preserve">بحسب حاله ثمّ حصل أحد الأعذار كالجنون والحيض وجب عليه القضاء وإلاّ لم يجب ، وإذا ارتفع العذر في آخر الوقت ، فإن وسع الصلاتين وجبتا ، وإن وسع لواحدة أتى بها ، وإن بقي مقدار ركعة أتى بالثانية ، وإن زاد على الثانية بمقدار ركعة وجبتا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لغير ذي العذر العلم بدخول الوقت حين الشروع في الصلاة ، ويقوم مقامه شهادة العدلين</w:t>
      </w:r>
      <w:r>
        <w:rPr>
          <w:rStyle w:val="FootnoteAnchor"/>
          <w:rtl w:val="true"/>
        </w:rPr>
        <w:footnoteReference w:id="426"/>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الأذان ولو كان المؤذّن عدلاً عارفاً بالوقت على الأحوط</w:t>
      </w:r>
      <w:r>
        <w:rPr>
          <w:rStyle w:val="FootnoteAnchor"/>
          <w:rtl w:val="true"/>
        </w:rPr>
        <w:footnoteReference w:id="427"/>
      </w:r>
      <w:r>
        <w:rPr>
          <w:rFonts w:ascii="Amiri" w:hAnsi="Amiri" w:eastAsia="Amiri" w:cs="Amiri"/>
          <w:color w:val="111111"/>
          <w:sz w:val="28"/>
          <w:sz w:val="28"/>
          <w:szCs w:val="28"/>
          <w:rtl w:val="true"/>
          <w:lang w:bidi="ar-SA"/>
        </w:rPr>
        <w:t xml:space="preserve">، وإن كان الاكتفاء بأذان العدل بل الثقة العارف بالوقت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ذو العذر ففي مثل الغيم ونحوه من الأعذار العامّة يجوز له التعويل على الظنّ به ، وأمّا ذو العذر الخاصّ كالأعمى والمحبوس فلا يترك الاحتياط بالتأخير إلى أن يحصل له العلم بدخول الوقت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87727_3406789950"/>
      <w:bookmarkStart w:id="216" w:name="_Toc78"/>
      <w:bookmarkEnd w:id="215"/>
      <w:r>
        <w:rPr>
          <w:rtl w:val="true"/>
        </w:rPr>
        <w:t xml:space="preserve">المقدّمة الثانية </w:t>
      </w:r>
      <w:r>
        <w:rPr>
          <w:rtl w:val="true"/>
        </w:rPr>
        <w:t xml:space="preserve">: </w:t>
      </w:r>
      <w:r>
        <w:rPr>
          <w:rtl w:val="true"/>
        </w:rPr>
        <w:t>في القبلة</w:t>
      </w:r>
      <w:bookmarkEnd w:id="2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الاستقبال مع الإمكان في الفرائض اليومية وغيرها من الفرائض حتّى صلاة الجنائز ، وفي النافلة إذا صلّيت في الأرض في حال </w:t>
      </w:r>
    </w:p>
    <w:p>
      <w:pPr>
        <w:pStyle w:val="BookText"/>
        <w:rPr/>
      </w:pPr>
      <w:r>
        <w:rPr>
          <w:rFonts w:ascii="Amiri" w:hAnsi="Amiri" w:eastAsia="Amiri" w:cs="Amiri"/>
          <w:color w:val="111111"/>
          <w:sz w:val="28"/>
          <w:sz w:val="28"/>
          <w:szCs w:val="28"/>
          <w:rtl w:val="true"/>
          <w:lang w:bidi="ar-SA"/>
        </w:rPr>
        <w:t xml:space="preserve">الاستقرار ، أمّا لو صلّيت حال المشي والركوب وفي السفينة فلا يعتبر فيها الاستقبال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العلم</w:t>
      </w:r>
      <w:r>
        <w:rPr>
          <w:rStyle w:val="FootnoteAnchor"/>
          <w:rtl w:val="true"/>
        </w:rPr>
        <w:footnoteReference w:id="428"/>
      </w:r>
      <w:r>
        <w:rPr>
          <w:rFonts w:ascii="Amiri" w:hAnsi="Amiri" w:eastAsia="Amiri" w:cs="Amiri"/>
          <w:color w:val="111111"/>
          <w:sz w:val="28"/>
          <w:sz w:val="28"/>
          <w:szCs w:val="28"/>
          <w:rtl w:val="true"/>
          <w:lang w:bidi="ar-SA"/>
        </w:rPr>
        <w:t>بالتوجّه إلى القبلة حال الصلاة ، ومع تعذّر العلم يبذل تمام جهده ويعمل على ظنّه ، ومع تعذّر الظنّ يكتفي بالجهة</w:t>
      </w:r>
      <w:r>
        <w:rPr>
          <w:rStyle w:val="FootnoteAnchor"/>
          <w:rtl w:val="true"/>
        </w:rPr>
        <w:footnoteReference w:id="429"/>
      </w:r>
      <w:r>
        <w:rPr>
          <w:rFonts w:ascii="Amiri" w:hAnsi="Amiri" w:eastAsia="Amiri" w:cs="Amiri"/>
          <w:color w:val="111111"/>
          <w:sz w:val="28"/>
          <w:sz w:val="28"/>
          <w:szCs w:val="28"/>
          <w:rtl w:val="true"/>
          <w:lang w:bidi="ar-SA"/>
        </w:rPr>
        <w:t xml:space="preserve">العرفية ، ومع تساوي الجهات صلّى إلى أربع جهات إن وسع الوقت وإلاّ فبقدر ما 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عدمها في بعض الجهات سقط اعتبارها وصلّى إلى المحتملات الاُخر ، ويعوّل على قبلة بلد المسلمين في صلاتهم وقبورهم ومحاريبهم إذا لم يعلم بناؤها على الغلط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المتحيّر الذي يجب عليه الصلاة إلى أزيد من جهة واحدة لو كان عليه صلاتان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تكون الثانية إلى جهات الاُولى ، كما أنّ الأحوط</w:t>
      </w:r>
      <w:r>
        <w:rPr>
          <w:rStyle w:val="FootnoteAnchor"/>
          <w:rtl w:val="true"/>
        </w:rPr>
        <w:footnoteReference w:id="430"/>
      </w:r>
      <w:r>
        <w:rPr>
          <w:rFonts w:ascii="Amiri" w:hAnsi="Amiri" w:eastAsia="Amiri" w:cs="Amiri"/>
          <w:color w:val="111111"/>
          <w:sz w:val="28"/>
          <w:sz w:val="28"/>
          <w:szCs w:val="28"/>
          <w:rtl w:val="true"/>
          <w:lang w:bidi="ar-SA"/>
        </w:rPr>
        <w:t xml:space="preserve">أن يتمّم جهات الاُولى ثمّ يشرع في الثانية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إلى جهة قطع أو ظنّ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الاكتفاء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خطؤه ، فإن كان منحرفاً عنها إلى ما بين اليمين والشمال صحّت صلاته ، وإن كان في أثنائها مضى ما تقدّم منها واستقام في الباقي ؛ من غير فرق بين بقاء الوقت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تجاوز انحرافه عمّا بين اليمين والشمال أعاد في الوقت دون </w:t>
      </w:r>
      <w:bookmarkStart w:id="217" w:name="pg15003_159739"/>
    </w:p>
    <w:p>
      <w:pPr>
        <w:pStyle w:val="BookText"/>
        <w:rPr/>
      </w:pPr>
      <w:bookmarkEnd w:id="217"/>
      <w:r>
        <w:rPr>
          <w:rFonts w:ascii="Amiri" w:hAnsi="Amiri" w:eastAsia="Amiri" w:cs="Amiri"/>
          <w:color w:val="111111"/>
          <w:sz w:val="28"/>
          <w:sz w:val="28"/>
          <w:szCs w:val="28"/>
          <w:rtl w:val="true"/>
          <w:lang w:bidi="ar-SA"/>
        </w:rPr>
        <w:t>خارجه وإن بان أ نّه مستدبر ، إلاّ أنّ الأحوط القضاء مع الاستدبار بل مطلقاً وكذا إذا كان في الأثناء</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487729_3406789950"/>
      <w:bookmarkStart w:id="219" w:name="_Toc79"/>
      <w:bookmarkEnd w:id="218"/>
      <w:r>
        <w:rPr>
          <w:rtl w:val="true"/>
        </w:rPr>
        <w:t xml:space="preserve">المقدّمة الثالثة </w:t>
      </w:r>
      <w:r>
        <w:rPr>
          <w:rtl w:val="true"/>
        </w:rPr>
        <w:t xml:space="preserve">: </w:t>
      </w:r>
      <w:r>
        <w:rPr>
          <w:rtl w:val="true"/>
        </w:rPr>
        <w:t>في الستر والساتر</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مع الاختيار ستر العورة في الصلاة وتوابعها</w:t>
      </w:r>
      <w:r>
        <w:rPr>
          <w:rStyle w:val="FootnoteAnchor"/>
          <w:rtl w:val="true"/>
        </w:rPr>
        <w:footnoteReference w:id="432"/>
      </w:r>
      <w:r>
        <w:rPr>
          <w:rFonts w:ascii="Amiri" w:hAnsi="Amiri" w:eastAsia="Amiri" w:cs="Amiri"/>
          <w:color w:val="111111"/>
          <w:sz w:val="28"/>
          <w:sz w:val="28"/>
          <w:szCs w:val="28"/>
          <w:rtl w:val="true"/>
          <w:lang w:bidi="ar-SA"/>
        </w:rPr>
        <w:t>والنافلة دون صلاة الجنازة وإن كان الأحوط فيها ذلك أيضاً ، ويجب ستر العورة في الطواف</w:t>
      </w:r>
      <w:r>
        <w:rPr>
          <w:rStyle w:val="FootnoteAnchor"/>
          <w:rtl w:val="true"/>
        </w:rPr>
        <w:footnoteReference w:id="43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بدت العورة لريح أو غفلة أو كانت خارجة من أوّل الأمر وهو لا يعلم بها فالصلاة صحيحة لكن يبادر إلى الستر إن علم في الأثناء ، والأحوط الإتمام ثمّ الاستئناف ، وكذا لو نسي سترها من أوّل الأمر أو بعد التكشّف في الأثناء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الرجل في الصلاة عورته في النظر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والقضيب والاُنثيان ، والأحوط ستر الشبح الذي يرى من خلف الثوب من غير تميّز للونه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وعورة المرأة في الصلاة جميع بدنها حتّى الرأس والشعر ما عدا الوجه الذي </w:t>
      </w:r>
    </w:p>
    <w:p>
      <w:pPr>
        <w:pStyle w:val="BookText"/>
        <w:rPr/>
      </w:pPr>
      <w:r>
        <w:rPr>
          <w:rFonts w:ascii="Amiri" w:hAnsi="Amiri" w:eastAsia="Amiri" w:cs="Amiri"/>
          <w:color w:val="111111"/>
          <w:sz w:val="28"/>
          <w:sz w:val="28"/>
          <w:szCs w:val="28"/>
          <w:rtl w:val="true"/>
          <w:lang w:bidi="ar-SA"/>
        </w:rPr>
        <w:t xml:space="preserve">يجب غسله في الوضوء واليدين إلى الزندين والقدمين إلى الساقين ، ويجب عليها ستر شيء من أطراف هذه المستثنيات 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ستر رقبتها وتحت ذقنها حتّى المقدار الذي يرى منه عند اختمارها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الأمة والصبيّة كالحرّة والبالغة ، إلاّ أ نّه لا يجب عليهما ستر الرأس والشعر والعنق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التستّر من جهة التحت ، نعم لو وقف على طرف سطح أو شبّاك</w:t>
      </w:r>
      <w:r>
        <w:rPr>
          <w:rStyle w:val="FootnoteAnchor"/>
          <w:rtl w:val="true"/>
        </w:rPr>
        <w:footnoteReference w:id="434"/>
      </w:r>
      <w:r>
        <w:rPr>
          <w:rFonts w:ascii="Amiri" w:hAnsi="Amiri" w:eastAsia="Amiri" w:cs="Amiri"/>
          <w:color w:val="111111"/>
          <w:sz w:val="28"/>
          <w:sz w:val="28"/>
          <w:szCs w:val="28"/>
          <w:rtl w:val="true"/>
          <w:lang w:bidi="ar-SA"/>
        </w:rPr>
        <w:t xml:space="preserve">بحيث ترى عورته لو كان هناك ناظر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 من جهة التحت أيضاً وإن لم يكن ناظر من تحت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الستر عن النظر يحصل بكلّ ما يمنع عن النظر ولو باليد أو الطلي بالطين أو الولوج في الماء حتّى أنّ الدبر يكفي في ستره الأليتان ، وأمّا الستر الصلاتي فلا يكفي فيه ذلك ولو في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w:t>
      </w:r>
      <w:r>
        <w:rPr>
          <w:rStyle w:val="FootnoteAnchor"/>
          <w:rtl w:val="true"/>
        </w:rPr>
        <w:footnoteReference w:id="435"/>
      </w:r>
      <w:r>
        <w:rPr>
          <w:rFonts w:ascii="Amiri" w:hAnsi="Amiri" w:eastAsia="Amiri" w:cs="Amiri"/>
          <w:color w:val="111111"/>
          <w:sz w:val="28"/>
          <w:sz w:val="28"/>
          <w:szCs w:val="28"/>
          <w:rtl w:val="true"/>
          <w:lang w:bidi="ar-SA"/>
        </w:rPr>
        <w:t>كفاية الطلي بالطين حال الاضطرار وإن كان الأحوط خلافه ، فمع الاضطرار وإمكانه يجمع بين صلاة فاقد الساتر وواجده ، وأمّا الستر بالورق</w:t>
      </w:r>
      <w:r>
        <w:rPr>
          <w:rStyle w:val="FootnoteAnchor"/>
          <w:rtl w:val="true"/>
        </w:rPr>
        <w:footnoteReference w:id="436"/>
      </w:r>
      <w:r>
        <w:rPr>
          <w:rFonts w:ascii="Amiri" w:hAnsi="Amiri" w:eastAsia="Amiri" w:cs="Amiri"/>
          <w:color w:val="111111"/>
          <w:sz w:val="28"/>
          <w:sz w:val="28"/>
          <w:szCs w:val="28"/>
          <w:rtl w:val="true"/>
          <w:lang w:bidi="ar-SA"/>
        </w:rPr>
        <w:t xml:space="preserve">والحشيش وكذا القطن والصوف الغير المنسوجين فالأقوى جوازه على كلّ حال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الساتر بل في مطلق لباس المصلّي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إلاّ فيما لا تتمّ الصلاة فيه منفرداً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 فلا يجوز في المغصوب مع العلم بالغصبية ، فلو لم يعلم بها صحّت صلاته ، وكذا الناسي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الغصب بين أن يكون عينه مال الغير أو منفعته أو يكون متعلّقاً لحقّ الغير كالمرهون ، بل إذا اشترى ثوباً بعين مال تعلّق به الخمس أو الزكاة مع عدم أدائهما من مال آخر حكمه حكم المغصوب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صبغ الثوب بصبغ مغصوب أو خيط بخيط مغصوب ففي جريان حكم المغصوب عليه إشكال</w:t>
      </w:r>
      <w:r>
        <w:rPr>
          <w:rStyle w:val="FootnoteAnchor"/>
          <w:rtl w:val="true"/>
        </w:rPr>
        <w:footnoteReference w:id="438"/>
      </w:r>
      <w:r>
        <w:rPr>
          <w:rFonts w:ascii="Amiri" w:hAnsi="Amiri" w:eastAsia="Amiri" w:cs="Amiri"/>
          <w:color w:val="111111"/>
          <w:sz w:val="28"/>
          <w:sz w:val="28"/>
          <w:szCs w:val="28"/>
          <w:rtl w:val="true"/>
          <w:lang w:bidi="ar-SA"/>
        </w:rPr>
        <w:t xml:space="preserve">، فلا يترك الاحتياط ، خصوصاً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فيما إذا اُجبر الصبّاغ أو الخيّاط على عمله ولم يعط اُجرته مع كون الصبغ والخيط من مالك الثوب ، وكذا إذا غسل الثوب بماء مغصوب أو اُزيل وسخه بصابون مغصوب أو اُجبر الغاسل على غسله ولم يعط اُجرته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مذكّىً مأكول اللحم ، فلا تجوز الصلاة في جلد غير المذكّى ولا في غير جلده من أجزائه التي تحلّها الحياة ولو كان طاهراً</w:t>
      </w:r>
      <w:r>
        <w:rPr>
          <w:rStyle w:val="FootnoteAnchor"/>
          <w:rtl w:val="true"/>
        </w:rPr>
        <w:footnoteReference w:id="439"/>
      </w:r>
      <w:r>
        <w:rPr>
          <w:rFonts w:ascii="Amiri" w:hAnsi="Amiri" w:eastAsia="Amiri" w:cs="Amiri"/>
          <w:color w:val="111111"/>
          <w:sz w:val="28"/>
          <w:sz w:val="28"/>
          <w:szCs w:val="28"/>
          <w:rtl w:val="true"/>
          <w:lang w:bidi="ar-SA"/>
        </w:rPr>
        <w:t xml:space="preserve">من جهة عدم كونه ذا نفس سائلة كالسمك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فيما لا تحلّه الحياة من أجزائه كالصوف والشعر والوبر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مأكول اللحم فلا يجوز الصلاة في شيء منه </w:t>
      </w:r>
    </w:p>
    <w:p>
      <w:pPr>
        <w:pStyle w:val="BookText"/>
        <w:rPr/>
      </w:pPr>
      <w:r>
        <w:rPr>
          <w:rFonts w:ascii="Amiri" w:hAnsi="Amiri" w:eastAsia="Amiri" w:cs="Amiri"/>
          <w:color w:val="111111"/>
          <w:sz w:val="28"/>
          <w:sz w:val="28"/>
          <w:szCs w:val="28"/>
          <w:rtl w:val="true"/>
          <w:lang w:bidi="ar-SA"/>
        </w:rPr>
        <w:t xml:space="preserve">وإن ذكّي ؛ من غير فرق بين أجزائه التي تحلّها الحياة وغيرها ، بل يجب إزالة الفضلات الطاهرة منه ، كالرطوبة والشعرات الملتصقة بلباس المصلّي وبدنه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اللباس أو فيما على اللباس من الرطوبة ونحوها في أ نّها من المأكول أو من غيره أو من الحيوان أو غيره صحّت الصلاة فيه ، بخلاف ما إذا شكّ فيما تحلّه الحياة من الحيوان أ نّه مذكّىً أو ميتة ، فإنّه لا يصلّي فيه حتّى يحرز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يؤخذ من يد المسلم أو من سوق المسلمين مع عدم العلم بسبق يد الكافر عليه أو سبق يده مع احتمال أنّ المسلم</w:t>
      </w:r>
      <w:r>
        <w:rPr>
          <w:rStyle w:val="FootnoteAnchor"/>
          <w:rtl w:val="true"/>
        </w:rPr>
        <w:footnoteReference w:id="440"/>
      </w:r>
      <w:r>
        <w:rPr>
          <w:rFonts w:ascii="Amiri" w:hAnsi="Amiri" w:eastAsia="Amiri" w:cs="Amiri"/>
          <w:color w:val="111111"/>
          <w:sz w:val="28"/>
          <w:sz w:val="28"/>
          <w:szCs w:val="28"/>
          <w:rtl w:val="true"/>
          <w:lang w:bidi="ar-SA"/>
        </w:rPr>
        <w:t xml:space="preserve">الذي بيده قد تفحّص عن حاله ، محكوم بالتذكية فيجوز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بالشمع والعسل والحرير الممتزج وأجزاء مثل البقّ والبرغوث والزنبور ونحوها ممّا لا لحم لها ، وكذلك الصدف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استثني ممّا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والسنجاب</w:t>
      </w:r>
      <w:r>
        <w:rPr>
          <w:rStyle w:val="FootnoteAnchor"/>
          <w:rtl w:val="true"/>
        </w:rPr>
        <w:footnoteReference w:id="441"/>
      </w:r>
      <w:r>
        <w:rPr>
          <w:rFonts w:ascii="Amiri" w:hAnsi="Amiri" w:eastAsia="Amiri" w:cs="Amiri"/>
          <w:color w:val="111111"/>
          <w:sz w:val="28"/>
          <w:sz w:val="28"/>
          <w:szCs w:val="28"/>
          <w:rtl w:val="true"/>
          <w:lang w:bidi="ar-SA"/>
        </w:rPr>
        <w:t xml:space="preserve">، إلاّ أنّ الذي يسمّونه الآن بالخزّ لم يعلم أ نّه الخزّ ، ومع ذلك لا بأس بالصلاة فيه لمن اشتبه حاله بعد ما جوّزنا الصلاة في المشتبه ، وإن كان الأحوط شديداً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بفضلات الإنسان كشعره وريقه ولبنه ؛ سواء كان لنفسه أو لغيره ، فلا بأس بالشعر الموصول بالشعر وصحّت الصلاة فيه ؛ سواء كان من الرجل أو المرأة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الساتر بل مطلق اللباس من الذهب للرجال في الصلاة وغيرها ولو كان حلياً كالخاتم ونحوه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بشدّ الأسنان بالذهب ، بل ولا تركيبها به في الصلاة وغيرها ، نعم في مثل الثنايا ممّا كان ظاهراً وقصد به التزيّن لا يخلو من إشكال فالأحوط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بكون قاب الساعة من الذهب واستصحابها في الصلاة ، نعم إذا كان زنجير الساعة من الذهب وعلّقه على رقبته أو علّق رأسه بلباسه يشكل الصلاة معه ، بخلاف ما إذا كان غير معلّق وإن كان معه في جيبه ، فلا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محضاً للرجال ، بل لا يجوز لبسه لهم في غير الصلاة أيضاً وإن كان ممّا لا تتمّ فيه الصلاة منفرداً ، كالتكّة والقلنسوة ونحوهما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يشمل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للنساء ولو في الصلاة وللرجال في الضرورة وفي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يحرم على الرجال خصوص لبس الحرير ، فلا بأس بالافتراش والركوب عليه والتدثّر به</w:t>
      </w:r>
      <w:r>
        <w:rPr>
          <w:rStyle w:val="FootnoteAnchor"/>
          <w:rtl w:val="true"/>
        </w:rPr>
        <w:footnoteReference w:id="442"/>
      </w:r>
      <w:r>
        <w:rPr>
          <w:rFonts w:ascii="Amiri" w:hAnsi="Amiri" w:eastAsia="Amiri" w:cs="Amiri"/>
          <w:color w:val="111111"/>
          <w:sz w:val="28"/>
          <w:sz w:val="28"/>
          <w:szCs w:val="28"/>
          <w:rtl w:val="true"/>
          <w:lang w:bidi="ar-SA"/>
        </w:rPr>
        <w:t xml:space="preserve">ولا بزرّ الثياب وأعلامها والسفائف والقياطين الموضوعة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بعصابة الجروح والقروح وحفيظة المسلوس وغير ذلك ، بل ولا بأس بأن يرقّع الثوب به ولا الكفّ به إذا لم يكونا بمقدار يصدق معه لبس الحرير ، وإن كان الأحوط في الكفّ أن لا يزيد على مقدار أربع أصابع مضمومة ، بل الأحوط ملاحظة التقدير المزبور في الرقاع أيضاً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المحرّم لبس الحرير المحض ؛ أي الخالص الذي لم يمتزج بغيره ، فلا بأس بالممتزج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صدق مسمّى الامتزاج الذي </w:t>
      </w:r>
    </w:p>
    <w:p>
      <w:pPr>
        <w:pStyle w:val="BookText"/>
        <w:rPr/>
      </w:pPr>
      <w:r>
        <w:rPr>
          <w:rFonts w:ascii="Amiri" w:hAnsi="Amiri" w:eastAsia="Amiri" w:cs="Amiri"/>
          <w:color w:val="111111"/>
          <w:sz w:val="28"/>
          <w:sz w:val="28"/>
          <w:szCs w:val="28"/>
          <w:rtl w:val="true"/>
          <w:lang w:bidi="ar-SA"/>
        </w:rPr>
        <w:t xml:space="preserve">به يخرج عن المحوضة ولو كان الخليط بقدر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الخليط من جهة صحّة الصلاة فيه كونه من جنس ما يصحّ الصلاة فيه ، فلا يكفي مزجه بصوف أو وبر ما لا يؤكل لحمه وإن كان كافياً في رفع حرمة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الثوب المنسوج من الإبريسم المفتول بالذهب يحرم لبسه كما لا يصحّ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لباس الشهرة وإن كان حراماً</w:t>
      </w:r>
      <w:r>
        <w:rPr>
          <w:rStyle w:val="FootnoteAnchor"/>
          <w:rtl w:val="true"/>
        </w:rPr>
        <w:footnoteReference w:id="443"/>
      </w:r>
      <w:r>
        <w:rPr>
          <w:rFonts w:ascii="Amiri" w:hAnsi="Amiri" w:eastAsia="Amiri" w:cs="Amiri"/>
          <w:color w:val="111111"/>
          <w:sz w:val="28"/>
          <w:sz w:val="28"/>
          <w:szCs w:val="28"/>
          <w:rtl w:val="true"/>
          <w:lang w:bidi="ar-SA"/>
        </w:rPr>
        <w:t xml:space="preserve">وكذا ما يختصّ بالنساء للرجال وبالعكس على الأحوط لكن لا يضرّ لبسها 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اللباس أو الخاتم ذهب أو غيره يجوز لبسه والصلاة فيه ، وكذلك الحال فيما شكّ أ نّه من الحرير أو غيره ، ومن هذا القبيل اللباس المتعارف في زماننا المسمّى بالشعري لمن لم يعرف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أ نّه حرير محض أو ممتزج فالأحوط</w:t>
      </w:r>
      <w:r>
        <w:rPr>
          <w:rStyle w:val="FootnoteAnchor"/>
          <w:rtl w:val="true"/>
        </w:rPr>
        <w:footnoteReference w:id="444"/>
      </w:r>
      <w:r>
        <w:rPr>
          <w:rFonts w:ascii="IRNazanin" w:hAnsi="IRNazanin" w:eastAsia="IRNazanin"/>
          <w:color w:val="111111"/>
          <w:sz w:val="28"/>
          <w:sz w:val="28"/>
          <w:szCs w:val="28"/>
          <w:rtl w:val="true"/>
          <w:lang w:bidi="fa-IR"/>
        </w:rPr>
        <w:t xml:space="preserve">الاجتناب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بلبس الصبيّ الحرير فلا يحرم على الوليّ إلباسه ، ولا يجب عليه نزعه منه ، ولكن لا تصحّ</w:t>
      </w:r>
      <w:r>
        <w:rPr>
          <w:rStyle w:val="FootnoteAnchor"/>
          <w:rtl w:val="true"/>
        </w:rPr>
        <w:footnoteReference w:id="445"/>
      </w:r>
      <w:r>
        <w:rPr>
          <w:rFonts w:ascii="Amiri" w:hAnsi="Amiri" w:eastAsia="Amiri" w:cs="Amiri"/>
          <w:color w:val="111111"/>
          <w:sz w:val="28"/>
          <w:sz w:val="28"/>
          <w:szCs w:val="28"/>
          <w:rtl w:val="true"/>
          <w:lang w:bidi="ar-SA"/>
        </w:rPr>
        <w:t xml:space="preserve">صلاته فيه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يجد</w:t>
      </w:r>
      <w:r>
        <w:rPr>
          <w:rStyle w:val="FootnoteAnchor"/>
          <w:rtl w:val="true"/>
        </w:rPr>
        <w:footnoteReference w:id="446"/>
      </w:r>
      <w:r>
        <w:rPr>
          <w:rFonts w:ascii="Amiri" w:hAnsi="Amiri" w:eastAsia="Amiri" w:cs="Amiri"/>
          <w:color w:val="111111"/>
          <w:sz w:val="28"/>
          <w:sz w:val="28"/>
          <w:szCs w:val="28"/>
          <w:rtl w:val="true"/>
          <w:lang w:bidi="ar-SA"/>
        </w:rPr>
        <w:t xml:space="preserve">المصلّي ساتراً حتّى الورق والحشيش ؛ فإن وجد ما يستر به عورته حتّى الطين أو الماء الكدر أو حفرة يلج فيها ويتستّر بها صلّى </w:t>
      </w:r>
      <w:bookmarkStart w:id="220" w:name="pg15003_159745"/>
    </w:p>
    <w:p>
      <w:pPr>
        <w:pStyle w:val="BookText"/>
        <w:rPr/>
      </w:pPr>
      <w:bookmarkEnd w:id="220"/>
      <w:r>
        <w:rPr>
          <w:rFonts w:ascii="Amiri" w:hAnsi="Amiri" w:eastAsia="Amiri" w:cs="Amiri"/>
          <w:color w:val="111111"/>
          <w:sz w:val="28"/>
          <w:sz w:val="28"/>
          <w:szCs w:val="28"/>
          <w:rtl w:val="true"/>
          <w:lang w:bidi="ar-SA"/>
        </w:rPr>
        <w:t xml:space="preserve">صلاة المختار ، وإن لم يجد ذلك فإن لم يكن ناظر فالأحوط تكرار الصلاة ؛ بأن يصلّي صلاة المختار تارة وقائماً مومئاً للركوع والسجود ، واُخرى واضعاً يديه على قبله في حال القيام على الأحوط ، وإن لم يأمن من النظر صلّى جالساً منحنياً للركوع والسجود بمقدار لا يبدو عورته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447"/>
      </w:r>
      <w:r>
        <w:rPr>
          <w:rFonts w:ascii="Amiri" w:hAnsi="Amiri" w:eastAsia="Amiri" w:cs="Amiri"/>
          <w:color w:val="111111"/>
          <w:sz w:val="28"/>
          <w:sz w:val="28"/>
          <w:szCs w:val="28"/>
          <w:rtl w:val="true"/>
          <w:lang w:bidi="ar-SA"/>
        </w:rPr>
        <w:t xml:space="preserve">تأخير الصلاة عن أوّل الوقت إذا لم يكن عنده ساتر واحتمل وجوده في آخر الوقت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87731_3406789950"/>
      <w:bookmarkStart w:id="222" w:name="_Toc80"/>
      <w:bookmarkEnd w:id="221"/>
      <w:r>
        <w:rPr>
          <w:rtl w:val="true"/>
        </w:rPr>
        <w:t xml:space="preserve">المقدّمة الرابعة </w:t>
      </w:r>
      <w:r>
        <w:rPr>
          <w:rtl w:val="true"/>
        </w:rPr>
        <w:t xml:space="preserve">: </w:t>
      </w:r>
      <w:r>
        <w:rPr>
          <w:rtl w:val="true"/>
        </w:rPr>
        <w:t>المكان</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مكان يجوز الصلاة فيه إلاّ المغصوب عيناً أو منفعة ، وفي حكم الغصب ما تعلّق به حقّ الغير كالرهن وحقّ الميّت إذا أوصى بالثلث ولم يخرج بعد ، بل ما تعلّق به حقّ السبق ؛ بأن سبق شخص إلى مكان من المسجد أو غيره للصلاة فيه ولم يعرض عنه ، على الأحوط لو لم يكن الأقوى</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يبطل الصلاة في المغصوب إذا كان عالماً بالغصبية وكان مختاراً ، من غير فرق بين الفريضة 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الجاهل بالغصبية والمضطرّ والمحبوس بباطل والناسي</w:t>
      </w:r>
      <w:r>
        <w:rPr>
          <w:rStyle w:val="FootnoteAnchor"/>
          <w:rtl w:val="true"/>
        </w:rPr>
        <w:footnoteReference w:id="449"/>
      </w:r>
      <w:r>
        <w:rPr>
          <w:rFonts w:ascii="Amiri" w:hAnsi="Amiri" w:eastAsia="Amiri" w:cs="Amiri"/>
          <w:color w:val="111111"/>
          <w:sz w:val="28"/>
          <w:sz w:val="28"/>
          <w:szCs w:val="28"/>
          <w:rtl w:val="true"/>
          <w:lang w:bidi="ar-SA"/>
        </w:rPr>
        <w:t xml:space="preserve">فصلاتهم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 وصلاة المضطرّ كصلاة غيره بقيام وركوع وسجود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المغصوبة المجهول مالكها لا يجوز الصلاة فيها ويرجع أمرها إلى الحاكم الشرعي ، وكذا في الأرض المشتركة إلاّ بإذن جميع الشركاء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الصلاة تحت السقف المغصوب وفي الخيمة المغصوبة والصهوة والدار التي وقع غصب في بعض سورها إذا كان ما يقع فيه الصلاة مباحاً ، وإن كان الأحوط الاجتناب في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داراً بعين المال الذي تعلّق به الخمس أو الزكاة يشكل الصلاة فيها إلاّ إذا جعل الحقّ في ذمّته بوجه شرعي ولو بالمصالحة مع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يشكل تصرّفات الورثة من الصلاة وغيرها في تركة مورّثهم إذا كان عليه حقوق الناس كالمظالم أو الزكاة أو الخمس قبل أداء ما عليه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يشكل</w:t>
      </w:r>
      <w:r>
        <w:rPr>
          <w:rStyle w:val="FootnoteAnchor"/>
          <w:rtl w:val="true"/>
        </w:rPr>
        <w:footnoteReference w:id="450"/>
      </w:r>
      <w:r>
        <w:rPr>
          <w:rFonts w:ascii="Amiri" w:hAnsi="Amiri" w:eastAsia="Amiri" w:cs="Amiri"/>
          <w:color w:val="111111"/>
          <w:sz w:val="28"/>
          <w:sz w:val="28"/>
          <w:szCs w:val="28"/>
          <w:rtl w:val="true"/>
          <w:lang w:bidi="ar-SA"/>
        </w:rPr>
        <w:t xml:space="preserve">تصرّفاتهم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تركة الميّت إذا كان عليه دين مستغرق للتركة ، بل وغير المستغرق إلاّ مع رضا</w:t>
      </w:r>
      <w:r>
        <w:rPr>
          <w:rStyle w:val="FootnoteAnchor"/>
          <w:rtl w:val="true"/>
        </w:rPr>
        <w:footnoteReference w:id="451"/>
      </w:r>
      <w:r>
        <w:rPr>
          <w:rFonts w:ascii="Amiri" w:hAnsi="Amiri" w:eastAsia="Amiri" w:cs="Amiri"/>
          <w:color w:val="111111"/>
          <w:sz w:val="28"/>
          <w:sz w:val="28"/>
          <w:szCs w:val="28"/>
          <w:rtl w:val="true"/>
          <w:lang w:bidi="ar-SA"/>
        </w:rPr>
        <w:t xml:space="preserve">الديّان أو كون الورثة بانين على الأداء غير متسامحين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جواز التصرّف والصلاة في ملك الغير على إحراز رضائه وطيب نفسه وإن لم يأذن صريحاً ؛ بأن علم ذلك بالقرائن وشاهد الحال وظواهر تكشف عن رضاه كشفاً اطمئنانياً لا يعتنى باحتمال الخلاف ، وذلك كالمضائف المفتوحة الأبواب والحمّامات والخانات ونحو ذلك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الصلاة في الأراضي المتّسعة ، كالصحاري والمزارع والبساتين التي لم يبن عليها الحيطان ، بل وسائر التصرّفات اليسيرة ممّا جرت عليه السيرة ، كالاستطراقات العادية الغير المضرّة والجلوس والنوم فيها وغير </w:t>
      </w:r>
    </w:p>
    <w:p>
      <w:pPr>
        <w:pStyle w:val="BookText"/>
        <w:rPr/>
      </w:pPr>
      <w:r>
        <w:rPr>
          <w:rFonts w:ascii="Amiri" w:hAnsi="Amiri" w:eastAsia="Amiri" w:cs="Amiri"/>
          <w:color w:val="111111"/>
          <w:sz w:val="28"/>
          <w:sz w:val="28"/>
          <w:szCs w:val="28"/>
          <w:rtl w:val="true"/>
          <w:lang w:bidi="ar-SA"/>
        </w:rPr>
        <w:t xml:space="preserve">ذلك ، ولا يجب التفحّص عن ملاّكها ؛ من غير فرق بين كونهم كاملين أو قاصرين كالصغار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ظهور الكراهة والمنع عن ملاّكها ولو بوضع ما يمنع المارّة عن الدخول فيها يشكل</w:t>
      </w:r>
      <w:r>
        <w:rPr>
          <w:rStyle w:val="FootnoteAnchor"/>
          <w:rtl w:val="true"/>
        </w:rPr>
        <w:footnoteReference w:id="452"/>
      </w:r>
      <w:r>
        <w:rPr>
          <w:rFonts w:ascii="Amiri" w:hAnsi="Amiri" w:eastAsia="Amiri" w:cs="Amiri"/>
          <w:color w:val="111111"/>
          <w:sz w:val="28"/>
          <w:sz w:val="28"/>
          <w:szCs w:val="28"/>
          <w:rtl w:val="true"/>
          <w:lang w:bidi="ar-SA"/>
        </w:rPr>
        <w:t xml:space="preserve">جميع ما ذكر وأشباهها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بالمكان الذي تبطل الصلاة بغصبه ما استقرّ عليه المصلّي ولو بوسائط</w:t>
      </w:r>
      <w:r>
        <w:rPr>
          <w:rStyle w:val="FootnoteAnchor"/>
          <w:rtl w:val="true"/>
        </w:rPr>
        <w:footnoteReference w:id="453"/>
      </w:r>
      <w:r>
        <w:rPr>
          <w:rFonts w:ascii="Amiri" w:hAnsi="Amiri" w:eastAsia="Amiri" w:cs="Amiri"/>
          <w:color w:val="111111"/>
          <w:sz w:val="28"/>
          <w:sz w:val="28"/>
          <w:szCs w:val="28"/>
          <w:rtl w:val="true"/>
          <w:lang w:bidi="ar-SA"/>
        </w:rPr>
        <w:t xml:space="preserve">، أو ما شغله من الفضاء في قيامه وركوعه وسجوده ونحوها ، فقد يجتمعان وقد يفترقان ؛ ففي الصلاة في الأرض المغصوبة اجتمع الغصب من جهة المقرّ مع الغصب من جهة الفضاء ، وعلى الجناح المباح الخارج إلى الفضاء الغير المباح تحقّق الغصب من جهة الفضاء دون المقرّ ، وعلى الفراش المغصوب المطروح على أرض مباح تحقّق من جهة المقرّ دون الفضاء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صلاة كلّ من الرجل والمرأة مع المحاذاة أو تقدّم المرأة ، لكن على كراهية بالنسبة إليهما مع تقارنهما في الشروع في الصلاة ، وبالنسبة إلى المتأخّر منهما مع اختلافهما ، والأحوط لهما 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فعلا فالأحوط إعادتهما للصلاة مع التقارن وإعادة المتأخّر منهما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الحكم المذكور كراهة أو حرمة بين المحارم وغيرهم وبين كونهما بالغين أو غير بالغين أو مختلفين ، بل يعمّ الحكم الزوج والزوجة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وترتفع الكراهة أو الحرمة بوجود الحائل وبالبعد بينهما عشرة أذرع بذراع اليد وبتأخّر </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الحائل كونه بحيث يمنع المشاهدة ، كما أنّ الأحوط في التأخّر كون مسجدها وراء موقفه وإن لم يبعد كفاية مطلقهما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لا يتقدّم في الصلاة على قبر المعصوم ، بل ولا يساويه</w:t>
      </w:r>
      <w:r>
        <w:rPr>
          <w:rStyle w:val="FootnoteAnchor"/>
          <w:rtl w:val="true"/>
        </w:rPr>
        <w:footnoteReference w:id="45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الحكم بالبعد المفرط على وجه لا يصدق معه التقدّم والمحاذاة ويخرج عن صدق وحدة المكان ، وكذا بالحائل الرافع لسوء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ليس منه الشبّاك والصندوق الشريف وثوبه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الطهارة في مكان المصلّي إلاّ مع تعدّي النجاسة</w:t>
      </w:r>
      <w:r>
        <w:rPr>
          <w:rStyle w:val="FootnoteAnchor"/>
          <w:rtl w:val="true"/>
        </w:rPr>
        <w:footnoteReference w:id="455"/>
      </w:r>
      <w:r>
        <w:rPr>
          <w:rFonts w:ascii="Amiri" w:hAnsi="Amiri" w:eastAsia="Amiri" w:cs="Amiri"/>
          <w:color w:val="111111"/>
          <w:sz w:val="28"/>
          <w:sz w:val="28"/>
          <w:szCs w:val="28"/>
          <w:rtl w:val="true"/>
          <w:lang w:bidi="ar-SA"/>
        </w:rPr>
        <w:t xml:space="preserve">إلى الثوب أو البدن ، نعم تعتبر في خصوص مسجد الجبهة كما مرّ ، ويعتبر فيه أيضاً مع الاختيار كونه أرضاً أو نباتاً أو قرطاساً ، وأفضل الثلاثة التربة الحسينية التي تخرق الحجب السبع وتنوّر إلى 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السجود على ما خرج عن اسم الأرض من المعادن كالذهب والفضّة والقير ونحو ذلك ، وكذا ما خرج عن اسم النبات كالرماد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السجود على الخزف والآجر والنورة والجصّ المطبوخين وكذا الفحم تأمّل وإشكال</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الجصّ قبل الطبخ وطين الأرمني وحجر الرحى بل وبعض أصناف المرمر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 جواز السجود على النبات أن يكون من غير المأكول والملبوس ، فلا يجوز السجود على ما في أيدي الناس من المآكل والملابس كالمخبوز والمطبوخ والحبوب المعتاد أكلها من الحنطة والشعير ونحوهما والفواكه والبقول </w:t>
      </w:r>
    </w:p>
    <w:p>
      <w:pPr>
        <w:pStyle w:val="BookText"/>
        <w:rPr/>
      </w:pPr>
      <w:r>
        <w:rPr>
          <w:rFonts w:ascii="Amiri" w:hAnsi="Amiri" w:eastAsia="Amiri" w:cs="Amiri"/>
          <w:color w:val="111111"/>
          <w:sz w:val="28"/>
          <w:sz w:val="28"/>
          <w:szCs w:val="28"/>
          <w:rtl w:val="true"/>
          <w:lang w:bidi="ar-SA"/>
        </w:rPr>
        <w:t xml:space="preserve">المأكولة والثمرة المأكولة ولو قبل وصولها إلى زمان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Style w:val="FootnoteAnchor"/>
          <w:rtl w:val="true"/>
        </w:rPr>
        <w:footnoteReference w:id="458"/>
      </w:r>
      <w:r>
        <w:rPr>
          <w:rFonts w:ascii="Amiri" w:hAnsi="Amiri" w:eastAsia="Amiri" w:cs="Amiri"/>
          <w:color w:val="111111"/>
          <w:sz w:val="28"/>
          <w:sz w:val="28"/>
          <w:szCs w:val="28"/>
          <w:rtl w:val="true"/>
          <w:lang w:bidi="ar-SA"/>
        </w:rPr>
        <w:t xml:space="preserve">بالسجود على قشورها ونواها بعد انفصالهما عنها دون المتّصل بها ، كما أ نّه لا بأس بغير المأكول منها كالحنظل والخرنوب ونحوهما ، وكذا لا بأس بالتبن والقصيل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شرب التتن من جواز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السجود على نخالة الحنطة والشعير إشكال فلا يترك الاحتياط ، وكذا على قشر البطّيخ والرقّي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الجواز في قشر الأرز والرُمّان بعد 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الملبوس كالكلام في المأكول ، فلا يجوز على القطن والكتّان ولو قبل وصولهما استعداد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بالسجود على خشبهما وغيره كالورق والخوص ونحوهما ممّا لم يكن معدّاً لاتّخاذ الملابس المعتادة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حينئذٍ بالسجود على القبقاب والثوب المنسوج من الخوص مثلاً ، فضلاً عن البوريا والحصير والمروحة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السجود على القنّب وكذا على القرطاس</w:t>
      </w:r>
      <w:r>
        <w:rPr>
          <w:rStyle w:val="FootnoteAnchor"/>
          <w:rtl w:val="true"/>
        </w:rPr>
        <w:footnoteReference w:id="459"/>
      </w:r>
      <w:r>
        <w:rPr>
          <w:rFonts w:ascii="Amiri" w:hAnsi="Amiri" w:eastAsia="Amiri" w:cs="Amiri"/>
          <w:color w:val="111111"/>
          <w:sz w:val="28"/>
          <w:sz w:val="28"/>
          <w:szCs w:val="28"/>
          <w:rtl w:val="true"/>
          <w:lang w:bidi="ar-SA"/>
        </w:rPr>
        <w:t xml:space="preserve">المتّخذ من غير النبات كالمتّخذ من الحرير والإبريسم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فيما يسجد عليه مع الاختيار كونه بحيث يمكن تمكين الجبهة عليه ، فلا يجوز على الوحل الغير المتماسك ، بل ولا على التراب الذي لا يتمكّن الجبهة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إمكان التمكين على الطين لا بأس بالسجود عليه وإن لصق بجبهته ، لكن يجب إزالته للسجدة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w:t>
      </w:r>
    </w:p>
    <w:p>
      <w:pPr>
        <w:pStyle w:val="BookText"/>
        <w:rPr/>
      </w:pPr>
      <w:r>
        <w:rPr>
          <w:rFonts w:ascii="Amiri" w:hAnsi="Amiri" w:eastAsia="Amiri" w:cs="Amiri"/>
          <w:color w:val="111111"/>
          <w:sz w:val="28"/>
          <w:sz w:val="28"/>
          <w:szCs w:val="28"/>
          <w:rtl w:val="true"/>
          <w:lang w:bidi="ar-SA"/>
        </w:rPr>
        <w:t xml:space="preserve">عنده إلاّ الطين الغير المتماسك سجد عليه بالوضع من غير اعتماد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الأرض ذات الطين والوحل بحيث لو جلس للسجود والتشهّد يتلطّخ به بدنه وثيابه ولم يكن له مكان آخر جاز له الصلاة قائماً مومئاً للسجود ويتشهّد قائماً ، لكن الأحوط</w:t>
      </w:r>
      <w:r>
        <w:rPr>
          <w:rStyle w:val="FootnoteAnchor"/>
          <w:rtl w:val="true"/>
        </w:rPr>
        <w:footnoteReference w:id="460"/>
      </w:r>
      <w:r>
        <w:rPr>
          <w:rFonts w:ascii="Amiri" w:hAnsi="Amiri" w:eastAsia="Amiri" w:cs="Amiri"/>
          <w:color w:val="111111"/>
          <w:sz w:val="28"/>
          <w:sz w:val="28"/>
          <w:szCs w:val="28"/>
          <w:rtl w:val="true"/>
          <w:lang w:bidi="ar-SA"/>
        </w:rPr>
        <w:t xml:space="preserve">مع عدم الحرج الشديد الجلوس لهما وإن تلطّخ بدنه وثيابه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ما يصحّ السجود عليه ، أو كان ولم يتمكّن من السجود عليه لحرّ أو برد أو تقيّة أو غيرها سجد على ثوب القطن أو الكتّان ، وإن لم يكن</w:t>
      </w:r>
      <w:r>
        <w:rPr>
          <w:rStyle w:val="FootnoteAnchor"/>
          <w:rtl w:val="true"/>
        </w:rPr>
        <w:footnoteReference w:id="461"/>
      </w:r>
      <w:r>
        <w:rPr>
          <w:rFonts w:ascii="Amiri" w:hAnsi="Amiri" w:eastAsia="Amiri" w:cs="Amiri"/>
          <w:color w:val="111111"/>
          <w:sz w:val="28"/>
          <w:sz w:val="28"/>
          <w:szCs w:val="28"/>
          <w:rtl w:val="true"/>
          <w:lang w:bidi="ar-SA"/>
        </w:rPr>
        <w:t xml:space="preserve">سجد على ظهر كفّه ، وإن لم يتمكّن فعلى المعادن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ما يصحّ السجود عليه في أثناء الصلاة قطعها في سعة الوقت ، وفي الضيق يسجد على ثوبه القطن أو الكتّان ، ثمّ على ظهر الكفّ ، ثمّ على المعادن على الترتيب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المكان الذي يصلّي فيه الفريضة أن يكون قارّاً غير مضطرب ، فلو صلّى اختياراً في سفينة أو على سرير أو بيدر ، فإن فات الاستقرار المعتبر في الفريضة بطلت صلاته ، وإن حصل الاستقرار ؛ بحيث يصدق عليه أ نّه مستقرّ مطمئنّ صحّت صلاته وإن كانت في سفينة سائرة وشبهها كالكاري والشمندفر ونحوهما ، لكن يجب المحافظة على بقيّة ما يجب في الصلاة من </w:t>
      </w:r>
    </w:p>
    <w:p>
      <w:pPr>
        <w:pStyle w:val="BookText"/>
        <w:rPr/>
      </w:pPr>
      <w:r>
        <w:rPr>
          <w:rFonts w:ascii="Amiri" w:hAnsi="Amiri" w:eastAsia="Amiri" w:cs="Amiri"/>
          <w:color w:val="111111"/>
          <w:sz w:val="28"/>
          <w:sz w:val="28"/>
          <w:szCs w:val="28"/>
          <w:rtl w:val="true"/>
          <w:lang w:bidi="ar-SA"/>
        </w:rPr>
        <w:t xml:space="preserve">الاستقبال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الاختيار ، أمّا مع الاضطرار فلا بأس فيصلّي ماشياً وعلى الدابّة وفي السفينة الغير المستقرّة ، لكن مع مراعاة الاستقبال بما أمكنه من صلاته ، وينحرف إلى القبلة كلّما انحرفت الدابّة أو السفينة ، فإن لم يتمكّن من الاستقبال إلاّ في تكبيرة الإحرام اقتصر على ذلك ، وإن لم يتمكّن من الاستقبال أصلاً سقط لكن يجب عليه تحرّي الأقرب إلى القبلة فالأقرب ، وكذا بالنسبة إلى غير الاستقبال ممّا هو واجب في الصلاة ، فإنّه يأتي بما يتمكّن منه أو بدله ويسقط ما تقتضي الضرورة سقوطه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الصلاة في المساجد ، بل يكره عدم حضورها بغير عذر كالمطر ؛ خصوصاً لجار المسجد حتّى ورد 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وأفضلها مسجد الحرام فإنّ الصلاة فيه تعدل ألف ألف صلاة ، ثمّ مسجد النبي صلی الله علیه و آله وسلم تعدل الصلاة فيه عشرة آلاف ، ثمّ مسجد الكوفة والأقصى ، والصلاة فيهما تعدل ألف صلاة ، ثمّ المسجد الجامع وفيه تعدل مائة صلاة ، ثمّ مسجد القبيلة وفيه تعدل خمساً وعشرين ، ثمّ مسجد السوق وفيه تعدل اثنتي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للنساء الصلاة في بيوتهنّ ، والأفضل بيت المخدع ، وكذا يستحبّ الصلاة في مشاهد الأئمّة علیهم السلام ؛ خصوصاً مشهد علي علیه السلام وحائر الحسين علیه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تعطيل المسجد ، فإنّه أحد الثلاثة الذين يشكون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 والآخران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بين جهّال ، ومصحف معلّق قد وقع عليه الغبار لا يقرأ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مشى إلى مسجد من مساجد اللّه فله بكلّ خطوة خطاها حتّى يرجع إلى منزله عشر حسنات ، ومحي عنه </w:t>
      </w:r>
    </w:p>
    <w:p>
      <w:pPr>
        <w:pStyle w:val="BookText"/>
        <w:rPr/>
      </w:pPr>
      <w:r>
        <w:rPr>
          <w:rFonts w:ascii="Amiri" w:hAnsi="Amiri" w:eastAsia="Amiri" w:cs="Amiri"/>
          <w:color w:val="111111"/>
          <w:sz w:val="28"/>
          <w:sz w:val="28"/>
          <w:szCs w:val="28"/>
          <w:rtl w:val="true"/>
          <w:lang w:bidi="ar-SA"/>
        </w:rPr>
        <w:t>عشر سيّئات ، ورفع له عشر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المستحبّات الأكيدة بناء المسجد ، وفيه أجر عظيم وثواب جسيم ، فعن النبي </w:t>
      </w:r>
      <w:r>
        <w:rPr>
          <w:rFonts w:ascii="Amiri" w:hAnsi="Amiri" w:eastAsia="Amiri" w:cs="Amiri"/>
          <w:color w:val="111111"/>
          <w:sz w:val="28"/>
          <w:sz w:val="28"/>
          <w:szCs w:val="28"/>
          <w:lang w:bidi="ar-SA"/>
        </w:rPr>
        <w:t></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في الدنيا أعطاه اللّه لكلّ شبر منه مسيرة أربعين ألف عام مدينة من ذهب وفضّة ولؤلؤ وزبرجد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اعتبار إجراء صيغة الوقف في صيرورة الأرض مسجداً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وقفتها مسجداً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كفاية البناء بقصد كونه مسجداً مع صلاة شخص واحد فيه بإذن الباني ، فيجري عليه حكم المسجدية وإن لم تجرِ الصيغة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تكره الصلاة</w:t>
      </w:r>
      <w:r>
        <w:rPr>
          <w:rStyle w:val="FootnoteAnchor"/>
          <w:rtl w:val="true"/>
        </w:rPr>
        <w:footnoteReference w:id="464"/>
      </w:r>
      <w:r>
        <w:rPr>
          <w:rFonts w:ascii="Amiri" w:hAnsi="Amiri" w:eastAsia="Amiri" w:cs="Amiri"/>
          <w:color w:val="111111"/>
          <w:sz w:val="28"/>
          <w:sz w:val="28"/>
          <w:szCs w:val="28"/>
          <w:rtl w:val="true"/>
          <w:lang w:bidi="ar-SA"/>
        </w:rPr>
        <w:t xml:space="preserve">في الحمّام حتّى المسلخ منه ، وفي المزبلة والمجزرة والمكان المتّخذ للكنيف ولو سطحاً متّخذاً مبالاً ، وبيت المسكر ، وفي أعطان الإبل ، وفي مرابط الخيل والبغال والحمير والبقر ، ومرابض الغنم ، وفي الطرق إن لم تضرّ بالمارّة وإلاّ حرمت ، وفي قرى النمل ، وفي مجاري المياه وإن لم يتوقّع جريانها فيها فعلاً ، وفي الأرض السبخة ، وفي كلّ أرض نزل فيها عذاب ، وعلى الثلج ، وفي معابد النيران بل كلّ بيت اُعدّ لإضرام النار فيه ، وعلى القبر أو إلى القبر أو بين القبور ، وترتفع الكراهة في الأخير وسابقه بالحائل وببعد عشرة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بالصلاة خلف قبور الأئمّة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xml:space="preserve">ولا على يمينها وشمالها ، </w:t>
      </w:r>
      <w:bookmarkStart w:id="223" w:name="pg15003_159753"/>
    </w:p>
    <w:p>
      <w:pPr>
        <w:pStyle w:val="BookText"/>
        <w:rPr/>
      </w:pPr>
      <w:bookmarkEnd w:id="223"/>
      <w:r>
        <w:rPr>
          <w:rFonts w:ascii="Amiri" w:hAnsi="Amiri" w:eastAsia="Amiri" w:cs="Amiri"/>
          <w:color w:val="111111"/>
          <w:sz w:val="28"/>
          <w:sz w:val="28"/>
          <w:szCs w:val="28"/>
          <w:rtl w:val="true"/>
          <w:lang w:bidi="ar-SA"/>
        </w:rPr>
        <w:t xml:space="preserve">وإن كان الأولى الصلاة عند الرأس على وجه لا يساوي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تكره وبين يديه نار مضرمة أو سراج أو تمثال ذي الروح وتزول في الأخير بالتغطية ، وتكره وبين يديه مصحف أو كتاب مفتوح أو كان مقابله باب مفتوح أو حائط ينزّ من بالوعة يبال فيها ، وترتفع بستره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87733_3406789950"/>
      <w:bookmarkStart w:id="225" w:name="_Toc81"/>
      <w:bookmarkEnd w:id="224"/>
      <w:r>
        <w:rPr>
          <w:rtl w:val="true"/>
        </w:rPr>
        <w:t xml:space="preserve">المقدّمة الخامسة </w:t>
      </w:r>
      <w:r>
        <w:rPr>
          <w:rtl w:val="true"/>
        </w:rPr>
        <w:t xml:space="preserve">: </w:t>
      </w:r>
      <w:r>
        <w:rPr>
          <w:rtl w:val="true"/>
        </w:rPr>
        <w:t>في الأذان والإقامة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والإقامة لا إشكال في تأكّد رجحانهما للصلوات الخمس أداءً وقضاءً ، حضراً وسفراً ، في الصحّة والمرض ، للجامع والمنفرد ، للرجال والنساء ، حتّى قال بعض بوجوبهما ، وخصّه بعض بالصبح والمغرب وبعضهم بالجماعة ، والأقوى استحباب الأذان مطلقاً ، وأمّا الإقامة فلا يترك</w:t>
      </w:r>
      <w:r>
        <w:rPr>
          <w:rStyle w:val="FootnoteAnchor"/>
          <w:rtl w:val="true"/>
        </w:rPr>
        <w:footnoteReference w:id="465"/>
      </w:r>
      <w:r>
        <w:rPr>
          <w:rFonts w:ascii="Amiri" w:hAnsi="Amiri" w:eastAsia="Amiri" w:cs="Amiri"/>
          <w:color w:val="111111"/>
          <w:sz w:val="28"/>
          <w:sz w:val="28"/>
          <w:szCs w:val="28"/>
          <w:rtl w:val="true"/>
          <w:lang w:bidi="ar-SA"/>
        </w:rPr>
        <w:t xml:space="preserve">الاحتياط في الإتيان بها بالنسبة إلى الرجال في كلّ من الصلوات الخمس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في العصر والعشاء إذا جمع بينهما وبين الظهر والمغرب ؛ من غير فرق بين موارد استحباب الجمع ، مثل عصر يوم الجمعة وعصر يوم عرفة وعشاء ليلة العيد في المزدلفة ؛ حيث إنّه يستحبّ الجمع بين الصلاتين في هذه المواضع الثلاثة وبين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التفريق المقابل للجمع بطول الزمان بين الصلاتين وبفعل النافلة الموظّفة بينهما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فبإتيان نافلة العصر بين الظهرين ونافلة المغرب بين العشاءين يتحقّق التفريق الموجب لعدم سقوط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w:t>
      </w:r>
      <w:r>
        <w:rPr>
          <w:rStyle w:val="FootnoteAnchor"/>
          <w:rtl w:val="true"/>
        </w:rPr>
        <w:footnoteReference w:id="466"/>
      </w:r>
      <w:r>
        <w:rPr>
          <w:rFonts w:ascii="Amiri" w:hAnsi="Amiri" w:eastAsia="Amiri" w:cs="Amiri"/>
          <w:color w:val="111111"/>
          <w:sz w:val="28"/>
          <w:sz w:val="28"/>
          <w:szCs w:val="28"/>
          <w:rtl w:val="true"/>
          <w:lang w:bidi="ar-SA"/>
        </w:rPr>
        <w:t xml:space="preserve">أنّ سقوط الأذان في موارد الجمع عزيمة ؛ بمعنى </w:t>
      </w:r>
    </w:p>
    <w:p>
      <w:pPr>
        <w:pStyle w:val="BookText"/>
        <w:rPr/>
      </w:pPr>
      <w:r>
        <w:rPr>
          <w:rFonts w:ascii="Amiri" w:hAnsi="Amiri" w:eastAsia="Amiri" w:cs="Amiri"/>
          <w:color w:val="111111"/>
          <w:sz w:val="28"/>
          <w:sz w:val="28"/>
          <w:szCs w:val="28"/>
          <w:rtl w:val="true"/>
          <w:lang w:bidi="ar-SA"/>
        </w:rPr>
        <w:t xml:space="preserve">عدم المشروعية ، فيحرم إتيانه بقصدها خصوصاً في عصر يوم الجمعة إذا جمعت مع الظهر أو الجمعة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مع الإقامة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للداخل في الجماعة التي أذّنوا وأقاموا لها وإن لم يسمعهما ولم يكن حاضراً حينهما وكان مسبوقاً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 فيه جماعة لم تتفرّق ؛ سواء قصد الإتيان إليها أم لا ، وسواء صلّى جماعة إماماً أو مأموماً أو منفرداً ، فلو تفرّقت بمعنى سيلانها في الأزقّة أو أعرضوا عن الصلاة وتعقيبها وإن بقوا في مكانهم لم يسقطا عنه ، كما أ نّهما لا يسقطان لو كانت الجماعة السابقة بغير أذان وإقامة ولو كان تركهم لهما من جهة اكتفائهم بالسماع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كانت باطلة من جهة فسق الإمام مع علم المأمومين به أو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عدم اتّحاد مكان الصلاتين عرفاً ؛ بأن كانت إحداهما داخل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 على سطحه أو بعدت إحداهما عن الاُخرى كثيراً ، وهل يختصّ الحكم بالمسجد أو يجري في غيره أيضاً ؟ محلّ إشكال</w:t>
      </w:r>
      <w:r>
        <w:rPr>
          <w:rStyle w:val="FootnoteAnchor"/>
          <w:rtl w:val="true"/>
        </w:rPr>
        <w:footnoteReference w:id="467"/>
      </w:r>
      <w:r>
        <w:rPr>
          <w:rFonts w:ascii="Amiri" w:hAnsi="Amiri" w:eastAsia="Amiri" w:cs="Amiri"/>
          <w:color w:val="111111"/>
          <w:sz w:val="28"/>
          <w:sz w:val="28"/>
          <w:szCs w:val="28"/>
          <w:rtl w:val="true"/>
          <w:lang w:bidi="ar-SA"/>
        </w:rPr>
        <w:t xml:space="preserve">، وكذا الإشكال فيما إذا لم تكن صلاته مع صلاة الجماعة أدائيّتين ؛ بأن كانت إحداهما أو كلتاهما قضائية ؛ عن النفس أو الغير ، على وجه التبرّع أو الإجارة ، وكذا فيما إذا لم تشتركا في الوقت كما إذا كانت الجماعة السابقة عصراً وهو يريد أن يصلّي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الإتيان بهما في موارد الإشكال بعنوان الرجاء واحتمال المطلوبية </w:t>
      </w:r>
      <w:r>
        <w:rPr>
          <w:rFonts w:eastAsia="Amiri" w:cs="Amiri" w:ascii="Amiri" w:hAnsi="Amiri"/>
          <w:color w:val="111111"/>
          <w:sz w:val="28"/>
          <w:szCs w:val="28"/>
          <w:rtl w:val="true"/>
          <w:lang w:bidi="ar-SA"/>
        </w:rPr>
        <w:t xml:space="preserve">. </w:t>
      </w:r>
      <w:bookmarkStart w:id="226" w:name="pg15003_159755"/>
    </w:p>
    <w:p>
      <w:pPr>
        <w:pStyle w:val="Heading4"/>
        <w:numPr>
          <w:ilvl w:val="3"/>
          <w:numId w:val="1"/>
        </w:numPr>
        <w:rPr/>
      </w:pPr>
      <w:bookmarkStart w:id="227" w:name="__RefHeading___Toc487735_3406789950"/>
      <w:bookmarkStart w:id="228" w:name="_Toc82"/>
      <w:bookmarkEnd w:id="226"/>
      <w:bookmarkEnd w:id="227"/>
      <w:r>
        <w:rPr>
          <w:rtl w:val="true"/>
        </w:rPr>
        <w:t xml:space="preserve">المقدّمة السادسة </w:t>
      </w:r>
      <w:r>
        <w:rPr>
          <w:rtl w:val="true"/>
        </w:rPr>
        <w:t xml:space="preserve">: </w:t>
      </w:r>
      <w:r>
        <w:rPr>
          <w:rtl w:val="true"/>
        </w:rPr>
        <w:t>إحضار القلب في الصلاة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للمصلّي إحضار قلبه في تمام الصلاة في أقوالها وأفعالها ، فإنّه لا يحسب للعبد من صلاته إلاّ ما أقبل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الإقبال الالتفات التامّ إلى الصلاة وإلى ما يقول فيها والتوجّه الكامل نحو حضرة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واستشعار عظمته وجلال هيبته وتفريغ قلبه عمّا عداه ، فيرى نفسه متمثّلاً بين يدي ملك الملوك عظيم العظماء مخاطباً له مناجياً إيّاه ، فإذا استشعر إلى ذلك ووقع في قلبه هيبته يهابه ، ثمّ يرى نفسه مقصّراً في أداء حقّه ، فيخافه ، ثمّ يلاحظ سعة رحمته فيرجو ثوابه ، فيحصل له حالة بين الخوف والرجاء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صفة الكاملين ، ولها درجات شتّى ومراتب لا تحصى على حسب درجات المتعبّدين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 الخضوع والخشوع والسكينة والوقار والزيّ الحسن والطيب والسواك قبل الدخول فيها والتمشيط ، وينبغي أن يصلّي صلاة مودّع ؛ فيجدّد التوبة والإنابة والاستغفار ، وأن يقوم بين يدي ربّه قيام العبد الذليل بين يدي مولاه ، وأن يكون صادقاً في مقالته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هذا القول وهو عابد لهواه ومستعين بغير مولاه ، وينبغي له أيضاً أن يبذل جهده في التحذّر عن موانع القبول من العجب والحسد والكبر والغيبة وحبس الزكاة وسائر الحقوق الواجبة ، فإنّ ذلك كلّه من موانع قبول الصلاة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87737_3406789950"/>
      <w:bookmarkStart w:id="230" w:name="_Toc83"/>
      <w:bookmarkEnd w:id="229"/>
      <w:r>
        <w:rPr>
          <w:rtl w:val="true"/>
        </w:rPr>
        <w:t xml:space="preserve">فصل </w:t>
      </w:r>
      <w:r>
        <w:rPr>
          <w:rtl w:val="true"/>
        </w:rPr>
        <w:t xml:space="preserve">: </w:t>
      </w:r>
      <w:r>
        <w:rPr>
          <w:rtl w:val="true"/>
        </w:rPr>
        <w:t>في أفعال الصلاة</w:t>
      </w:r>
      <w:bookmarkEnd w:id="230"/>
    </w:p>
    <w:p>
      <w:pPr>
        <w:pStyle w:val="Heading4"/>
        <w:numPr>
          <w:ilvl w:val="3"/>
          <w:numId w:val="1"/>
        </w:numPr>
        <w:rPr/>
      </w:pPr>
      <w:bookmarkStart w:id="231" w:name="__RefHeading___Toc487739_3406789950"/>
      <w:bookmarkStart w:id="232" w:name="_Toc84"/>
      <w:bookmarkEnd w:id="231"/>
      <w:r>
        <w:rPr>
          <w:rtl w:val="true"/>
        </w:rPr>
        <w:t>اشارة</w:t>
      </w:r>
      <w:bookmarkEnd w:id="2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واجبة ومسنونة ، والواجب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وتكبيرة الإحرام ، والقيام ، والركوع ، والسجود ، والقراءة ، والذكر ، والتشهّد ، والتسليم ، والترتيب ، والموالاة ، </w:t>
      </w:r>
      <w:bookmarkStart w:id="233" w:name="pg15003_159756"/>
    </w:p>
    <w:p>
      <w:pPr>
        <w:pStyle w:val="BookText"/>
        <w:rPr/>
      </w:pPr>
      <w:bookmarkEnd w:id="233"/>
      <w:r>
        <w:rPr>
          <w:rFonts w:ascii="Amiri" w:hAnsi="Amiri" w:eastAsia="Amiri" w:cs="Amiri"/>
          <w:color w:val="111111"/>
          <w:sz w:val="28"/>
          <w:sz w:val="28"/>
          <w:szCs w:val="28"/>
          <w:rtl w:val="true"/>
          <w:lang w:bidi="ar-SA"/>
        </w:rPr>
        <w:t>والخمسة الاُولى أركان</w:t>
      </w:r>
      <w:r>
        <w:rPr>
          <w:rStyle w:val="FootnoteAnchor"/>
          <w:rtl w:val="true"/>
        </w:rPr>
        <w:footnoteReference w:id="468"/>
      </w:r>
      <w:r>
        <w:rPr>
          <w:rFonts w:ascii="Amiri" w:hAnsi="Amiri" w:eastAsia="Amiri" w:cs="Amiri"/>
          <w:color w:val="111111"/>
          <w:sz w:val="28"/>
          <w:sz w:val="28"/>
          <w:szCs w:val="28"/>
          <w:rtl w:val="true"/>
          <w:lang w:bidi="ar-SA"/>
        </w:rPr>
        <w:t xml:space="preserve">؛ بمعنى أ نّه تبطل الصلاة بزيادتها أو نقصانها عمداً وسهواً ، لكن لا يتصوّر الزيادة في النيّة بناءً على الداعي ، وبناءً على الإخطار غير قادحة ، وباقي الواجبات لا تبطل الصلاة بزيادتها أو نقصانها إلاّ مع العمد دون السهو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87741_3406789950"/>
      <w:bookmarkStart w:id="235" w:name="_Toc85"/>
      <w:bookmarkEnd w:id="234"/>
      <w:r>
        <w:rPr>
          <w:rtl w:val="true"/>
        </w:rPr>
        <w:t xml:space="preserve">القول </w:t>
      </w:r>
      <w:r>
        <w:rPr>
          <w:rtl w:val="true"/>
        </w:rPr>
        <w:t xml:space="preserve">: </w:t>
      </w:r>
      <w:r>
        <w:rPr>
          <w:rtl w:val="true"/>
        </w:rPr>
        <w:t>في النيّة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عبارة عن قصد الفعل قربة إلى اللّه تعالى وامتثالاً لأمره ، وذلك إمّا لأ نّه أهلٌ للعبادة وهو أعلاها</w:t>
      </w:r>
      <w:r>
        <w:rPr>
          <w:rStyle w:val="FootnoteAnchor"/>
          <w:rtl w:val="true"/>
        </w:rPr>
        <w:footnoteReference w:id="469"/>
      </w:r>
      <w:r>
        <w:rPr>
          <w:rFonts w:ascii="Amiri" w:hAnsi="Amiri" w:eastAsia="Amiri" w:cs="Amiri"/>
          <w:color w:val="111111"/>
          <w:sz w:val="28"/>
          <w:sz w:val="28"/>
          <w:szCs w:val="28"/>
          <w:rtl w:val="true"/>
          <w:lang w:bidi="ar-SA"/>
        </w:rPr>
        <w:t xml:space="preserve">أو جزاءً لشكر نعمته ، أو طلباً لرضاه ، أو خوفاً من سخطه ، أو رجاءً لثوابه ، وهذا أدناها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 النيّة اللفظ ؛ لأ نّها أمر قلبي ، كما لا يجب فيها الإخطار ، وهو الحديث الفكري والتصوّر القلبي ؛ بأن يرتّب في فكره وخزانة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بالصلاة الفلانية التي هي ذات أفعال وأقوال لغرض الامتثال شكراً للّه ، بل يكفي الداعي وهو الإرادة الإجمالية المؤثّرة في صدور الفعل المنبعثة عمّا في نفسه من الغايات على وجه يخرج به عن الساهي والغافل ويدخل فعله في فعل الفاعل المختار كسائر أفعاله الإرادية والاختيارية ، ويكون الباعث والمحرّك للعمل الامتثال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الإخلاص في النيّة ، فمتى ضمّ إليها ما ينافيه بطل ؛ خصوصاً الرياء ، فإنّه إذا دخل في النيّة على أيّ حال يكون مفسداً ؛ سواء كان في الابتداء أو في الأثناء في الأجزاء الواجبة ، وأمّا المندوبة ففي كون الرياء فيها </w:t>
      </w:r>
      <w:bookmarkStart w:id="236" w:name="pg15003_159757"/>
    </w:p>
    <w:p>
      <w:pPr>
        <w:pStyle w:val="BookText"/>
        <w:rPr/>
      </w:pPr>
      <w:bookmarkEnd w:id="236"/>
      <w:r>
        <w:rPr>
          <w:rFonts w:ascii="Amiri" w:hAnsi="Amiri" w:eastAsia="Amiri" w:cs="Amiri"/>
          <w:color w:val="111111"/>
          <w:sz w:val="28"/>
          <w:sz w:val="28"/>
          <w:szCs w:val="28"/>
          <w:rtl w:val="true"/>
          <w:lang w:bidi="ar-SA"/>
        </w:rPr>
        <w:t>مبطلاً للعمل تأمّل</w:t>
      </w:r>
      <w:r>
        <w:rPr>
          <w:rStyle w:val="FootnoteAnchor"/>
          <w:rtl w:val="true"/>
        </w:rPr>
        <w:footnoteReference w:id="470"/>
      </w:r>
      <w:r>
        <w:rPr>
          <w:rFonts w:ascii="Amiri" w:hAnsi="Amiri" w:eastAsia="Amiri" w:cs="Amiri"/>
          <w:color w:val="111111"/>
          <w:sz w:val="28"/>
          <w:sz w:val="28"/>
          <w:szCs w:val="28"/>
          <w:rtl w:val="true"/>
          <w:lang w:bidi="ar-SA"/>
        </w:rPr>
        <w:t xml:space="preserve">وإشكال ، وكذلك في الأوصاف ، ككون الصلاة في المسجد أو جماعة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الرياء المتأخّر وإن لم يكن مبطلاً كما لو أخبر بما فعله من طاعة رغبة في الأغراض الدنيوية من المدح والثناء والجاه والمال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87743_3406789950"/>
      <w:bookmarkStart w:id="238" w:name="_Toc86"/>
      <w:bookmarkEnd w:id="237"/>
      <w:r>
        <w:rPr>
          <w:rtl w:val="true"/>
        </w:rPr>
        <w:t>فائدة</w:t>
      </w:r>
      <w:bookmarkEnd w:id="238"/>
    </w:p>
    <w:p>
      <w:pPr>
        <w:pStyle w:val="BookText"/>
        <w:rPr/>
      </w:pPr>
      <w:r>
        <w:rPr>
          <w:rFonts w:ascii="IRNazanin" w:hAnsi="IRNazanin" w:eastAsia="IRNazanin"/>
          <w:color w:val="111111"/>
          <w:sz w:val="28"/>
          <w:sz w:val="28"/>
          <w:szCs w:val="28"/>
          <w:rtl w:val="true"/>
          <w:lang w:bidi="fa-IR"/>
        </w:rPr>
        <w:t xml:space="preserve">روي عن النبي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المرائي يوم القيامة ينادى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 يا فاجر يا غادر يا خاسر ضلّ سعيك وبطل أجرك ولا خلاق لك ، التمس الأجر ممّن كنت تعمل له يا مخادع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يعطي الدنيا بعمل الآخرة ولا يعطي الآخرة بعمل الدنيا ، فإذا أنت أخلصت النيّة وجرّدت الهمّة للآخرة حصلت لك الدنيا والآخرة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الرياء من الضمائم المباحة أو الراجحة إن كانت مقصودة تبعاً وكان الداعي والغرض الأصلي امتثال الأمر الصلاتي فلا إشكال ، وإن كان بالعكس بطلت بلا إشكال ، وكذا إذا كان كلّ منهما جزءاً للداعي بحيث لو لم ينضمّ كلّ منهما إلى الآخر لم يكن باعثاً ومحرّكاً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كلّ منهما داعياً مستقلاًّ فالأقوى الصحّة في الراجحة ، بل لا يبعد في المباحة وإن كان الأحوط</w:t>
      </w:r>
      <w:r>
        <w:rPr>
          <w:rStyle w:val="FootnoteAnchor"/>
          <w:rtl w:val="true"/>
        </w:rPr>
        <w:footnoteReference w:id="471"/>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صوته بالذكر أو القراءة لإعلام الغير لم يبطل بعد ما كان أصل إتيانهما بقصد الامتثال ، وكذلك لو أوقع صلاته في مكان أو زمان خاصّ </w:t>
      </w:r>
    </w:p>
    <w:p>
      <w:pPr>
        <w:pStyle w:val="BookText"/>
        <w:rPr/>
      </w:pPr>
      <w:r>
        <w:rPr>
          <w:rFonts w:ascii="Amiri" w:hAnsi="Amiri" w:eastAsia="Amiri" w:cs="Amiri"/>
          <w:color w:val="111111"/>
          <w:sz w:val="28"/>
          <w:sz w:val="28"/>
          <w:szCs w:val="28"/>
          <w:rtl w:val="true"/>
          <w:lang w:bidi="ar-SA"/>
        </w:rPr>
        <w:t xml:space="preserve">لغرض من الأغراض المباحة ؛ بحيث يكون أصل الإتيان بداعي الامتثال وكان الداعي على اختيار ذلك المكان أو الزمان ذلك الغرض كالبرودة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نوع الصلاة التي يأتي بها في القصد ولو إجمالاً ؛ بأن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اشتغلت به ذمّته إذا كان متّحداً أو ما اشتغلت به ذمّته أوّلاً من الصلاتين أو ثانياً إذا كان متعدّداً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قصد الأداء والقضاء بعد قصد العنوان الذي يتّصف بصفتي القضاء والأداء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كالظهرية والعصرية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الإجمال ، فلو نوى الإتيان بصلاة الظهر الواجبة عليه فعلاً ولم يشتغل ذمّته بالقضاء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اشتغلت ذمّته بالقضاء أيضاً لا يكفي ذلك بل لا بدّ من تعيين ما يأتي به وأ نّه فرض لذلك اليوم أو غيره ، ولو كان من قصده امتثال الأمر المتعلّق به فعلاً وتخيّل أنّ الوقت باقٍ وهو أمر أدائي فبان انقضاء الوقت وأ نّه كان قضائياً صحّت صلاته ووقعت قضاءً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نيّة القصر والإتمام في موضع تعيّنهما ، بل وفي أماكن التخيير أيضاً ، فلو شرع في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الترديد والبناء على أ نّه بعد التشهّد الأوّل إمّا يسلّم على الركعتين أو يلحق بهما الأخيرتين صحّت ، بل لو عيّن</w:t>
      </w:r>
      <w:r>
        <w:rPr>
          <w:rStyle w:val="FootnoteAnchor"/>
          <w:rtl w:val="true"/>
        </w:rPr>
        <w:footnoteReference w:id="472"/>
      </w:r>
      <w:r>
        <w:rPr>
          <w:rFonts w:ascii="Amiri" w:hAnsi="Amiri" w:eastAsia="Amiri" w:cs="Amiri"/>
          <w:color w:val="111111"/>
          <w:sz w:val="28"/>
          <w:sz w:val="28"/>
          <w:szCs w:val="28"/>
          <w:rtl w:val="true"/>
          <w:lang w:bidi="ar-SA"/>
        </w:rPr>
        <w:t xml:space="preserve">أحدهما في النيّة لم يلتزم به على الأظهر وكان له العدول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عليه ذلك فيما لو نوى القصر فشكّ بين الاثنتين والثلاث بعد إكمال السجدتين ، فإنّه يعدل إلى التمام ويعالج صلاته عن الفساد ، وإن كان في تعيّن ذلك عليه بل في كون العلاج مجدياً نظر وإشكال ، والأحوط العدول والعلاج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قصد الوجوب والندب بل يكفي قصد القربة المطلقة وإن كان الأحوط قصدهما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حين النيّة تصوّر الصلاة تفصيلاً بل يكفي 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في أثناء الصلاة قطعها أو الإتيان بالقاطع</w:t>
      </w:r>
      <w:r>
        <w:rPr>
          <w:rStyle w:val="FootnoteAnchor"/>
          <w:rtl w:val="true"/>
        </w:rPr>
        <w:footnoteReference w:id="473"/>
      </w:r>
      <w:r>
        <w:rPr>
          <w:rFonts w:ascii="Amiri" w:hAnsi="Amiri" w:eastAsia="Amiri" w:cs="Amiri"/>
          <w:color w:val="111111"/>
          <w:sz w:val="28"/>
          <w:sz w:val="28"/>
          <w:szCs w:val="28"/>
          <w:rtl w:val="true"/>
          <w:lang w:bidi="ar-SA"/>
        </w:rPr>
        <w:t xml:space="preserve">فإن أتمّ صلاته على تلك الحال بطلت ، وكذا لو أتى ببعض الأجزاء ثمّ عاد إلى النيّة الاُولى واكتفى بما أتى به ، وأمّا لو عاد إلى النيّة الاُولى قبل أن يأتي بشيء لم يبطل وإن كان الأحوط الإتمام ثمّ الإعادة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فيما بيده أ نّه عيّنها ظهراً أو عصراً ويدري أ نّه لم يأت بالظهر قبل ذلك ، ينويها ظهراً</w:t>
      </w:r>
      <w:r>
        <w:rPr>
          <w:rStyle w:val="FootnoteAnchor"/>
          <w:rtl w:val="true"/>
        </w:rPr>
        <w:footnoteReference w:id="474"/>
      </w:r>
      <w:r>
        <w:rPr>
          <w:rFonts w:ascii="Amiri" w:hAnsi="Amiri" w:eastAsia="Amiri" w:cs="Amiri"/>
          <w:color w:val="111111"/>
          <w:sz w:val="28"/>
          <w:sz w:val="28"/>
          <w:szCs w:val="28"/>
          <w:rtl w:val="true"/>
          <w:lang w:bidi="ar-SA"/>
        </w:rPr>
        <w:t xml:space="preserve">، وأمّا إن أتى بالظهر قبل ذلك يرفع اليد عنها </w:t>
      </w:r>
    </w:p>
    <w:p>
      <w:pPr>
        <w:pStyle w:val="BookText"/>
        <w:rPr/>
      </w:pPr>
      <w:r>
        <w:rPr>
          <w:rFonts w:ascii="Amiri" w:hAnsi="Amiri" w:eastAsia="Amiri" w:cs="Amiri"/>
          <w:color w:val="111111"/>
          <w:sz w:val="28"/>
          <w:sz w:val="28"/>
          <w:szCs w:val="28"/>
          <w:rtl w:val="true"/>
          <w:lang w:bidi="ar-SA"/>
        </w:rPr>
        <w:t xml:space="preserve">ويستأنف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رأى نفسه في صلاة العصر وشكّ في أ نّه من أوّل الأمر نواها أو نوى الظهر ، بنى على أ نّه من أوّل الأمر نواها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صلاة إلى اُخرى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الصلاتين المؤدّاتين المرتّبتين كالظهرين والعشاءين إذا دخل في الثانية قبل الاُولى سهواً أو نسياناً ؛ فإنّه يجب أن يعدل إليها إذا تذكّر في الأثناء ولم يتجاوز محلّ العدول ، بخلاف ما إذا تذكّر بعد الفراغ أو بعد تجاوز محلّ العدول ، كما إذا دخل في ركوع الركعة الرابعة من العشاء فتذكّر ترك المغرب فلا عدول ، بل يصحّ</w:t>
      </w:r>
      <w:r>
        <w:rPr>
          <w:rStyle w:val="FootnoteAnchor"/>
          <w:rtl w:val="true"/>
        </w:rPr>
        <w:footnoteReference w:id="475"/>
      </w:r>
      <w:r>
        <w:rPr>
          <w:rFonts w:ascii="Amiri" w:hAnsi="Amiri" w:eastAsia="Amiri" w:cs="Amiri"/>
          <w:color w:val="111111"/>
          <w:sz w:val="28"/>
          <w:sz w:val="28"/>
          <w:szCs w:val="28"/>
          <w:rtl w:val="true"/>
          <w:lang w:bidi="ar-SA"/>
        </w:rPr>
        <w:t xml:space="preserve">اللاحقة فيأتي بعد بالسابقة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الصلاتين المؤدّاتين الصلاتان المقضيّتان المرتّبتان</w:t>
      </w:r>
      <w:r>
        <w:rPr>
          <w:rStyle w:val="FootnoteAnchor"/>
          <w:rtl w:val="true"/>
        </w:rPr>
        <w:footnoteReference w:id="476"/>
      </w:r>
      <w:r>
        <w:rPr>
          <w:rFonts w:ascii="Amiri" w:hAnsi="Amiri" w:eastAsia="Amiri" w:cs="Amiri"/>
          <w:color w:val="111111"/>
          <w:sz w:val="28"/>
          <w:sz w:val="28"/>
          <w:szCs w:val="28"/>
          <w:rtl w:val="true"/>
          <w:lang w:bidi="ar-SA"/>
        </w:rPr>
        <w:t xml:space="preserve">، كما إذا فات الظهران أو العشاءان من يوم واحد فشرع في قضائهما مقدّماً للثانية على الاُولى فتذكّر في الأثناء عدل إليها إذا بقي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الحاضرة فذكر أنّ عليه قضاءً ، فإنّه يستحبّ</w:t>
      </w:r>
      <w:r>
        <w:rPr>
          <w:rStyle w:val="FootnoteAnchor"/>
          <w:rtl w:val="true"/>
        </w:rPr>
        <w:footnoteReference w:id="477"/>
      </w:r>
      <w:r>
        <w:rPr>
          <w:rFonts w:ascii="Amiri" w:hAnsi="Amiri" w:eastAsia="Amiri" w:cs="Amiri"/>
          <w:color w:val="111111"/>
          <w:sz w:val="28"/>
          <w:sz w:val="28"/>
          <w:szCs w:val="28"/>
          <w:rtl w:val="true"/>
          <w:lang w:bidi="ar-SA"/>
        </w:rPr>
        <w:t xml:space="preserve">أن يعدل إليه مع بقاء المحلّ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 وذلك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يوم الجمعة لمن نسي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سورة اُخرى وبلغ النصف أو 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متشاغلاً بالصلاة واُقيمت الجماعة </w:t>
      </w:r>
      <w:bookmarkStart w:id="239" w:name="pg15003_159761"/>
    </w:p>
    <w:p>
      <w:pPr>
        <w:pStyle w:val="BookText"/>
        <w:rPr/>
      </w:pPr>
      <w:bookmarkEnd w:id="239"/>
      <w:r>
        <w:rPr>
          <w:rFonts w:ascii="Amiri" w:hAnsi="Amiri" w:eastAsia="Amiri" w:cs="Amiri"/>
          <w:color w:val="111111"/>
          <w:sz w:val="28"/>
          <w:sz w:val="28"/>
          <w:szCs w:val="28"/>
          <w:rtl w:val="true"/>
          <w:lang w:bidi="ar-SA"/>
        </w:rPr>
        <w:t xml:space="preserve">وخاف السبق فيجوز له العدول إلى النافلة وإتمامها ركعتين ليلحق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النفل إلى الفرض ، ولا من النفل إلى النفل حتّى فيما كان منه كالفرائض في التوقيت والسبق واللحوق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العدول من الفائتة إلى الحاضرة ، فلو دخل في فائتة ثمّ ذكر في أثنائها أنّ الحاضرة قد ضاق وقتها قطعها وشرع في الحاضرة ، ولا يجوز العدول عنها إليها ، وكذا لا يجوز العدول في الحاضرتين المرتّبتين من السابقة إلى اللاحقة ، بخلاف العكس كما مرّ ، فلو دخل في الظهر بتخيّل عدم إتيانها فبان في الأثناء إتيانها ، لم يجز له العدول إلى العصر ، وإذا عدل في موضع لا يجوز العدول بطلتا معاً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في ركعتين من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الركعتين الثانيتين فتبيّن أ نّه لم يصلّ الأوّلتين ، صحّت وحسبت له الأوّلتان قهراً ، وليس هذا من باب العدول ولا يحتاج إليه ؛ حيث إنّ الأوّلية والثانوية لا يعتبر فيهما القصد ، بل المدار على ما هو الواقع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87745_3406789950"/>
      <w:bookmarkStart w:id="241" w:name="_Toc87"/>
      <w:bookmarkEnd w:id="240"/>
      <w:r>
        <w:rPr>
          <w:rtl w:val="true"/>
        </w:rPr>
        <w:t xml:space="preserve">القول </w:t>
      </w:r>
      <w:r>
        <w:rPr>
          <w:rtl w:val="true"/>
        </w:rPr>
        <w:t xml:space="preserve">: </w:t>
      </w:r>
      <w:r>
        <w:rPr>
          <w:rtl w:val="true"/>
        </w:rPr>
        <w:t>في تكبيرة الإحرام</w:t>
      </w:r>
      <w:bookmarkEnd w:id="2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تكبيرة الافتتاح أيضاً ،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تغيير ، ولا يجزي مرادفها من العربية ولا ترجمتها بغير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بنقصانها عمداً وسهواً وكذا بزيادتها ، فإذا كبّر للافتتاح ثمّ زاد ثانية للافتتاح أيضاً عمداً أو سهواً بطلت الصلاة واحتاج إلى ثالثة فإن أبطلها </w:t>
      </w:r>
    </w:p>
    <w:p>
      <w:pPr>
        <w:pStyle w:val="BookText"/>
        <w:rPr/>
      </w:pPr>
      <w:r>
        <w:rPr>
          <w:rFonts w:ascii="Amiri" w:hAnsi="Amiri" w:eastAsia="Amiri" w:cs="Amiri"/>
          <w:color w:val="111111"/>
          <w:sz w:val="28"/>
          <w:sz w:val="28"/>
          <w:szCs w:val="28"/>
          <w:rtl w:val="true"/>
          <w:lang w:bidi="ar-SA"/>
        </w:rPr>
        <w:t xml:space="preserve">برابعة احتاج إلى خامسة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فيها القيام التامّ فلو تركه عمداً أو سهواً بطلت ، بل لا بدّ من تقديمه عليها مقدّمة ؛ من غير فرق في ذلك بين المأموم الذي أدرك الإمام راكعاً وغيره ، بل ينبغي التربّص في الجملة حتّى يعلم وقوع التكبير تامّاً قائماً ، والأحوط كون الاستقرار في القيام كالقيام في البطلان بتركه حال التكبير عمداً وسهواً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وصلها</w:t>
      </w:r>
      <w:r>
        <w:rPr>
          <w:rStyle w:val="FootnoteAnchor"/>
          <w:rtl w:val="true"/>
        </w:rPr>
        <w:footnoteReference w:id="480"/>
      </w:r>
      <w:r>
        <w:rPr>
          <w:rFonts w:ascii="Amiri" w:hAnsi="Amiri" w:eastAsia="Amiri" w:cs="Amiri"/>
          <w:color w:val="111111"/>
          <w:sz w:val="28"/>
          <w:sz w:val="28"/>
          <w:szCs w:val="28"/>
          <w:rtl w:val="true"/>
          <w:lang w:bidi="ar-SA"/>
        </w:rPr>
        <w:t xml:space="preserve">بما قبلها من الدعاء فيحذف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وصلها بما بعدها من الاستعاذة أو البسملة ، فيظهر إعراب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الأحوط عدم الوصل خصوصاً في الأوّل ، كما أنّ الأحوط تفخيم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جواز تركه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زيادة ستّ تكبيرات على تكبيرة الإحرام قبلها أو بعدها أو بالتوزيع ، والأحوط الأوّل ، فيجعل الافتتاح الأخيرة ، والأفضل أن يأتي بالثلاث ولاءً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 لا إله إلاّ أنت ، سبحانك إنّي ظلمت نفسي فاغفر لي ذنبي ،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يأتي باثنتين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 والشرّ ليس إليك والمهديّ من هديت ، لا ملجأ منك إلاّ إليك ، سبحانك وحنانيك ، تباركت وتعاليت ،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يأتي باثنتين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السماوات والأرض ، عالم الغيب والشهادة ، حنيفاً مسلماً وما أنا من المشركين ، إنّ صلاتي ونسكي ومحياي ومماتي للّه ربّ العالمين ، لا شريك له ، </w:t>
      </w:r>
      <w:bookmarkStart w:id="242" w:name="pg15003_159763"/>
    </w:p>
    <w:p>
      <w:pPr>
        <w:pStyle w:val="BookText"/>
        <w:rPr/>
      </w:pPr>
      <w:bookmarkEnd w:id="242"/>
      <w:r>
        <w:rPr>
          <w:rFonts w:ascii="Amiri" w:hAnsi="Amiri" w:eastAsia="Amiri" w:cs="Amiri"/>
          <w:color w:val="111111"/>
          <w:sz w:val="28"/>
          <w:sz w:val="28"/>
          <w:szCs w:val="28"/>
          <w:rtl w:val="true"/>
          <w:lang w:bidi="ar-SA"/>
        </w:rPr>
        <w:t>وبذلك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يشرع في الاستعاذة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للإمام الجهر بتكبيرة الإحرام بحيث يسمع من خلفه والإسرار بالستّ الباقية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رفع اليدين عند التكبير إلى الاُذنين أو إلى حيال وجهه مبتدئاً بالتكبير بابتداء الرفع ومنتهياً بانتهائه ، والأولى أن لا يتجاوز الاُذنين وأن يضمّ أصابع الكفّين ويستقبل بباطنهما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كبّر ثمّ شكّ</w:t>
      </w:r>
      <w:r>
        <w:rPr>
          <w:rStyle w:val="FootnoteAnchor"/>
          <w:rtl w:val="true"/>
        </w:rPr>
        <w:footnoteReference w:id="481"/>
      </w:r>
      <w:r>
        <w:rPr>
          <w:rFonts w:ascii="Amiri" w:hAnsi="Amiri" w:eastAsia="Amiri" w:cs="Amiri"/>
          <w:color w:val="111111"/>
          <w:sz w:val="28"/>
          <w:sz w:val="28"/>
          <w:szCs w:val="28"/>
          <w:rtl w:val="true"/>
          <w:lang w:bidi="ar-SA"/>
        </w:rPr>
        <w:t xml:space="preserve">في كونه تكبيرة الإحرام أو الركوع بنى على الأوّل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87747_3406789950"/>
      <w:bookmarkStart w:id="244" w:name="_Toc88"/>
      <w:bookmarkEnd w:id="243"/>
      <w:r>
        <w:rPr>
          <w:rtl w:val="true"/>
        </w:rPr>
        <w:t xml:space="preserve">القول </w:t>
      </w:r>
      <w:r>
        <w:rPr>
          <w:rtl w:val="true"/>
        </w:rPr>
        <w:t xml:space="preserve">: </w:t>
      </w:r>
      <w:r>
        <w:rPr>
          <w:rtl w:val="true"/>
        </w:rPr>
        <w:t>في القيام</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ركن في تكبيرة الإحرام التي تقارنها النيّة ، وفي الركوع ، وهو الذي يقع الركوع عنه ، وهو المعبّر عنه بالقيام المتّصل بالركوع ؛ فمن أخلّ به في هاتين الصورتين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كبّر للافتتاح وهو جالس ، أو سها وصلّى ركعة تامّة من جلوس ، أو ذكر حال الركوع وقام منحنياً بركوعه ، أو ذكر قبل تمام الركوع وقام متقوّساً وغير منتصب ولو ساهياً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في غير هاتين الصورتين واجب ليس بركن لا تبطل الصلاة بنقصانه إلاّ عن عمد دون السهو كالقيام حال القراءة ، فمن سها وقرأ جالساً ثمّ ذكر وقام فصلاته صحيحة ، وكذا الزيادة كما لو قام ساهياً في محلّ القعود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مع الإمكان الاعتدال في القيام والانتصاب بحسب حال </w:t>
      </w:r>
    </w:p>
    <w:p>
      <w:pPr>
        <w:pStyle w:val="BookText"/>
        <w:rPr/>
      </w:pPr>
      <w:r>
        <w:rPr>
          <w:rFonts w:ascii="Amiri" w:hAnsi="Amiri" w:eastAsia="Amiri" w:cs="Amiri"/>
          <w:color w:val="111111"/>
          <w:sz w:val="28"/>
          <w:sz w:val="28"/>
          <w:szCs w:val="28"/>
          <w:rtl w:val="true"/>
          <w:lang w:bidi="ar-SA"/>
        </w:rPr>
        <w:t xml:space="preserve">المصلّي ، فلو انحنى أو مال إلى أحد الجانبين بطل ، بل الأحوط الأولى نصب العنق ، وإن كان الأقوى جواز إطراق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الاستناد إلى شيء حال القيام مع الاختيار ، نعم لا بأس به مع الاضطرار ، فيستند حينئذٍ على إنسان أو جدار أو خشبة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القعود مستقلاًّ مع التمكّن من القيام مستنداً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القيام عدم التفريج الفاحش بين الرجلين بحيث يخرج عن صدق القيام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التسوية بين الرجلين في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الوقوف على القدمين</w:t>
      </w:r>
      <w:r>
        <w:rPr>
          <w:rStyle w:val="FootnoteAnchor"/>
          <w:rtl w:val="true"/>
        </w:rPr>
        <w:footnoteReference w:id="483"/>
      </w:r>
      <w:r>
        <w:rPr>
          <w:rFonts w:ascii="Amiri" w:hAnsi="Amiri" w:eastAsia="Amiri" w:cs="Amiri"/>
          <w:color w:val="111111"/>
          <w:sz w:val="28"/>
          <w:sz w:val="28"/>
          <w:szCs w:val="28"/>
          <w:rtl w:val="true"/>
          <w:lang w:bidi="ar-SA"/>
        </w:rPr>
        <w:t xml:space="preserve">لا على قدم واحدة ولا على الأصابع ولا على أصل القدمين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القيام أصلاً ولو مستنداً أو منحنياً أو متفرّجاً ، وبالجملة لم يقدر على جميع أنواع القيام حتّى الاضطراري منه بجميع أنحائه ، صلّى من جلوس ، وكان الانتصاب جالساً كالانتصاب قائماً ، فلا يجوز فيه الاستناد والتمايل مع التمكّن من الاستقلال والانتصاب ، ويجوز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 الجلوس أصلاً صلّى مضطجعاً على الجانب الأيمن كالمدفون ، فإن تعذّر منه فعلى الأيسر عكس الأوّل ، فإن تعذّر صلّى مستلقياً كالمحتضر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تمكّن من القيام ولم يتمكّن من الركوع قائماً صلّى قائماً ثمّ جلس وركع جالساً ، وإن لم يتمكّن من الركوع والسجود أصلاً</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جالساً </w:t>
      </w:r>
      <w:r>
        <w:rPr>
          <w:rFonts w:eastAsia="Amiri" w:cs="Amiri" w:ascii="Amiri" w:hAnsi="Amiri"/>
          <w:color w:val="111111"/>
          <w:sz w:val="28"/>
          <w:szCs w:val="28"/>
          <w:rtl w:val="true"/>
          <w:lang w:bidi="ar-SA"/>
        </w:rPr>
        <w:t xml:space="preserve">- </w:t>
      </w:r>
      <w:bookmarkStart w:id="245" w:name="pg15003_159765"/>
    </w:p>
    <w:p>
      <w:pPr>
        <w:pStyle w:val="BookText"/>
        <w:rPr/>
      </w:pPr>
      <w:bookmarkEnd w:id="245"/>
      <w:r>
        <w:rPr>
          <w:rFonts w:ascii="Amiri" w:hAnsi="Amiri" w:eastAsia="Amiri" w:cs="Amiri"/>
          <w:color w:val="111111"/>
          <w:sz w:val="28"/>
          <w:sz w:val="28"/>
          <w:szCs w:val="28"/>
          <w:rtl w:val="true"/>
          <w:lang w:bidi="ar-SA"/>
        </w:rPr>
        <w:t xml:space="preserve">صلّى قائماً وأومأ للركوع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فيما إذا تمكّن من الجلوس أن يكون إيماؤه للسجود جالساً ، بل الأحوط وضع ما يصحّ السجود عليه على جبهته إن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 على القيام في بعض الركعات دون الجميع وجب أن يقوم إلى أن يحسّ من نفسه العجز فيجلس ، ثمّ إذا أحسّ من نفسه القدرة على القيام قام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الاستقرار في القيام وغيره من أفعال الفريضة كالركوع والسجود والقعود ؛ فمن تعذّر عليه الاستقرار وكان متمكّناً من الوقوف مضطرباً قدّمه على القعود مستقرّاً ، وكذا الركوع والذكر ورفع الرأس فيأتي بكلّ منها مضطرباً ، ولا ينتقل إلى الجلوس وإن حصل به الاستقرار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87749_3406789950"/>
      <w:bookmarkStart w:id="247" w:name="_Toc89"/>
      <w:bookmarkEnd w:id="246"/>
      <w:r>
        <w:rPr>
          <w:rtl w:val="true"/>
        </w:rPr>
        <w:t xml:space="preserve">القول </w:t>
      </w:r>
      <w:r>
        <w:rPr>
          <w:rtl w:val="true"/>
        </w:rPr>
        <w:t xml:space="preserve">: </w:t>
      </w:r>
      <w:r>
        <w:rPr>
          <w:rtl w:val="true"/>
        </w:rPr>
        <w:t>في القراءة والذكر</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الركعة الاُولى والثانية من الفرائض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كاملة عقيبها ، وله ترك السورة في بعض الأحوال ، بل قد يجب</w:t>
      </w:r>
      <w:r>
        <w:rPr>
          <w:rStyle w:val="FootnoteAnchor"/>
          <w:rtl w:val="true"/>
        </w:rPr>
        <w:footnoteReference w:id="485"/>
      </w:r>
      <w:r>
        <w:rPr>
          <w:rFonts w:ascii="Amiri" w:hAnsi="Amiri" w:eastAsia="Amiri" w:cs="Amiri"/>
          <w:color w:val="111111"/>
          <w:sz w:val="28"/>
          <w:sz w:val="28"/>
          <w:szCs w:val="28"/>
          <w:rtl w:val="true"/>
          <w:lang w:bidi="ar-SA"/>
        </w:rPr>
        <w:t xml:space="preserve">مع ضيق الوقت والخوف ونحوهما من أفراد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استأنف الصلاة ، ولو قدّمها سهواً وذكر قبل الركوع فإن لم يكن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أعادها بعد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قرأها بعدها أعادها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النوافل كالفرائض ؛ بمعنى كونها شرطاً في صحّتها ، وأمّا السورة فلا يجب في شيء منها وإن وجبت بالعارض بالنذر </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النوافل التي وردت في كيفيتها سور خاصّة يعتبر في الإتيان بتلك النافلة تلك السورة ، إلاّ إذا علم أنّ إتيانها بتلك السورة شرط لكمالها لا لأصل مشروعيتها وصحّتها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قراءة أزيد من سورة واحدة في ركعة في الفريضة لكن على كراهية ، بخلاف النافلة فلا كراهة فيها ، وإن كان الأحوط تركها في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قراءة ما يفوت الوقت بقراءته من السور الطوال ، فإن فعله عامداً بطلت صلاته على إشكال ، وإن كان سهواً عدل إلى غيرها مع سعة الوقت ، وإن ذكر بعد الفراغ منها وقد فات الوقت أتمّ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قراءة إحدى سور العزائم في الفريضة على إشكال</w:t>
      </w:r>
      <w:r>
        <w:rPr>
          <w:rStyle w:val="FootnoteAnchor"/>
          <w:rtl w:val="true"/>
        </w:rPr>
        <w:footnoteReference w:id="486"/>
      </w:r>
      <w:r>
        <w:rPr>
          <w:rFonts w:ascii="Amiri" w:hAnsi="Amiri" w:eastAsia="Amiri" w:cs="Amiri"/>
          <w:color w:val="111111"/>
          <w:sz w:val="28"/>
          <w:sz w:val="28"/>
          <w:szCs w:val="28"/>
          <w:rtl w:val="true"/>
          <w:lang w:bidi="ar-SA"/>
        </w:rPr>
        <w:t>ولو قرأها نسياناً إلى أن وصل إلى آية السجدة أو استمعها وهو في الصلاة فالأحوط</w:t>
      </w:r>
      <w:r>
        <w:rPr>
          <w:rStyle w:val="FootnoteAnchor"/>
          <w:rtl w:val="true"/>
        </w:rPr>
        <w:footnoteReference w:id="487"/>
      </w:r>
      <w:r>
        <w:rPr>
          <w:rFonts w:ascii="Amiri" w:hAnsi="Amiri" w:eastAsia="Amiri" w:cs="Amiri"/>
          <w:color w:val="111111"/>
          <w:sz w:val="28"/>
          <w:sz w:val="28"/>
          <w:szCs w:val="28"/>
          <w:rtl w:val="true"/>
          <w:lang w:bidi="ar-SA"/>
        </w:rPr>
        <w:t xml:space="preserve">أن يومئ إلى السجدة وهو في الصلاة ثمّ يسجد بعد الفراغ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البسملة جزء من كلّ سورة فيجب قراءتها عدا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يجزي واحدة منها ، بل لا بدّ من الجمع مرتّباً مع البسملة الواقعة في البين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تعيين السورة عند الشروع في البسملة على الأحوط</w:t>
      </w:r>
      <w:r>
        <w:rPr>
          <w:rStyle w:val="FootnoteAnchor"/>
          <w:rtl w:val="true"/>
        </w:rPr>
        <w:footnoteReference w:id="4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عيّن سورة ثمّ عدل إلى غيرها يجب إعادة البسملة للمعدول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عيّن سورة عند البسملة ثمّ نسيها ولم يدر ما عيّن أعاد البسملة مع تعيين سورة معيّنة ، ولو كان بانياً من أوّل الصلاة أن يقرأ سورة معيّنة فنسي وقرأ غيرها أو كانت عادته قراءة سورة فقرأ غيرها كفى ولم يجب إعادة 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اختياراً من سورة إلى غيرها ما لم يبلغ النصف ،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العدول منهما إلى غيرهما ولا من إحداهما إلى الاُخرى بمجرّد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العدول منهما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في ظهر يوم الجمعة</w:t>
      </w:r>
      <w:r>
        <w:rPr>
          <w:rStyle w:val="FootnoteAnchor"/>
          <w:rtl w:val="true"/>
        </w:rPr>
        <w:footnoteReference w:id="490"/>
      </w:r>
      <w:r>
        <w:rPr>
          <w:rFonts w:ascii="Amiri" w:hAnsi="Amiri" w:eastAsia="Amiri" w:cs="Amiri"/>
          <w:color w:val="111111"/>
          <w:sz w:val="28"/>
          <w:sz w:val="28"/>
          <w:szCs w:val="28"/>
          <w:rtl w:val="true"/>
          <w:lang w:bidi="ar-SA"/>
        </w:rPr>
        <w:t xml:space="preserve">ما لم يبلغ النصف إذا شرع فيهما نسياناً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الإخفات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 والعصر ، ويجب على الرجال الجهر بها في الصبح واُوليي المغرب والعشاء ، فمن عكس عامداً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ويعذر الناسي</w:t>
      </w:r>
      <w:r>
        <w:rPr>
          <w:rStyle w:val="FootnoteAnchor"/>
          <w:rtl w:val="true"/>
        </w:rPr>
        <w:footnoteReference w:id="491"/>
      </w:r>
      <w:r>
        <w:rPr>
          <w:rFonts w:ascii="Amiri" w:hAnsi="Amiri" w:eastAsia="Amiri" w:cs="Amiri"/>
          <w:color w:val="111111"/>
          <w:sz w:val="28"/>
          <w:sz w:val="28"/>
          <w:szCs w:val="28"/>
          <w:rtl w:val="true"/>
          <w:lang w:bidi="ar-SA"/>
        </w:rPr>
        <w:t xml:space="preserve">والجاهل بالحكم من أصله الغير المتنبّه للسؤال ، بل لا يعيدان ما وقع منهما من القراءة بعد ارتفاع العذر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العالم به في الجملة إلاّ أ نّه جهل محلّه أو نساه ، والجاهل بأصل الحكم المتنبّه للسؤال عنه ولم يسأل فالأحوط لهما الاستئناف ، وإن كان الأقوى الصحّة مع حصول نيّة القربة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جهر على النساء بل يتخيّرن بينه وبين الإخفات مع عدم الأجنبيّ ، أمّا الإخفات فيجب عليهنّ فيما يجب على الرجال ويُعذرن فيما يُعذرون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للرجال الجهر بالبسملة في الظهرين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والسورة ، كما أ نّه يستحبّ له الجهر بالقراءة في ظهر</w:t>
      </w:r>
      <w:r>
        <w:rPr>
          <w:rStyle w:val="FootnoteAnchor"/>
          <w:rtl w:val="true"/>
        </w:rPr>
        <w:footnoteReference w:id="492"/>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 الجهر والإخفات ظهور جوهر الصوت وعدمه لا سماع من بجانبه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الإفراط في الجهر كالصياح ، كما أ نّه لا يجوز في الإخفات بحيث لا يسمع نفسه مع عدم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القراءة الصحيحة ، فلو صلّى وقد أخلّ عامداً بحرف أو حركة أو تشديد أو نحو ذلك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السورة يجب عليه تعلّمهما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صحّة القراءة على أداء الحروف من مخارجها على نحو يعدّه أهل اللسان مؤدّياً للحرف الفلاني دون حرف آخر ، ومراعاة حركات البنية ، وما له دخل في هيئة الكلمة والحركات والسكنات الإعرابية والبنائية على وفق ما ضبطه علماء العربية ، وحذف همزة</w:t>
      </w:r>
      <w:r>
        <w:rPr>
          <w:rStyle w:val="FootnoteAnchor"/>
          <w:rtl w:val="true"/>
        </w:rPr>
        <w:footnoteReference w:id="493"/>
      </w:r>
      <w:r>
        <w:rPr>
          <w:rFonts w:ascii="Amiri" w:hAnsi="Amiri" w:eastAsia="Amiri" w:cs="Amiri"/>
          <w:color w:val="111111"/>
          <w:sz w:val="28"/>
          <w:sz w:val="28"/>
          <w:szCs w:val="28"/>
          <w:rtl w:val="true"/>
          <w:lang w:bidi="ar-SA"/>
        </w:rPr>
        <w:t xml:space="preserve">الوصل في الدرج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همزة القطع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يلزم مراعاة تدقيقات علماء التجويد في تعيين مخارج الحروف ؛ فضلاً عمّا يرجع إلى صفاتها من الشدّة والرخاوة والاستعلاء والاستفال والتفخيم والترقيق وغير ذلك ولا الإدغام الكبير</w:t>
      </w:r>
      <w:r>
        <w:rPr>
          <w:rStyle w:val="FootnoteAnchor"/>
          <w:rtl w:val="true"/>
        </w:rPr>
        <w:footnoteReference w:id="494"/>
      </w:r>
      <w:r>
        <w:rPr>
          <w:rFonts w:ascii="Amiri" w:hAnsi="Amiri" w:eastAsia="Amiri" w:cs="Amiri"/>
          <w:color w:val="111111"/>
          <w:sz w:val="28"/>
          <w:sz w:val="28"/>
          <w:szCs w:val="28"/>
          <w:rtl w:val="true"/>
          <w:lang w:bidi="ar-SA"/>
        </w:rPr>
        <w:t xml:space="preserve">؛ وهو إدراج الحرف المتحرّك بعد إسكانه في حرف مماثل له مع كونهما في كلمتين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الميم في </w:t>
      </w:r>
    </w:p>
    <w:p>
      <w:pPr>
        <w:pStyle w:val="BookText"/>
        <w:rPr/>
      </w:pPr>
      <w:r>
        <w:rPr>
          <w:rFonts w:ascii="Amiri" w:hAnsi="Amiri" w:eastAsia="Amiri" w:cs="Amiri"/>
          <w:color w:val="111111"/>
          <w:sz w:val="28"/>
          <w:sz w:val="28"/>
          <w:szCs w:val="28"/>
          <w:rtl w:val="true"/>
          <w:lang w:bidi="ar-SA"/>
        </w:rPr>
        <w:t xml:space="preserve">الميم أو مقارب له ولو في كلمة واحدة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القاف في الكاف والحاء في العين ، بل ولا بعض أقسام الإدغام الصغير كإدراج الساكن الأصلي فيما يقاربه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النون في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مراعاة المدّ اللازم وهو ما كان حرف المدّ وسبباه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الهمزة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واحدة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ترك الوقف على المتحرّك والوصل مع السكون وإدغام التنوين والنون الساكنة في حروف يرملون وإن كان المترجّح في النظر عدم لزوم شيء ممّا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495"/>
      </w:r>
      <w:r>
        <w:rPr>
          <w:rFonts w:ascii="Amiri" w:hAnsi="Amiri" w:eastAsia="Amiri" w:cs="Amiri"/>
          <w:color w:val="111111"/>
          <w:sz w:val="28"/>
          <w:sz w:val="28"/>
          <w:szCs w:val="28"/>
          <w:rtl w:val="true"/>
          <w:lang w:bidi="ar-SA"/>
        </w:rPr>
        <w:t xml:space="preserve">القراءة بإحدى القراءات السبع ، وإن كان الأقوى عدم وجوبها وكفاية القراءة على النهج العربي ، وإن خالفهم في حركة بنية أو إعراب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الثاني أرجح</w:t>
      </w:r>
      <w:r>
        <w:rPr>
          <w:rStyle w:val="FootnoteAnchor"/>
          <w:rtl w:val="true"/>
        </w:rPr>
        <w:footnoteReference w:id="496"/>
      </w:r>
      <w:r>
        <w:rPr>
          <w:rFonts w:ascii="Amiri" w:hAnsi="Amiri" w:eastAsia="Amiri" w:cs="Amiri"/>
          <w:color w:val="111111"/>
          <w:sz w:val="28"/>
          <w:sz w:val="28"/>
          <w:szCs w:val="28"/>
          <w:rtl w:val="true"/>
          <w:lang w:bidi="ar-SA"/>
        </w:rPr>
        <w:t xml:space="preserve">، وكذا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بالصاد والسين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أربعة بضمّ الفاء أو سكونه مع الهمزة أو الواو ، والأرجح أن يقرأ بالهمزة مع ضمّ الفاء ، وأدونها بالواو مع إسكان الفاء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يقدر إلاّ على الملحون أو تبديل بعض الحروف ولا يستطيع أن يتعلّم أجزأه ذلك ، ولا يجب عليه الائتمام وإن كان أحوط ، </w:t>
      </w:r>
    </w:p>
    <w:p>
      <w:pPr>
        <w:pStyle w:val="BookText"/>
        <w:rPr/>
      </w:pPr>
      <w:r>
        <w:rPr>
          <w:rFonts w:ascii="Amiri" w:hAnsi="Amiri" w:eastAsia="Amiri" w:cs="Amiri"/>
          <w:color w:val="111111"/>
          <w:sz w:val="28"/>
          <w:sz w:val="28"/>
          <w:szCs w:val="28"/>
          <w:rtl w:val="true"/>
          <w:lang w:bidi="ar-SA"/>
        </w:rPr>
        <w:t>بخلاف من كان قادراً على التصحيح والتعلّم ولم يتعلّم فإنّه يجب عليه</w:t>
      </w:r>
      <w:r>
        <w:rPr>
          <w:rStyle w:val="FootnoteAnchor"/>
          <w:rtl w:val="true"/>
        </w:rPr>
        <w:footnoteReference w:id="497"/>
      </w:r>
      <w:r>
        <w:rPr>
          <w:rFonts w:ascii="Amiri" w:hAnsi="Amiri" w:eastAsia="Amiri" w:cs="Amiri"/>
          <w:color w:val="111111"/>
          <w:sz w:val="28"/>
          <w:sz w:val="28"/>
          <w:szCs w:val="28"/>
          <w:rtl w:val="true"/>
          <w:lang w:bidi="ar-SA"/>
        </w:rPr>
        <w:t xml:space="preserve">الائتمام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فيما عدا الركعتين الاُوليين من فرائضه بين الذكر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والأفضل الذكر</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المحافظة على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أن يقول ذلك مرّة واحدة ، والأحوط التكرار ثلاثاً ، فتكون اثني عشر تسبيحة ، والأولى إضافة الاستغفار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الإخفات في الذكر وفي القراءة حتّى البسملة على الأحوط إذا اختار الإتيان بها بدل الذكر ، ولا يجب اتّفاق الركعتين الأخيرتين في القراءة والذكر ، بل له القراءة في إحداهما والذكر في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لسانه إلى القراءة فالأحوط</w:t>
      </w:r>
      <w:r>
        <w:rPr>
          <w:rStyle w:val="FootnoteAnchor"/>
          <w:rtl w:val="true"/>
        </w:rPr>
        <w:footnoteReference w:id="499"/>
      </w:r>
      <w:r>
        <w:rPr>
          <w:rFonts w:ascii="Amiri" w:hAnsi="Amiri" w:eastAsia="Amiri" w:cs="Amiri"/>
          <w:color w:val="111111"/>
          <w:sz w:val="28"/>
          <w:sz w:val="28"/>
          <w:szCs w:val="28"/>
          <w:rtl w:val="true"/>
          <w:lang w:bidi="ar-SA"/>
        </w:rPr>
        <w:t xml:space="preserve">عدم الاجتزاء به ، أمّا لو فعل ذلك غافلاً من غير قصد إلى أحدهما اجتزأ به وإن كان من عادته خلافه ، بل وإن كان عازماً من أوّل الصلاة على غيره ، والأحوط استئناف غيره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أ نّه في الاُوليين فتبيّن كونه في الأخيرتين يجتزئ به ، كالعكس بأن قرأها بتخيّل أ نّه في الأخيرتين فتبيّن كونه في الاُوليين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يزيد على ثلاث تسبيحات إلاّ بقصد الذكر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في صلاة الصبح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الظهر والعشاء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والمغرب ، وقراءة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في الظهر والعصر من يوم الجمعة ، وكذا في صبح يوم الجمعة ، أو يقرأ فيها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 وكذا في العشاء</w:t>
      </w:r>
      <w:r>
        <w:rPr>
          <w:rStyle w:val="FootnoteAnchor"/>
          <w:rtl w:val="true"/>
        </w:rPr>
        <w:footnoteReference w:id="500"/>
      </w:r>
      <w:r>
        <w:rPr>
          <w:rFonts w:ascii="Amiri" w:hAnsi="Amiri" w:eastAsia="Amiri" w:cs="Amiri"/>
          <w:color w:val="111111"/>
          <w:sz w:val="28"/>
          <w:sz w:val="28"/>
          <w:szCs w:val="28"/>
          <w:rtl w:val="true"/>
          <w:lang w:bidi="ar-SA"/>
        </w:rPr>
        <w:t xml:space="preserve">في ليلة الجمعة يقرأ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كما أ نّه يستحبّ في كلّ صلاة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يجب الاستقرار حال القراءة والأذكار ، فلو أراد حالهما التقدّم أو التأخّر أو الانحناء لغرض من الأغراض يجب أن يسكت حال الحركة ، لكن لا يضرّ مثل تحريك اليد أو أصابع الرجلين وإن كان الترك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تحرّك حال القراءة قهراً فالأحوط إعادة ما قرأه في تلك الحالة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صحّة قراءة آية أو كلمة يجب إعادتها إذا لم يتجاوز ، ويجوز بقصد الاحتياط مع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ثانياً أو ثالثاً لا بأس بتكرارها ما لم يكن عن وسوسة فلا يعتني بالشكّ </w:t>
      </w:r>
      <w:r>
        <w:rPr>
          <w:rFonts w:eastAsia="Amiri" w:cs="Amiri" w:ascii="Amiri" w:hAnsi="Amiri"/>
          <w:color w:val="111111"/>
          <w:sz w:val="28"/>
          <w:szCs w:val="28"/>
          <w:rtl w:val="true"/>
          <w:lang w:bidi="ar-SA"/>
        </w:rPr>
        <w:t xml:space="preserve">. </w:t>
      </w:r>
      <w:bookmarkStart w:id="248" w:name="pg15003_159772"/>
    </w:p>
    <w:p>
      <w:pPr>
        <w:pStyle w:val="Heading4"/>
        <w:numPr>
          <w:ilvl w:val="3"/>
          <w:numId w:val="1"/>
        </w:numPr>
        <w:rPr/>
      </w:pPr>
      <w:bookmarkStart w:id="249" w:name="__RefHeading___Toc487751_3406789950"/>
      <w:bookmarkStart w:id="250" w:name="_Toc90"/>
      <w:bookmarkEnd w:id="248"/>
      <w:bookmarkEnd w:id="249"/>
      <w:r>
        <w:rPr>
          <w:rtl w:val="true"/>
        </w:rPr>
        <w:t xml:space="preserve">القول </w:t>
      </w:r>
      <w:r>
        <w:rPr>
          <w:rtl w:val="true"/>
        </w:rPr>
        <w:t xml:space="preserve">: </w:t>
      </w:r>
      <w:r>
        <w:rPr>
          <w:rtl w:val="true"/>
        </w:rPr>
        <w:t>في الركوع</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كلّ ركعة من الفرائض اليومية ركوع واحد ، وهو ركن تبطل الصلاة بزيادته ونقصانه عمداً وسهواً إلاّ في الجماعة</w:t>
      </w:r>
      <w:r>
        <w:rPr>
          <w:rStyle w:val="FootnoteAnchor"/>
          <w:rtl w:val="true"/>
        </w:rPr>
        <w:footnoteReference w:id="501"/>
      </w:r>
      <w:r>
        <w:rPr>
          <w:rFonts w:ascii="Amiri" w:hAnsi="Amiri" w:eastAsia="Amiri" w:cs="Amiri"/>
          <w:color w:val="111111"/>
          <w:sz w:val="28"/>
          <w:sz w:val="28"/>
          <w:szCs w:val="28"/>
          <w:rtl w:val="true"/>
          <w:lang w:bidi="ar-SA"/>
        </w:rPr>
        <w:t xml:space="preserve">للمتابعة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الانحناء المتعارف بحيث تصل اليد إلى الركبة ، والأحوط وصول الراحة إليها فلا يكفي مسمّى الانحناء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يتمكّن من الانحناء المزبور اعتمد ، فإن لم يتمكّن ولو بالاعتماد أتى بالممكن منه ، ولا ينتقل إلى الجلوس وإن تمكّن من الركوع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يتمكّن من الانحناء أصلاً انتقل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صلاة اُخرى بالإيماء قائماً ، فإن لم يتمكّن من الركوع جالساً أجزأ الإيماء حينئذٍ فيومئ برأسه قائماً ، فإن لم يتمكّن غمض عينيه للركوع وفتحهما للرفع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وركوع الجالس بالانحناء الذي يحصل به مسمّاه عرفاً</w:t>
      </w:r>
      <w:r>
        <w:rPr>
          <w:rStyle w:val="FootnoteAnchor"/>
          <w:rtl w:val="true"/>
        </w:rPr>
        <w:footnoteReference w:id="502"/>
      </w:r>
      <w:r>
        <w:rPr>
          <w:rFonts w:ascii="Amiri" w:hAnsi="Amiri" w:eastAsia="Amiri" w:cs="Amiri"/>
          <w:color w:val="111111"/>
          <w:sz w:val="28"/>
          <w:sz w:val="28"/>
          <w:szCs w:val="28"/>
          <w:rtl w:val="true"/>
          <w:lang w:bidi="ar-SA"/>
        </w:rPr>
        <w:t xml:space="preserve">ويتحقّق بانحنائه بحيث يساوي وجهه ركبتيه ، والأفضل له الزيادة على ذلك بحيث يحاذي مسجده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الانحناء أن يكون بقصد الركوع ، فلو انحنى بقصد وضع شيء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جعله ركوعاً ، بل لا بدّ من القيام ثمّ الانحناء للركوع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كالراكع خلقةً أو لعارض إن تمكّن من الانتصاب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بالاعتماد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القيام الواجب ليركع عنه وجب ، وإن لم يتمكّن من الانتصاب التامّ فالانتصاب في الجملة وما هو أقرب إلى القيام ليركع عنه ، وإن لم يتمكّن أصلاً وجب أن ينحني أزيد من المقدار الحاصل إذا لم يخرج بذلك عن حدّ الركوع ، وإن لم يتمكّن من ذلك بأن لم يقدر على زيادة الانحناء أو كان انحناؤه بالغاً أقصى مراتب الركوع بحيث لو زيد خرج عن حدّه نوى الركوع بانحنائه ، والأحوط</w:t>
      </w:r>
      <w:r>
        <w:rPr>
          <w:rStyle w:val="FootnoteAnchor"/>
          <w:rtl w:val="true"/>
        </w:rPr>
        <w:footnoteReference w:id="503"/>
      </w:r>
      <w:r>
        <w:rPr>
          <w:rFonts w:ascii="Amiri" w:hAnsi="Amiri" w:eastAsia="Amiri" w:cs="Amiri"/>
          <w:color w:val="111111"/>
          <w:sz w:val="28"/>
          <w:sz w:val="28"/>
          <w:szCs w:val="28"/>
          <w:rtl w:val="true"/>
          <w:lang w:bidi="ar-SA"/>
        </w:rPr>
        <w:t xml:space="preserve">أن يومئ برأسه إليه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الركوع فهوى إلى السجود وتذكّر قبل وضع جبهته على الأرض رجع إلى القيام ثمّ ركع ، ولا يكفي أن يقوم منحنياً إلى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تذكّر بعد الدخول في السجدة الاُولى أو بعد رفع الرأس منها فالأحوط العود إلى الركوع كما مرّ وإتمام الصلاة ثمّ إعادتها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انحنى بقصد الركوع فلمّا وصل إلى حدّه نسي وهوى إلى السجود ، فإن تذكّر قبل أن يخرج عن حدّه بقي على تلك الحال مطمئنّاً وأتى بالذكر ، وإن تذكّر بعد خروجه عن حدّه ، ففي وجوب العود إلى حدّه والإتيان بالذكر مطمئنّاً ، أو العود إلى القيام واستئناف الركوع عن قيام ، أو القيام بقصد الرفع عن الركوع ثمّ الهويّ إلى السجود وجوه</w:t>
      </w:r>
      <w:r>
        <w:rPr>
          <w:rStyle w:val="FootnoteAnchor"/>
          <w:rtl w:val="true"/>
        </w:rPr>
        <w:footnoteReference w:id="504"/>
      </w:r>
      <w:r>
        <w:rPr>
          <w:rFonts w:ascii="Amiri" w:hAnsi="Amiri" w:eastAsia="Amiri" w:cs="Amiri"/>
          <w:color w:val="111111"/>
          <w:sz w:val="28"/>
          <w:sz w:val="28"/>
          <w:szCs w:val="28"/>
          <w:rtl w:val="true"/>
          <w:lang w:bidi="ar-SA"/>
        </w:rPr>
        <w:t xml:space="preserve">، لا يخلو أوّلها عن رجحان ، لكنّ الأحوط العود ثمّ إعادة الصلاة بعد الإتمام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الذكر في الركوع ، والأحوط لزوماً</w:t>
      </w:r>
      <w:r>
        <w:rPr>
          <w:rStyle w:val="FootnoteAnchor"/>
          <w:rtl w:val="true"/>
        </w:rPr>
        <w:footnoteReference w:id="505"/>
      </w:r>
      <w:r>
        <w:rPr>
          <w:rFonts w:ascii="Amiri" w:hAnsi="Amiri" w:eastAsia="Amiri" w:cs="Amiri"/>
          <w:color w:val="111111"/>
          <w:sz w:val="28"/>
          <w:sz w:val="28"/>
          <w:szCs w:val="28"/>
          <w:rtl w:val="true"/>
          <w:lang w:bidi="ar-SA"/>
        </w:rPr>
        <w:t xml:space="preserve">التسبيح مخيّراً بين الثلاث من الصغرى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التسبيحة الكبرى التامّة المجزية عن التثليث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الأولى اختيار الأخيرة ، وأحوط منه تكريرها 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الطمأنينة حال الذكر الواجب ، فإن تركها عمداً بطلت صلاته بخلاف السهو وإن كان الأحوط الاستئناف 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شرع في الذكر الواجب عامداً قبل الوصول إلى حدّ الراكع ، أو بعده قبل الطمأنينة ، أو أتمّه حال الرفع قبل الخروج عن اسمه أو بعده ، لم يجز الذكر المزبور قطعاً ، فهل تبطل</w:t>
      </w:r>
      <w:r>
        <w:rPr>
          <w:rStyle w:val="FootnoteAnchor"/>
          <w:rtl w:val="true"/>
        </w:rPr>
        <w:footnoteReference w:id="506"/>
      </w:r>
      <w:r>
        <w:rPr>
          <w:rFonts w:ascii="Amiri" w:hAnsi="Amiri" w:eastAsia="Amiri" w:cs="Amiri"/>
          <w:color w:val="111111"/>
          <w:sz w:val="28"/>
          <w:sz w:val="28"/>
          <w:szCs w:val="28"/>
          <w:rtl w:val="true"/>
          <w:lang w:bidi="ar-SA"/>
        </w:rPr>
        <w:t xml:space="preserve">صلاته وإن أتى بذكر جديد أم لا ؟ وجهان ، والأحوط إتمامها ثمّ استئنافها ، بل الأحوط له ذلك في الذكر المندوب أيضاً لو جاء به كذلك بقصد الخصوصية وإلاّ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من الطمأنينة لمرض أو غيره سقطت ، لكن يجب عليه إكمال الذكر الواجب قبل الخروج من مسمّى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رفع الرأس منه حتّى ينتصب قائماً مطمئنّاً فيه ، فلو سجد قبل ذلك عامداً بطلت صلاته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التكبير للركوع وهو قائم منتصب ، والأحوط عدم تركه ، ورفع اليدين حال التكبير ، ووضع الكفّين مفرّجات الأصابع على </w:t>
      </w:r>
      <w:bookmarkStart w:id="251" w:name="pg15003_159775"/>
    </w:p>
    <w:p>
      <w:pPr>
        <w:pStyle w:val="BookText"/>
        <w:rPr/>
      </w:pPr>
      <w:bookmarkEnd w:id="251"/>
      <w:r>
        <w:rPr>
          <w:rFonts w:ascii="Amiri" w:hAnsi="Amiri" w:eastAsia="Amiri" w:cs="Amiri"/>
          <w:color w:val="111111"/>
          <w:sz w:val="28"/>
          <w:sz w:val="28"/>
          <w:szCs w:val="28"/>
          <w:rtl w:val="true"/>
          <w:lang w:bidi="ar-SA"/>
        </w:rPr>
        <w:t xml:space="preserve">الركبتين حال الركوع ، والأحوط عدم تركه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ردّ الركبتين إلى الخلف وتسوية الظهر ومدّ العنق والتجنيح بالمرفقين ، وأن تضع المرأة يديها على فخذيها فوق الركبتين ، واختيار التسبيحة الكبرى وتكرارها ثلاثاً أو خمساً أو سبعاً بل أزيد ، ورفع اليدين للانتصاب من الركوع ، وأن يقول بعد الانتصاب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يكبّر للسجود ويرفع يديه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يطأطئ رأسه حال الركوع ، وأن يضمّ يديه إلى جنبيه ، وأن يدخل يديه بين ركبتيه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87753_3406789950"/>
      <w:bookmarkStart w:id="253" w:name="_Toc91"/>
      <w:bookmarkEnd w:id="252"/>
      <w:r>
        <w:rPr>
          <w:rtl w:val="true"/>
        </w:rPr>
        <w:t xml:space="preserve">القول </w:t>
      </w:r>
      <w:r>
        <w:rPr>
          <w:rtl w:val="true"/>
        </w:rPr>
        <w:t xml:space="preserve">: </w:t>
      </w:r>
      <w:r>
        <w:rPr>
          <w:rtl w:val="true"/>
        </w:rPr>
        <w:t>في السجود</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كلّ ركعة سجدتان ، وهما معاً ركن تبطل الصلاة بزيادتهما معاً في الركعة الواحدة ونقصانهما كذلك عمداً أو سهواً ، فلو أخلّ بواحدة زيادة أو نقصاناً سهواً فلا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الانحناء ووضع الجبهة على وجه يتحقّق به مسمّاه ، وعلى هذا مدار الركنية والزيادة العمدية والسهوية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السجود اُمور اُخر لا مدخلية لها في ذلك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ستّة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والركبتين والإبهامين ، ويجب الباطن في الكفّين ، والأحوط الاستيعاب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الاختيار ، وأمّا مع الضرورة فيجزي مسمّى الباطن ، ولو لم يقدر إلاّ على ضمّ أصابعه إلى كفّه والسجود عليها يجتزئ به ، ومع تعذّر ذلك كلّه يجزي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إمكانه أيضاً لكونه مقطوع الكفّ أو لغير ذلك ينتقل إلى الأقرب فالأقرب من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والركبتان يجب صدق مسمّى السجود على ظاهرهما وإن لم يستوعبه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الإبهامان فالأحوط مراعاة طرفيهما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الاستيعاب في الجبهة بل يكفي صدق السجود على </w:t>
      </w:r>
    </w:p>
    <w:p>
      <w:pPr>
        <w:pStyle w:val="BookText"/>
        <w:rPr/>
      </w:pPr>
      <w:r>
        <w:rPr>
          <w:rFonts w:ascii="Amiri" w:hAnsi="Amiri" w:eastAsia="Amiri" w:cs="Amiri"/>
          <w:color w:val="111111"/>
          <w:sz w:val="28"/>
          <w:sz w:val="28"/>
          <w:szCs w:val="28"/>
          <w:rtl w:val="true"/>
          <w:lang w:bidi="ar-SA"/>
        </w:rPr>
        <w:t>مسمّاها ، ويتحقّق بمقدار الدرهم</w:t>
      </w:r>
      <w:r>
        <w:rPr>
          <w:rStyle w:val="FootnoteAnchor"/>
          <w:rtl w:val="true"/>
        </w:rPr>
        <w:footnoteReference w:id="507"/>
      </w:r>
      <w:r>
        <w:rPr>
          <w:rFonts w:ascii="Amiri" w:hAnsi="Amiri" w:eastAsia="Amiri" w:cs="Amiri"/>
          <w:color w:val="111111"/>
          <w:sz w:val="28"/>
          <w:sz w:val="28"/>
          <w:szCs w:val="28"/>
          <w:rtl w:val="true"/>
          <w:lang w:bidi="ar-SA"/>
        </w:rPr>
        <w:t>، والأحوط عدم الأنقص ، كما أنّ الأحوط كونه مجتمعاً لا متفرّقاً وإن كان الأقوى جوازه ، فيجوز على السبحة الغير المطبوخة</w:t>
      </w:r>
      <w:r>
        <w:rPr>
          <w:rStyle w:val="FootnoteAnchor"/>
          <w:rtl w:val="true"/>
        </w:rPr>
        <w:footnoteReference w:id="508"/>
      </w:r>
      <w:r>
        <w:rPr>
          <w:rFonts w:ascii="Amiri" w:hAnsi="Amiri" w:eastAsia="Amiri" w:cs="Amiri"/>
          <w:color w:val="111111"/>
          <w:sz w:val="28"/>
          <w:sz w:val="28"/>
          <w:szCs w:val="28"/>
          <w:rtl w:val="true"/>
          <w:lang w:bidi="ar-SA"/>
        </w:rPr>
        <w:t>إذا كان مجموع ما وقع عليه الجبهة بمقدار الدرهم</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رفع ما يمنع من مباشرتها لمحلّ السجود من وسخ أو غيره فيها أو فيه ؛ حتّى لو لصق بجبهته تربة أو تراب أو حصاة ونحوها في السجدة الاُولى ، يجب إزالتها للسجدة الثانية 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بالجبهة هنا ما بين قصاص الشعر وطرف الأنف الأعلى والحاجبين طولاً وما بين الجبينين عرضاً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الاعتماد على الأعضاء السبعة فلا يجزي مجرّد المماسّة ، ولا يجب مساواتها في الاعتماد ، كما لا يضرّ مشاركة غيرها معها فيه كالذراع مع الكفّين وسائر أصابع الرجلين مع الإبهامين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الذكر على نحو ما تقدّم في الركوع ، إلاّ أنّ هنا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التسبيحة التامّة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الطمأنينة بمقدار الذكر نحو ما سمعته في الركوع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المساجد السبعة في محالّها إلى تمامه</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بتعمّد رفع ما عدا الجبهة منها قبل الشروع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حاله ، فضلاً عن السهو ، من غير فرق بين كونه لغرض كالحكّ ونحوه أو بدونه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من الأرض ، أو ما ينبت منها غير المأكول والملبوس على ما مرّ في مبحث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 السجدة الاُولى معتدلاً مطمئنّاً ، كما سمعته في رفع الرأس من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ينحني للسجود حتّى يساوي موضع جبهته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ارتفع أحدهما على الآخر لم تصحّ الصلاة ، إلاّ أن يكون التفاوت بينهما قدر لبنة موضوعة على سطحها الأكبر ، أو أربع أصابع مضمومات ، فلا بأس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التساوي في باقي المساجد ؛ لا في بعضها مع بعض ولا بالنسبة إلى الجبهة ، فلا يقدح حينئذٍ ارتفاع مكانها أو انخفاضه ما لم يخرج به السجود عن مسمّاه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بالموقف الذي يجب عدم التفاوت بينه وبين موضع الجبهة أزيد عن مقدار لبنة ، ما وقع عليه اعتماد أسافل البدن في حال السجود وهو الركبتان ، فلا يلاحظ</w:t>
      </w:r>
      <w:r>
        <w:rPr>
          <w:rStyle w:val="FootnoteAnchor"/>
          <w:rtl w:val="true"/>
        </w:rPr>
        <w:footnoteReference w:id="511"/>
      </w:r>
      <w:r>
        <w:rPr>
          <w:rFonts w:ascii="Amiri" w:hAnsi="Amiri" w:eastAsia="Amiri" w:cs="Amiri"/>
          <w:color w:val="111111"/>
          <w:sz w:val="28"/>
          <w:sz w:val="28"/>
          <w:szCs w:val="28"/>
          <w:rtl w:val="true"/>
          <w:lang w:bidi="ar-SA"/>
        </w:rPr>
        <w:t xml:space="preserve">الإبهامان والقدمان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تساوى محلّ ركبتيه مع موضع جبهته ووضع إبهاميه على مكان أخفض من موضع جبهته بأزيد من لبنة ؛ بأن أدخل تمام مشط قدمه في ذلك المكان المنخفض لم يكن به بأس ، بخلاف العكس بأن كان ركبتاه على مكان أخفض عن محلّ الجبهة بأزيد من لبنة ووضع الإبهامين على أكمة ساوت محلّها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وقعت جبهته على مكان مرتفع أزيد من المقدار المغتفر ، فإن كان الارتفاع بمقدار لا يصدق معه السجود عرفاً ، جاز رفعها</w:t>
      </w:r>
      <w:r>
        <w:rPr>
          <w:rStyle w:val="FootnoteAnchor"/>
          <w:rtl w:val="true"/>
        </w:rPr>
        <w:footnoteReference w:id="512"/>
      </w:r>
      <w:r>
        <w:rPr>
          <w:rFonts w:ascii="IRNazanin" w:hAnsi="IRNazanin" w:eastAsia="IRNazanin"/>
          <w:color w:val="111111"/>
          <w:sz w:val="28"/>
          <w:sz w:val="28"/>
          <w:szCs w:val="28"/>
          <w:rtl w:val="true"/>
          <w:lang w:bidi="fa-IR"/>
        </w:rPr>
        <w:t xml:space="preserve">ووضعها </w:t>
      </w:r>
    </w:p>
    <w:p>
      <w:pPr>
        <w:pStyle w:val="BookText"/>
        <w:rPr/>
      </w:pPr>
      <w:r>
        <w:rPr>
          <w:rFonts w:ascii="Amiri" w:hAnsi="Amiri" w:eastAsia="Amiri" w:cs="Amiri"/>
          <w:color w:val="111111"/>
          <w:sz w:val="28"/>
          <w:sz w:val="28"/>
          <w:szCs w:val="28"/>
          <w:rtl w:val="true"/>
          <w:lang w:bidi="ar-SA"/>
        </w:rPr>
        <w:t xml:space="preserve">ثانياً كما يجوز جرّها ، وإن كان بمقدار يصدق معه السجدة عرفاً فالأحوط الجرّ إلى الأسفل ، ولو لم يمكن الجرّ فالأحوط الرفع والوضع ثمّ إعادة الصلاة بعد إتمامها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وضع</w:t>
      </w:r>
      <w:r>
        <w:rPr>
          <w:rStyle w:val="FootnoteAnchor"/>
          <w:rtl w:val="true"/>
        </w:rPr>
        <w:footnoteReference w:id="513"/>
      </w:r>
      <w:r>
        <w:rPr>
          <w:rFonts w:ascii="Amiri" w:hAnsi="Amiri" w:eastAsia="Amiri" w:cs="Amiri"/>
          <w:color w:val="111111"/>
          <w:sz w:val="28"/>
          <w:sz w:val="28"/>
          <w:szCs w:val="28"/>
          <w:rtl w:val="true"/>
          <w:lang w:bidi="ar-SA"/>
        </w:rPr>
        <w:t xml:space="preserve">جبهته على الممنوع من السجود عليه جرّها عنه جرّاً إلى ما يجوز السجود عليه وليس له رفعها عنه ؛ لأ نّه يستلزم زيادة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يمكن إلاّ الرفع المستلزم لذلك فالأحوط إتمام صلاته ثمّ استئنافها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الالتفات إليه بعد الإتيان بالذكر الواجب أو بعد رفع الرأس من السجود كفاه الإتمام ، على إشكال في الأوّل ، فلا يترك الاحتياط بإعادة الذكر</w:t>
      </w:r>
      <w:r>
        <w:rPr>
          <w:rStyle w:val="FootnoteAnchor"/>
          <w:rtl w:val="true"/>
        </w:rPr>
        <w:footnoteReference w:id="514"/>
      </w:r>
      <w:r>
        <w:rPr>
          <w:rFonts w:ascii="Amiri" w:hAnsi="Amiri" w:eastAsia="Amiri" w:cs="Amiri"/>
          <w:color w:val="111111"/>
          <w:sz w:val="28"/>
          <w:sz w:val="28"/>
          <w:szCs w:val="28"/>
          <w:rtl w:val="true"/>
          <w:lang w:bidi="ar-SA"/>
        </w:rPr>
        <w:t xml:space="preserve">، بل إعادة الصلاة أيضاً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بجبهته علّة كالدمل ، إن لم يستوعبها وأمكن وضع الموضع السليم منها على الأرض ولو بحفر حفيرة وجعل الدمل فيها وجب ، وإن استوعبها أو لم يمكن وضع الموضع السليم منها عليها ولو بحفر حفيرة سجد على أحد الجبينين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تقديم الأيمن على الأيسر ، وإن تعذّر سجد على ذقنه ، فإن تعذّر اقتصر على الانحناء الممكن وسقط عنه</w:t>
      </w:r>
      <w:r>
        <w:rPr>
          <w:rStyle w:val="FootnoteAnchor"/>
          <w:rtl w:val="true"/>
        </w:rPr>
        <w:footnoteReference w:id="515"/>
      </w:r>
      <w:r>
        <w:rPr>
          <w:rFonts w:ascii="IRNazanin" w:hAnsi="IRNazanin" w:eastAsia="IRNazanin"/>
          <w:color w:val="111111"/>
          <w:sz w:val="28"/>
          <w:sz w:val="28"/>
          <w:szCs w:val="28"/>
          <w:rtl w:val="true"/>
          <w:lang w:bidi="fa-IR"/>
        </w:rPr>
        <w:t xml:space="preserve">الوضع على الأرض من أصله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ارتفعت الجبهة من الأرض قهراً وعادت إليها قهراً لم يتكرّر السجدة ، فإن كان ارتفاعها قبل القرار الذي به يتحقّق</w:t>
      </w:r>
      <w:r>
        <w:rPr>
          <w:rStyle w:val="FootnoteAnchor"/>
          <w:rtl w:val="true"/>
        </w:rPr>
        <w:footnoteReference w:id="516"/>
      </w:r>
      <w:r>
        <w:rPr>
          <w:rFonts w:ascii="Amiri" w:hAnsi="Amiri" w:eastAsia="Amiri" w:cs="Amiri"/>
          <w:color w:val="111111"/>
          <w:sz w:val="28"/>
          <w:sz w:val="28"/>
          <w:szCs w:val="28"/>
          <w:rtl w:val="true"/>
          <w:lang w:bidi="ar-SA"/>
        </w:rPr>
        <w:t xml:space="preserve">مسمّى السجود يأتي بالذكر وجوباً ، وإن كان بعده وقبل الذكر فالأحوط أن يأتي به بنيّة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عودها قهراً ؛ بأن لم يقدر على إمساكها بعد ارتفاعها ، وأمّا مع القدرة عليه ففي الصورة الاُولى حيث لم يتحقّق السجدة بوصول الجبهة يجب أن يأتي بها إمّا بأن يعود من حيث ارتفع أو يجلس ثمّ يسجد ، وأمّا في الصورة الثانية يحسب الوضع الأوّل سجدة ، فيجلس ويأتي بالاُخرى إن كانت الاُولى ، ويكتفي بها إن كانت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عجز عن السجود انحنى بقدر ما يتمكّن ورفع المسجد إلى جبهته واضعاً للجبهة عليه باعتماد ؛ محافظاً على ما عرفت وجوبه من الذكر والطمأنينة ونحوهما حتّى وضع باقي المساجد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يتمكّن من الانحناء أصلاً أومأ إليه بالرأس فإن لم يتمكّن فبالعينين ، والأحوط له رفع المسجد مع ذلك إذا تمكّن من وضع الجبهة عليه ، بل لا يترك</w:t>
      </w:r>
      <w:r>
        <w:rPr>
          <w:rStyle w:val="FootnoteAnchor"/>
          <w:rtl w:val="true"/>
        </w:rPr>
        <w:footnoteReference w:id="517"/>
      </w:r>
      <w:r>
        <w:rPr>
          <w:rFonts w:ascii="Amiri" w:hAnsi="Amiri" w:eastAsia="Amiri" w:cs="Amiri"/>
          <w:color w:val="111111"/>
          <w:sz w:val="28"/>
          <w:sz w:val="28"/>
          <w:szCs w:val="28"/>
          <w:rtl w:val="true"/>
          <w:lang w:bidi="ar-SA"/>
        </w:rPr>
        <w:t xml:space="preserve">الاحتياط في وضع ما يتمكّن منه من المساجد في محلّه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التكبير حال الانتصاب من الركوع للأخذ في السجود وللرفع منه والسبق باليدين إلى الأرض عند الهويّ إليه ، واستيعاب الجبهة على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يصحّ السجود عليه ، والإرغام بمسمّى الأنف على مسمّى ما يصحّ السجود عليه ، والأحوط عدم تركه ، وتسوية موضع الجبهة مع الموقف بل جميع المساجد ، وبسط الكفّين مضمومتي الأصابع حتّى الإبهام حذاء الاُذنين موجّهاً بهما إلى القبلة ، والتجافي حال السجود بمعنى رفع البطن عن الأرض ، والتجنيح بأن يرفع مرفقيه عن الأرض مفرّجاً بين عضديه وجنبيه مبعّداً يديه عن بدنه جاعلاً يديه كالجناحين ، والدعاء بالمأثور قبل الشروع في الذكر وبعد رفع الرأس من السجدة الاُولى ، واختيار التسبيحة الكبرى وتكرارها ، والختم على الوتر ، والدعاء في السجود أو الأخير بما يريد من حاجات الدنيا والآخرة وخصوصاً طلب الرزق الحلال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المسؤولين ويا خير المعطين ارزقني وارزق عيالي من فضلك فإنّك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والتورّك في الجلوس بين السجدتين</w:t>
      </w:r>
      <w:r>
        <w:rPr>
          <w:rStyle w:val="FootnoteAnchor"/>
          <w:rtl w:val="true"/>
        </w:rPr>
        <w:footnoteReference w:id="518"/>
      </w:r>
      <w:r>
        <w:rPr>
          <w:rFonts w:ascii="Amiri" w:hAnsi="Amiri" w:eastAsia="Amiri" w:cs="Amiri"/>
          <w:color w:val="111111"/>
          <w:sz w:val="28"/>
          <w:sz w:val="28"/>
          <w:szCs w:val="28"/>
          <w:rtl w:val="true"/>
          <w:lang w:bidi="ar-SA"/>
        </w:rPr>
        <w:t xml:space="preserve">بأن يجلس على فخذه الأيسر جاعلاً ظهر القدم اليمنى في بطن اليسرى ، وأن يقول بين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 اليدين حال الجلوس على الفخذين ؛ اليمنى على اليمنى واليسرى على اليسرى ، والجلوس مطمئنّاً بعد رفع الرأس من السجدة الثانية قبل أن يقوم ، وهو المسمّى بجلسة الاستراحة ، والأحوط لزوماً عدم تركها بل وجوبها لا يخلو من قوّة</w:t>
      </w:r>
      <w:r>
        <w:rPr>
          <w:rStyle w:val="FootnoteAnchor"/>
          <w:rtl w:val="true"/>
        </w:rPr>
        <w:footnoteReference w:id="519"/>
      </w:r>
      <w:r>
        <w:rPr>
          <w:rFonts w:ascii="Amiri" w:hAnsi="Amiri" w:eastAsia="Amiri" w:cs="Amiri"/>
          <w:color w:val="111111"/>
          <w:sz w:val="28"/>
          <w:sz w:val="28"/>
          <w:szCs w:val="28"/>
          <w:rtl w:val="true"/>
          <w:lang w:bidi="ar-SA"/>
        </w:rPr>
        <w:t xml:space="preserve">، وأن يقول إذا أراد النهوض إلى القيام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بحولك وقوّتك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يعتمد على يديه عند النهوض من غير عجن بهما ؛ أي لا يقبضهما بل يبسطهما على الأرض </w:t>
      </w:r>
      <w:r>
        <w:rPr>
          <w:rFonts w:eastAsia="Amiri" w:cs="Amiri" w:ascii="Amiri" w:hAnsi="Amiri"/>
          <w:color w:val="111111"/>
          <w:sz w:val="28"/>
          <w:szCs w:val="28"/>
          <w:rtl w:val="true"/>
          <w:lang w:bidi="ar-SA"/>
        </w:rPr>
        <w:t xml:space="preserve">. </w:t>
      </w:r>
      <w:bookmarkStart w:id="254" w:name="pg15003_159781"/>
    </w:p>
    <w:p>
      <w:pPr>
        <w:pStyle w:val="Heading4"/>
        <w:numPr>
          <w:ilvl w:val="3"/>
          <w:numId w:val="1"/>
        </w:numPr>
        <w:rPr/>
      </w:pPr>
      <w:bookmarkStart w:id="255" w:name="__RefHeading___Toc487755_3406789950"/>
      <w:bookmarkStart w:id="256" w:name="_Toc92"/>
      <w:bookmarkEnd w:id="254"/>
      <w:bookmarkEnd w:id="255"/>
      <w:r>
        <w:rPr>
          <w:rtl w:val="true"/>
        </w:rPr>
        <w:t xml:space="preserve">القول </w:t>
      </w:r>
      <w:r>
        <w:rPr>
          <w:rtl w:val="true"/>
        </w:rPr>
        <w:t xml:space="preserve">: </w:t>
      </w:r>
      <w:r>
        <w:rPr>
          <w:rtl w:val="true"/>
        </w:rPr>
        <w:t>في سجدتي التلاوة والشكر</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السجود عند تلاوة آيات أربع في السور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عند استماعها دون سماعها على الأظهر</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مجموع الآية فلا يجب بقراءة بعضها ولو لفظ السجدة منها وإن كان أحوط ، ووجوبها فوري لا يجوز تأخيرها ، ولو أخّرها ولو عصياناً يجب إتيانها فيما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يتكرّر السجود مع تكرّر السبب مع التعاقب وتخلّل السجود قطعاً ، أمّا مع عدم التعاقب أو عدم تخلّل السجود ففيه تأمّل</w:t>
      </w:r>
      <w:r>
        <w:rPr>
          <w:rStyle w:val="FootnoteAnchor"/>
          <w:rtl w:val="true"/>
        </w:rPr>
        <w:footnoteReference w:id="521"/>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قرأها أو استمعها في حال السجود يجب رفع الرأس منه ثمّ الوضع ، ولا يكفي البقاء بقصده ولا الجرّ إلى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كان جبهته على الأرض لا بقصد السجدة فسمع أو قرأ آية السجدة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يعتبر في وجوب السجدة على المستمع كون المسموع صادراً بعنوان التلاوة وقصد القرآنية ، فلو تكلّم شخص بالآية لا بقصد القرآنية لا يجب السجود بسماعها ، وكذا لو سمعها من صبيّ غير مميّز أو من النائم أو من صندوق حبس الصوت ، وإن كان الأحوط السجود في الجميع على اختلاف مراتب الاحتياط فيها ، بل لا يترك</w:t>
      </w:r>
      <w:r>
        <w:rPr>
          <w:rStyle w:val="FootnoteAnchor"/>
          <w:rtl w:val="true"/>
        </w:rPr>
        <w:footnoteReference w:id="522"/>
      </w:r>
      <w:r>
        <w:rPr>
          <w:rFonts w:ascii="Amiri" w:hAnsi="Amiri" w:eastAsia="Amiri" w:cs="Amiri"/>
          <w:color w:val="111111"/>
          <w:sz w:val="28"/>
          <w:sz w:val="28"/>
          <w:szCs w:val="28"/>
          <w:rtl w:val="true"/>
          <w:lang w:bidi="ar-SA"/>
        </w:rPr>
        <w:t xml:space="preserve">في أوّلها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السماع تمييز الحروف والكلمات ، فلا يكفي سماع الهمهمة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هذا السجود بعد تحقّق مسمّاه النيّة وإباحة المكان ، والأحوط</w:t>
      </w:r>
      <w:r>
        <w:rPr>
          <w:rStyle w:val="FootnoteAnchor"/>
          <w:rtl w:val="true"/>
        </w:rPr>
        <w:footnoteReference w:id="523"/>
      </w:r>
      <w:r>
        <w:rPr>
          <w:rFonts w:ascii="Amiri" w:hAnsi="Amiri" w:eastAsia="Amiri" w:cs="Amiri"/>
          <w:color w:val="111111"/>
          <w:sz w:val="28"/>
          <w:sz w:val="28"/>
          <w:szCs w:val="28"/>
          <w:rtl w:val="true"/>
          <w:lang w:bidi="ar-SA"/>
        </w:rPr>
        <w:t xml:space="preserve">وضع المواضع السبعة ووضع الجبهة على ما يصحّ السجود عليه ، بل اعتبار عدم كونه مأكولاً وملبوساً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الاستقبال ، ولا الطهارة من الحدث ولا من الخبث ، ولا طهارة موضع الجبهة ، ولا ستر العورة ، فضلاً عن صفات الساتر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هذا السجود تشهّد ولا تسليم ، بل ولا تكبيرة افتتاح ، نعم يستحبّ التكبير للرفع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 الذكر وإن استحبّ ، ويكفي فيه كلّ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ورِقّاً ، سجدتُ لك يا ربّ تعبّداً ورقّاً لا مستنكفاً ولا مستكبراً ، بل أنا عبد ذليل خائف مستجير</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من أعظم العبادات ، بل ما عُبد اللّه بمثله ، وما من عمل أشدّ على إبليس من أن يرى ابن آدم ساجداً ؛ لأ نّه اُمر بالسجود فعصى وهذا اُمر بالسجود فأطاع ونجى ، وأقرب ما يكون العبد إلى اللّه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أكيداً للشكر للّه عند تجدّد كلّ نعمة ودفع كلّ نقمة وعند تذكّرهما وللتوفيق لأداء كلّ فريضة أو نافلة بل كلّ فعل خير حتّى الصلح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الاقتصار على واحدة ، والأفضل أن يأتي باثنتين ؛ بمعنى الفصل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بتعفير الخدّين أو الجبينين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هذا السجود مجرّد وضع الجبهة مع النيّة ، والأحوط فيها وضع المساجد السبعة ووضع الجبهة على ما يصحّ السجود عليه ، بل اعتبار عدم كونه ملبوساً أو مأكولاً لا يخلو من قوّة كما تقدّم في سجود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افتراش الذراعين وإلصاق الجؤجؤ والصدر والبطن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الذكر وإن استحبّ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ويكفي ثلاث مرّات بل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يقال فيه ما ورد عن مولانا الكاظم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واُشهِدُ ملائكتكَ وأنبياءك ورُسلكَ وجميعَ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أنتَ اللّه ربّي والإسلام ديني ومحمّداً نبيّي وعلياً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 بهم أتولّى ومن أعدائهم أتبرّأ ، 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لأعدائكَ لتهلكنّهُم بأيدينا وأيدي المؤمنين ، اللهمّ إنّي أنشدكَ بإيوائك على نفسك لأوليائك لتظفِرنّهُم بعدوِّكَ وعدوّهم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وتضيقُ عليَّ الأرض بما رَحُبت يا بارئَ خلقي رحمةً بي وقد كنتَ عن خلقي غنيّاً صلِّ على محمّدٍ وعلى المستحفظين من آلِ محمّدٍ ، ثمّ تضع خدّك الأيسر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 ثمّ تعود للسجود فتقول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 ثمّ تسأل حاجتك تُقضى إن شاء اللّه تعالى</w:t>
      </w:r>
      <w:r>
        <w:rPr>
          <w:rFonts w:eastAsia="Amiri" w:cs="Amiri" w:ascii="Amiri" w:hAnsi="Amiri"/>
          <w:color w:val="111111"/>
          <w:sz w:val="28"/>
          <w:szCs w:val="28"/>
          <w:rtl w:val="true"/>
          <w:lang w:bidi="ar-SA"/>
        </w:rPr>
        <w:t xml:space="preserve">» . </w:t>
      </w:r>
      <w:bookmarkStart w:id="257" w:name="pg15003_159784"/>
    </w:p>
    <w:p>
      <w:pPr>
        <w:pStyle w:val="Heading4"/>
        <w:numPr>
          <w:ilvl w:val="3"/>
          <w:numId w:val="1"/>
        </w:numPr>
        <w:rPr/>
      </w:pPr>
      <w:bookmarkStart w:id="258" w:name="__RefHeading___Toc487757_3406789950"/>
      <w:bookmarkStart w:id="259" w:name="_Toc93"/>
      <w:bookmarkEnd w:id="257"/>
      <w:bookmarkEnd w:id="258"/>
      <w:r>
        <w:rPr>
          <w:rtl w:val="true"/>
        </w:rPr>
        <w:t xml:space="preserve">القول </w:t>
      </w:r>
      <w:r>
        <w:rPr>
          <w:rtl w:val="true"/>
        </w:rPr>
        <w:t xml:space="preserve">: </w:t>
      </w:r>
      <w:r>
        <w:rPr>
          <w:rtl w:val="true"/>
        </w:rPr>
        <w:t>في التشهّد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التشهّد في الثنائية مرّة بعد رفع الرأس من السجدة الأخيرة ، وفي الثلاثية والرباعية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بعد رفع الرأس من السجدة الأخيرة في الركعة الثانية ، والثانية بعد رفع الرأس منها في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غير ركن فلو تركه عمداً بطلت الصلاة دون السهو حتّى ركع ، وإن وجب عليه قضاؤه بعد الفراغ كما يأتي في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فيه الشهادتان ثمّ الصلاة على محمّد وآله ، والأحوط</w:t>
      </w:r>
      <w:r>
        <w:rPr>
          <w:rStyle w:val="FootnoteAnchor"/>
          <w:rtl w:val="true"/>
        </w:rPr>
        <w:footnoteReference w:id="524"/>
      </w:r>
      <w:r>
        <w:rPr>
          <w:rFonts w:ascii="Amiri" w:hAnsi="Amiri" w:eastAsia="Amiri" w:cs="Amiri"/>
          <w:color w:val="111111"/>
          <w:sz w:val="28"/>
          <w:sz w:val="28"/>
          <w:szCs w:val="28"/>
          <w:rtl w:val="true"/>
          <w:lang w:bidi="ar-SA"/>
        </w:rPr>
        <w:t xml:space="preserve">في عبارته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اللهمّ صلِّ على محمّدٍ وآل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الابتداء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وخير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يقول بعد الصلاة على النبي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شفاعته</w:t>
      </w:r>
      <w:r>
        <w:rPr>
          <w:rStyle w:val="FootnoteAnchor"/>
          <w:rtl w:val="true"/>
        </w:rPr>
        <w:footnoteReference w:id="525"/>
      </w:r>
      <w:r>
        <w:rPr>
          <w:rFonts w:ascii="Amiri" w:hAnsi="Amiri" w:eastAsia="Amiri" w:cs="Amiri"/>
          <w:color w:val="111111"/>
          <w:sz w:val="28"/>
          <w:sz w:val="28"/>
          <w:szCs w:val="28"/>
          <w:rtl w:val="true"/>
          <w:lang w:bidi="ar-SA"/>
        </w:rPr>
        <w:t>في اُمّته وارفع درجتَه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فيه اللفظ الصحيح الموافق للعربية ، ومن عجز عنه وجب عليه تعلّمه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الجلوس مطمئنّاً حال التشهّد بأيّ كيفية كان ، نعم الأحوط</w:t>
      </w:r>
      <w:r>
        <w:rPr>
          <w:rStyle w:val="FootnoteAnchor"/>
          <w:rtl w:val="true"/>
        </w:rPr>
        <w:footnoteReference w:id="526"/>
      </w:r>
      <w:r>
        <w:rPr>
          <w:rFonts w:ascii="Amiri" w:hAnsi="Amiri" w:eastAsia="Amiri" w:cs="Amiri"/>
          <w:color w:val="111111"/>
          <w:sz w:val="28"/>
          <w:sz w:val="28"/>
          <w:szCs w:val="28"/>
          <w:rtl w:val="true"/>
          <w:lang w:bidi="ar-SA"/>
        </w:rPr>
        <w:t xml:space="preserve">ترك الإقعاء ؛ وهو أن يعتمد بصدور قدميه على الأرض ويجلس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التورّك كما يستحبّ ذلك بين السجدتين وبعدهما كما تقدّم </w:t>
      </w:r>
      <w:r>
        <w:rPr>
          <w:rFonts w:eastAsia="Amiri" w:cs="Amiri" w:ascii="Amiri" w:hAnsi="Amiri"/>
          <w:color w:val="111111"/>
          <w:sz w:val="28"/>
          <w:szCs w:val="28"/>
          <w:rtl w:val="true"/>
          <w:lang w:bidi="ar-SA"/>
        </w:rPr>
        <w:t xml:space="preserve">. </w:t>
      </w:r>
      <w:bookmarkStart w:id="260" w:name="pg15003_159785"/>
    </w:p>
    <w:p>
      <w:pPr>
        <w:pStyle w:val="Heading4"/>
        <w:numPr>
          <w:ilvl w:val="3"/>
          <w:numId w:val="1"/>
        </w:numPr>
        <w:rPr/>
      </w:pPr>
      <w:bookmarkStart w:id="261" w:name="__RefHeading___Toc487759_3406789950"/>
      <w:bookmarkStart w:id="262" w:name="_Toc94"/>
      <w:bookmarkEnd w:id="260"/>
      <w:bookmarkEnd w:id="261"/>
      <w:r>
        <w:rPr>
          <w:rtl w:val="true"/>
        </w:rPr>
        <w:t xml:space="preserve">القول </w:t>
      </w:r>
      <w:r>
        <w:rPr>
          <w:rtl w:val="true"/>
        </w:rPr>
        <w:t xml:space="preserve">: </w:t>
      </w:r>
      <w:r>
        <w:rPr>
          <w:rtl w:val="true"/>
        </w:rPr>
        <w:t>في التسليم</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واجب في الصلاة وجزء منها على إشكال</w:t>
      </w:r>
      <w:r>
        <w:rPr>
          <w:rStyle w:val="FootnoteAnchor"/>
          <w:rtl w:val="true"/>
        </w:rPr>
        <w:footnoteReference w:id="527"/>
      </w:r>
      <w:r>
        <w:rPr>
          <w:rFonts w:ascii="Amiri" w:hAnsi="Amiri" w:eastAsia="Amiri" w:cs="Amiri"/>
          <w:color w:val="111111"/>
          <w:sz w:val="28"/>
          <w:sz w:val="28"/>
          <w:szCs w:val="28"/>
          <w:rtl w:val="true"/>
          <w:lang w:bidi="ar-SA"/>
        </w:rPr>
        <w:t xml:space="preserve">في الصيغة الثانية ، ويتوقّف تحلّل المنافيات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صيغتان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الاجتزاء بالثانية ، والأحوط عدم الاجتزاء</w:t>
      </w:r>
      <w:r>
        <w:rPr>
          <w:rStyle w:val="FootnoteAnchor"/>
          <w:rtl w:val="true"/>
        </w:rPr>
        <w:footnoteReference w:id="529"/>
      </w:r>
      <w:r>
        <w:rPr>
          <w:rFonts w:ascii="Amiri" w:hAnsi="Amiri" w:eastAsia="Amiri" w:cs="Amiri"/>
          <w:color w:val="111111"/>
          <w:sz w:val="28"/>
          <w:sz w:val="28"/>
          <w:szCs w:val="28"/>
          <w:rtl w:val="true"/>
          <w:lang w:bidi="ar-SA"/>
        </w:rPr>
        <w:t xml:space="preserve">بالاُولى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توابع التشهّد لا يحصل بها تحليل ، ولا تبطل الصلاة بتركها عمداً ، فضلاً عن السهو ، لكن الأحوط المحافظة عليها ، كما أنّ الأحوط الجمع بين الصيغتين بعدها مقدّماً للصيغة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التسليم بكلّ من الصيغتين العربية والإعراب ، ويجب تعلّمه كما سمعته في التشهّد ، كما أ نّه يجب الجلوس حالته مطمئنّاً ، ويستحبّ فيه التورّك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87761_3406789950"/>
      <w:bookmarkStart w:id="264" w:name="_Toc95"/>
      <w:bookmarkEnd w:id="263"/>
      <w:r>
        <w:rPr>
          <w:rtl w:val="true"/>
        </w:rPr>
        <w:t xml:space="preserve">القول </w:t>
      </w:r>
      <w:r>
        <w:rPr>
          <w:rtl w:val="true"/>
        </w:rPr>
        <w:t xml:space="preserve">: </w:t>
      </w:r>
      <w:r>
        <w:rPr>
          <w:rtl w:val="true"/>
        </w:rPr>
        <w:t>في الترتيب</w:t>
      </w:r>
      <w:bookmarkEnd w:id="2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الترتيب في أفعال الصلاة ، فيجب تقديم تكبيرة الإحرام على القراءة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السورة ، وهي على الركوع ، وهو على السجود وهكذا ، فمن صلّى وقد قدّم مؤخّراً أو أخّر مقدّماً عمداً بطلت صلاته ، وكذا لو </w:t>
      </w:r>
      <w:bookmarkStart w:id="265" w:name="pg15003_159786"/>
    </w:p>
    <w:p>
      <w:pPr>
        <w:pStyle w:val="BookText"/>
        <w:rPr/>
      </w:pPr>
      <w:bookmarkEnd w:id="265"/>
      <w:r>
        <w:rPr>
          <w:rFonts w:ascii="Amiri" w:hAnsi="Amiri" w:eastAsia="Amiri" w:cs="Amiri"/>
          <w:color w:val="111111"/>
          <w:sz w:val="28"/>
          <w:sz w:val="28"/>
          <w:szCs w:val="28"/>
          <w:rtl w:val="true"/>
          <w:lang w:bidi="ar-SA"/>
        </w:rPr>
        <w:t>كان ساهياً وقد قدّم ركناً على ركن ، أمّا لو قدّم ركناً على ما ليس بركن سهواً كما لو ركع قبل القراءة فلا بأس</w:t>
      </w:r>
      <w:r>
        <w:rPr>
          <w:rStyle w:val="FootnoteAnchor"/>
          <w:rtl w:val="true"/>
        </w:rPr>
        <w:footnoteReference w:id="530"/>
      </w:r>
      <w:r>
        <w:rPr>
          <w:rFonts w:ascii="Amiri" w:hAnsi="Amiri" w:eastAsia="Amiri" w:cs="Amiri"/>
          <w:color w:val="111111"/>
          <w:sz w:val="28"/>
          <w:sz w:val="28"/>
          <w:szCs w:val="28"/>
          <w:rtl w:val="true"/>
          <w:lang w:bidi="ar-SA"/>
        </w:rPr>
        <w:t xml:space="preserve">ويمضي في صلاته ، كما أ نّه لا بأس بتقديم غير الأركان بعضها على بعض سهواً ، ولكن هنا يعود إلى ما يحصل به الترتيب مع إمكانه وتصحّ صلاته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487763_3406789950"/>
      <w:bookmarkStart w:id="267" w:name="_Toc96"/>
      <w:bookmarkEnd w:id="266"/>
      <w:r>
        <w:rPr>
          <w:rtl w:val="true"/>
        </w:rPr>
        <w:t xml:space="preserve">القول </w:t>
      </w:r>
      <w:r>
        <w:rPr>
          <w:rtl w:val="true"/>
        </w:rPr>
        <w:t xml:space="preserve">: </w:t>
      </w:r>
      <w:r>
        <w:rPr>
          <w:rtl w:val="true"/>
        </w:rPr>
        <w:t>في الموالاة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الموالاة في أفعال الصلاة ؛ بمعنى عدم الفصل بين أفعالها على وجه تنمحي صورتها بحيث يصحّ سلب الاسم عنها ، فلو ترك الموالاة بالمعنى المزبور عمداً أو سهواً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الموالاة بمعنى المتابعة العرفية التي لا يقدح فيها التخلّل في الجملة فهي واجبة</w:t>
      </w:r>
      <w:r>
        <w:rPr>
          <w:rStyle w:val="FootnoteAnchor"/>
          <w:rtl w:val="true"/>
        </w:rPr>
        <w:footnoteReference w:id="531"/>
      </w:r>
      <w:r>
        <w:rPr>
          <w:rFonts w:ascii="Amiri" w:hAnsi="Amiri" w:eastAsia="Amiri" w:cs="Amiri"/>
          <w:color w:val="111111"/>
          <w:sz w:val="28"/>
          <w:sz w:val="28"/>
          <w:szCs w:val="28"/>
          <w:rtl w:val="true"/>
          <w:lang w:bidi="ar-SA"/>
        </w:rPr>
        <w:t xml:space="preserve">أيضاً ، لكن تبطل الصلاة بتركها عمداً دون السهو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يجب الموالاة في أفعال الصلاة بالنسبة إلى بعضها مع بعض يجب الموالاة في القراءة والتكبير والذكر والتسبيح بالنسبة إلى الآيات والكلمات بل والحروف ، فمن ترك الموالاة عمداً في أحد المذكورات الموجب لمحو أسمائها بطلت صلاته</w:t>
      </w:r>
      <w:r>
        <w:rPr>
          <w:rStyle w:val="FootnoteAnchor"/>
          <w:rtl w:val="true"/>
        </w:rPr>
        <w:footnoteReference w:id="532"/>
      </w:r>
      <w:r>
        <w:rPr>
          <w:rFonts w:ascii="Amiri" w:hAnsi="Amiri" w:eastAsia="Amiri" w:cs="Amiri"/>
          <w:color w:val="111111"/>
          <w:sz w:val="28"/>
          <w:sz w:val="28"/>
          <w:szCs w:val="28"/>
          <w:rtl w:val="true"/>
          <w:lang w:bidi="ar-SA"/>
        </w:rPr>
        <w:t xml:space="preserve">، وإن كان سهواً فلا بأس ؛ لعدم بطلان الصلاة بنسيانه أصلاً فضلاً عن موالاته ، فيعيد ما يحصل به الموالاة إذا لم يتجاوز المحلّ ، لكن هذا إذا لم يكن فوات الموالاة المزبورة في أحد الاُمور المذكورة </w:t>
      </w:r>
      <w:bookmarkStart w:id="268" w:name="pg15003_159787"/>
    </w:p>
    <w:p>
      <w:pPr>
        <w:pStyle w:val="BookText"/>
        <w:rPr/>
      </w:pPr>
      <w:bookmarkEnd w:id="268"/>
      <w:r>
        <w:rPr>
          <w:rFonts w:ascii="Amiri" w:hAnsi="Amiri" w:eastAsia="Amiri" w:cs="Amiri"/>
          <w:color w:val="111111"/>
          <w:sz w:val="28"/>
          <w:sz w:val="28"/>
          <w:szCs w:val="28"/>
          <w:rtl w:val="true"/>
          <w:lang w:bidi="ar-SA"/>
        </w:rPr>
        <w:t xml:space="preserve">موجباً لفوات موالاة الصلاة بالمعنى المزبور ، أمّا إذا كان كذلك فقد عرفت البطلان ولو مع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والتعقيب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87765_3406789950"/>
      <w:bookmarkStart w:id="270" w:name="_Toc97"/>
      <w:bookmarkEnd w:id="269"/>
      <w:r>
        <w:rPr>
          <w:rtl w:val="true"/>
        </w:rPr>
        <w:t xml:space="preserve">القول </w:t>
      </w:r>
      <w:r>
        <w:rPr>
          <w:rtl w:val="true"/>
        </w:rPr>
        <w:t xml:space="preserve">: </w:t>
      </w:r>
      <w:r>
        <w:rPr>
          <w:rtl w:val="true"/>
        </w:rPr>
        <w:t>في القنوت</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القنوت في الفرائض اليومية ، ويتأكّد في الجهرية ، بل الأحوط عدم تركه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قبل الركوع في الركعة الثانية بعد الفراغ عن القراءة ، نعم لو نساه أتى به بعد رفع الرأس من الركوع وهوى إلى السجود ، فإن لم يذكره في هذا الحال وذكره بعد ذلك فلا يأتي به حتّى يفرغ من صلاته فيأتي 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يذكره إلاّ بعد انصرافه فعله متى ذكره ولو طال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تركه عمداً فلا يأتي به بعد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أيضاً في كلّ نافلة ثنائية في المحلّ المزبور ، بل ووحدانية كالوتر ، بل هو فيها من المؤكّد ، ومحلّه ما عرفت ؛ وهو قبل الركوع بعد القراءة ، نعم استحبابه في صلاة الشفع محلّ تأمّل</w:t>
      </w:r>
      <w:r>
        <w:rPr>
          <w:rStyle w:val="FootnoteAnchor"/>
          <w:rtl w:val="true"/>
        </w:rPr>
        <w:footnoteReference w:id="533"/>
      </w:r>
      <w:r>
        <w:rPr>
          <w:rFonts w:ascii="Amiri" w:hAnsi="Amiri" w:eastAsia="Amiri" w:cs="Amiri"/>
          <w:color w:val="111111"/>
          <w:sz w:val="28"/>
          <w:sz w:val="28"/>
          <w:szCs w:val="28"/>
          <w:rtl w:val="true"/>
          <w:lang w:bidi="ar-SA"/>
        </w:rPr>
        <w:t xml:space="preserve">وإشكال فالأحوط إتيانه فيها رجاءً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يعتبر في القنوت قول مخصوص ، بل يكفي فيه كلّما تيسّر من ذكر ودعاء وحمد وثناء ، بل يجزي البسملة مرّة واحدة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أو ثلاث مرّات ، كما يجزي الاقتصار على الصلاة على النبي وآله ، 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ريب في رجحان ما ورد عنهم علیهم السلام من الأدعية فيه ، بل والأدعية التي في القرآن وكلمات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 من المأثور </w:t>
      </w:r>
      <w:r>
        <w:rPr>
          <w:rFonts w:eastAsia="IRNazanin" w:cs="IRNazanin"/>
          <w:color w:val="111111"/>
          <w:sz w:val="28"/>
          <w:szCs w:val="28"/>
          <w:rtl w:val="true"/>
          <w:lang w:bidi="fa-IR"/>
        </w:rPr>
        <w:t xml:space="preserve">: </w:t>
      </w:r>
      <w:bookmarkStart w:id="271" w:name="pg15003_159788"/>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وارحمنا وعافِنا واعفُ عنّا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فيه الجهر ؛ سواء كانت الصلاة جهرية أو إخفاتية ، إماماً أو منفرداً ، بل أو مأموماً إذا لم يسمع الإمام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رفع اليدين في القنوت على إشكال فالأحوط عدم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الدعاء في القنوت وفي غيره بالملحون مادّة أو إعراباً إذا لم يكن فاحشاً أو مغيّراً للمعنى ، وكذا الدعاء في غيره والأذكار المندوبة ، والأحوط الترك مطلقاً ، أمّا الأذكار الواجبة فلا يجوز فيها غير العربية الصحيحة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87767_3406789950"/>
      <w:bookmarkStart w:id="273" w:name="_Toc98"/>
      <w:bookmarkEnd w:id="272"/>
      <w:r>
        <w:rPr>
          <w:rtl w:val="true"/>
        </w:rPr>
        <w:t xml:space="preserve">القول </w:t>
      </w:r>
      <w:r>
        <w:rPr>
          <w:rtl w:val="true"/>
        </w:rPr>
        <w:t xml:space="preserve">: </w:t>
      </w:r>
      <w:r>
        <w:rPr>
          <w:rtl w:val="true"/>
        </w:rPr>
        <w:t>في التعقيب</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التعقيب بعد الفراغ من الصلاة ولو نافلة وإن كان في الفريضة آكد ، خصوصاً في صلاة الغداة ، وهو أبلغ في طلب الرزق من الضرب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الاشتغال بالدعاء وبالذكر بل كلّ قول حسن راجح شرعاً بالذات ؛ من قرآن أو دعاء أو ثناء أو تنزيه أو غير ذلك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التعقيب أن يكون متّصلاً بالفراغ من الصلاة على وجه لا يشاركه الاشتغال بشيء آخر كالصنعة ونحوها ممّا تذهب به هيئته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فيه الجلوس في مكانه الذي صلّى فيه والاستقبال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قول مخصوص كما عرفت ، نعم لا ريب في أنّ الأفضل والأرجح ما ورد عنهم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xml:space="preserve">فيه من الأدعية والأذكار ممّا تضمّنته كتب الدعاء والأخبار </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بين مشتركات ومختصّات ، ونذكر نبذاً من المشتركات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الثلاث بعد التسليم رافعاً بها يديه على هيئة غيرها من التكبيرات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ما عُبد اللّه بشيء من التحميد أفضل منه ، بل هو في كلّ يوم في دبر كلّ صلاة أحبّ إلى الصادق علیه السلام من صلاة ألف ركعة في كلّ يوم ، ولم يلزمه عبد فشقي ، وما قاله عبد قبل أن يثني رجليه من المكتوبة إلاّ غفر اللّه له وأوجب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مستحبّ في نفسه وإن لم يكن في التعقيب ، نعم هو مؤكّد فيه وعند إرادة النوم لدفع الرؤيا السيّئة ، ولا يختصّ التعقيب به في الفرائض بل هو مستحبّ بعد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وكيفيته</w:t>
      </w:r>
      <w:r>
        <w:rPr>
          <w:rStyle w:val="FootnoteAnchor"/>
          <w:rtl w:val="true"/>
        </w:rPr>
        <w:footnoteReference w:id="534"/>
      </w:r>
      <w:r>
        <w:rPr>
          <w:rFonts w:ascii="Amiri" w:hAnsi="Amiri" w:eastAsia="Amiri" w:cs="Amiri"/>
          <w:color w:val="111111"/>
          <w:sz w:val="28"/>
          <w:sz w:val="28"/>
          <w:szCs w:val="28"/>
          <w:rtl w:val="true"/>
          <w:lang w:bidi="ar-SA"/>
        </w:rPr>
        <w:t xml:space="preserve">أربع وثلاثون تكبيرة ثمّ ثلاث وثلاثون تحميدة ثمّ ثلاث وثلاثون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يكون تسبيح الزهراء عليهاالسلام بل كلّ تسبيح بطين القبر الشريف ولو كان مشويّاً ، بل السبحة منه تسبّح بيد الرجل من غير أن يسبّح ويكتب له ذلك التسبيح وإن كان غافلاً ، والأولى اتّخاذها بعدد التكبير في خيط 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عدد التكبير أو التحميد أو التسبيح بنى على الأقلّ إن لم يتجاوز المحلّ ، ولو سها فزاد على عدد التكبير أو غيره رفع اليد عن الزائد وبنى على الأربع وثلاثين أو الثلاث وثلاثين ، والأولى أن يبني على واحدة ثمّ يكمل العدد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وأعزَّ جُنده وغلب الأحزاب وحده ، فله المُلك وله الحمد يُحيي ويميت وهو على كلّ شيءٍ قدير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 وأجرني من النار ، وارزقني الجنّة ، وزوّجني من الحور العين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 وأفِض عليَّ من فضلك ، وانشر عليَّ من رحمتك ، وأنزل عليَّ من بركاتك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بوجهك الكريم وعزّتِك التي لا ترام وقدرتك التي لا يمتنع منها شيء من شرّ الدنيا والآخرة ومن شرّ الأوجاع كلِّها ، ولا حول ولا قوّة إلاّ باللّه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من كلّ خيرٍ أحاط به علمك ، وأعوذ بك من كلّ شرّ أحاط به علمك ، اللهمّ إنّي أسأ لُك عافيتك في اُموري كلّها ، وأعوذ بك من خزي الدنيا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 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بالنبي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الشكر ، وقد مرّ كيفيته سابقاً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المرأة في الصلاة بآداب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بالحلي والخضاب ، والإخفات في قولها ، والجمع بين قدميها في حال القيام ، وضمّ ثدييها بيديها حاله ، ووضع يديها على فخذيها حال الركوع غير رادّة ركبتيها إلى ورائها ، والبدأة للسجود بالقعود ، والتضمّم حاله لاطئة بالأرض فيه غير متجافية ، والتربّع في جلوسها مطلقاً ، بخلاف الرجل في جميع ما ذكر كما مرّ </w:t>
      </w:r>
      <w:r>
        <w:rPr>
          <w:rFonts w:eastAsia="Amiri" w:cs="Amiri" w:ascii="Amiri" w:hAnsi="Amiri"/>
          <w:color w:val="111111"/>
          <w:sz w:val="28"/>
          <w:szCs w:val="28"/>
          <w:rtl w:val="true"/>
          <w:lang w:bidi="ar-SA"/>
        </w:rPr>
        <w:t xml:space="preserve">. </w:t>
      </w:r>
      <w:bookmarkStart w:id="274" w:name="pg15003_159791"/>
    </w:p>
    <w:p>
      <w:pPr>
        <w:pStyle w:val="Heading4"/>
        <w:numPr>
          <w:ilvl w:val="3"/>
          <w:numId w:val="1"/>
        </w:numPr>
        <w:rPr/>
      </w:pPr>
      <w:bookmarkStart w:id="275" w:name="__RefHeading___Toc487769_3406789950"/>
      <w:bookmarkStart w:id="276" w:name="_Toc99"/>
      <w:bookmarkEnd w:id="274"/>
      <w:bookmarkEnd w:id="275"/>
      <w:r>
        <w:rPr>
          <w:rtl w:val="true"/>
        </w:rPr>
        <w:t xml:space="preserve">القول </w:t>
      </w:r>
      <w:r>
        <w:rPr>
          <w:rtl w:val="true"/>
        </w:rPr>
        <w:t xml:space="preserve">: </w:t>
      </w:r>
      <w:r>
        <w:rPr>
          <w:rtl w:val="true"/>
        </w:rPr>
        <w:t>في مبطلات الصلاة</w:t>
      </w:r>
      <w:bookmarkEnd w:id="27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والأكبر ، فإنّه مبطل لها أينما وقع فيها ولو عند الميم من التسليم على الأحوط</w:t>
      </w:r>
      <w:r>
        <w:rPr>
          <w:rStyle w:val="FootnoteAnchor"/>
          <w:rtl w:val="true"/>
        </w:rPr>
        <w:footnoteReference w:id="535"/>
      </w:r>
      <w:r>
        <w:rPr>
          <w:rFonts w:ascii="Amiri" w:hAnsi="Amiri" w:eastAsia="Amiri" w:cs="Amiri"/>
          <w:color w:val="111111"/>
          <w:sz w:val="28"/>
          <w:sz w:val="28"/>
          <w:szCs w:val="28"/>
          <w:rtl w:val="true"/>
          <w:lang w:bidi="ar-SA"/>
        </w:rPr>
        <w:t xml:space="preserve">عمداً أو سهواً أو سبقاً ، عدا المسلوس والمبطون والمستحاضة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 وهو وضع إحدى اليدين على الاُخرى نحو ما يصنعه غيرنا ، وهو مبطل على الأحوط</w:t>
      </w:r>
      <w:r>
        <w:rPr>
          <w:rStyle w:val="FootnoteAnchor"/>
          <w:rtl w:val="true"/>
        </w:rPr>
        <w:footnoteReference w:id="536"/>
      </w:r>
      <w:r>
        <w:rPr>
          <w:rFonts w:ascii="Amiri" w:hAnsi="Amiri" w:eastAsia="Amiri" w:cs="Amiri"/>
          <w:color w:val="111111"/>
          <w:sz w:val="28"/>
          <w:sz w:val="28"/>
          <w:szCs w:val="28"/>
          <w:rtl w:val="true"/>
          <w:lang w:bidi="ar-SA"/>
        </w:rPr>
        <w:t xml:space="preserve">مع العمد دون السهو ، وإن كان الأحوط فيه الاستئناف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حال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بكلّ البدن إلى الخلف أو إلى اليمين أو الشمال ، بل وما بينهما على وجه يخرج به عن الاستقبال ، فإنّ تعمّد ذلك كلّه مبطل للصلاة ، بل الالتفات بكلّ البدن بما يخرج به عمّا بين المشرق والمغرب مبطل أيضاً حتّى مع السهو والقسر ولو بمرور شخص يزدحم به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يبطلها الالتفات بالوجه يميناً وشمالاً</w:t>
      </w:r>
      <w:r>
        <w:rPr>
          <w:rStyle w:val="FootnoteAnchor"/>
          <w:rtl w:val="true"/>
        </w:rPr>
        <w:footnoteReference w:id="537"/>
      </w:r>
      <w:r>
        <w:rPr>
          <w:rFonts w:ascii="Amiri" w:hAnsi="Amiri" w:eastAsia="Amiri" w:cs="Amiri"/>
          <w:color w:val="111111"/>
          <w:sz w:val="28"/>
          <w:sz w:val="28"/>
          <w:szCs w:val="28"/>
          <w:rtl w:val="true"/>
          <w:lang w:bidi="ar-SA"/>
        </w:rPr>
        <w:t xml:space="preserve">مع بقاء البدن مستقبلاً إلاّ أ نّه مكروه والأحوط اجتنابه ، بل في الالتفات الفاحش إشكال فلا يترك فيه الاحتياط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ولو بحرفين مهملين</w:t>
      </w:r>
      <w:r>
        <w:rPr>
          <w:rStyle w:val="FootnoteAnchor"/>
          <w:rtl w:val="true"/>
        </w:rPr>
        <w:footnoteReference w:id="538"/>
      </w:r>
      <w:r>
        <w:rPr>
          <w:rFonts w:ascii="Amiri" w:hAnsi="Amiri" w:eastAsia="Amiri" w:cs="Amiri"/>
          <w:color w:val="111111"/>
          <w:sz w:val="28"/>
          <w:sz w:val="28"/>
          <w:szCs w:val="28"/>
          <w:rtl w:val="true"/>
          <w:lang w:bidi="ar-SA"/>
        </w:rPr>
        <w:t xml:space="preserve">أو حرف مفهم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مبطل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يبطلها ما وقع سهواً ولو لزعم كمال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بأس بردّ سلام التحيّة بل هو واجب ، نعم لا بطلان بترك الردّ وإن اشتغل بالضدّ من قراءة ونحوها وإنّما عليه الإثم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بالذكر والدعاء وقراءة القرآن غير ما يوجب السجود في جميع أحوال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الدعاء مع مخاطبة الغير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وإشكال</w:t>
      </w:r>
      <w:r>
        <w:rPr>
          <w:rStyle w:val="FootnoteAnchor"/>
          <w:rtl w:val="true"/>
        </w:rPr>
        <w:footnoteReference w:id="539"/>
      </w:r>
      <w:r>
        <w:rPr>
          <w:rFonts w:ascii="Amiri" w:hAnsi="Amiri" w:eastAsia="Amiri" w:cs="Amiri"/>
          <w:color w:val="111111"/>
          <w:sz w:val="28"/>
          <w:sz w:val="28"/>
          <w:szCs w:val="28"/>
          <w:rtl w:val="true"/>
          <w:lang w:bidi="ar-SA"/>
        </w:rPr>
        <w:t xml:space="preserve">، ومثله ما إذا قال للغير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الدعاء ، وأمّا إذا قصد مجرّد التحيّة فلا إشكال في عدم الجواز كالابتداء بالسلام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ردّ السلام في أثناء الصلاة بمثل ما سلّم</w:t>
      </w:r>
      <w:r>
        <w:rPr>
          <w:rStyle w:val="FootnoteAnchor"/>
          <w:rtl w:val="true"/>
        </w:rPr>
        <w:footnoteReference w:id="540"/>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الأحوط المماثلة في التعريف والتنكير والإفراد والجمع ، فلا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حال الصلاة فيستحبّ الردّ بالأحسن بأن يقول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بالملحون</w:t>
      </w:r>
      <w:r>
        <w:rPr>
          <w:rStyle w:val="FootnoteAnchor"/>
          <w:rtl w:val="true"/>
        </w:rPr>
        <w:footnoteReference w:id="541"/>
      </w:r>
      <w:r>
        <w:rPr>
          <w:rFonts w:ascii="Amiri" w:hAnsi="Amiri" w:eastAsia="Amiri" w:cs="Amiri"/>
          <w:color w:val="111111"/>
          <w:sz w:val="28"/>
          <w:sz w:val="28"/>
          <w:szCs w:val="28"/>
          <w:rtl w:val="true"/>
          <w:lang w:bidi="ar-SA"/>
        </w:rPr>
        <w:t xml:space="preserve">وجب الجواب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المسلّم صبيّاً مميّزاً يجوز بل يجب الردّ ، والأحوط</w:t>
      </w:r>
      <w:r>
        <w:rPr>
          <w:rStyle w:val="FootnoteAnchor"/>
          <w:rtl w:val="true"/>
        </w:rPr>
        <w:footnoteReference w:id="542"/>
      </w:r>
      <w:r>
        <w:rPr>
          <w:rFonts w:ascii="Amiri" w:hAnsi="Amiri" w:eastAsia="Amiri" w:cs="Amiri"/>
          <w:color w:val="111111"/>
          <w:sz w:val="28"/>
          <w:sz w:val="28"/>
          <w:szCs w:val="28"/>
          <w:rtl w:val="true"/>
          <w:lang w:bidi="ar-SA"/>
        </w:rPr>
        <w:t xml:space="preserve">قصد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على جماعة كان المصلّي أحدهم فردّ الجواب غيره لم يجز</w:t>
      </w:r>
      <w:r>
        <w:rPr>
          <w:rStyle w:val="FootnoteAnchor"/>
          <w:rtl w:val="true"/>
        </w:rPr>
        <w:footnoteReference w:id="543"/>
      </w:r>
      <w:r>
        <w:rPr>
          <w:rFonts w:ascii="Amiri" w:hAnsi="Amiri" w:eastAsia="Amiri" w:cs="Amiri"/>
          <w:color w:val="111111"/>
          <w:sz w:val="28"/>
          <w:sz w:val="28"/>
          <w:szCs w:val="28"/>
          <w:rtl w:val="true"/>
          <w:lang w:bidi="ar-SA"/>
        </w:rPr>
        <w:t xml:space="preserve">له الردّ ، وكذا إذا كان بين جماعة فسلّم واحد عليهم وشكّ في أ نّه قصده أيضاً أم لا ، لا يجوز له الجواب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إسماع ردّ السلام في حال الصلاة وغيرها ؛ بمعنى رفع الصوت به على المتعارف بحيث لو لم يكن مانع عن السماع لسمعه ، فإذا كان بعيداً</w:t>
      </w:r>
      <w:r>
        <w:rPr>
          <w:rStyle w:val="FootnoteAnchor"/>
          <w:rtl w:val="true"/>
        </w:rPr>
        <w:footnoteReference w:id="544"/>
      </w:r>
      <w:r>
        <w:rPr>
          <w:rFonts w:ascii="Amiri" w:hAnsi="Amiri" w:eastAsia="Amiri" w:cs="Amiri"/>
          <w:color w:val="111111"/>
          <w:sz w:val="28"/>
          <w:sz w:val="28"/>
          <w:szCs w:val="28"/>
          <w:rtl w:val="true"/>
          <w:lang w:bidi="ar-SA"/>
        </w:rPr>
        <w:t xml:space="preserve">أو أصمّ بحيث لا يسمع الصوت أصلاً أو يحتاج إسماعه إلى المبالغة في رفعه يكفي الجواب على المتعارف بحيث لو لم يكن بعيداً أو أصمّ لسمعه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أن ينبّهه إلى الجواب ولو بالإشارة لا يبعد وجوبه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الفورية العرفية في الجواب ، فلا يجوز تأخيرها على وجه لا يصدق معه الجواب وردّ التحيّة ، فلو أخّره عصياناً أو نسياناً إلى ذلك الحدّ سقط ، فلا يجوز في حال الصلاة ولا يجب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بلوغ التأخير إلى ذلك الحدّ وجب</w:t>
      </w:r>
      <w:r>
        <w:rPr>
          <w:rStyle w:val="FootnoteAnchor"/>
          <w:rtl w:val="true"/>
        </w:rPr>
        <w:footnoteReference w:id="545"/>
      </w:r>
      <w:r>
        <w:rPr>
          <w:rFonts w:ascii="Amiri" w:hAnsi="Amiri" w:eastAsia="Amiri" w:cs="Amiri"/>
          <w:color w:val="111111"/>
          <w:sz w:val="28"/>
          <w:sz w:val="28"/>
          <w:szCs w:val="28"/>
          <w:rtl w:val="true"/>
          <w:lang w:bidi="ar-SA"/>
        </w:rPr>
        <w:t xml:space="preserve">في حال الصلاة فضلاً عن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بالسلام مستحبّ كفائي ، كما أنّ ردّه واجب كفائي ، فلو دخل جماعة على جماعة يكفي في الوظيفة الاستحبابية تسليم شخص واحد ويجتزئ بجواب شخص واحد من الجماعتين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أحد على أحد شخصين ولم يعلما أ نّه أيّهما أراد لا يجب الردّ على واحد منهما ، ولا يجب عليهما الفحص والسؤال ، وإن كان الأحوط الردّ من كلّ منهما إذا كانا في غير حال الصلاة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شخصان كلّ على الآخر يجب على كلّ منهما ردّ سلام الآخر حتّى من وقع سلامه الأوّل عقيب سلام الآخر ؛ حيث إنّه لم يقصد به الردّ بل الابتداء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الأمر بأن سلّم كلّ منهما بعنوان الردّ بزعم أ نّه سلّم عليه الآخر لا يجب على واحد منهما ردّ سلام الآخر وإن كان الأحوط فيما لو تقارنا ، ومع عدمه فالأحوط لمن</w:t>
      </w:r>
      <w:r>
        <w:rPr>
          <w:rStyle w:val="FootnoteAnchor"/>
          <w:rtl w:val="true"/>
        </w:rPr>
        <w:footnoteReference w:id="546"/>
      </w:r>
      <w:r>
        <w:rPr>
          <w:rFonts w:ascii="Amiri" w:hAnsi="Amiri" w:eastAsia="Amiri" w:cs="Amiri"/>
          <w:color w:val="111111"/>
          <w:sz w:val="28"/>
          <w:sz w:val="28"/>
          <w:szCs w:val="28"/>
          <w:rtl w:val="true"/>
          <w:lang w:bidi="ar-SA"/>
        </w:rPr>
        <w:t xml:space="preserve">تقدّم سلامه ردّ سلام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شخص على أحد بعنوان الردّ بزعم أ نّه سلّم عليه مع أ نّه لم يسلّم عليه وتنبّه إلى ذلك المسلَّم عليه فالأحوط أن يردّ</w:t>
      </w:r>
      <w:r>
        <w:rPr>
          <w:rStyle w:val="FootnoteAnchor"/>
          <w:rtl w:val="true"/>
        </w:rPr>
        <w:footnoteReference w:id="547"/>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ولو اضطراراً ، نعم لا بأس بالسهو منها كما لا بأس بالتبسّم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الضحك المشتمل على الصوت</w:t>
      </w:r>
      <w:r>
        <w:rPr>
          <w:rStyle w:val="FootnoteAnchor"/>
          <w:rtl w:val="true"/>
        </w:rPr>
        <w:footnoteReference w:id="548"/>
      </w:r>
      <w:r>
        <w:rPr>
          <w:rFonts w:ascii="Amiri" w:hAnsi="Amiri" w:eastAsia="Amiri" w:cs="Amiri"/>
          <w:color w:val="111111"/>
          <w:sz w:val="28"/>
          <w:sz w:val="28"/>
          <w:szCs w:val="28"/>
          <w:rtl w:val="true"/>
          <w:lang w:bidi="ar-SA"/>
        </w:rPr>
        <w:t>ولو اشتمل عليه تقديراً ، كمن منع نفسه عنه إلاّ أ نّه قد امتلأ جوفه ضحكاً واحمرّ وجهه وارتعش مثلاً ، أبطلها أيضاً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بالصوت لفوات أمر دنيوي ، دون ما كان منه للسهو عن الصلاة ، أو على أمر اُخروي ، أو طلب أمر دنيوي من اللّه تعالى ، خصوصاً إذا كان المطلوب راجحاً شرعاً ، فإنّه غير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الغير المشتمل على صوت ففيه إشكال</w:t>
      </w:r>
      <w:r>
        <w:rPr>
          <w:rStyle w:val="FootnoteAnchor"/>
          <w:rtl w:val="true"/>
        </w:rPr>
        <w:footnoteReference w:id="550"/>
      </w:r>
      <w:r>
        <w:rPr>
          <w:rFonts w:ascii="Amiri" w:hAnsi="Amiri" w:eastAsia="Amiri" w:cs="Amiri"/>
          <w:color w:val="111111"/>
          <w:sz w:val="28"/>
          <w:sz w:val="28"/>
          <w:szCs w:val="28"/>
          <w:rtl w:val="true"/>
          <w:lang w:bidi="ar-SA"/>
        </w:rPr>
        <w:t xml:space="preserve">، فلا يترك الاحتياط في الاستئناف ، كما أنّ الأحوط ذلك فيمن غلب عليه البكاء قهراً ،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البكاء على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وإشكال ، فلا يترك الاحتياط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ماحٍ لها مذهب لصورتها على وجه يصحّ سلب الاسم عنها وإن كان قليلاً كالوثبة</w:t>
      </w:r>
      <w:r>
        <w:rPr>
          <w:rStyle w:val="FootnoteAnchor"/>
          <w:rtl w:val="true"/>
        </w:rPr>
        <w:footnoteReference w:id="551"/>
      </w:r>
      <w:r>
        <w:rPr>
          <w:rFonts w:ascii="Amiri" w:hAnsi="Amiri" w:eastAsia="Amiri" w:cs="Amiri"/>
          <w:color w:val="111111"/>
          <w:sz w:val="28"/>
          <w:sz w:val="28"/>
          <w:szCs w:val="28"/>
          <w:rtl w:val="true"/>
          <w:lang w:bidi="ar-SA"/>
        </w:rPr>
        <w:t xml:space="preserve">والصفقة لعباً والعفطة هزواً ونحوها ، فإنّه مبطل لها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الغير الماحي لها فإن كان مفوّتاً للموالاة فيها ؛ بمعنى المتابعة العرفية فهو مبطل مع العمد</w:t>
      </w:r>
      <w:r>
        <w:rPr>
          <w:rStyle w:val="FootnoteAnchor"/>
          <w:rtl w:val="true"/>
        </w:rPr>
        <w:footnoteReference w:id="552"/>
      </w:r>
      <w:r>
        <w:rPr>
          <w:rFonts w:ascii="Amiri" w:hAnsi="Amiri" w:eastAsia="Amiri" w:cs="Amiri"/>
          <w:color w:val="111111"/>
          <w:sz w:val="28"/>
          <w:sz w:val="28"/>
          <w:szCs w:val="28"/>
          <w:rtl w:val="true"/>
          <w:lang w:bidi="ar-SA"/>
        </w:rPr>
        <w:t xml:space="preserve">دون السهو ، وإن لم يكن مفوّتاً لها فعمده غير مبطل فضلاً عن سهوه وإن كان كثيراً ، كحركة الأصابع ونحوها ، والإشارة باليد أو غيرها </w:t>
      </w:r>
    </w:p>
    <w:p>
      <w:pPr>
        <w:pStyle w:val="BookText"/>
        <w:rPr/>
      </w:pPr>
      <w:r>
        <w:rPr>
          <w:rFonts w:ascii="Amiri" w:hAnsi="Amiri" w:eastAsia="Amiri" w:cs="Amiri"/>
          <w:color w:val="111111"/>
          <w:sz w:val="28"/>
          <w:sz w:val="28"/>
          <w:szCs w:val="28"/>
          <w:rtl w:val="true"/>
          <w:lang w:bidi="ar-SA"/>
        </w:rPr>
        <w:t xml:space="preserve">لنداء أحد ، وقتل الحيّة والعقرب ، وحمل الطفل ووضعه وضمّه وإرضاعه ، وعدّ الاستغفار في الوتر بالسبحة ونحوها ، وعدّ الركعات بالحصى ، ومناولة الشيخ العصى ، والجهر بالذكر والقرآن للإعلام ، وغير ذلك ممّا هو غير منافٍ للموالاة ولا ماحٍ للصورة وإن كان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وإن كانا قليلين</w:t>
      </w:r>
      <w:r>
        <w:rPr>
          <w:rStyle w:val="FootnoteAnchor"/>
          <w:rtl w:val="true"/>
        </w:rPr>
        <w:footnoteReference w:id="553"/>
      </w:r>
      <w:r>
        <w:rPr>
          <w:rFonts w:ascii="Amiri" w:hAnsi="Amiri" w:eastAsia="Amiri" w:cs="Amiri"/>
          <w:color w:val="111111"/>
          <w:sz w:val="28"/>
          <w:sz w:val="28"/>
          <w:szCs w:val="28"/>
          <w:rtl w:val="true"/>
          <w:lang w:bidi="ar-SA"/>
        </w:rPr>
        <w:t>، نعم لا بأس بابتلاع بقايا الطعام في الفم وأن يمسك</w:t>
      </w:r>
      <w:r>
        <w:rPr>
          <w:rStyle w:val="FootnoteAnchor"/>
          <w:rtl w:val="true"/>
        </w:rPr>
        <w:footnoteReference w:id="554"/>
      </w:r>
      <w:r>
        <w:rPr>
          <w:rFonts w:ascii="Amiri" w:hAnsi="Amiri" w:eastAsia="Amiri" w:cs="Amiri"/>
          <w:color w:val="111111"/>
          <w:sz w:val="28"/>
          <w:sz w:val="28"/>
          <w:szCs w:val="28"/>
          <w:rtl w:val="true"/>
          <w:lang w:bidi="ar-SA"/>
        </w:rPr>
        <w:t xml:space="preserve">في فيه قليلاً من السكّر الذي يذوب وينزل شيئاً فشيئاً ، ونحو ذلك ممّا هو غير ماحٍ للصورة ولا مفوّت للموالاة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ما سمعته من المبطلات بين الفريضة والنافلة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يستثنى من ذلك شرب الماء للعطشان المتشاغل بالدعاء في الوتر ، العازم على صوم ذلك اليوم إذا خشي مفاجأة الفجر وكان الماء أمامه واحتاج إلى خطوتين أو ثلاثة ، فإنّه يجوز له التخطّي والشرب حتّى يروي ؛ وإن طال زمانه إذا لم يفعل غير ذلك من منافيات الصلاة ، حتّى إذا أراد العود إلى مكانه رجع القهقرى لئلاّ يستدبر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الاقتصار على خصوص شرب الماء دون الأكل وإن قلّ زمانه ، كما أنّ الأحوط الاقتصار على خصوص الوتر دون سائر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w:t>
      </w:r>
      <w:r>
        <w:rPr>
          <w:rStyle w:val="FootnoteAnchor"/>
          <w:rtl w:val="true"/>
        </w:rPr>
        <w:footnoteReference w:id="556"/>
      </w:r>
      <w:r>
        <w:rPr>
          <w:rFonts w:ascii="Amiri" w:hAnsi="Amiri" w:eastAsia="Amiri" w:cs="Amiri"/>
          <w:color w:val="111111"/>
          <w:sz w:val="28"/>
          <w:sz w:val="28"/>
          <w:szCs w:val="28"/>
          <w:rtl w:val="true"/>
          <w:lang w:bidi="ar-SA"/>
        </w:rPr>
        <w:t xml:space="preserve">عدم الاقتصار على حال الدعاء فيلحق بها غيرها من أحوالها </w:t>
      </w:r>
      <w:r>
        <w:rPr>
          <w:rFonts w:eastAsia="Amiri" w:cs="Amiri" w:ascii="Amiri" w:hAnsi="Amiri"/>
          <w:color w:val="111111"/>
          <w:sz w:val="28"/>
          <w:szCs w:val="28"/>
          <w:rtl w:val="true"/>
          <w:lang w:bidi="ar-SA"/>
        </w:rPr>
        <w:t xml:space="preserve">. </w:t>
      </w:r>
      <w:bookmarkStart w:id="277" w:name="pg15003_159797"/>
    </w:p>
    <w:p>
      <w:pPr>
        <w:pStyle w:val="BookText"/>
        <w:rPr/>
      </w:pPr>
      <w:bookmarkEnd w:id="277"/>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تقيّة ، أمّا الساهي فلا بأس ، كما لا بأس به مع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عدد غير الرباعية من الفرائض والاُوليين منها ، كما تسمعه في محلّه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w:t>
      </w:r>
      <w:r>
        <w:rPr>
          <w:rStyle w:val="FootnoteAnchor"/>
          <w:rtl w:val="true"/>
        </w:rPr>
        <w:footnoteReference w:id="557"/>
      </w:r>
      <w:r>
        <w:rPr>
          <w:rFonts w:ascii="Amiri" w:hAnsi="Amiri" w:eastAsia="Amiri" w:cs="Amiri"/>
          <w:color w:val="111111"/>
          <w:sz w:val="28"/>
          <w:sz w:val="28"/>
          <w:szCs w:val="28"/>
          <w:rtl w:val="true"/>
          <w:lang w:bidi="ar-SA"/>
        </w:rPr>
        <w:t xml:space="preserve">فيها أو نقصانه ، كما عرفته وتعرفه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w:t>
      </w:r>
      <w:r>
        <w:rPr>
          <w:rStyle w:val="FootnoteAnchor"/>
          <w:rtl w:val="true"/>
        </w:rPr>
        <w:footnoteReference w:id="558"/>
      </w:r>
      <w:r>
        <w:rPr>
          <w:rFonts w:ascii="Amiri" w:hAnsi="Amiri" w:eastAsia="Amiri" w:cs="Amiri"/>
          <w:color w:val="111111"/>
          <w:sz w:val="28"/>
          <w:sz w:val="28"/>
          <w:szCs w:val="28"/>
          <w:rtl w:val="true"/>
          <w:lang w:bidi="ar-SA"/>
        </w:rPr>
        <w:t xml:space="preserve">موضع السجود والعبث والبصاق وفرقعة الأصابع والتمطّي والتثاؤب الاختياري والتأوّه والأنين ومدافعة البول والغائط ما لم يصل إلى حدّ الضرر فيحرم حينئذٍ وإن كانت الصلاة صحيحة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قطع الفريضة اختياراً ، بل النافلة أيضاً على الأحوط</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 الفريضة فضلاً عن النافلة للخوف على نفسه أو نفس محترمة أو على عرضه أو ماله المعتدّ به ونحو ذلك ، بل قد يجب قطعها في بعض هذه الأحوال ، لكن لو عصى فلم يقطعها حينئذٍ أثِم وصحّت صلاته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87771_3406789950"/>
      <w:bookmarkStart w:id="279" w:name="_Toc100"/>
      <w:bookmarkEnd w:id="278"/>
      <w:r>
        <w:rPr>
          <w:rtl w:val="true"/>
        </w:rPr>
        <w:t xml:space="preserve">القول </w:t>
      </w:r>
      <w:r>
        <w:rPr>
          <w:rtl w:val="true"/>
        </w:rPr>
        <w:t xml:space="preserve">: </w:t>
      </w:r>
      <w:r>
        <w:rPr>
          <w:rtl w:val="true"/>
        </w:rPr>
        <w:t>في صلاة الآيات</w:t>
      </w:r>
      <w:bookmarkEnd w:id="2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هذه الصلاة كسوف الشمس وخسوف القمر ولو بعضهما ، والزلزلة ، وكلّ آية مخوفة عند غالب الناس ؛ سماوية كانت كالريح السوداء أو </w:t>
      </w:r>
    </w:p>
    <w:p>
      <w:pPr>
        <w:pStyle w:val="BookText"/>
        <w:rPr/>
      </w:pPr>
      <w:r>
        <w:rPr>
          <w:rFonts w:ascii="Amiri" w:hAnsi="Amiri" w:eastAsia="Amiri" w:cs="Amiri"/>
          <w:color w:val="111111"/>
          <w:sz w:val="28"/>
          <w:sz w:val="28"/>
          <w:szCs w:val="28"/>
          <w:rtl w:val="true"/>
          <w:lang w:bidi="ar-SA"/>
        </w:rPr>
        <w:t>الحمراء أو الصفراء الغير المعتادة ، والظلمة الشديدة ، والصيحة والهدّة ، والنار التي تظهر في السماء ، وغير ذلك ، أو أرضية</w:t>
      </w:r>
      <w:r>
        <w:rPr>
          <w:rStyle w:val="FootnoteAnchor"/>
          <w:rtl w:val="true"/>
        </w:rPr>
        <w:footnoteReference w:id="560"/>
      </w:r>
      <w:r>
        <w:rPr>
          <w:rFonts w:ascii="Amiri" w:hAnsi="Amiri" w:eastAsia="Amiri" w:cs="Amiri"/>
          <w:color w:val="111111"/>
          <w:sz w:val="28"/>
          <w:sz w:val="28"/>
          <w:szCs w:val="28"/>
          <w:rtl w:val="true"/>
          <w:lang w:bidi="ar-SA"/>
        </w:rPr>
        <w:t xml:space="preserve">كالخسف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بغير المخوف ولا بخوف النادر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الخوف في الكسوفين والزلزلة ، فتجب الصلاة مطلقاً وإن لم يحصل منها 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المدار في كسوف النيّرين صدق اسمه وإن لم يستند إلى سببيه المتعارفين ؛ من حيلولة الأرض والقمر ، فيكفي انكسافهما ببعض الكواكب الاُخر أو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قليلاً</w:t>
      </w:r>
      <w:r>
        <w:rPr>
          <w:rStyle w:val="FootnoteAnchor"/>
          <w:rtl w:val="true"/>
        </w:rPr>
        <w:footnoteReference w:id="561"/>
      </w:r>
      <w:r>
        <w:rPr>
          <w:rFonts w:ascii="Amiri" w:hAnsi="Amiri" w:eastAsia="Amiri" w:cs="Amiri"/>
          <w:color w:val="111111"/>
          <w:sz w:val="28"/>
          <w:sz w:val="28"/>
          <w:szCs w:val="28"/>
          <w:rtl w:val="true"/>
          <w:lang w:bidi="ar-SA"/>
        </w:rPr>
        <w:t xml:space="preserve">جدّاً بحيث لا يظهر للحواسّ المتعارفة وإن أدركته بعض الحواسّ الخارقة أو بواسطة بعض الآلات المصنوعة فالظاهر عدم الاعتبار به وإن كان مستنداً إلى أحد سببيه المتعارفين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أداء صلاة الكسوفين من حين الشروع إلى تمام الانجلاء ، والأحوط</w:t>
      </w:r>
      <w:r>
        <w:rPr>
          <w:rStyle w:val="FootnoteAnchor"/>
          <w:rtl w:val="true"/>
        </w:rPr>
        <w:footnoteReference w:id="562"/>
      </w:r>
      <w:r>
        <w:rPr>
          <w:rFonts w:ascii="Amiri" w:hAnsi="Amiri" w:eastAsia="Amiri" w:cs="Amiri"/>
          <w:color w:val="111111"/>
          <w:sz w:val="28"/>
          <w:sz w:val="28"/>
          <w:szCs w:val="28"/>
          <w:rtl w:val="true"/>
          <w:lang w:bidi="ar-SA"/>
        </w:rPr>
        <w:t xml:space="preserve">المبادرة إليها قبل الأخذ في الانجلاء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أخّر عنه أتى بها لا بنيّة الأداء والقضاء بل بنيّة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الزلزلة ونحوها ممّا لا تسع وقتها الصلاة غالباً كالهدّة والصيحة فهي من ذوات الأسباب لا الأوقات فتجب حال الآية ، فإن عصى فبعدها طول العمر ، والكلّ 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الوجوب بمن في بلد الآية فلا تجب على غيرهم ، نعم يقوى إلحاق المتّصل بذلك المكان ممّا يعدّ معه كالمكان الواحد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الآية وكذا وقتها ومقدار مكثها بالعلم ، وشهادة العدلين بل </w:t>
      </w:r>
    </w:p>
    <w:p>
      <w:pPr>
        <w:pStyle w:val="BookText"/>
        <w:rPr/>
      </w:pPr>
      <w:r>
        <w:rPr>
          <w:rFonts w:ascii="IRNazanin" w:hAnsi="IRNazanin" w:eastAsia="IRNazanin"/>
          <w:color w:val="111111"/>
          <w:sz w:val="28"/>
          <w:sz w:val="28"/>
          <w:szCs w:val="28"/>
          <w:rtl w:val="true"/>
          <w:lang w:bidi="fa-IR"/>
        </w:rPr>
        <w:t>وبالعدل</w:t>
      </w:r>
      <w:r>
        <w:rPr>
          <w:rStyle w:val="FootnoteAnchor"/>
          <w:rtl w:val="true"/>
        </w:rPr>
        <w:footnoteReference w:id="563"/>
      </w:r>
      <w:r>
        <w:rPr>
          <w:rFonts w:ascii="Amiri" w:hAnsi="Amiri" w:eastAsia="Amiri" w:cs="Amiri"/>
          <w:color w:val="111111"/>
          <w:sz w:val="28"/>
          <w:sz w:val="28"/>
          <w:szCs w:val="28"/>
          <w:rtl w:val="true"/>
          <w:lang w:bidi="ar-SA"/>
        </w:rPr>
        <w:t xml:space="preserve">الواحد ، وإخبار الرصدي الذي يطمئنّ بصدقه أيضاً على الأحوط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هذه الصلاة على كلّ مكلّف ، وفي سقوطها عن الحائض والنفساء كاليومية إشكال</w:t>
      </w:r>
      <w:r>
        <w:rPr>
          <w:rStyle w:val="FootnoteAnchor"/>
          <w:rtl w:val="true"/>
        </w:rPr>
        <w:footnoteReference w:id="564"/>
      </w:r>
      <w:r>
        <w:rPr>
          <w:rFonts w:ascii="Amiri" w:hAnsi="Amiri" w:eastAsia="Amiri" w:cs="Amiri"/>
          <w:color w:val="111111"/>
          <w:sz w:val="28"/>
          <w:sz w:val="28"/>
          <w:szCs w:val="28"/>
          <w:rtl w:val="true"/>
          <w:lang w:bidi="ar-SA"/>
        </w:rPr>
        <w:t xml:space="preserve">، فلا يترك الاحتياط بقضاء ذات الوقت كالكسوفين وأداء غيرها بعد الطهر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يعلم بالكسوف حتّى خرج الوقت الذي هو تمام الانجلاء ولم يحترق جميع القرص لم يجب عليه القضاء ، أمّا إذا علم وأهمل ولو نسياناً أو احترق جميع القرص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الآيات فمع التأخير متعمّداً أو لأجل النسيان يجب الإتيان بها ما دام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بها حتّى مضى الزمان المتّصل بالآية ففي وجوب الصلاة بعد العلم بها إشكال</w:t>
      </w:r>
      <w:r>
        <w:rPr>
          <w:rStyle w:val="FootnoteAnchor"/>
          <w:rtl w:val="true"/>
        </w:rPr>
        <w:footnoteReference w:id="565"/>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جماعة غير عدول بالكسوف ولم يحصل له العلم بصدقهم وبعد مضيّ الوقت تبيّن صدقهم فالظاهر إلحاقه بالجهل ، فلا يجب القضاء مع عدم احتراق القرص ، وكذا لو أخبر شاهدان ولم يعلم عدالتهما ثمّ ثبتت عدالتهما بعد الوقت ، لكن الأحوط القضاء خصوصاً في الصورة الثانية ، بل لا يترك فيها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الآيات ركعتان ، في كلّ واحدة منهما خمس ركوعات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المجموع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يحرم مقارناً للنيّة كما في الفريضة ،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 ثمّ يركع ، ثمّ يرفع رأسه ،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 ثمّ يركع ، ثمّ يرفع رأسه وهكذا حتّى يتمّ خمساً على هذا الترتيب ، ثمّ يسجد سجدتين بعد رفع رأسه من الركوع الخامس ، ثمّ يقوم ويفعل ثانياً كما فعل أوّلاً ، ثمّ يتشهّد ويسلّم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السورة بين كونها متّحدة في الجميع أو متغايرة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تفريق سورة كاملة على الركوعات الخمسة من كلّ ركعة فيقرأ بعد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يقرأ بعدها آية من سورة أو أقلّ أو أكثر ، ثمّ يركع ، ثمّ يرفع رأسه ويقرأ بعضاً آخر من تلك السورة متّصلاً بما قرأه منها أوّلاً ثمّ يركع ، ثمّ يرفع رأسه ويقرأ بعضاً آخر منها كذلك ، وهكذا إلى الركوع الخامس حتّى يتمّ سورة ، ثمّ يركع ، ثمّ يسجد ، ثمّ يقوم إلى الثانية ويصنع كما صنع في الركعة الاُولى ، فيكون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مع سورة تامّة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الاقتصار على بعض سورة في تمام الركعة ، كما أ نّه في صورة تفريق السورة على الركوعات لا يشرع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واحدة في القيام الأوّل بعد التكبيرة إلاّ إذا أكمل السورة في القيام الثاني أو الثالث مثلاً ، فإنّه يجب عليه في القيام اللاحق بعد الركوع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سورة أو بعضها ، وهكذا كلّما ركع عن تمام سورة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منه بخلاف ما لو ركع عن بعضها ، فإنّه يقرأ من حيث قطع ولا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ركع الركوع الخامس عن بعض سورة فسجد ثمّ قام للثانية فالأقوى</w:t>
      </w:r>
      <w:r>
        <w:rPr>
          <w:rStyle w:val="FootnoteAnchor"/>
          <w:rtl w:val="true"/>
        </w:rPr>
        <w:footnoteReference w:id="566"/>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القراءة من حيث قطع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الصلاة هاهنا ما يعتبر في الفريضة من الشرائط وغيرها ؛ من حيث اتّحادها معها في جميع ما عرفته وتعرفه ؛ من واجب وندب في القيام والقعود والركوع والسجود وفي الشرائط وأحكام السهو والشكّ في الزيادة والنقيصة بالنسبة إلى الركعات وغيرها ، فلو شكّ في عدد ركعاتها بطلت كما في كلّ فريضة ثنائية ؛ فإنّها منها وإن اشتملت ركعتها على خمس ركوعات ، ولو نقص ركوعاً منها أو زاده عمداً أو سهواً بطلت صلاته ؛ لأ نّها أركان ، وكذا القيام المتّصل بها على نحو ما تقدّم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ركوعها فكالفريضة أيضاً يأتي به ما دام في المحلّ ويمضي إن خرج عنه ، ولا تبطل صلاته بذلك إلاّ إذا بان له بعد ذلك النقصان أو رجع الشكّ في ذلك إلى الشكّ في الركعات ، كما إذا لم يعلم أ نّه الخامس فيكون آخر الركعة الاُولى أو السادس فيكون أوّل الركعة الثانية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الجهر بالقراءة ليلاً أو نهاراً حتّى صلاة كسوف الشمس ، وأن يكبّر عند كلّ هويّ للركوع وكلّ رفع منه إلاّ في الرفع من الخامس والعاشر ،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فيها التطويل خصوصاً في كسوف الشمس وقراءة السور الطوال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وإكمال السورة في كلّ قيام ، وأن يجلس في مصلاّه مشتغلاً بالدعاء والذكر إلى تمام الانجلاء أو يعيد الصلاة إذا فرغ من الصلاة قبل تمام الانجلاء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فيها أيضاً في كلّ قيام ثان بعد القراءة قنوت ، فيكون في مجموع الركعتين خمس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الاجتزاء بقنوتين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الركوع</w:t>
      </w:r>
      <w:r>
        <w:rPr>
          <w:rStyle w:val="FootnoteAnchor"/>
          <w:rtl w:val="true"/>
        </w:rPr>
        <w:footnoteReference w:id="567"/>
      </w:r>
      <w:bookmarkStart w:id="280" w:name="pg15003_159802"/>
    </w:p>
    <w:p>
      <w:pPr>
        <w:pStyle w:val="BookText"/>
        <w:rPr/>
      </w:pPr>
      <w:bookmarkEnd w:id="280"/>
      <w:r>
        <w:rPr>
          <w:rFonts w:ascii="Amiri" w:hAnsi="Amiri" w:eastAsia="Amiri" w:cs="Amiri"/>
          <w:color w:val="111111"/>
          <w:sz w:val="28"/>
          <w:sz w:val="28"/>
          <w:szCs w:val="28"/>
          <w:rtl w:val="true"/>
          <w:lang w:bidi="ar-SA"/>
        </w:rPr>
        <w:t xml:space="preserve">الخامس والثاني قبل العاشر ، ويجوز الاقتصار على الأخير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الجماعة ، ويتحمّل فيها الإمام عن المأموم القراءة خاصّة كما في اليومية دون غيرها من الأفعال والأقوال ، والأحوط للمأموم الدخول في الجماعة قبل الركوع الأوّل أو فيه من الركعة الاُولى أو الثانية حتّى ينتظم صلاته </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87773_3406789950"/>
      <w:bookmarkStart w:id="282" w:name="_Toc101"/>
      <w:bookmarkEnd w:id="281"/>
      <w:r>
        <w:rPr>
          <w:rtl w:val="true"/>
        </w:rPr>
        <w:t xml:space="preserve">القول </w:t>
      </w:r>
      <w:r>
        <w:rPr>
          <w:rtl w:val="true"/>
        </w:rPr>
        <w:t xml:space="preserve">: </w:t>
      </w:r>
      <w:r>
        <w:rPr>
          <w:rtl w:val="true"/>
        </w:rPr>
        <w:t>في الخلل الواقع في الصلاة</w:t>
      </w:r>
      <w:bookmarkEnd w:id="2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أخلّ بالطهارة من الحدث بطلت صلاته مع العمد والسهو والعلم والجهل ، بخلاف الطهارة من الخبث ، فإنّك قد عرفت تفصيل الحال فيها ، كما عرفت تفصيل الحال في غيرها من الشرائط ، كالوقت والاستقبال والستر وغيرها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أخلّ بشيء من واجبات صلاته عمداً بطلت صلاته ولو حركة من قراءتها وأذكارها الواجبة كما عرفته سابقاً ، وكذا من زاد فيها جزءاً متعمّداً ؛ قولاً أو فعلاً ؛ من غير فرق بين كونه ركناً أو غيره ، بل ولا بين كونه موافقاً لأجزاء الصلاة أو مخالفاً لها ، وإن كان الحكم في المخالف بل وفي غير الجزء الركني لا يخلو من تأمّل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تحقّق الزيادة في غير الأركان الإتيان بالشيء بعنوان أ نّه من الصلاة أو أجزائها ، فليس منها الإتيان بالقراءة والذكر والدعاء في أثنائها إذا لم يأت بها بعنوان أ نّها منها ، فلا بأس بها ما لم يحصل بها المحو للصورة ، كما لا بأس بتخلّل الأفعال المباحة الخارجية كحكّ الجسد ونحوه إذا لم يكن مفوّتاً للموالاة أو ماحياً للصورة كما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زاد ركعة أو ركناً من ركوع أو سجدتين من </w:t>
      </w:r>
    </w:p>
    <w:p>
      <w:pPr>
        <w:pStyle w:val="BookText"/>
        <w:rPr/>
      </w:pPr>
      <w:r>
        <w:rPr>
          <w:rFonts w:ascii="Amiri" w:hAnsi="Amiri" w:eastAsia="Amiri" w:cs="Amiri"/>
          <w:color w:val="111111"/>
          <w:sz w:val="28"/>
          <w:sz w:val="28"/>
          <w:szCs w:val="28"/>
          <w:rtl w:val="true"/>
          <w:lang w:bidi="ar-SA"/>
        </w:rPr>
        <w:t xml:space="preserve">ركعة أو تكبيرة الإحرام سهواً بطلت صلاته على إشكال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زيادة القيام الركني فلا تتحقّق إلاّ مع زيادة الركوع أو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النيّة فبناءً على أ نّها الداعي لا يتصوّر زيادتها ، وعلى القول بالإخطار لا تضرّ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زيادة غير الأركان سهواً فلا تبطل الصلاة وإن أوجبت سجدتي السهو على الأحوط كما سيأتي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نقص شيئاً من واجبات صلاته سهواً ولم يذكره إلاّ بعد تجاوز محلّه ، فإن كان ركناً بطلت صلاته ، وإلاّ فصلاته صحيحة ولا شيء عليه ، إلاّ سجود السهو</w:t>
      </w:r>
      <w:r>
        <w:rPr>
          <w:rStyle w:val="FootnoteAnchor"/>
          <w:rtl w:val="true"/>
        </w:rPr>
        <w:footnoteReference w:id="568"/>
      </w:r>
      <w:r>
        <w:rPr>
          <w:rFonts w:ascii="Amiri" w:hAnsi="Amiri" w:eastAsia="Amiri" w:cs="Amiri"/>
          <w:color w:val="111111"/>
          <w:sz w:val="28"/>
          <w:sz w:val="28"/>
          <w:szCs w:val="28"/>
          <w:rtl w:val="true"/>
          <w:lang w:bidi="ar-SA"/>
        </w:rPr>
        <w:t xml:space="preserve">وقضاء الجزء المنسيّ بعد الفراغ من صلاته إن كان المنسيّ التشهّد أو إحدى السجدتين ، ولا يقضي من الأجزاء المنسيّة غيرهما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ذكر الجزء المنسيّ في محلّه تداركه وإن كان ركناً وأعاد ما فعله ممّا هو مترتّب عليه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بتجاوز المحلّ الدخول في ركن آخر بعده أو كون محلّ إتيان المنسيّ فعلاً خاصّاً ، وقد جاز محلّ ذلك الفعل كالذكر في الركوع والسجود إذا نسيه وتذكّر بعد رفع الرأس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نسي الركوع حتّى دخل في السجدة الثانية أو نسي السجدتين حتّى دخل في الركوع من الركعة الثانية بطلت صلاته ، بخلاف ما لو نسي الركوع وتذكّر قبل أن يدخل في السجدة الاُولى أو نسي السجدتين وتذكّر قبل الركوع رجع وأتى بالمنسيّ وأعاد ما فعله سابقاً ممّا هو مترتّب عليه ، ولو نسي الركوع وتذكّر بعد الإتيان بالسجدة الاُولى الأحوط أن يرجع إلى المنسيّ ويعيد الصلاة بعد 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القراءة والذكر أو بعضهما أو الترتيب فيهما وذكر قبل أن يصل إلى حدّ الراكع تدارك ما نسيه وأعاد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فعله ممّا هو مترتّب بعده ، ومن نسي القيام أو الطمأنينة في الذكر أو القراءة وذكر قبل الركوع ، الأحوط إعادتهما بقصد القربة المطلقة لا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نسي الجهر والإخفات في القراءة ، الظاهر عدم وجوب تلافيهما ، وإن كان الأحوط فيهما التدارك</w:t>
      </w:r>
      <w:r>
        <w:rPr>
          <w:rStyle w:val="FootnoteAnchor"/>
          <w:rtl w:val="true"/>
        </w:rPr>
        <w:footnoteReference w:id="569"/>
      </w:r>
      <w:r>
        <w:rPr>
          <w:rFonts w:ascii="Amiri" w:hAnsi="Amiri" w:eastAsia="Amiri" w:cs="Amiri"/>
          <w:color w:val="111111"/>
          <w:sz w:val="28"/>
          <w:sz w:val="28"/>
          <w:szCs w:val="28"/>
          <w:rtl w:val="true"/>
          <w:lang w:bidi="ar-SA"/>
        </w:rPr>
        <w:t xml:space="preserve">أيضاً بقصد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الانتصاب من الركوع أو الطمأنينة فيه وذكر قبل أن يدخل في السجود انتصب مطمئنّاً</w:t>
      </w:r>
      <w:r>
        <w:rPr>
          <w:rStyle w:val="FootnoteAnchor"/>
          <w:rtl w:val="true"/>
        </w:rPr>
        <w:footnoteReference w:id="570"/>
      </w:r>
      <w:r>
        <w:rPr>
          <w:rFonts w:ascii="Amiri" w:hAnsi="Amiri" w:eastAsia="Amiri" w:cs="Amiri"/>
          <w:color w:val="111111"/>
          <w:sz w:val="28"/>
          <w:sz w:val="28"/>
          <w:szCs w:val="28"/>
          <w:rtl w:val="true"/>
          <w:lang w:bidi="ar-SA"/>
        </w:rPr>
        <w:t xml:space="preserve">ومضى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الذكر في السجود أو الطمأنينة فيه أو وضع أحد المساجد حاله وذكر قبل أن يخرج عن مسمّى السجود أتى بالذكر ، لكن إذا كان المنسيّ الطمأنينة</w:t>
      </w:r>
      <w:r>
        <w:rPr>
          <w:rStyle w:val="FootnoteAnchor"/>
          <w:rtl w:val="true"/>
        </w:rPr>
        <w:footnoteReference w:id="571"/>
      </w:r>
      <w:r>
        <w:rPr>
          <w:rFonts w:ascii="Amiri" w:hAnsi="Amiri" w:eastAsia="Amiri" w:cs="Amiri"/>
          <w:color w:val="111111"/>
          <w:sz w:val="28"/>
          <w:sz w:val="28"/>
          <w:szCs w:val="28"/>
          <w:rtl w:val="true"/>
          <w:lang w:bidi="ar-SA"/>
        </w:rPr>
        <w:t xml:space="preserve">يأتي به بقصد القربة المطلقة لا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ذكر بعد رفع الرأس من السجود فقد جاز محلّ تدارك المنسيّ فيمضي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الانتصاب من السجود الأوّل أو الطمأنينة فيه وذكر قبل الدخول في مسمّى السجود الثاني انتصب مطمئنّاً ومضى في صلاته ، بخلاف ما لو ذكر بعد الدخول في السجود الثاني فإنّه قد جاز محلّ تداركه فيمضي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السجدة الواحدة أو التشهّد أو بعضه وذكر قبل الوصول إلى حدّ الراكع أو قبل التسليم إذا كان المنسيّ السجدة الأخيرة أو التشهّد الأخير يتدارك المنسيّ ، ويعيد ما فعله ممّا هو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نسي سجدة واحدة أو التشهّد من الركعة الأخيرة وذكر بعد التسليم ، فإن كان بعد فعل ما يبطل الصلاة عمداً وسهواً كالحدث ، فقد جاز محلّ الرجوع والتدارك وإنّما عليه قضاء المنسيّ وسجدتا </w:t>
      </w:r>
    </w:p>
    <w:p>
      <w:pPr>
        <w:pStyle w:val="BookText"/>
        <w:rPr/>
      </w:pPr>
      <w:r>
        <w:rPr>
          <w:rFonts w:ascii="Amiri" w:hAnsi="Amiri" w:eastAsia="Amiri" w:cs="Amiri"/>
          <w:color w:val="111111"/>
          <w:sz w:val="28"/>
          <w:sz w:val="28"/>
          <w:szCs w:val="28"/>
          <w:rtl w:val="true"/>
          <w:lang w:bidi="ar-SA"/>
        </w:rPr>
        <w:t>السهو كما يأتي ، وأمّا إن كان قبل ذلك فالأحوط في صورة نسيان السجدة الإتيان بها من دون تعيين للأداء والقضاء ثمّ التشهّد ثمّ التسليم احتياطاً</w:t>
      </w:r>
      <w:r>
        <w:rPr>
          <w:rStyle w:val="FootnoteAnchor"/>
          <w:rtl w:val="true"/>
        </w:rPr>
        <w:footnoteReference w:id="572"/>
      </w:r>
      <w:r>
        <w:rPr>
          <w:rFonts w:ascii="Amiri" w:hAnsi="Amiri" w:eastAsia="Amiri" w:cs="Amiri"/>
          <w:color w:val="111111"/>
          <w:sz w:val="28"/>
          <w:sz w:val="28"/>
          <w:szCs w:val="28"/>
          <w:rtl w:val="true"/>
          <w:lang w:bidi="ar-SA"/>
        </w:rPr>
        <w:t xml:space="preserve">، وفي صورة نسيان التشهّد الإتيان به كذلك ثمّ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التسليم وذكره قبل حصول ما يبطل الصلاة عمداً وسهواً تداركه ، فإن لم يتداركه ولا تدارك ما ذكرناه ممّا ذكره في المحلّ بطلت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فذكرها بعد التشهّد قبل التسليم قام وأتى بها ، ولو ذكرها بعد التسليم قبل فعل ما يبطل سهواً قام وأتمّ ، ولو ذكرها بعده استأنف الصلاة من رأس ، من غير فرق بين الرباعية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نسي أكثر من ركعة ، وكذا يستأنف لو زاد ركعة قبل التسليم بعد التشهّد أو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إجمالاً قبل أن يدخل في الركوع</w:t>
      </w:r>
      <w:r>
        <w:rPr>
          <w:rStyle w:val="FootnoteAnchor"/>
          <w:rtl w:val="true"/>
        </w:rPr>
        <w:footnoteReference w:id="573"/>
      </w:r>
      <w:r>
        <w:rPr>
          <w:rFonts w:ascii="Amiri" w:hAnsi="Amiri" w:eastAsia="Amiri" w:cs="Amiri"/>
          <w:color w:val="111111"/>
          <w:sz w:val="28"/>
          <w:sz w:val="28"/>
          <w:szCs w:val="28"/>
          <w:rtl w:val="true"/>
          <w:lang w:bidi="ar-SA"/>
        </w:rPr>
        <w:t xml:space="preserve">إمّا بفوات سجدتين من الركعة السابقة أو القراءة من هذه الركعة يكتفي بالإتيان بالقراءة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له العلم الإجمالي المذكور بعد الإتيان بالقنوت</w:t>
      </w:r>
      <w:r>
        <w:rPr>
          <w:rStyle w:val="FootnoteAnchor"/>
          <w:rtl w:val="true"/>
        </w:rPr>
        <w:footnoteReference w:id="574"/>
      </w:r>
      <w:r>
        <w:rPr>
          <w:rFonts w:ascii="Amiri" w:hAnsi="Amiri" w:eastAsia="Amiri" w:cs="Amiri"/>
          <w:color w:val="111111"/>
          <w:sz w:val="28"/>
          <w:sz w:val="28"/>
          <w:szCs w:val="28"/>
          <w:rtl w:val="true"/>
          <w:lang w:bidi="ar-SA"/>
        </w:rPr>
        <w:t xml:space="preserve">يجب عليه العود لتداركهما وصحّت صلاته على الأقوى ، والاحتياط مع ذلك بإعادة الصلاة لا ينبغي تركه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الفراغ أ نّه ترك سجدتين ولم يدر أ نّهما من ركعة </w:t>
      </w:r>
      <w:bookmarkStart w:id="283" w:name="pg15003_159806"/>
    </w:p>
    <w:p>
      <w:pPr>
        <w:pStyle w:val="BookText"/>
        <w:rPr/>
      </w:pPr>
      <w:bookmarkEnd w:id="283"/>
      <w:r>
        <w:rPr>
          <w:rFonts w:ascii="Amiri" w:hAnsi="Amiri" w:eastAsia="Amiri" w:cs="Amiri"/>
          <w:color w:val="111111"/>
          <w:sz w:val="28"/>
          <w:sz w:val="28"/>
          <w:szCs w:val="28"/>
          <w:rtl w:val="true"/>
          <w:lang w:bidi="ar-SA"/>
        </w:rPr>
        <w:t>أو ركعتين فالأحوط</w:t>
      </w:r>
      <w:r>
        <w:rPr>
          <w:rStyle w:val="FootnoteAnchor"/>
          <w:rtl w:val="true"/>
        </w:rPr>
        <w:footnoteReference w:id="575"/>
      </w:r>
      <w:r>
        <w:rPr>
          <w:rFonts w:ascii="Amiri" w:hAnsi="Amiri" w:eastAsia="Amiri" w:cs="Amiri"/>
          <w:color w:val="111111"/>
          <w:sz w:val="28"/>
          <w:sz w:val="28"/>
          <w:szCs w:val="28"/>
          <w:rtl w:val="true"/>
          <w:lang w:bidi="ar-SA"/>
        </w:rPr>
        <w:t xml:space="preserve">أن يأتي بقضاء سجدتين ثمّ الإتيان بسجدتي السهو مرّتين ثمّ إعادة الصلاة ، وكذا إذا كان في الأثناء وكان بعد الدخول في الركوع ؛ فإنّ الأحوط إتمام الصلاة ثمّ إعادتها بعد قضاء سجدتين والإتيان بسجدتي السهو مرّتين ، ولكنّ الأقوى جواز الاكتفاء بالإعادة في الصورتين ، وأمّا لو كان في الأثناء وقبل الدخول في الركوع فله صور لا يسع هذا المختصر تفصيلها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 القيام إلى الثالثة أ نّه ترك التشهّد ، ولا يدري أ نّه ترك السجدة أيضاً أم لا ، الأحوط</w:t>
      </w:r>
      <w:r>
        <w:rPr>
          <w:rStyle w:val="FootnoteAnchor"/>
          <w:rtl w:val="true"/>
        </w:rPr>
        <w:footnoteReference w:id="576"/>
      </w:r>
      <w:r>
        <w:rPr>
          <w:rFonts w:ascii="Amiri" w:hAnsi="Amiri" w:eastAsia="Amiri" w:cs="Amiri"/>
          <w:color w:val="111111"/>
          <w:sz w:val="28"/>
          <w:sz w:val="28"/>
          <w:szCs w:val="28"/>
          <w:rtl w:val="true"/>
          <w:lang w:bidi="ar-SA"/>
        </w:rPr>
        <w:t xml:space="preserve">الإتيان بالسجدة ثمّ التشهّد وإتمام الصلاة ثمّ إعادتها </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87775_3406789950"/>
      <w:bookmarkStart w:id="285" w:name="_Toc102"/>
      <w:bookmarkEnd w:id="284"/>
      <w:r>
        <w:rPr>
          <w:rtl w:val="true"/>
        </w:rPr>
        <w:t xml:space="preserve">القول </w:t>
      </w:r>
      <w:r>
        <w:rPr>
          <w:rtl w:val="true"/>
        </w:rPr>
        <w:t xml:space="preserve">: </w:t>
      </w:r>
      <w:r>
        <w:rPr>
          <w:rtl w:val="true"/>
        </w:rPr>
        <w:t>في الشكّ</w:t>
      </w:r>
      <w:bookmarkEnd w:id="285"/>
    </w:p>
    <w:p>
      <w:pPr>
        <w:pStyle w:val="BookText"/>
        <w:rPr/>
      </w:pPr>
      <w:r>
        <w:rPr>
          <w:rFonts w:ascii="Amiri" w:hAnsi="Amiri" w:eastAsia="Amiri" w:cs="Amiri"/>
          <w:color w:val="111111"/>
          <w:sz w:val="28"/>
          <w:sz w:val="28"/>
          <w:szCs w:val="28"/>
          <w:rtl w:val="true"/>
          <w:lang w:bidi="ar-SA"/>
        </w:rPr>
        <w:t xml:space="preserve">وهو إمّا في أصل الصلاة وإمّا في أجزائها وإمّا في ركعاتها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الصلاة فلم يدر أ نّه صلّى أم لا ، فإن كان بعد مضيّ الوقت لم يلتفت وبنى على الإتيان بها وإن كان في أثنائه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بالإتيان وعدمه هنا حكمه حكم الشكّ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صلّى العصر ولم يدر أ نّه صلّى الظهر أيضاً أم لا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الإتيان بها حتّى فيما لو لم يبق من الوقت إلاّ مقدار الاختصاص 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يبق إلاّ هذا المقدار وعلم بعد الإتيان </w:t>
      </w:r>
    </w:p>
    <w:p>
      <w:pPr>
        <w:pStyle w:val="BookText"/>
        <w:rPr/>
      </w:pPr>
      <w:r>
        <w:rPr>
          <w:rFonts w:ascii="Amiri" w:hAnsi="Amiri" w:eastAsia="Amiri" w:cs="Amiri"/>
          <w:color w:val="111111"/>
          <w:sz w:val="28"/>
          <w:sz w:val="28"/>
          <w:szCs w:val="28"/>
          <w:rtl w:val="true"/>
          <w:lang w:bidi="ar-SA"/>
        </w:rPr>
        <w:t>بالعصر أو شكّ فيه</w:t>
      </w:r>
      <w:r>
        <w:rPr>
          <w:rStyle w:val="FootnoteAnchor"/>
          <w:rtl w:val="true"/>
        </w:rPr>
        <w:footnoteReference w:id="577"/>
      </w:r>
      <w:r>
        <w:rPr>
          <w:rFonts w:ascii="Amiri" w:hAnsi="Amiri" w:eastAsia="Amiri" w:cs="Amiri"/>
          <w:color w:val="111111"/>
          <w:sz w:val="28"/>
          <w:sz w:val="28"/>
          <w:szCs w:val="28"/>
          <w:rtl w:val="true"/>
          <w:lang w:bidi="ar-SA"/>
        </w:rPr>
        <w:t xml:space="preserve">، وكان شاكّاً في الإتيان بالظهر أتى بالعصر وجرى حكم الشكّ بعد الوقت في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بقاء الوقت وعدمه يلحقه حكم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أثناء صلاة العصر في أ نّه صلّى الظهر أم لا ، فإن كان في وقت اختصاص العصر بنى على الإتيان بالظهر وإن كان في الوقت المشترك بنى على عدم الإتيان بها ، فيعدل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 نّه صلّى إحدى الصلاتين من الظهر أو العصر ولم يدر المعيّن منهما ، فإن كان في وقت الاختصاص بالعصر يأتي به ويبني</w:t>
      </w:r>
      <w:r>
        <w:rPr>
          <w:rStyle w:val="FootnoteAnchor"/>
          <w:rtl w:val="true"/>
        </w:rPr>
        <w:footnoteReference w:id="578"/>
      </w:r>
      <w:r>
        <w:rPr>
          <w:rFonts w:ascii="Amiri" w:hAnsi="Amiri" w:eastAsia="Amiri" w:cs="Amiri"/>
          <w:color w:val="111111"/>
          <w:sz w:val="28"/>
          <w:sz w:val="28"/>
          <w:szCs w:val="28"/>
          <w:rtl w:val="true"/>
          <w:lang w:bidi="ar-SA"/>
        </w:rPr>
        <w:t xml:space="preserve">على الإتيان بالظهر ، وإن كان في الوقت المشترك أتى بأربع ركعات بقصد ما في الذمّة ، ولو علم أ نّه صلّى إحدى العشاءين ففي وقت الاختصاص بالعشاء يبني على الإتيان بالمغرب ويأتي بالعشاء ، وفي الوقت المشترك يأتي بالصلاتين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يلتفت بالشكّ في الصلاة بعد الوقت ويبني على إتيانها فيما إذا كان حدوثه بعده ، فإذا شكّ فيها في أثناء الوقت ونسي الإتيان بها حتّى خرج الوقت وجب قضاؤها وإن كان شاكّاً فعلاً في إتيانها في الوقت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واعتقد أ نّه خارج الوقت ثمّ تبيّن بعد الوقت أنّ شكّه كان في أثناء الوقت ، يجب عليه قضاؤها بخلاف العكس ؛ بأن اعتقد حال الشكّ أ نّه </w:t>
      </w:r>
      <w:bookmarkStart w:id="286" w:name="pg15003_159808"/>
    </w:p>
    <w:p>
      <w:pPr>
        <w:pStyle w:val="BookText"/>
        <w:rPr/>
      </w:pPr>
      <w:bookmarkEnd w:id="286"/>
      <w:r>
        <w:rPr>
          <w:rFonts w:ascii="Amiri" w:hAnsi="Amiri" w:eastAsia="Amiri" w:cs="Amiri"/>
          <w:color w:val="111111"/>
          <w:sz w:val="28"/>
          <w:sz w:val="28"/>
          <w:szCs w:val="28"/>
          <w:rtl w:val="true"/>
          <w:lang w:bidi="ar-SA"/>
        </w:rPr>
        <w:t xml:space="preserve">في الوقت فترك الإتيان بها عمداً أو سهواً ثمّ تبيّن أ نّه كان خارج الوقت ، فليس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كثير الشكّ في الإتيان بالصلاة وعدمه حكم غيره ، فيجري فيه التفصيل بين كونه في الوقت وخارجه ، نعم في الوسواسي الظاهر أ نّه يبني على الإتيان بها وإن كان في الوقت </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87777_3406789950"/>
      <w:bookmarkStart w:id="288" w:name="_Toc103"/>
      <w:bookmarkEnd w:id="287"/>
      <w:r>
        <w:rPr>
          <w:rtl w:val="true"/>
        </w:rPr>
        <w:t xml:space="preserve">القول </w:t>
      </w:r>
      <w:r>
        <w:rPr>
          <w:rtl w:val="true"/>
        </w:rPr>
        <w:t xml:space="preserve">: </w:t>
      </w:r>
      <w:r>
        <w:rPr>
          <w:rtl w:val="true"/>
        </w:rPr>
        <w:t>في الشكّ في شيء من أفعال الصلاة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شيء من أفعال الصلاة ؛ فإن كان قبل الدخول في غيره ممّا هو مترتّب عليه وجب الإتيان به ، كما إذا شكّ في تكبيرة الإحرام قبل أن يدخل في القراءة ،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في السورة ، أو فيها قبل الركوع ، أو فيه قبل الهويّ إلى السجود ، أو فيه ولم يدخل في القيام أو التشهّد ، وإن كان بعد الدخول في غيره ممّا هو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وبنى على الإتيان به ؛ من غير فرق بين الاُوليين والأخيرتين ، فحينئذٍ لا يلتفت إلى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في السورة ، ولا إلى السورة وهو في القنوت ، ولا إلى الركوع أو الانتصاب وهو في الهويّ للسجود ، ولا إلى السجود وهو قائم أو في التشهّد ، ولا إلى التشهّد وهو قائم ، نعم يجب تداركه</w:t>
      </w:r>
      <w:r>
        <w:rPr>
          <w:rStyle w:val="FootnoteAnchor"/>
          <w:rtl w:val="true"/>
        </w:rPr>
        <w:footnoteReference w:id="579"/>
      </w:r>
      <w:r>
        <w:rPr>
          <w:rFonts w:ascii="Amiri" w:hAnsi="Amiri" w:eastAsia="Amiri" w:cs="Amiri"/>
          <w:color w:val="111111"/>
          <w:sz w:val="28"/>
          <w:sz w:val="28"/>
          <w:szCs w:val="28"/>
          <w:rtl w:val="true"/>
          <w:lang w:bidi="ar-SA"/>
        </w:rPr>
        <w:t xml:space="preserve">لو شكّ فيه وهو آخذ في القيام ، وكذلك السجود لو شكّ فيه كذلك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يلتفت إلى الشكّ بعد الدخول في الغير ويبني على الإتيان </w:t>
      </w:r>
    </w:p>
    <w:p>
      <w:pPr>
        <w:pStyle w:val="BookText"/>
        <w:rPr/>
      </w:pPr>
      <w:r>
        <w:rPr>
          <w:rFonts w:ascii="Amiri" w:hAnsi="Amiri" w:eastAsia="Amiri" w:cs="Amiri"/>
          <w:color w:val="111111"/>
          <w:sz w:val="28"/>
          <w:sz w:val="28"/>
          <w:szCs w:val="28"/>
          <w:rtl w:val="true"/>
          <w:lang w:bidi="ar-SA"/>
        </w:rPr>
        <w:t xml:space="preserve">بالمشكوك إذا كان من الأجزاء المستقلّة كالأمثلة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جريان الحكم في جزء الجزء ، كما إذا شكّ في أوّل السورة وهو في آخرها ، أو في الآية وهو في الآية المتأخّرة ، أو في أوّل الآية وهو في آخرها ، فالأحوط</w:t>
      </w:r>
      <w:r>
        <w:rPr>
          <w:rStyle w:val="FootnoteAnchor"/>
          <w:rtl w:val="true"/>
        </w:rPr>
        <w:footnoteReference w:id="580"/>
      </w:r>
      <w:r>
        <w:rPr>
          <w:rFonts w:ascii="Amiri" w:hAnsi="Amiri" w:eastAsia="Amiri" w:cs="Amiri"/>
          <w:color w:val="111111"/>
          <w:sz w:val="28"/>
          <w:sz w:val="28"/>
          <w:szCs w:val="28"/>
          <w:rtl w:val="true"/>
          <w:lang w:bidi="ar-SA"/>
        </w:rPr>
        <w:t xml:space="preserve">في هذه الصور الإتيان بالمشكوك بقصد القربة المطلقة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صحّة الواقع وفساده لا في أصل الوقوع لم يلتفت وإن كان في المحلّ ، لكن الاحتياط في الصورة الثانية لا ينبغي تركه ، بل لا يترك</w:t>
      </w:r>
      <w:r>
        <w:rPr>
          <w:rStyle w:val="FootnoteAnchor"/>
          <w:rtl w:val="true"/>
        </w:rPr>
        <w:footnoteReference w:id="581"/>
      </w:r>
      <w:r>
        <w:rPr>
          <w:rFonts w:ascii="Amiri" w:hAnsi="Amiri" w:eastAsia="Amiri" w:cs="Amiri"/>
          <w:color w:val="111111"/>
          <w:sz w:val="28"/>
          <w:sz w:val="28"/>
          <w:szCs w:val="28"/>
          <w:rtl w:val="true"/>
          <w:lang w:bidi="ar-SA"/>
        </w:rPr>
        <w:t xml:space="preserve">بإعادة القراءة أو الذكر بنيّة القربة المطلقة ، وفي مثل الركوع والسجود بإتمام الصلاة ثمّ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التسليم لم يلتفت إذا كان قد دخل فيما هو مترتّب على الفراغ من التعقيب ونحوه ، أو في بعض المنافيات ، أو نحو ذلك ممّا لا يفعله المسلّم إلاّ بعد الفراغ ، كما أنّ المأموم إذا شكّ في التكبير وقد كان في هيئة المصلّي</w:t>
      </w:r>
      <w:r>
        <w:rPr>
          <w:rStyle w:val="FootnoteAnchor"/>
          <w:rtl w:val="true"/>
        </w:rPr>
        <w:footnoteReference w:id="582"/>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الإنصات ووضع اليدين على الفخذين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مشكوك أتى به لأ نّه في المحلّ ثمّ ذكر أ نّه فعله ، فإنّه لا يبطل الصلاة إلاّ أن يكون ركناً ، كما أ نّه لا يبطل أيضاً إذا لم يأت به ؛ لأ نّه خرج عن المحلّ فبان عدم فعله ما لم يكن ركناً بعد أن لا يمكن تداركه ؛ بأن </w:t>
      </w:r>
      <w:bookmarkStart w:id="289" w:name="pg15003_159810"/>
    </w:p>
    <w:p>
      <w:pPr>
        <w:pStyle w:val="BookText"/>
        <w:rPr/>
      </w:pPr>
      <w:bookmarkEnd w:id="289"/>
      <w:r>
        <w:rPr>
          <w:rFonts w:ascii="Amiri" w:hAnsi="Amiri" w:eastAsia="Amiri" w:cs="Amiri"/>
          <w:color w:val="111111"/>
          <w:sz w:val="28"/>
          <w:sz w:val="28"/>
          <w:szCs w:val="28"/>
          <w:rtl w:val="true"/>
          <w:lang w:bidi="ar-SA"/>
        </w:rPr>
        <w:t xml:space="preserve">كان داخلاً في ركن آخر وإلاّ تداركه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وهو في فعل أ نّه هل شكّ في بعض الأفعال المتقدّمة عليه سابقاً أم لا ، 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شكّ أ نّه هل سها كذلك أو لا ، بل 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السهو وعدمه وكان في محلّ يتلافى فيه المشكوك أتى به </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87779_3406789950"/>
      <w:bookmarkStart w:id="291" w:name="_Toc104"/>
      <w:bookmarkEnd w:id="290"/>
      <w:r>
        <w:rPr>
          <w:rtl w:val="true"/>
        </w:rPr>
        <w:t xml:space="preserve">القول </w:t>
      </w:r>
      <w:r>
        <w:rPr>
          <w:rtl w:val="true"/>
        </w:rPr>
        <w:t xml:space="preserve">: </w:t>
      </w:r>
      <w:r>
        <w:rPr>
          <w:rtl w:val="true"/>
        </w:rPr>
        <w:t>في الشكّ في عدد ركعات الفريضة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للشكّ المزبور بمجرّد حصوله إن زال بعد ذلك ، بل بعد استقراره ، فحينئذٍ يكون مفسداً للثنائية والثلاثية والاُوليين من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في صور مخصوصة منها بعد إحراز الاُوليين منها الحاصل برفع الرأس من السجدة الأخيرة ، وأمّا مع إكمال الذكر الواجب فيها فالأحوط</w:t>
      </w:r>
      <w:r>
        <w:rPr>
          <w:rStyle w:val="FootnoteAnchor"/>
          <w:rtl w:val="true"/>
        </w:rPr>
        <w:footnoteReference w:id="583"/>
      </w:r>
      <w:r>
        <w:rPr>
          <w:rFonts w:ascii="Amiri" w:hAnsi="Amiri" w:eastAsia="Amiri" w:cs="Amiri"/>
          <w:color w:val="111111"/>
          <w:sz w:val="28"/>
          <w:sz w:val="28"/>
          <w:szCs w:val="28"/>
          <w:rtl w:val="true"/>
          <w:lang w:bidi="ar-SA"/>
        </w:rPr>
        <w:t xml:space="preserve">معه البناء ثمّ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من الصور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الاثنين والثلاث بعد إكمال السجدتين ، فإنّه يبني على الثلاث ويأتي بالرابعة ويتمّ صلاته ثمّ يحتاط بركعة من قيام أو ركعتين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الجمع بينهما مع تقديم ركعة القيام ثمّ استئناف الصلاة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في أيّ موضع كان ، فإنّه يبني على الأربع ، وحكمه كالسابق حتّى في الاحتياط إلاّ في تقديم الركعة من قيام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والأربع بعد إكمال السجدتين ، فإنّه يبني على الأربع ويتمّ صلاته ، ثمّ يحتاط بركعتين من قيام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والأربع بعد إكمال السجدتين ، فإنّه يبني على الأربع ويتمّ صلاته ثمّ يحتاط بركعتين من قيام وركعتين من جلوس ، والأحوط بل الأقوى تأخير الركعتين من 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وله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الرأس من السجدة الأخيرة ، فيبني على الأربع ويتشهّد ويسلّم ثمّ يسجد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القيام ، فيهدم ويجلس ويرجع شكّه</w:t>
      </w:r>
      <w:r>
        <w:rPr>
          <w:rStyle w:val="FootnoteAnchor"/>
          <w:rtl w:val="true"/>
        </w:rPr>
        <w:footnoteReference w:id="584"/>
      </w:r>
      <w:r>
        <w:rPr>
          <w:rFonts w:ascii="Amiri" w:hAnsi="Amiri" w:eastAsia="Amiri" w:cs="Amiri"/>
          <w:color w:val="111111"/>
          <w:sz w:val="28"/>
          <w:sz w:val="28"/>
          <w:szCs w:val="28"/>
          <w:rtl w:val="true"/>
          <w:lang w:bidi="ar-SA"/>
        </w:rPr>
        <w:t xml:space="preserve">إلى ما بين الثلاث والأربع ، فيتمّ صلاته ثمّ يحتاط بركعة من قيام أو ركعتين من 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والخمس حال القيام ، فإنّه يهدم ويرجع شكّه إلى ما بين الاثنتين والأربع فيتمّ صلاته ويعمل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والخمس حال القيام ، فإنّه يهدم القيام ويرجع شكّه إلى الشكّ بين الاثنتين والثلاث والأربع ، فيتمّ صلاته ويعمل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والستّ حال القيام ، يهدم القيام ويرجع شكّه إلى ما بين الأربع والخمس ، فيتمّ ويسجد سجدتي السهو مرّتين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في الصور الأربع المتأخّرة استئناف الصلاة من رأس مع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 أو بين الثلاث والخمس ، أو بين الثلاث والأربع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 نّه ترك سجدة أو سجدتين من الركعة السابقة بطلت الصلاة ؛ لأ نّه يجب عليه</w:t>
      </w:r>
      <w:r>
        <w:rPr>
          <w:rStyle w:val="FootnoteAnchor"/>
          <w:rtl w:val="true"/>
        </w:rPr>
        <w:footnoteReference w:id="586"/>
      </w:r>
      <w:r>
        <w:rPr>
          <w:rFonts w:ascii="Amiri" w:hAnsi="Amiri" w:eastAsia="Amiri" w:cs="Amiri"/>
          <w:color w:val="111111"/>
          <w:sz w:val="28"/>
          <w:sz w:val="28"/>
          <w:szCs w:val="28"/>
          <w:rtl w:val="true"/>
          <w:lang w:bidi="ar-SA"/>
        </w:rPr>
        <w:t xml:space="preserve">الهدم لتدارك السجدة أو السجدتين ، فيرجع شكّه إلى ما قبل الإكمال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الشكوك المعتبر فيها إكمال السجدتين إذا شكّ في الإكمال وعدمه ، فإن كان حال الجلوس قبل القيام أو التشهّد بطلت الصلاة ؛ لأ نّه محكوم بعدم الإتيان بالسجدتين أو إحداهما فيكون قبل الإكمال ، وإن كان بعد تجاوز المحلّ لم تبطل</w:t>
      </w:r>
      <w:r>
        <w:rPr>
          <w:rStyle w:val="FootnoteAnchor"/>
          <w:rtl w:val="true"/>
        </w:rPr>
        <w:footnoteReference w:id="587"/>
      </w:r>
      <w:r>
        <w:rPr>
          <w:rFonts w:ascii="Amiri" w:hAnsi="Amiri" w:eastAsia="Amiri" w:cs="Amiri"/>
          <w:color w:val="111111"/>
          <w:sz w:val="28"/>
          <w:sz w:val="28"/>
          <w:szCs w:val="28"/>
          <w:rtl w:val="true"/>
          <w:lang w:bidi="ar-SA"/>
        </w:rPr>
        <w:t xml:space="preserve">؛ لأ نّه محكوم بالإتيان شرعاً فيكون بعد الإكمال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الركعات ما عدا الصور المزبورة موجب للبطلان ، نعم لا يبعد الصحّة</w:t>
      </w:r>
      <w:r>
        <w:rPr>
          <w:rStyle w:val="FootnoteAnchor"/>
          <w:rtl w:val="true"/>
        </w:rPr>
        <w:footnoteReference w:id="588"/>
      </w:r>
      <w:r>
        <w:rPr>
          <w:rFonts w:ascii="Amiri" w:hAnsi="Amiri" w:eastAsia="Amiri" w:cs="Amiri"/>
          <w:color w:val="111111"/>
          <w:sz w:val="28"/>
          <w:sz w:val="28"/>
          <w:szCs w:val="28"/>
          <w:rtl w:val="true"/>
          <w:lang w:bidi="ar-SA"/>
        </w:rPr>
        <w:t xml:space="preserve">فيما كان الطرف الأقلّ أربعاً وكان بعد إكمال السجدتين فيبني عليها وينفي الزائد ويتمّ الصلاة ثمّ يأتي بسجدتي السهو ، كما في الشكّ بين الأربع والخمس ، بل وكذلك فيما إذا شكّ بين الأربع والأقلّ منها والأكثر وكان بعد إكمال السجدتين ، كما إذا شكّ بين الثلاث والأربع والستّ ، فلا يبعد أن يعمل عمل الشكّ بين الثلاث والأربع وعمل الشكّ بين الأربع والخمس فيبني على الأربع ويأتي بصلاة الاحتياط ، ثمّ يسجد سجدتي السهو ، والاحتياط مع ذلك بالإعادة لا ينبغي تركه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شكّ سابقاً بين الاثنتين والثلاث ولا يدري أ نّه كان قبل إكمال السجدتين أو بعده بنى على الثاني</w:t>
      </w:r>
      <w:r>
        <w:rPr>
          <w:rStyle w:val="FootnoteAnchor"/>
          <w:rtl w:val="true"/>
        </w:rPr>
        <w:footnoteReference w:id="589"/>
      </w:r>
      <w:r>
        <w:rPr>
          <w:rFonts w:ascii="Amiri" w:hAnsi="Amiri" w:eastAsia="Amiri" w:cs="Amiri"/>
          <w:color w:val="111111"/>
          <w:sz w:val="28"/>
          <w:sz w:val="28"/>
          <w:szCs w:val="28"/>
          <w:rtl w:val="true"/>
          <w:lang w:bidi="ar-SA"/>
        </w:rPr>
        <w:t xml:space="preserve">وعمل عمله ، وكذا إذا كان ذلك بعد الفراغ من الصلاة ، والأحوط البناء وعمل الشكّ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بعد الفراغ أنّ شكّه كان موجباً لركعة أو ركعتين ، فالأحوط الإتيان بهما ثمّ إعادة الصلاة ، وكذا لو لم يدر أ نّه أيّ شكّ كان من الشكوك الصحيحة ، فإنّه يعيد الصلاة بعد الإتيان بموجب الجميع ، ويحصل ذلك بالإتيان بركعتين من قيام وركعتين من جلوس وسجود السهو ، وإن لم ينحصر المحتملات في الشكوك الصحيحة ، بل احتمل بعض الوجوه الباطلة استأنف الصلاة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له أحد الشكوك ولم يعلم الوظيفة ، فإن لم يسع الوقت أو لم يتمكّن من التعلّم في الوقت تعيّن عليه العمل على الراجح من المحتملات لو كان ، أو أحدها لو لم يكن ويتمّ صلاته ، وإذا تبيّن له بعد ذلك أنّ العمل مخالف للواقع استأنف الصلاة ولو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اتّسع الوقت وتمكّن من التعلّم في الوقت يقطع الصلاة وإن جاز له إتمام العمل على طبق بعض المحتملات ثمّ التعلّم ، فإن كان موافقاً اكتفى به وإلاّ أعاد ؛ وإن كان الأحوط الإعادة حتّى مع الموافقة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انقلب شكّه بعد الفراغ إلى شكّ آخر ، كما إذا شكّ بين الاثنتين والأربع وبعد الصلاة انقلب إلى الثلاث والأربع ، أو شكّ بين الاثنتين والثلاث والأربع فانقلب إلى الثلاث والأربع صحّت صلاته</w:t>
      </w:r>
      <w:r>
        <w:rPr>
          <w:rStyle w:val="FootnoteAnchor"/>
          <w:rtl w:val="true"/>
        </w:rPr>
        <w:footnoteReference w:id="591"/>
      </w:r>
      <w:r>
        <w:rPr>
          <w:rFonts w:ascii="Amiri" w:hAnsi="Amiri" w:eastAsia="Amiri" w:cs="Amiri"/>
          <w:color w:val="111111"/>
          <w:sz w:val="28"/>
          <w:sz w:val="28"/>
          <w:szCs w:val="28"/>
          <w:rtl w:val="true"/>
          <w:lang w:bidi="ar-SA"/>
        </w:rPr>
        <w:t xml:space="preserve">ولا شيء عليه ، وإن كان الأحوط عمل الشكّ الثاني خصوصاً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ينقلب إلى ما يعلم معه بالنقيصة كالمثالين المذكورين ، وأمّا إذا انقلب إلى ذلك ، كما إذا شكّ بين الاثنتين والأربع ثمّ انقلب بعد الصلاة إلى الاثنتين والثلاث ، فلا شكّ في أنّ اللازم أن يعمل عمل الشكّ المنقلب إليه لتبيّن كونه في الصلاة وأنّ السلام وقع في غير محلّه ، فيضيف إلى عمل الشكّ الثاني سجدتي السهو للسلام في غير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الاثنتين والثلاث فبنى على الثلاث ثمّ شكّ بين الثلاث البنائي والأربع ، فالظاهر انقلاب شكّه إلى الشكّ بين الاثنتين والثلاث والأربع فيعمل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بين الاثنتين والثلاث فبنى على الثلاث ، فلمّا أتى بالرابعة تيقّن أ نّه حين الشكّ لم يأت بالثلاثة ، لكن يشكّ في أ نّه في ذلك الحين أتى بركعة أو ركعتين ، يرجع شكّه بالنسبة إلى حاله الفعلي بين الاثنتين والثلاث فيعمل عمله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عاجزاً عن القيام وعرض له أحد الشكوك الصحيحة ، فالظاهر أنّ صلاته الاحتياطية القيامية تصير جلوسية ، وما كانت جلوسية بالتعيين تبقى على حالها ، وأمّا الجلوسية التي تكون بدلاً عن القيامية ينتفي </w:t>
      </w:r>
    </w:p>
    <w:p>
      <w:pPr>
        <w:pStyle w:val="BookText"/>
        <w:rPr/>
      </w:pPr>
      <w:r>
        <w:rPr>
          <w:rFonts w:ascii="Amiri" w:hAnsi="Amiri" w:eastAsia="Amiri" w:cs="Amiri"/>
          <w:color w:val="111111"/>
          <w:sz w:val="28"/>
          <w:sz w:val="28"/>
          <w:szCs w:val="28"/>
          <w:rtl w:val="true"/>
          <w:lang w:bidi="ar-SA"/>
        </w:rPr>
        <w:t>موضوعها ، فليست مشروعة</w:t>
      </w:r>
      <w:r>
        <w:rPr>
          <w:rStyle w:val="FootnoteAnchor"/>
          <w:rtl w:val="true"/>
        </w:rPr>
        <w:footnoteReference w:id="592"/>
      </w:r>
      <w:r>
        <w:rPr>
          <w:rFonts w:ascii="Amiri" w:hAnsi="Amiri" w:eastAsia="Amiri" w:cs="Amiri"/>
          <w:color w:val="111111"/>
          <w:sz w:val="28"/>
          <w:sz w:val="28"/>
          <w:szCs w:val="28"/>
          <w:rtl w:val="true"/>
          <w:lang w:bidi="ar-SA"/>
        </w:rPr>
        <w:t xml:space="preserve">؛ ففي الشكّ بين الاثنتين والثلاث أو الشكّ بين الثلاث والأربع تتعيّن ركعة جالساً وليس لها بدل ، وفي الشكّ بين الاثنتين والأربع يتعيّن ركعتان جالساً ، وفي الشكّ بين الاثنتين والثلاث والأربع ركعتان جالساً ثمّ ركعتان اُخريان جالساً ، والأحوط في الجميع إعادة الصلاة بعد العمل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الشكوك الصحيحة قطع الصلاة واستئنافها ، بل يجب في كلّ منها العمل على وظيفته ، نعم لو أبطل صلاته ثمّ استأنفها صحّت صلاته المستأنفة وإن كان آثماً في الإبطال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الشكوك الباطلة إذا غفل عن شكّه وأتمّ الصلاة ثمّ تبيّن له الموافقة للواقع ففي الصحّة وعدمها وجهان ، أوجههما البطلان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المسافر في أحد مواطن التخيير فنوى بصلاته القصر وشكّ في الركعات بطلت ، وهل يجديه العدول إلى التمام ويعالج به صلاته عن الفساد ؟ فيه نظر</w:t>
      </w:r>
      <w:r>
        <w:rPr>
          <w:rStyle w:val="FootnoteAnchor"/>
          <w:rtl w:val="true"/>
        </w:rPr>
        <w:footnoteReference w:id="594"/>
      </w:r>
      <w:r>
        <w:rPr>
          <w:rFonts w:ascii="Amiri" w:hAnsi="Amiri" w:eastAsia="Amiri" w:cs="Amiri"/>
          <w:color w:val="111111"/>
          <w:sz w:val="28"/>
          <w:sz w:val="28"/>
          <w:szCs w:val="28"/>
          <w:rtl w:val="true"/>
          <w:lang w:bidi="ar-SA"/>
        </w:rPr>
        <w:t xml:space="preserve">وإشكال كما مرّ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عرض له الشكّ بعد العدول صحّ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السجدتين بين الاثنتين والثلاث وعلم بعدم إتيان التشهّد في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الشكّ في الركعات فيبني </w:t>
      </w:r>
      <w:bookmarkStart w:id="292" w:name="pg15003_159816"/>
    </w:p>
    <w:p>
      <w:pPr>
        <w:pStyle w:val="BookText"/>
        <w:rPr/>
      </w:pPr>
      <w:bookmarkEnd w:id="292"/>
      <w:r>
        <w:rPr>
          <w:rFonts w:ascii="Amiri" w:hAnsi="Amiri" w:eastAsia="Amiri" w:cs="Amiri"/>
          <w:color w:val="111111"/>
          <w:sz w:val="28"/>
          <w:sz w:val="28"/>
          <w:szCs w:val="28"/>
          <w:rtl w:val="true"/>
          <w:lang w:bidi="ar-SA"/>
        </w:rPr>
        <w:t>على الثلاث ، وأمّا من جهة التشهّد فالأقوى الجمع</w:t>
      </w:r>
      <w:r>
        <w:rPr>
          <w:rStyle w:val="FootnoteAnchor"/>
          <w:rtl w:val="true"/>
        </w:rPr>
        <w:footnoteReference w:id="595"/>
      </w:r>
      <w:r>
        <w:rPr>
          <w:rFonts w:ascii="Amiri" w:hAnsi="Amiri" w:eastAsia="Amiri" w:cs="Amiri"/>
          <w:color w:val="111111"/>
          <w:sz w:val="28"/>
          <w:sz w:val="28"/>
          <w:szCs w:val="28"/>
          <w:rtl w:val="true"/>
          <w:lang w:bidi="ar-SA"/>
        </w:rPr>
        <w:t xml:space="preserve">بين الإتيان به وقضاؤه بعد الصلاة ؛ للعلم الإجمالي بوجوب أحدهما ، وكذلك لو شكّ وهو قائم بين الثلاث والأربع مع علمه بعدم الإتيان بالتشهّد في الثانية وجب عليه العود لإتيانه ثمّ قضاؤه بعد الصلاة </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87781_3406789950"/>
      <w:bookmarkStart w:id="294" w:name="_Toc105"/>
      <w:bookmarkEnd w:id="293"/>
      <w:r>
        <w:rPr>
          <w:rtl w:val="true"/>
        </w:rPr>
        <w:t xml:space="preserve">القول </w:t>
      </w:r>
      <w:r>
        <w:rPr>
          <w:rtl w:val="true"/>
        </w:rPr>
        <w:t xml:space="preserve">: </w:t>
      </w:r>
      <w:r>
        <w:rPr>
          <w:rtl w:val="true"/>
        </w:rPr>
        <w:t>في الشكوك التي لا اعتبار بها</w:t>
      </w:r>
      <w:bookmarkEnd w:id="294"/>
    </w:p>
    <w:p>
      <w:pPr>
        <w:pStyle w:val="BookText"/>
        <w:rPr/>
      </w:pPr>
      <w:r>
        <w:rPr>
          <w:rFonts w:ascii="Amiri" w:hAnsi="Amiri" w:eastAsia="Amiri" w:cs="Amiri"/>
          <w:color w:val="111111"/>
          <w:sz w:val="28"/>
          <w:sz w:val="28"/>
          <w:szCs w:val="28"/>
          <w:rtl w:val="true"/>
          <w:lang w:bidi="ar-SA"/>
        </w:rPr>
        <w:t xml:space="preserve">وهي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تجاوز المحلّ وقد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الصلاة بعد الوقت وقد مرّ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الفراغ من الصلاة ؛ سواء تعلّق بشروطها أو أجزائها أو ركعاتها بشرط أن يكون أحد طرفي الشكّ الصحّة ، فلو شكّ في الرباعية أ نّه صلّى ثلاثاً أو أربعاً أو خمساً ، وفي الثلاثية أ نّه صلّى ثلاثاً أو أربعاً ، وفي الثنائية أ نّه صلّى اثنتين أو ثلاثاً بنى على الصحيح في الكلّ ، بخلاف ما إذا شكّ في الرباعية أ نّه صلّى ثلاثاً أو خمساً وفي الثلاثية أ نّه صلّى اثنتين أو أربعاً بطلت ؛ للعلم الإجمالي بالزيادة أو 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 سواء كان في الركعات أو الأفعال أو الشرائط ، فيبني على وقوع ما شكّ فيه وإن كان في محلّه ، إلاّ إذا كان مفسداً فيبني على عدم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كثير الشكّ في شيء خاصّ أو في صلاة خاصّة يختصّ الحكم به ، فلو شكّ في غير ذلك الفعل يعمل عمل الشكّ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في كثرة الشكّ إلى العرف ، ولا يبعد تحقّقه فيما إذا </w:t>
      </w:r>
    </w:p>
    <w:p>
      <w:pPr>
        <w:pStyle w:val="BookText"/>
        <w:rPr/>
      </w:pPr>
      <w:r>
        <w:rPr>
          <w:rFonts w:ascii="Amiri" w:hAnsi="Amiri" w:eastAsia="Amiri" w:cs="Amiri"/>
          <w:color w:val="111111"/>
          <w:sz w:val="28"/>
          <w:sz w:val="28"/>
          <w:szCs w:val="28"/>
          <w:rtl w:val="true"/>
          <w:lang w:bidi="ar-SA"/>
        </w:rPr>
        <w:t xml:space="preserve">لم تخل منه ثلاث صلوات متوالية من الشكّ ، ويعتبر في صدقها أن لا يكون ذلك من جهة عروض عارض ؛ من خوف أو غضب أو همّ ونحو ذلك ممّا يوجب اغتشاش الحواسّ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 نّه حصل له حالة كثرة الشكّ أم لا ، بنى على عدمها</w:t>
      </w:r>
      <w:r>
        <w:rPr>
          <w:rStyle w:val="FootnoteAnchor"/>
          <w:rtl w:val="true"/>
        </w:rPr>
        <w:footnoteReference w:id="596"/>
      </w:r>
      <w:r>
        <w:rPr>
          <w:rFonts w:ascii="Amiri" w:hAnsi="Amiri" w:eastAsia="Amiri" w:cs="Amiri"/>
          <w:color w:val="111111"/>
          <w:sz w:val="28"/>
          <w:sz w:val="28"/>
          <w:szCs w:val="28"/>
          <w:rtl w:val="true"/>
          <w:lang w:bidi="ar-SA"/>
        </w:rPr>
        <w:t xml:space="preserve">، كما أنّ كثير الشكّ لو شكّ في زوال تلك الحالة بنى على بقائها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لكثير الشكّ الاعتناء بشكّه ، فلو شكّ في الركوع في المحلّ لا يجوز أن يركع وإلاّ بطلت صلاته ، نعم في الشكّ في القراءة أو الذكر لو أتى بقصد القربة المطلقة لا بأس به</w:t>
      </w:r>
      <w:r>
        <w:rPr>
          <w:rStyle w:val="FootnoteAnchor"/>
          <w:rtl w:val="true"/>
        </w:rPr>
        <w:footnoteReference w:id="597"/>
      </w:r>
      <w:r>
        <w:rPr>
          <w:rFonts w:ascii="Amiri" w:hAnsi="Amiri" w:eastAsia="Amiri" w:cs="Amiri"/>
          <w:color w:val="111111"/>
          <w:sz w:val="28"/>
          <w:sz w:val="28"/>
          <w:szCs w:val="28"/>
          <w:rtl w:val="true"/>
          <w:lang w:bidi="ar-SA"/>
        </w:rPr>
        <w:t xml:space="preserve">ما لم يكن بحدّ الوسواس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كلّ من الإمام والمأموم في الركعات مع حفظ الآخر ، فإنّه يرجع الشاكّ منهما إلى الآخر ، ولا يجري الحكم</w:t>
      </w:r>
      <w:r>
        <w:rPr>
          <w:rStyle w:val="FootnoteAnchor"/>
          <w:rtl w:val="true"/>
        </w:rPr>
        <w:footnoteReference w:id="598"/>
      </w:r>
      <w:r>
        <w:rPr>
          <w:rFonts w:ascii="Amiri" w:hAnsi="Amiri" w:eastAsia="Amiri" w:cs="Amiri"/>
          <w:color w:val="111111"/>
          <w:sz w:val="28"/>
          <w:sz w:val="28"/>
          <w:szCs w:val="28"/>
          <w:rtl w:val="true"/>
          <w:lang w:bidi="ar-SA"/>
        </w:rPr>
        <w:t xml:space="preserve">في الشكّ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والظانّ منهما</w:t>
      </w:r>
      <w:r>
        <w:rPr>
          <w:rStyle w:val="FootnoteAnchor"/>
          <w:rtl w:val="true"/>
        </w:rPr>
        <w:footnoteReference w:id="599"/>
      </w:r>
      <w:r>
        <w:rPr>
          <w:rFonts w:ascii="Amiri" w:hAnsi="Amiri" w:eastAsia="Amiri" w:cs="Amiri"/>
          <w:color w:val="111111"/>
          <w:sz w:val="28"/>
          <w:sz w:val="28"/>
          <w:szCs w:val="28"/>
          <w:rtl w:val="true"/>
          <w:lang w:bidi="ar-SA"/>
        </w:rPr>
        <w:t>يرجع إلى المتيقّن ، بل لا يبعد</w:t>
      </w:r>
      <w:r>
        <w:rPr>
          <w:rStyle w:val="FootnoteAnchor"/>
          <w:rtl w:val="true"/>
        </w:rPr>
        <w:footnoteReference w:id="600"/>
      </w:r>
      <w:r>
        <w:rPr>
          <w:rFonts w:ascii="Amiri" w:hAnsi="Amiri" w:eastAsia="Amiri" w:cs="Amiri"/>
          <w:color w:val="111111"/>
          <w:sz w:val="28"/>
          <w:sz w:val="28"/>
          <w:szCs w:val="28"/>
          <w:rtl w:val="true"/>
          <w:lang w:bidi="ar-SA"/>
        </w:rPr>
        <w:t xml:space="preserve">رجوع الشاكّ إلى الظانّ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الإمام شاكّاً والمأمومون مختلفين في الاعتقاد لم يرجع إليهم ، نعم لو كان بعضهم شاكّاً وبعضهم متيقّناً رجع إلى المتيقّن منهم ، بل يرجع الشاكّ منهم بعد ذلك إلى الإمام إذا حصل له الظنّ ، وأمّا مع عدم حصوله له ففيه </w:t>
      </w:r>
    </w:p>
    <w:p>
      <w:pPr>
        <w:pStyle w:val="BookText"/>
        <w:rPr/>
      </w:pPr>
      <w:r>
        <w:rPr>
          <w:rFonts w:ascii="Amiri" w:hAnsi="Amiri" w:eastAsia="Amiri" w:cs="Amiri"/>
          <w:color w:val="111111"/>
          <w:sz w:val="28"/>
          <w:sz w:val="28"/>
          <w:szCs w:val="28"/>
          <w:rtl w:val="true"/>
          <w:lang w:bidi="ar-SA"/>
        </w:rPr>
        <w:t>إشكال</w:t>
      </w:r>
      <w:r>
        <w:rPr>
          <w:rStyle w:val="FootnoteAnchor"/>
          <w:rtl w:val="true"/>
        </w:rPr>
        <w:footnoteReference w:id="601"/>
      </w:r>
      <w:r>
        <w:rPr>
          <w:rFonts w:ascii="Amiri" w:hAnsi="Amiri" w:eastAsia="Amiri" w:cs="Amiri"/>
          <w:color w:val="111111"/>
          <w:sz w:val="28"/>
          <w:sz w:val="28"/>
          <w:szCs w:val="28"/>
          <w:rtl w:val="true"/>
          <w:lang w:bidi="ar-SA"/>
        </w:rPr>
        <w:t xml:space="preserve">، لا يترك الاحتياط بالرجوع ، ثمّ إعادة الصلاة بعد تمامها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الشكّ لكلّ من الإمام والمأموم فإن اتّحد شكّهما عمل كلّ منهما عمل ذلك الشكّ ، كما أ نّه لو اختلف شكّهما ولم يكن بين شكّيهما رابطة ، كما إذا شكّ أحدهما بين الاثنتين والثلاث والآخر بين الأربع والخمس ينفرد المأموم ويعمل كلّ منهما عمل شكّه ، وأمّا إذا كان بينهما رابطة وقدر مشترك ، كما إذا شكّ أحدهما بين الاثنتين والثلاث والآخر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الثلاث طرف شكّ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يبنيان على ذلك القدر المشترك ؛ لأنّ ذلك قضيّة رجوع الشاكّ منهما إلى الحافظ ؛ حيث إنّ الشاكّ بين الاثنتين والثلاث معتقد بعدم الأربع وشاكّ في الثلاث ، والشاكّ بين الثلاث والأربع معتقد بوجود الثلاث وشاكّ في الأربع ؛ فالأوّل يرجع إلى الثاني في تحقّق الثلاث ، والثاني يرجع إلى الأوّل في نفي الأربع فينتج بناءهما على الثلاث ، والأحوط مع ذلك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يكتفى في تحقّق الاحتياط في الأوّل البناء على الثلاث والإتيان بصلاة الاحتياط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 سواء كانت ركعة كصلاة الوتر ، أو ركعتين كسائر النوافل ، فيتخيّر بين البناء على الأقلّ أو الأكثر وإن كان الأوّل هو الأفضل ، إلاّ أن يكون الأكثر مفسداً ، فيتعيّن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أفعال النافلة فهو كالشكّ في أفعال الفريضة أتى به إذا كان في المحلّ ولم يلتفت إذا كان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فيها قضاء السجدة المنسيّة ولا التشهّد المنسيّ ، كما أ نّه لا يجب سجود السهو فيها لموجباته </w:t>
      </w:r>
      <w:r>
        <w:rPr>
          <w:rFonts w:eastAsia="Amiri" w:cs="Amiri" w:ascii="Amiri" w:hAnsi="Amiri"/>
          <w:color w:val="111111"/>
          <w:sz w:val="28"/>
          <w:szCs w:val="28"/>
          <w:rtl w:val="true"/>
          <w:lang w:bidi="ar-SA"/>
        </w:rPr>
        <w:t xml:space="preserve">. </w:t>
      </w:r>
      <w:bookmarkStart w:id="295" w:name="pg15003_159819"/>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التي لها كيفية خاصّة أو سورة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كصلاتي ليلة الدفن والغفيلة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فيها تلك الكيفية ، فإن أمكن الرجوع والتدارك رجع وتدارك ، وإن لم يمكن أعادها؛ لأنّ الصلاة وإن صحّت إلاّ أ نّها لا تكون تلك الصلاة المخصوصة ، نعم لو نسي بعض التسبيحات في صلاة جعفر قضاه متى تذكّر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487783_3406789950"/>
      <w:bookmarkStart w:id="297" w:name="_Toc106"/>
      <w:bookmarkEnd w:id="296"/>
      <w:r>
        <w:rPr>
          <w:rtl w:val="true"/>
        </w:rPr>
        <w:t xml:space="preserve">القول </w:t>
      </w:r>
      <w:r>
        <w:rPr>
          <w:rtl w:val="true"/>
        </w:rPr>
        <w:t xml:space="preserve">: </w:t>
      </w:r>
      <w:r>
        <w:rPr>
          <w:rtl w:val="true"/>
        </w:rPr>
        <w:t>في حكم الظنّ في أفعال الصلاة وركعاتها</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في عدد الركعات إذا كان متعلّقاً بالركعتين الأخيرتين من الرباعية كاليقين ، فيجب العمل بمقتضاه ولو كان مسبوقاً بالشكّ ، فلو شكّ أوّلاً ثمّ ظنّ بعد ذلك فيما كان شاكّاً فيه كان العمل على الأخير كالعكس ، وكذا لو انقلب شكّه إلى شكّ آخر عمل بالأخير ، فلو شكّ في حال القيام بين الثلاث والأربع فبنى على الأربع فلمّا رفع رأسه من السجود شكّ بين الأربع والخمس عمل عمل الشكّ الثاني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في الثنائية والثلاثية والركعتين الاُوليين من الرباعية كالظنّ في الأفعال ، ففي اعتباره إشكال</w:t>
      </w:r>
      <w:r>
        <w:rPr>
          <w:rStyle w:val="FootnoteAnchor"/>
          <w:rtl w:val="true"/>
        </w:rPr>
        <w:footnoteReference w:id="603"/>
      </w:r>
      <w:r>
        <w:rPr>
          <w:rFonts w:ascii="Amiri" w:hAnsi="Amiri" w:eastAsia="Amiri" w:cs="Amiri"/>
          <w:color w:val="111111"/>
          <w:sz w:val="28"/>
          <w:sz w:val="28"/>
          <w:szCs w:val="28"/>
          <w:rtl w:val="true"/>
          <w:lang w:bidi="ar-SA"/>
        </w:rPr>
        <w:t xml:space="preserve">خصوصاً في الأفعال ، فلا يترك الاحتياط فيما لو خالف الظنّ مع وظيفة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بالإتيان وهو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مثل القراءة بنيّة القربة المطلقة وإتيان مثل الركوع ثمّ الإعادة ، وكذا إذا ظنّ بعدم الإتيان بعد المحلّ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أنّ الحاصل له ظنّ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شكّاً </w:t>
      </w:r>
      <w:r>
        <w:rPr>
          <w:rStyle w:val="FootnoteAnchor"/>
          <w:rtl w:val="true"/>
        </w:rPr>
        <w:footnoteReference w:id="604"/>
      </w:r>
      <w:r>
        <w:rPr>
          <w:rFonts w:ascii="Amiri" w:hAnsi="Amiri" w:eastAsia="Amiri" w:cs="Amiri"/>
          <w:color w:val="111111"/>
          <w:sz w:val="28"/>
          <w:sz w:val="28"/>
          <w:szCs w:val="28"/>
          <w:rtl w:val="true"/>
          <w:lang w:bidi="ar-SA"/>
        </w:rPr>
        <w:t xml:space="preserve">، نعم لو كان مسبوقاً بالظنّ لا يبعد البناء عليه </w:t>
      </w:r>
      <w:r>
        <w:rPr>
          <w:rFonts w:eastAsia="Amiri" w:cs="Amiri" w:ascii="Amiri" w:hAnsi="Amiri"/>
          <w:color w:val="111111"/>
          <w:sz w:val="28"/>
          <w:szCs w:val="28"/>
          <w:rtl w:val="true"/>
          <w:lang w:bidi="ar-SA"/>
        </w:rPr>
        <w:t xml:space="preserve">. </w:t>
      </w:r>
      <w:bookmarkStart w:id="298" w:name="pg15003_159820"/>
    </w:p>
    <w:p>
      <w:pPr>
        <w:pStyle w:val="Heading4"/>
        <w:numPr>
          <w:ilvl w:val="3"/>
          <w:numId w:val="1"/>
        </w:numPr>
        <w:rPr/>
      </w:pPr>
      <w:bookmarkStart w:id="299" w:name="__RefHeading___Toc487785_3406789950"/>
      <w:bookmarkStart w:id="300" w:name="_Toc107"/>
      <w:bookmarkEnd w:id="298"/>
      <w:bookmarkEnd w:id="299"/>
      <w:r>
        <w:rPr>
          <w:rtl w:val="true"/>
        </w:rPr>
        <w:t xml:space="preserve">القول </w:t>
      </w:r>
      <w:r>
        <w:rPr>
          <w:rtl w:val="true"/>
        </w:rPr>
        <w:t xml:space="preserve">: </w:t>
      </w:r>
      <w:r>
        <w:rPr>
          <w:rtl w:val="true"/>
        </w:rPr>
        <w:t>في ركعات الاحتياط</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ركعات الاحتياط واجبة فلا يجوز تركها وإعادة الصلاة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المبادرة إليها بعد الفراغ من الصلاة ، كما أ نّه لا يجوز الفصل بينها وبين الصلاة بالمنافي ، فإن فعل ذلك فالأحوط الإتيان بها وإعادة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أتى بالمنافي قبل صلاة الاحتياط ثمّ تبيّن له تمامية الصلاة لا يجب 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صلاة الاحتياط من النيّة وتكبيرة الإحرام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Style w:val="FootnoteAnchor"/>
          <w:rtl w:val="true"/>
        </w:rPr>
        <w:footnoteReference w:id="605"/>
      </w:r>
      <w:r>
        <w:rPr>
          <w:rFonts w:ascii="Amiri" w:hAnsi="Amiri" w:eastAsia="Amiri" w:cs="Amiri"/>
          <w:color w:val="111111"/>
          <w:sz w:val="28"/>
          <w:sz w:val="28"/>
          <w:szCs w:val="28"/>
          <w:rtl w:val="true"/>
          <w:lang w:bidi="ar-SA"/>
        </w:rPr>
        <w:t xml:space="preserve">، حتّى في البسملة على الأحوط وركوع وسجود وتشهّد وتسليم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قنوت فيها وإن كانت ركعتين ، كما أ نّه لا سورة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ركناً في ركعات الاحتياط أو زاده فيها بطلت فلا يترك الاحتياط بفعل الاحتياط ثمّ استئناف الصلاة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بان الاستغناء عن صلاة الاحتياط قبل الشروع فيها لا يجب الإتيان بها ، وإن كان بعد الفراغ منها وقعت نافلة ، وإن كان في الأثناء أتمّها كذلك ، والأحوط له إضافة ركعة ثانية لو كانت ركعة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نقص الصلاة بعد الفراغ من صلاة الاحتياط ، فإن كان النقص بمقدار ما فعله</w:t>
      </w:r>
      <w:r>
        <w:rPr>
          <w:rStyle w:val="FootnoteAnchor"/>
          <w:rtl w:val="true"/>
        </w:rPr>
        <w:footnoteReference w:id="606"/>
      </w:r>
      <w:r>
        <w:rPr>
          <w:rFonts w:ascii="Amiri" w:hAnsi="Amiri" w:eastAsia="Amiri" w:cs="Amiri"/>
          <w:color w:val="111111"/>
          <w:sz w:val="28"/>
          <w:sz w:val="28"/>
          <w:szCs w:val="28"/>
          <w:rtl w:val="true"/>
          <w:lang w:bidi="ar-SA"/>
        </w:rPr>
        <w:t xml:space="preserve">من الاحتياط ، كما إذا شكّ بين الثلاث والأربع وبعد صلاة الاحتياط تبيّن كونها ثلاثاً ، تمّت صلاته والأحوط الاستئناف ، وإن كان أزيد منه كما إذا شكّ بين </w:t>
      </w:r>
    </w:p>
    <w:p>
      <w:pPr>
        <w:pStyle w:val="BookText"/>
        <w:rPr/>
      </w:pPr>
      <w:r>
        <w:rPr>
          <w:rFonts w:ascii="Amiri" w:hAnsi="Amiri" w:eastAsia="Amiri" w:cs="Amiri"/>
          <w:color w:val="111111"/>
          <w:sz w:val="28"/>
          <w:sz w:val="28"/>
          <w:szCs w:val="28"/>
          <w:rtl w:val="true"/>
          <w:lang w:bidi="ar-SA"/>
        </w:rPr>
        <w:t>الثلاث والأربع فبنى على الأربع وصلّى صلاة الاحتياط فتبيّن كونها ركعتين وأنّ الناقص ركعتان ، فالظاهر عدم كفاية صلاة الاحتياط ، بل يجب</w:t>
      </w:r>
      <w:r>
        <w:rPr>
          <w:rStyle w:val="FootnoteAnchor"/>
          <w:rtl w:val="true"/>
        </w:rPr>
        <w:footnoteReference w:id="607"/>
      </w:r>
      <w:r>
        <w:rPr>
          <w:rFonts w:ascii="Amiri" w:hAnsi="Amiri" w:eastAsia="Amiri" w:cs="Amiri"/>
          <w:color w:val="111111"/>
          <w:sz w:val="28"/>
          <w:sz w:val="28"/>
          <w:szCs w:val="28"/>
          <w:rtl w:val="true"/>
          <w:lang w:bidi="ar-SA"/>
        </w:rPr>
        <w:t xml:space="preserve">إعادة الصلاة ، وكذا لو تبيّن كون النقص أقلّ منه كما إذا شكّ بين الاثنتين والأربع فبنى على الأربع وأتى بركعتين من قيام ثمّ تبيّن كون صلاته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النقص في أثناء صلاة الاحتياط فإمّا أن يكون ما بيده من صلاة الاحتياط موافقاً لما نقص من الصلاة كمّاً وكيفاً ، وإمّا أن يكون مخالفاً له كذلك ، وإمّا أن يكون موافقاً له في أحدهما ، والأقوى الاكتفاء</w:t>
      </w:r>
      <w:r>
        <w:rPr>
          <w:rStyle w:val="FootnoteAnchor"/>
          <w:rtl w:val="true"/>
        </w:rPr>
        <w:footnoteReference w:id="608"/>
      </w:r>
      <w:r>
        <w:rPr>
          <w:rFonts w:ascii="Amiri" w:hAnsi="Amiri" w:eastAsia="Amiri" w:cs="Amiri"/>
          <w:color w:val="111111"/>
          <w:sz w:val="28"/>
          <w:sz w:val="28"/>
          <w:szCs w:val="28"/>
          <w:rtl w:val="true"/>
          <w:lang w:bidi="ar-SA"/>
        </w:rPr>
        <w:t xml:space="preserve">بإتمام صلاة الاحتياط في الصورة الاُولى وإلغاء صلاة الاحتياط والرجوع إلى حكم تذكّر النقص في باقي الصور ، والأحوط مع ذلك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النقص قبل الدخول في الاحتياط كان له حكم من نقص ركعة ؛ من التدارك الذي قد عرفته ، فلا تكفي صلاة الاحتياط ، بل اللازم حينئذٍ إتمام ما نقص وسجدتا السهو للسلام في غير محلّه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إتيان صلاة الاحتياط فإن كان بعد الوقت لا يلتفت إليه ، وإن كان في الوقت فإن لم يدخل في فعل آخر ولم يأت بالمنافي ولم يحصل الفصل الطويل بنى على عدم الإتيان ، ومع أحد الاُمور </w:t>
      </w:r>
      <w:bookmarkStart w:id="301" w:name="pg15003_159822"/>
    </w:p>
    <w:p>
      <w:pPr>
        <w:pStyle w:val="BookText"/>
        <w:rPr/>
      </w:pPr>
      <w:bookmarkEnd w:id="301"/>
      <w:r>
        <w:rPr>
          <w:rFonts w:ascii="Amiri" w:hAnsi="Amiri" w:eastAsia="Amiri" w:cs="Amiri"/>
          <w:color w:val="111111"/>
          <w:sz w:val="28"/>
          <w:sz w:val="28"/>
          <w:szCs w:val="28"/>
          <w:rtl w:val="true"/>
          <w:lang w:bidi="ar-SA"/>
        </w:rPr>
        <w:t xml:space="preserve">الثلاثة فللبناء على الإتيان بها وجه ، ولكن الأحوط الإتيان بها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فعل من أفعالها أتى به لو كان في المحلّ ، وبنى على الإتيان لو تجاوز كالشكّ في أفعال أصل الصلاة ، ولو شكّ في ركعاتها فلا يبعد</w:t>
      </w:r>
      <w:r>
        <w:rPr>
          <w:rStyle w:val="FootnoteAnchor"/>
          <w:rtl w:val="true"/>
        </w:rPr>
        <w:footnoteReference w:id="609"/>
      </w:r>
      <w:r>
        <w:rPr>
          <w:rFonts w:ascii="Amiri" w:hAnsi="Amiri" w:eastAsia="Amiri" w:cs="Amiri"/>
          <w:color w:val="111111"/>
          <w:sz w:val="28"/>
          <w:sz w:val="28"/>
          <w:szCs w:val="28"/>
          <w:rtl w:val="true"/>
          <w:lang w:bidi="ar-SA"/>
        </w:rPr>
        <w:t xml:space="preserve">وجوب البناء على الأكثر إلاّ أن يكون مبطلاً فيبني على الأقلّ ، لكنّ الأحوط مع ذلك إعادتها ثمّ إعادة أصل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نسيها ودخل في صلاة اُخرى من نافلة أو فريضة قطعها</w:t>
      </w:r>
      <w:r>
        <w:rPr>
          <w:rStyle w:val="FootnoteAnchor"/>
          <w:rtl w:val="true"/>
        </w:rPr>
        <w:footnoteReference w:id="610"/>
      </w:r>
      <w:r>
        <w:rPr>
          <w:rFonts w:ascii="Amiri" w:hAnsi="Amiri" w:eastAsia="Amiri" w:cs="Amiri"/>
          <w:color w:val="111111"/>
          <w:sz w:val="28"/>
          <w:sz w:val="28"/>
          <w:szCs w:val="28"/>
          <w:rtl w:val="true"/>
          <w:lang w:bidi="ar-SA"/>
        </w:rPr>
        <w:t xml:space="preserve">وأتى بها ، خصوصاً فيما إذا كانت الثانية مرتّبة على الاُولى ، والأحوط مع ذلك إعادة أصل الصلاة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87787_3406789950"/>
      <w:bookmarkStart w:id="303" w:name="_Toc108"/>
      <w:bookmarkEnd w:id="302"/>
      <w:r>
        <w:rPr>
          <w:rtl w:val="true"/>
        </w:rPr>
        <w:t xml:space="preserve">القول </w:t>
      </w:r>
      <w:r>
        <w:rPr>
          <w:rtl w:val="true"/>
        </w:rPr>
        <w:t xml:space="preserve">: </w:t>
      </w:r>
      <w:r>
        <w:rPr>
          <w:rtl w:val="true"/>
        </w:rPr>
        <w:t>في الأجزاء المنسيّة</w:t>
      </w:r>
      <w:bookmarkEnd w:id="3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 نّه لا يقضى من الأجزاء المنسيّة في الصلاة غير السجود والتشهّد</w:t>
      </w:r>
      <w:r>
        <w:rPr>
          <w:rStyle w:val="FootnoteAnchor"/>
          <w:rtl w:val="true"/>
        </w:rPr>
        <w:footnoteReference w:id="611"/>
      </w:r>
      <w:r>
        <w:rPr>
          <w:rFonts w:ascii="Amiri" w:hAnsi="Amiri" w:eastAsia="Amiri" w:cs="Amiri"/>
          <w:color w:val="111111"/>
          <w:sz w:val="28"/>
          <w:sz w:val="28"/>
          <w:szCs w:val="28"/>
          <w:rtl w:val="true"/>
          <w:lang w:bidi="ar-SA"/>
        </w:rPr>
        <w:t xml:space="preserve">وأبعاضه خصوصاً الصلاة على النبي وآله ، فينوي أ نّهما عوض ذلك المنسيّ مقارناً بالنيّة لأوّلهما محافظاً على ما كان واجباً فيهما حال الصلاة ، فإنّهما كالصلاة في الشرائط والموانع ، بل لا يجوز الفصل بينهما وبين </w:t>
      </w:r>
    </w:p>
    <w:p>
      <w:pPr>
        <w:pStyle w:val="BookText"/>
        <w:rPr/>
      </w:pPr>
      <w:r>
        <w:rPr>
          <w:rFonts w:ascii="Amiri" w:hAnsi="Amiri" w:eastAsia="Amiri" w:cs="Amiri"/>
          <w:color w:val="111111"/>
          <w:sz w:val="28"/>
          <w:sz w:val="28"/>
          <w:szCs w:val="28"/>
          <w:rtl w:val="true"/>
          <w:lang w:bidi="ar-SA"/>
        </w:rPr>
        <w:t>الصلاة بالمنافي على الأحوط ، فلو فعل</w:t>
      </w:r>
      <w:r>
        <w:rPr>
          <w:rStyle w:val="FootnoteAnchor"/>
          <w:rtl w:val="true"/>
        </w:rPr>
        <w:footnoteReference w:id="612"/>
      </w:r>
      <w:r>
        <w:rPr>
          <w:rFonts w:ascii="Amiri" w:hAnsi="Amiri" w:eastAsia="Amiri" w:cs="Amiri"/>
          <w:color w:val="111111"/>
          <w:sz w:val="28"/>
          <w:sz w:val="28"/>
          <w:szCs w:val="28"/>
          <w:rtl w:val="true"/>
          <w:lang w:bidi="ar-SA"/>
        </w:rPr>
        <w:t xml:space="preserve">فلا يترك الاحتياط في استئناف الصلاة بعد فعلهما كما مرّ مثله في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تكرّر نسيان السجدة أو التشهّد يتكرّر قضاؤهما بعدد المنسيّ ولا يشترط التعيين ولا ملاحظة الترتيب ، نعم لو نسي السجدة والتشهّد معاً فالأحوط تقديم قضاء السابق منهما في الفوت ، ولو لم يعلم السابق احتاط بالتكرار فيأتي بما قدّمه مؤخّراً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التسليم في التشهّد القضائي ، كما لا يجب التشهّد والتسليم في السجدة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المنسيّ التشهّد الأخير فالأحوط إتيانه</w:t>
      </w:r>
      <w:r>
        <w:rPr>
          <w:rStyle w:val="FootnoteAnchor"/>
          <w:rtl w:val="true"/>
        </w:rPr>
        <w:footnoteReference w:id="613"/>
      </w:r>
      <w:r>
        <w:rPr>
          <w:rFonts w:ascii="Amiri" w:hAnsi="Amiri" w:eastAsia="Amiri" w:cs="Amiri"/>
          <w:color w:val="111111"/>
          <w:sz w:val="28"/>
          <w:sz w:val="28"/>
          <w:szCs w:val="28"/>
          <w:rtl w:val="true"/>
          <w:lang w:bidi="ar-SA"/>
        </w:rPr>
        <w:t xml:space="preserve">بقصد القربة من غير نيّة الأداء والقضاء مع الإتيان بالسلام بعده ، كما أنّ الأحوط في نسيان السجدة من الركعة الأخيرة إتيانها كذلك مع الإتيان بالتشهّد والتسليم ؛ لاحتمال وقوع السلام في الأوّل والتشهّد والتسليم في الثاني في غير محلّه ، وكان تداركهما بعنوان الجزئية للصلاة لا بعنوان القضاء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اعتقد نسيان السجدة أو التشهّد مع فوات محلّ تداركهما ثمّ بعد الفراغ من الصلاة انقلب اعتقاده شكّاً ، الأحوط</w:t>
      </w:r>
      <w:r>
        <w:rPr>
          <w:rStyle w:val="FootnoteAnchor"/>
          <w:rtl w:val="true"/>
        </w:rPr>
        <w:footnoteReference w:id="614"/>
      </w:r>
      <w:r>
        <w:rPr>
          <w:rFonts w:ascii="IRNazanin" w:hAnsi="IRNazanin" w:eastAsia="IRNazanin"/>
          <w:color w:val="111111"/>
          <w:sz w:val="28"/>
          <w:sz w:val="28"/>
          <w:szCs w:val="28"/>
          <w:rtl w:val="true"/>
          <w:lang w:bidi="fa-IR"/>
        </w:rPr>
        <w:t xml:space="preserve">وجوب القضاء </w:t>
      </w:r>
      <w:r>
        <w:rPr>
          <w:rFonts w:eastAsia="IRNazanin" w:cs="IRNazanin"/>
          <w:color w:val="111111"/>
          <w:sz w:val="28"/>
          <w:szCs w:val="28"/>
          <w:rtl w:val="true"/>
          <w:lang w:bidi="fa-IR"/>
        </w:rPr>
        <w:t xml:space="preserve">. </w:t>
      </w:r>
      <w:bookmarkStart w:id="304" w:name="pg15003_159824"/>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الفائت سجدة واحدة أو سجدتان من ركعتين بنى على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قضاء السجدة أو التشهّد وتذكّر بعد الدخول في صلاة اُخرى قطعها وأتى به ، حتّى إذا كانت الثانية فريضة</w:t>
      </w:r>
      <w:r>
        <w:rPr>
          <w:rStyle w:val="FootnoteAnchor"/>
          <w:rtl w:val="true"/>
        </w:rPr>
        <w:footnoteReference w:id="615"/>
      </w:r>
      <w:r>
        <w:rPr>
          <w:rFonts w:ascii="Amiri" w:hAnsi="Amiri" w:eastAsia="Amiri" w:cs="Amiri"/>
          <w:color w:val="111111"/>
          <w:sz w:val="28"/>
          <w:sz w:val="28"/>
          <w:szCs w:val="28"/>
          <w:rtl w:val="true"/>
          <w:lang w:bidi="ar-SA"/>
        </w:rPr>
        <w:t xml:space="preserve">، خصوصاً إذا كانت مرتّبة على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قضاء أحدهما في صلاة الظهر وضاق وقت العصر فإن أدرك منها ركعة قدّمهما</w:t>
      </w:r>
      <w:r>
        <w:rPr>
          <w:rStyle w:val="FootnoteAnchor"/>
          <w:rtl w:val="true"/>
        </w:rPr>
        <w:footnoteReference w:id="616"/>
      </w:r>
      <w:r>
        <w:rPr>
          <w:rFonts w:ascii="Amiri" w:hAnsi="Amiri" w:eastAsia="Amiri" w:cs="Amiri"/>
          <w:color w:val="111111"/>
          <w:sz w:val="28"/>
          <w:sz w:val="28"/>
          <w:szCs w:val="28"/>
          <w:rtl w:val="true"/>
          <w:lang w:bidi="ar-SA"/>
        </w:rPr>
        <w:t xml:space="preserve">وإلاّ قدّم العصر وقضى الجزء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عليه صلاة الاحتياط للظهر وضاق وقت العصر ، لكن في هذه الصورة مع تقديم العصر يحتاط بإعادة الظهر أيضاً بعد الإتيان باحتياطها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87789_3406789950"/>
      <w:bookmarkStart w:id="306" w:name="_Toc109"/>
      <w:bookmarkEnd w:id="305"/>
      <w:r>
        <w:rPr>
          <w:rtl w:val="true"/>
        </w:rPr>
        <w:t xml:space="preserve">القول </w:t>
      </w:r>
      <w:r>
        <w:rPr>
          <w:rtl w:val="true"/>
        </w:rPr>
        <w:t xml:space="preserve">: </w:t>
      </w:r>
      <w:r>
        <w:rPr>
          <w:rtl w:val="true"/>
        </w:rPr>
        <w:t>في سجود السهو</w:t>
      </w:r>
      <w:bookmarkEnd w:id="30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سجود السهو للكلام ساهياً ولو لظنّ الخروج ، والسلام</w:t>
      </w:r>
      <w:r>
        <w:rPr>
          <w:rStyle w:val="FootnoteAnchor"/>
          <w:rtl w:val="true"/>
        </w:rPr>
        <w:footnoteReference w:id="617"/>
      </w:r>
      <w:r>
        <w:rPr>
          <w:rFonts w:ascii="Amiri" w:hAnsi="Amiri" w:eastAsia="Amiri" w:cs="Amiri"/>
          <w:color w:val="111111"/>
          <w:sz w:val="28"/>
          <w:sz w:val="28"/>
          <w:szCs w:val="28"/>
          <w:rtl w:val="true"/>
          <w:lang w:bidi="ar-SA"/>
        </w:rPr>
        <w:t>في غير محلّه ، ونسيان السجدة الواحدة إذا فات محلّ تداركها ، ونسيان التشهّد مع فوت محلّ تداركه ، والشكّ بين الأربع والخمس ، والأحوط إتيانه لكلّ زيادة في الصلاة ونقيصة لم يذكرها في محلّها ، وإن كان الأقوى عدم وجوبه لغير ما ذكر ، نعم لا يترك</w:t>
      </w:r>
      <w:r>
        <w:rPr>
          <w:rStyle w:val="FootnoteAnchor"/>
          <w:rtl w:val="true"/>
        </w:rPr>
        <w:footnoteReference w:id="618"/>
      </w:r>
      <w:r>
        <w:rPr>
          <w:rFonts w:ascii="Amiri" w:hAnsi="Amiri" w:eastAsia="Amiri" w:cs="Amiri"/>
          <w:color w:val="111111"/>
          <w:sz w:val="28"/>
          <w:sz w:val="28"/>
          <w:szCs w:val="28"/>
          <w:rtl w:val="true"/>
          <w:lang w:bidi="ar-SA"/>
        </w:rPr>
        <w:t xml:space="preserve">الاحتياط في القيام في موضع القعود وبالعكس ، والكلام وإن طال له سجدتا سهو إن كان كلاماً واحداً ، نعم إن تعدّد كما لو تذكّر في </w:t>
      </w:r>
    </w:p>
    <w:p>
      <w:pPr>
        <w:pStyle w:val="BookText"/>
        <w:rPr/>
      </w:pPr>
      <w:r>
        <w:rPr>
          <w:rFonts w:ascii="Amiri" w:hAnsi="Amiri" w:eastAsia="Amiri" w:cs="Amiri"/>
          <w:color w:val="111111"/>
          <w:sz w:val="28"/>
          <w:sz w:val="28"/>
          <w:szCs w:val="28"/>
          <w:rtl w:val="true"/>
          <w:lang w:bidi="ar-SA"/>
        </w:rPr>
        <w:t xml:space="preserve">الأثناء ثمّ سها بعد ذلك فتكلّم تعدّد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الزائد لو وقع مرّة واحدة ولو بجميع صيغه سجد له سجدتي السهو مرّة واحدة وإن تعدّد سجد له متعدّداً ، والأحوط تعدّده لكلّ تسليم ، وكذا الحال في التسبيحات الأربع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سجود سهو وأجزاء منسيّة وركعات احتياطية أخّر السجود عنهما ويتخيّر في الأجزاء والركعات في تقديم أحدهما على الآخر ، وإن كان الأحوط</w:t>
      </w:r>
      <w:r>
        <w:rPr>
          <w:rStyle w:val="FootnoteAnchor"/>
          <w:rtl w:val="true"/>
        </w:rPr>
        <w:footnoteReference w:id="619"/>
      </w:r>
      <w:r>
        <w:rPr>
          <w:rFonts w:ascii="Amiri" w:hAnsi="Amiri" w:eastAsia="Amiri" w:cs="Amiri"/>
          <w:color w:val="111111"/>
          <w:sz w:val="28"/>
          <w:sz w:val="28"/>
          <w:szCs w:val="28"/>
          <w:rtl w:val="true"/>
          <w:lang w:bidi="ar-SA"/>
        </w:rPr>
        <w:t xml:space="preserve">تقديم الركعات الاحتياطية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المبادرة إلى سجود السهو بعد الصلاة ويعصي بالتأخير ، لكن صلاته صحيحة ولم يسقط وجوب السجود عنه بذلك ولا فوريته فيسجد مبادراً ، كما أ نّه لو 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حين الذكر كذلك ، فلو أخّره عصى أيضاً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السجود المزبور النيّة مقارناً لأوّل مسمّاه ولو بالاستمرار من الهويّ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 تعيين السبب ولو مع التعدّد ، كما أ نّه لا يجب الترتيب فيه بترتيب أسبابه على الأقوى ، ولا يجب فيه التكبير وإن كان الأحوط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w:t>
      </w:r>
      <w:r>
        <w:rPr>
          <w:rStyle w:val="FootnoteAnchor"/>
          <w:rtl w:val="true"/>
        </w:rPr>
        <w:footnoteReference w:id="620"/>
      </w:r>
      <w:r>
        <w:rPr>
          <w:rFonts w:ascii="Amiri" w:hAnsi="Amiri" w:eastAsia="Amiri" w:cs="Amiri"/>
          <w:color w:val="111111"/>
          <w:sz w:val="28"/>
          <w:sz w:val="28"/>
          <w:szCs w:val="28"/>
          <w:rtl w:val="true"/>
          <w:lang w:bidi="ar-SA"/>
        </w:rPr>
        <w:t>جميع ما يجب في سجود الصلاة على الأحوط ، خصوصاً في وضع المساجد السبعة ، وعدم وضع الجبهة على المأكول والملبوس ، بل اعتبارهما لا يخلو من قوّة ، ويجب فيه الذكر</w:t>
      </w:r>
      <w:r>
        <w:rPr>
          <w:rStyle w:val="FootnoteAnchor"/>
          <w:rtl w:val="true"/>
        </w:rPr>
        <w:footnoteReference w:id="621"/>
      </w:r>
      <w:r>
        <w:rPr>
          <w:rFonts w:ascii="IRNazanin" w:hAnsi="IRNazanin" w:eastAsia="IRNazanin"/>
          <w:color w:val="111111"/>
          <w:sz w:val="28"/>
          <w:sz w:val="28"/>
          <w:szCs w:val="28"/>
          <w:rtl w:val="true"/>
          <w:lang w:bidi="fa-IR"/>
        </w:rPr>
        <w:t xml:space="preserve">المخصوص </w:t>
      </w:r>
      <w:bookmarkStart w:id="307" w:name="pg15003_159826"/>
    </w:p>
    <w:p>
      <w:pPr>
        <w:pStyle w:val="BookText"/>
        <w:rPr/>
      </w:pPr>
      <w:bookmarkEnd w:id="307"/>
      <w:r>
        <w:rPr>
          <w:rFonts w:ascii="Amiri" w:hAnsi="Amiri" w:eastAsia="Amiri" w:cs="Amiri"/>
          <w:color w:val="111111"/>
          <w:sz w:val="28"/>
          <w:sz w:val="28"/>
          <w:szCs w:val="28"/>
          <w:rtl w:val="true"/>
          <w:lang w:bidi="ar-SA"/>
        </w:rPr>
        <w:t xml:space="preserve">فيقول في كلّ من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اختيار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بعد رفع الرأس من السجدة الأخيرة التشهّد والتسليم ، والواجب من التسليم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التشهّد ، المتعارف منه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تحقّق موجبه بنى على عدمه ، ولو شكّ في إتيانه بعد العلم بوجوبه وجب الإتيان به ، ولو علم بالموجب وتردّد بين الأقلّ والأكثر بنى على الأقلّ ، ولو شكّ في فعل من أفعاله فإن كان في المحلّ أتى به وإن تجاوز لم يلتفت ، وإذا شكّ في أ نّه سجد سجدتين أو واحدة بنى على الأقلّ إلاّ إذا دخل في التشهّد ، ولو علم بأ نّه زاد سجدة أو علم أ نّه نقص واحدة أعاد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487791_3406789950"/>
      <w:bookmarkStart w:id="309" w:name="_Toc110"/>
      <w:bookmarkEnd w:id="308"/>
      <w:r>
        <w:rPr>
          <w:rtl w:val="true"/>
        </w:rPr>
        <w:t xml:space="preserve">القول </w:t>
      </w:r>
      <w:r>
        <w:rPr>
          <w:rtl w:val="true"/>
        </w:rPr>
        <w:t xml:space="preserve">: </w:t>
      </w:r>
      <w:r>
        <w:rPr>
          <w:rtl w:val="true"/>
        </w:rPr>
        <w:t>في صلاة القضاء</w:t>
      </w:r>
      <w:bookmarkEnd w:id="30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قضاء الصلوات اليومية</w:t>
      </w:r>
      <w:r>
        <w:rPr>
          <w:rStyle w:val="FootnoteAnchor"/>
          <w:rtl w:val="true"/>
        </w:rPr>
        <w:footnoteReference w:id="622"/>
      </w:r>
      <w:r>
        <w:rPr>
          <w:rFonts w:ascii="Amiri" w:hAnsi="Amiri" w:eastAsia="Amiri" w:cs="Amiri"/>
          <w:color w:val="111111"/>
          <w:sz w:val="28"/>
          <w:sz w:val="28"/>
          <w:szCs w:val="28"/>
          <w:rtl w:val="true"/>
          <w:lang w:bidi="ar-SA"/>
        </w:rPr>
        <w:t xml:space="preserve">التي فاتت في أوقاتها عمداً أو سهواً أو جهلاً أو لأجل النوم المستوعب للوقت وغير ذلك ، وكذا المأتيّ بها فاسداً لفقد شرط أو جزء يوجب تركه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قضاء ما تركه الصبيّ في زمان صباه ، والمجنون في حال جنونه ، والمغمى عليه إذا لم يكن إغماؤه بفعله</w:t>
      </w:r>
      <w:r>
        <w:rPr>
          <w:rStyle w:val="FootnoteAnchor"/>
          <w:rtl w:val="true"/>
        </w:rPr>
        <w:footnoteReference w:id="623"/>
      </w:r>
      <w:r>
        <w:rPr>
          <w:rFonts w:ascii="Amiri" w:hAnsi="Amiri" w:eastAsia="Amiri" w:cs="Amiri"/>
          <w:color w:val="111111"/>
          <w:sz w:val="28"/>
          <w:sz w:val="28"/>
          <w:szCs w:val="28"/>
          <w:rtl w:val="true"/>
          <w:lang w:bidi="ar-SA"/>
        </w:rPr>
        <w:t>، والكافر الأصلي دون المرتدّ ، فإنّه يجب عليه قضاء ما فاته في حال ارتداده بعد التوبة ، وتصحّ منه وإن كان عن فطرة على الأصحّ ، والحائض والنفساء مع استيعاب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المخالف بعد استبصاره قضاء ما فات منه أو أتى به على وجه يخالف مذهبه ، بخلاف ما إذا أتى به على وفق مذهبه ، فإنّه لا يجب عليه قضاؤها وإن كانت فاسدة بحسب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الوقت باقياً يجب عليه الأداء ، وحينئذٍ لو تركه يجب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الصبيّ أو أفاق المجنون أو المغمى عليه في الوقت وجب عليهم الأداء وإن لم يدركوا إلاّ مقدار ركعة</w:t>
      </w:r>
      <w:r>
        <w:rPr>
          <w:rStyle w:val="FootnoteAnchor"/>
          <w:rtl w:val="true"/>
        </w:rPr>
        <w:footnoteReference w:id="624"/>
      </w:r>
      <w:r>
        <w:rPr>
          <w:rFonts w:ascii="Amiri" w:hAnsi="Amiri" w:eastAsia="Amiri" w:cs="Amiri"/>
          <w:color w:val="111111"/>
          <w:sz w:val="28"/>
          <w:sz w:val="28"/>
          <w:szCs w:val="28"/>
          <w:rtl w:val="true"/>
          <w:lang w:bidi="ar-SA"/>
        </w:rPr>
        <w:t xml:space="preserve">، ومع الترك يجب عليهم القضاء ، وكذلك الحائض والنفساء إذا زال عذرهما ، كما أ نّه إذا طرأ الجنون أو الإغماء أو الحيض أو النفاس بعد مضيّ مقدار صلاة المختار من أوّل الوقت بحسب حالهم من السفر والحضر والوضوء والتيمّم ولم يأتوا بالصلاة وجب عليهم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فاقد الطهورين يجب عليه القضاء ، ولا يترك</w:t>
      </w:r>
      <w:r>
        <w:rPr>
          <w:rStyle w:val="FootnoteAnchor"/>
          <w:rtl w:val="true"/>
        </w:rPr>
        <w:footnoteReference w:id="625"/>
      </w:r>
      <w:r>
        <w:rPr>
          <w:rFonts w:ascii="Amiri" w:hAnsi="Amiri" w:eastAsia="Amiri" w:cs="Amiri"/>
          <w:color w:val="111111"/>
          <w:sz w:val="28"/>
          <w:sz w:val="28"/>
          <w:szCs w:val="28"/>
          <w:rtl w:val="true"/>
          <w:lang w:bidi="ar-SA"/>
        </w:rPr>
        <w:t xml:space="preserve">الاحتياط بالإتيان بالأداء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قضاء غير اليومية سوى العيدين</w:t>
      </w:r>
      <w:r>
        <w:rPr>
          <w:rStyle w:val="FootnoteAnchor"/>
          <w:rtl w:val="true"/>
        </w:rPr>
        <w:footnoteReference w:id="626"/>
      </w:r>
      <w:r>
        <w:rPr>
          <w:rFonts w:ascii="Amiri" w:hAnsi="Amiri" w:eastAsia="Amiri" w:cs="Amiri"/>
          <w:color w:val="111111"/>
          <w:sz w:val="28"/>
          <w:sz w:val="28"/>
          <w:szCs w:val="28"/>
          <w:rtl w:val="true"/>
          <w:lang w:bidi="ar-SA"/>
        </w:rPr>
        <w:t>حتّى المنذورة في وقت معيّن على الأقوى</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قضاء الفرائض في كلّ وقت ؛ من ليل أو نهار أو سفر أو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في السفر ما فات في الحضر تماماً ، كما أ نّه يصلّي في الحضر ما فات في السفر قصراً ، كما سيأتي في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أوّل الوقت </w:t>
      </w:r>
    </w:p>
    <w:p>
      <w:pPr>
        <w:pStyle w:val="BookText"/>
        <w:rPr/>
      </w:pPr>
      <w:r>
        <w:rPr>
          <w:rFonts w:ascii="Amiri" w:hAnsi="Amiri" w:eastAsia="Amiri" w:cs="Amiri"/>
          <w:color w:val="111111"/>
          <w:sz w:val="28"/>
          <w:sz w:val="28"/>
          <w:szCs w:val="28"/>
          <w:rtl w:val="true"/>
          <w:lang w:bidi="ar-SA"/>
        </w:rPr>
        <w:t>حاضراً وفي آخر الوقت مسافراً أو بالعكس ، فالعبرة بحال الفوت على الأصحّ</w:t>
      </w:r>
      <w:r>
        <w:rPr>
          <w:rStyle w:val="FootnoteAnchor"/>
          <w:rtl w:val="true"/>
        </w:rPr>
        <w:footnoteReference w:id="628"/>
      </w:r>
      <w:r>
        <w:rPr>
          <w:rFonts w:ascii="Amiri" w:hAnsi="Amiri" w:eastAsia="Amiri" w:cs="Amiri"/>
          <w:color w:val="111111"/>
          <w:sz w:val="28"/>
          <w:sz w:val="28"/>
          <w:szCs w:val="28"/>
          <w:rtl w:val="true"/>
          <w:lang w:bidi="ar-SA"/>
        </w:rPr>
        <w:t xml:space="preserve">، فيقضي قصراً في الأوّل وتماماً في الثاني ، وإذا فاتته فيما يجب عليه فيه الاحتياط بالجمع بين القصر والتمام فالقضاء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 الصلاة في أماكن التخيير ، فالظاهر التخيير في القضاء أيضاً إذا قضاها في تلك الأماكن ، وتعيّن القصر</w:t>
      </w:r>
      <w:r>
        <w:rPr>
          <w:rStyle w:val="FootnoteAnchor"/>
          <w:rtl w:val="true"/>
        </w:rPr>
        <w:footnoteReference w:id="629"/>
      </w:r>
      <w:r>
        <w:rPr>
          <w:rFonts w:ascii="Amiri" w:hAnsi="Amiri" w:eastAsia="Amiri" w:cs="Amiri"/>
          <w:color w:val="111111"/>
          <w:sz w:val="28"/>
          <w:sz w:val="28"/>
          <w:szCs w:val="28"/>
          <w:rtl w:val="true"/>
          <w:lang w:bidi="ar-SA"/>
        </w:rPr>
        <w:t xml:space="preserve">إذا قضاها في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w:t>
      </w:r>
      <w:r>
        <w:rPr>
          <w:rStyle w:val="FootnoteAnchor"/>
          <w:rtl w:val="true"/>
        </w:rPr>
        <w:footnoteReference w:id="630"/>
      </w:r>
      <w:r>
        <w:rPr>
          <w:rFonts w:ascii="IRNazanin" w:hAnsi="IRNazanin" w:eastAsia="IRNazanin"/>
          <w:color w:val="111111"/>
          <w:sz w:val="28"/>
          <w:sz w:val="28"/>
          <w:szCs w:val="28"/>
          <w:rtl w:val="true"/>
          <w:lang w:bidi="fa-IR"/>
        </w:rPr>
        <w:t>قضاء النوافل الرواتب ، ومن عجز عن قضائها استحبّ له التصدّق</w:t>
      </w:r>
      <w:r>
        <w:rPr>
          <w:rStyle w:val="FootnoteAnchor"/>
          <w:rtl w:val="true"/>
        </w:rPr>
        <w:footnoteReference w:id="631"/>
      </w:r>
      <w:r>
        <w:rPr>
          <w:rFonts w:ascii="Amiri" w:hAnsi="Amiri" w:eastAsia="Amiri" w:cs="Amiri"/>
          <w:color w:val="111111"/>
          <w:sz w:val="28"/>
          <w:sz w:val="28"/>
          <w:szCs w:val="28"/>
          <w:rtl w:val="true"/>
          <w:lang w:bidi="ar-SA"/>
        </w:rPr>
        <w:t xml:space="preserve">عن كلّ ركعتين بمدّ ، وإن لم يتمكّن فعن كلّ أربع ركعات بمدّ ، وإن لم يتمكّن فمدّ لصلاة الليل ومدّ لصلاة النهار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تعدّدت الفوائت فالأقوى</w:t>
      </w:r>
      <w:r>
        <w:rPr>
          <w:rStyle w:val="FootnoteAnchor"/>
          <w:rtl w:val="true"/>
        </w:rPr>
        <w:footnoteReference w:id="632"/>
      </w:r>
      <w:r>
        <w:rPr>
          <w:rFonts w:ascii="Amiri" w:hAnsi="Amiri" w:eastAsia="Amiri" w:cs="Amiri"/>
          <w:color w:val="111111"/>
          <w:sz w:val="28"/>
          <w:sz w:val="28"/>
          <w:szCs w:val="28"/>
          <w:rtl w:val="true"/>
          <w:lang w:bidi="ar-SA"/>
        </w:rPr>
        <w:t xml:space="preserve">عدم وجوب الترتيب في قضائها ؛ بمعنى تقديم قضاء السابق في الفوات على اللاحق إلاّ إذا كانت من يوم واحد وكان الترتيب معتبراً في أدائها شرعاً كالظهرين والعشاءين ، فإذا فات الظهر من يوم والعصر من يوم آخر ، أو الصبح من يوم والظهر من يوم آخر يجوز له تقديم قضاء ما تأخّر فواته ، وكذا إذا فات الصبح والظهر معاً أو العصر والمغرب أو العصر والعشاء من يوم واحد ، بخلاف ما إذا فات الظهران أو العشاءان من يوم واحد ، فإنّه لا يجوز تقديم قضاء العصر على الظهر والعشاء </w:t>
      </w:r>
    </w:p>
    <w:p>
      <w:pPr>
        <w:pStyle w:val="BookText"/>
        <w:rPr/>
      </w:pPr>
      <w:r>
        <w:rPr>
          <w:rFonts w:ascii="Amiri" w:hAnsi="Amiri" w:eastAsia="Amiri" w:cs="Amiri"/>
          <w:color w:val="111111"/>
          <w:sz w:val="28"/>
          <w:sz w:val="28"/>
          <w:szCs w:val="28"/>
          <w:rtl w:val="true"/>
          <w:lang w:bidi="ar-SA"/>
        </w:rPr>
        <w:t xml:space="preserve">على المغرب ، ولكنّ الأحوط ملاحظة الترتيب مطلقاً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عليه إحدى الصلوات الخمس من غير تعيين ، يكفيه صبح ومغرب وأربع ركعات بقصد ما في الذمّة مردّدة بين الظهر والعصر والعشاء مخيّراً فيها بين الجهر والإخفات ، وإذا كان مسافراً يكفيه مغرب وركعتان مردّدتان بين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أ نّه كان حاضراً أو مسافراً يأتي بمغرب وركعتين مردّدتين بين الأربع وأربع ركعات مردّدة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 عليه اثنتين من الخمس من يوم أتى بصبح ثمّ أربع ركعات مردّدة بين الظهر والعصر ثمّ مغرب ثمّ عشاء</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 نّه كان في السفر أتى باثنتين مردّدتين بين الصبح </w:t>
      </w:r>
    </w:p>
    <w:p>
      <w:pPr>
        <w:pStyle w:val="BookText"/>
        <w:rPr/>
      </w:pPr>
      <w:r>
        <w:rPr>
          <w:rFonts w:ascii="Amiri" w:hAnsi="Amiri" w:eastAsia="Amiri" w:cs="Amiri"/>
          <w:color w:val="111111"/>
          <w:sz w:val="28"/>
          <w:sz w:val="28"/>
          <w:szCs w:val="28"/>
          <w:rtl w:val="true"/>
          <w:lang w:bidi="ar-SA"/>
        </w:rPr>
        <w:t xml:space="preserve">والظهر ثمّ ركعتين للعصر ثمّ مغرب ثمّ ركعتين للعشاء ، وإن لم يعلم أ نّه كان مسافراً أو حاضراً ، أتى بركعتين مردّدتين بين الصبح والظهر ثمّ ركعتين للعصر ثمّ المغرب ثمّ ركعتين للعشاء ثمّ أربع ركعات للظهر ثمّ أربع ركعات مردّدة بين 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 عليه ثلاثاً من الخمس وكان حاضراً ، وجب عليه الإتيان بالخمس على الترتيب ، وإن كان في السفر يكفيه أربع صلوات ؛ ركعتان مردّدتان بين الصبح والظهر ثمّ ركعتان للعصر ثمّ المغرب ثمّ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بفوات أربع منها أتى بالخمس تماماً إذا كان في الحضر وقصراً إذا كان في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بفوات صلاة معيّنة كالصبح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ولم يعلم عددها يجوز الاكتفاء بالقدر المعلوم على الأقوى ، ولكنّ الأحوط التكرار بمقدار يحصل منه العلم بالفراغ خصوصاً مع سبق العلم بالمقدار وحصول النسيان بعده ، بل الاحتياط فيه لا يترك</w:t>
      </w:r>
      <w:r>
        <w:rPr>
          <w:rStyle w:val="FootnoteAnchor"/>
          <w:rtl w:val="true"/>
        </w:rPr>
        <w:footnoteReference w:id="634"/>
      </w:r>
      <w:r>
        <w:rPr>
          <w:rFonts w:ascii="Amiri" w:hAnsi="Amiri" w:eastAsia="Amiri" w:cs="Amiri"/>
          <w:color w:val="111111"/>
          <w:sz w:val="28"/>
          <w:sz w:val="28"/>
          <w:szCs w:val="28"/>
          <w:rtl w:val="true"/>
          <w:lang w:bidi="ar-SA"/>
        </w:rPr>
        <w:t xml:space="preserve">، وكذلك الحال فيما إذا فاتت منه صلوات أيّام لا يعلم عددها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 بل هو موسّع ما دام العمر إذا لم ينجرّ إلى المسامحة في أداء التكليف والتهاون به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لذوي الأعذار تأخير القضاء إلى زمان رفع العذر إلاّ إذا علم ببقائه إلى آخر العمر أو خاف</w:t>
      </w:r>
      <w:r>
        <w:rPr>
          <w:rStyle w:val="FootnoteAnchor"/>
          <w:rtl w:val="true"/>
        </w:rPr>
        <w:footnoteReference w:id="635"/>
      </w:r>
      <w:r>
        <w:rPr>
          <w:rFonts w:ascii="Amiri" w:hAnsi="Amiri" w:eastAsia="Amiri" w:cs="Amiri"/>
          <w:color w:val="111111"/>
          <w:sz w:val="28"/>
          <w:sz w:val="28"/>
          <w:szCs w:val="28"/>
          <w:rtl w:val="true"/>
          <w:lang w:bidi="ar-SA"/>
        </w:rPr>
        <w:t xml:space="preserve">مفاجأة الموت ، نعم فيما إذا كان معذوراً </w:t>
      </w:r>
    </w:p>
    <w:p>
      <w:pPr>
        <w:pStyle w:val="BookText"/>
        <w:rPr/>
      </w:pPr>
      <w:r>
        <w:rPr>
          <w:rFonts w:ascii="Amiri" w:hAnsi="Amiri" w:eastAsia="Amiri" w:cs="Amiri"/>
          <w:color w:val="111111"/>
          <w:sz w:val="28"/>
          <w:sz w:val="28"/>
          <w:szCs w:val="28"/>
          <w:rtl w:val="true"/>
          <w:lang w:bidi="ar-SA"/>
        </w:rPr>
        <w:t>عن الطهارة المائية الظاهر جواز</w:t>
      </w:r>
      <w:r>
        <w:rPr>
          <w:rStyle w:val="FootnoteAnchor"/>
          <w:rtl w:val="true"/>
        </w:rPr>
        <w:footnoteReference w:id="636"/>
      </w:r>
      <w:r>
        <w:rPr>
          <w:rFonts w:ascii="Amiri" w:hAnsi="Amiri" w:eastAsia="Amiri" w:cs="Amiri"/>
          <w:color w:val="111111"/>
          <w:sz w:val="28"/>
          <w:sz w:val="28"/>
          <w:szCs w:val="28"/>
          <w:rtl w:val="true"/>
          <w:lang w:bidi="ar-SA"/>
        </w:rPr>
        <w:t xml:space="preserve">القضاء مع الترابية ، حتّى مع رجاء زوال العذر فيما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تقديم الفائتة على الحاضرة ، فيجوز الاشتغال بالحاضرة لمن عليه القضاء ، وإن كان الأحوط</w:t>
      </w:r>
      <w:r>
        <w:rPr>
          <w:rStyle w:val="FootnoteAnchor"/>
          <w:rtl w:val="true"/>
        </w:rPr>
        <w:footnoteReference w:id="637"/>
      </w:r>
      <w:r>
        <w:rPr>
          <w:rFonts w:ascii="Amiri" w:hAnsi="Amiri" w:eastAsia="Amiri" w:cs="Amiri"/>
          <w:color w:val="111111"/>
          <w:sz w:val="28"/>
          <w:sz w:val="28"/>
          <w:szCs w:val="28"/>
          <w:rtl w:val="true"/>
          <w:lang w:bidi="ar-SA"/>
        </w:rPr>
        <w:t xml:space="preserve">تقديمها عليها خصوصاً في فائتة ذلك اليوم ، بل إذا شرع في الحاضرة قبلها استحبّ له العدول منها إليها إذا لم يتجاوز محلّ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عليه القضاء الإتيان بالنوافل على الأقوى ، كما يجوز الإتيان بها أيضاً بعد دخول الوقت قبل إتيان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بالقضاء جماعة ؛ سواء كان الإمام قاضياً أو مؤدّياً ، بل يستحبّ ذلك ، ولا يجب اتّحاد صلاة الإمام والمأموم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ما فات عن والده من الصلاة لعذر ؛ من نوم أو مرض</w:t>
      </w:r>
      <w:r>
        <w:rPr>
          <w:rStyle w:val="FootnoteAnchor"/>
          <w:rtl w:val="true"/>
        </w:rPr>
        <w:footnoteReference w:id="638"/>
      </w:r>
      <w:r>
        <w:rPr>
          <w:rFonts w:ascii="Amiri" w:hAnsi="Amiri" w:eastAsia="Amiri" w:cs="Amiri"/>
          <w:color w:val="111111"/>
          <w:sz w:val="28"/>
          <w:sz w:val="28"/>
          <w:szCs w:val="28"/>
          <w:rtl w:val="true"/>
          <w:lang w:bidi="ar-SA"/>
        </w:rPr>
        <w:t>ونحو ذلك ، والأحوط</w:t>
      </w:r>
      <w:r>
        <w:rPr>
          <w:rStyle w:val="FootnoteAnchor"/>
          <w:rtl w:val="true"/>
        </w:rPr>
        <w:footnoteReference w:id="639"/>
      </w:r>
      <w:r>
        <w:rPr>
          <w:rFonts w:ascii="Amiri" w:hAnsi="Amiri" w:eastAsia="Amiri" w:cs="Amiri"/>
          <w:color w:val="111111"/>
          <w:sz w:val="28"/>
          <w:sz w:val="28"/>
          <w:szCs w:val="28"/>
          <w:rtl w:val="true"/>
          <w:lang w:bidi="ar-SA"/>
        </w:rPr>
        <w:t>إلحاق الوالدة بالوالد ، وما تركه عمداً بما تركه لعذر ، بل لا يترك</w:t>
      </w:r>
      <w:r>
        <w:rPr>
          <w:rStyle w:val="FootnoteAnchor"/>
          <w:rtl w:val="true"/>
        </w:rPr>
        <w:footnoteReference w:id="640"/>
      </w:r>
      <w:r>
        <w:rPr>
          <w:rFonts w:ascii="Amiri" w:hAnsi="Amiri" w:eastAsia="Amiri" w:cs="Amiri"/>
          <w:color w:val="111111"/>
          <w:sz w:val="28"/>
          <w:sz w:val="28"/>
          <w:szCs w:val="28"/>
          <w:rtl w:val="true"/>
          <w:lang w:bidi="ar-SA"/>
        </w:rPr>
        <w:t xml:space="preserve">الاحتياط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w:t>
      </w:r>
      <w:r>
        <w:rPr>
          <w:rStyle w:val="FootnoteAnchor"/>
          <w:rtl w:val="true"/>
        </w:rPr>
        <w:footnoteReference w:id="641"/>
      </w:r>
      <w:r>
        <w:rPr>
          <w:rFonts w:ascii="Amiri" w:hAnsi="Amiri" w:eastAsia="Amiri" w:cs="Amiri"/>
          <w:color w:val="111111"/>
          <w:sz w:val="28"/>
          <w:sz w:val="28"/>
          <w:szCs w:val="28"/>
          <w:rtl w:val="true"/>
          <w:lang w:bidi="ar-SA"/>
        </w:rPr>
        <w:t xml:space="preserve">أ نّه لا يجب عليه قضاء ما أتى به فاسداً من جهة إخلاله بما اعتبر فيه </w:t>
      </w:r>
      <w:r>
        <w:rPr>
          <w:rFonts w:eastAsia="Amiri" w:cs="Amiri" w:ascii="Amiri" w:hAnsi="Amiri"/>
          <w:color w:val="111111"/>
          <w:sz w:val="28"/>
          <w:szCs w:val="28"/>
          <w:rtl w:val="true"/>
          <w:lang w:bidi="ar-SA"/>
        </w:rPr>
        <w:t xml:space="preserve">. </w:t>
      </w:r>
      <w:bookmarkStart w:id="310" w:name="pg15003_159832"/>
    </w:p>
    <w:p>
      <w:pPr>
        <w:pStyle w:val="BookText"/>
        <w:rPr/>
      </w:pPr>
      <w:bookmarkEnd w:id="310"/>
      <w:r>
        <w:rPr>
          <w:rFonts w:ascii="Amiri" w:hAnsi="Amiri" w:eastAsia="Amiri" w:cs="Amiri"/>
          <w:color w:val="111111"/>
          <w:sz w:val="28"/>
          <w:sz w:val="28"/>
          <w:szCs w:val="28"/>
          <w:rtl w:val="true"/>
          <w:lang w:bidi="ar-SA"/>
        </w:rPr>
        <w:t xml:space="preserve">وإنّما يجب عليه قضاء ما فات عن الميّت من صلاة نفسه دون ما وجب عليه بالإجارة أو من جهة كونه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البنات ولا على غير الولد الأكبر من الذكور ولا على الذكور من سائر الأقارب كالأب والأخ والعمّ والخال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الولد الأكبر بعد والده لا يجب على من دونه في السنّ من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الوليّ أن يكون بالغاً عاقلاً عند الموت فيجب على الصبيّ إذا بلغ ، والمجنون إذا عقل ، كما أ نّه لا يعتبر كونه وارثاً فيجب على الممنوع منه بسبب القتل أو الرقّ أو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تساوى ولدان في السنّ يقسّط القضاء عليهما ، ولو كان كسر يجب عليهما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الوليّ المباشرة بل يجوز له أن يستأجر ، والأجير يقصد النيابة عن الميّت لا عن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باشر الوليّ يراعي تكليف نفسه باجتهاد أو تقليد في أحكام الشكّ والسهو ، بل وفي أجزاء الصلاة وشرائطها دون تكليف الميّت ، كما أ نّه يراعي تكليف نفسه في أصل وجوب القضاء إذا اختلف مقتضى تقليده أو اجتهاده مع الميّت </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87793_3406789950"/>
      <w:bookmarkStart w:id="312" w:name="_Toc111"/>
      <w:bookmarkEnd w:id="311"/>
      <w:r>
        <w:rPr>
          <w:rtl w:val="true"/>
        </w:rPr>
        <w:t xml:space="preserve">القول </w:t>
      </w:r>
      <w:r>
        <w:rPr>
          <w:rtl w:val="true"/>
        </w:rPr>
        <w:t xml:space="preserve">: </w:t>
      </w:r>
      <w:r>
        <w:rPr>
          <w:rtl w:val="true"/>
        </w:rPr>
        <w:t>في صلاة الاستئجار</w:t>
      </w:r>
      <w:bookmarkEnd w:id="31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الاستئجار للنيابة عن الأموات في قضاء الصلوات كسائر العبادات ، كما يجوز النيابة عنهم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النائب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كان أو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والبدلية عن فعل المنوب عنه وفراغ ذمّته ، وتفرغ بذلك ذمّته ويتقرّب به ويثاب عليه كما يثاب النائب أيضاً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w:t>
      </w:r>
      <w:r>
        <w:rPr>
          <w:rStyle w:val="FootnoteAnchor"/>
          <w:rtl w:val="true"/>
        </w:rPr>
        <w:footnoteReference w:id="642"/>
      </w:r>
      <w:r>
        <w:rPr>
          <w:rFonts w:ascii="Amiri" w:hAnsi="Amiri" w:eastAsia="Amiri" w:cs="Amiri"/>
          <w:color w:val="111111"/>
          <w:sz w:val="28"/>
          <w:sz w:val="28"/>
          <w:szCs w:val="28"/>
          <w:rtl w:val="true"/>
          <w:lang w:bidi="ar-SA"/>
        </w:rPr>
        <w:t xml:space="preserve">فيه قصد القربة على النحو الذي </w:t>
      </w:r>
    </w:p>
    <w:p>
      <w:pPr>
        <w:pStyle w:val="BookText"/>
        <w:rPr/>
      </w:pPr>
      <w:r>
        <w:rPr>
          <w:rFonts w:ascii="Amiri" w:hAnsi="Amiri" w:eastAsia="Amiri" w:cs="Amiri"/>
          <w:color w:val="111111"/>
          <w:sz w:val="28"/>
          <w:sz w:val="28"/>
          <w:szCs w:val="28"/>
          <w:rtl w:val="true"/>
          <w:lang w:bidi="ar-SA"/>
        </w:rPr>
        <w:t xml:space="preserve">يعمل المكلّف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تعيين الميّت المنوب عنه في قصده ولو بالإجمال كصاحب المال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من عليه واجب من الصلاة والصيام الإيصاء باستئجاره ، ويجب على الوصيّ إخراجها من الثلث ، وهذا بخلاف الحجّ والواجبات المالية كالزكاة والخمس والمظالم والكفّارات ، فإنّها تخرج من أصل المال ؛ أوصى بها أو لم يوص ، إلاّ إذا أوصى بأن تخرج من الثلث فتخرج منه ، فإن لم يفِ بها يخرج الزائد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أوصى بأن يقضى عنه الصلاة والصوم ولم يكن له تركة لا يجب على الوصيّ ولا على الوارث</w:t>
      </w:r>
      <w:r>
        <w:rPr>
          <w:rStyle w:val="FootnoteAnchor"/>
          <w:rtl w:val="true"/>
        </w:rPr>
        <w:footnoteReference w:id="643"/>
      </w:r>
      <w:r>
        <w:rPr>
          <w:rFonts w:ascii="Amiri" w:hAnsi="Amiri" w:eastAsia="Amiri" w:cs="Amiri"/>
          <w:color w:val="111111"/>
          <w:sz w:val="28"/>
          <w:sz w:val="28"/>
          <w:szCs w:val="28"/>
          <w:rtl w:val="true"/>
          <w:lang w:bidi="ar-SA"/>
        </w:rPr>
        <w:t xml:space="preserve">المباشرة ولا الاستئجار من مالهما ، نعم يجب على وليّه قضاء ما فات منه إمّا بالمباشرة أو الاستئجار من ماله وإن لم يوص به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لصلاة أو صوم أو حجّ فمات قبل الإتيان به فإن اشترط عليه المباشرة بطلت الإجارة بالنسبة إلى ما بقي عليه وتشتغل ذمّته بمال الإجارة إن قبضه فيخرج من تركته ، وإن لم يشترط المباشرة وجب الاستئجار من تركته إن كان له تركة ، وإلاّ فلا يجب على الورثة كما في سائر الديون إذا لم يكن له تركة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الأجير أن يكون عارفاً بأجزاء الصلاة وشرائطها </w:t>
      </w:r>
    </w:p>
    <w:p>
      <w:pPr>
        <w:pStyle w:val="BookText"/>
        <w:rPr/>
      </w:pPr>
      <w:r>
        <w:rPr>
          <w:rFonts w:ascii="Amiri" w:hAnsi="Amiri" w:eastAsia="Amiri" w:cs="Amiri"/>
          <w:color w:val="111111"/>
          <w:sz w:val="28"/>
          <w:sz w:val="28"/>
          <w:szCs w:val="28"/>
          <w:rtl w:val="true"/>
          <w:lang w:bidi="ar-SA"/>
        </w:rPr>
        <w:t xml:space="preserve">ومنافياتها وأحكام الخلل وغيرها عن اجتهاد أو تقليد صحيح ، نعم لا يبعد جواز استئجار تارك الاجتهاد والتقليد إذا كان عارفاً بكيفية الاحتياط وكان محتاطاً في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عدالة الأجير ، بل يكفي كونه أميناً ؛ بحيث يطمئنّ بإتيانه على الوجه الصحيح وإن لم 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فيه البلوغ فلا يصحّ استئجار الصبيّ المميّز ونيابته وإن علم إتيانه على الوجه الصحيح ؟ لا يبعد عدمه بناءً على ما هو الحقّ من شرعية عباداته وإن كان الأحوط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استئجار ذوي الأعذار كالعاجز عن القيام مع وجود غيره ، بل لو تجدّد له العجز ينتظر زمان رفعه ، وإن ضاق الوقت انفسخت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صحّة استئجار ذي الجبيرة ومن كان تكليفه التيمّم وإن كان الأحوط</w:t>
      </w:r>
      <w:r>
        <w:rPr>
          <w:rStyle w:val="FootnoteAnchor"/>
          <w:rtl w:val="true"/>
        </w:rPr>
        <w:footnoteReference w:id="644"/>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حصل للأجير سهو أو شكّ يعمل بحكمه على طبق اجتهاده أو تقليده وإن خالف حكم الميّت ، كما أ نّه يجب عليه أن يأتي بالصلاة على مقتضى تكليفه واعتقاده ؛ من تقليده أو اجتهاده إذا استؤجر على الإتيان بالعمل الصحيح ، نعم لو عيّن له كيفية خاصّة لا يجوز له</w:t>
      </w:r>
      <w:r>
        <w:rPr>
          <w:rStyle w:val="FootnoteAnchor"/>
          <w:rtl w:val="true"/>
        </w:rPr>
        <w:footnoteReference w:id="645"/>
      </w:r>
      <w:r>
        <w:rPr>
          <w:rFonts w:ascii="Amiri" w:hAnsi="Amiri" w:eastAsia="Amiri" w:cs="Amiri"/>
          <w:color w:val="111111"/>
          <w:sz w:val="28"/>
          <w:sz w:val="28"/>
          <w:szCs w:val="28"/>
          <w:rtl w:val="true"/>
          <w:lang w:bidi="ar-SA"/>
        </w:rPr>
        <w:t xml:space="preserve">التعدّي عنها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كلّ من الرجل والمرأة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الجهر والإخفات وكيفية التستّر وشرائط اللباس يراعى حال المباشر النائب لا المنوب </w:t>
      </w:r>
    </w:p>
    <w:p>
      <w:pPr>
        <w:pStyle w:val="BookText"/>
        <w:rPr/>
      </w:pPr>
      <w:r>
        <w:rPr>
          <w:rFonts w:ascii="Amiri" w:hAnsi="Amiri" w:eastAsia="Amiri" w:cs="Amiri"/>
          <w:color w:val="111111"/>
          <w:sz w:val="28"/>
          <w:sz w:val="28"/>
          <w:szCs w:val="28"/>
          <w:rtl w:val="true"/>
          <w:lang w:bidi="ar-SA"/>
        </w:rPr>
        <w:t xml:space="preserve">عنه ، فالرجل يجهر في الجهرية وإن كان نائباً عن المرأة ، والمرأة مخيّرة فيها وإن كانت نائبة عن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في السابق أ نّه لا يجب</w:t>
      </w:r>
      <w:r>
        <w:rPr>
          <w:rStyle w:val="FootnoteAnchor"/>
          <w:rtl w:val="true"/>
        </w:rPr>
        <w:footnoteReference w:id="646"/>
      </w:r>
      <w:r>
        <w:rPr>
          <w:rFonts w:ascii="Amiri" w:hAnsi="Amiri" w:eastAsia="Amiri" w:cs="Amiri"/>
          <w:color w:val="111111"/>
          <w:sz w:val="28"/>
          <w:sz w:val="28"/>
          <w:szCs w:val="28"/>
          <w:rtl w:val="true"/>
          <w:lang w:bidi="ar-SA"/>
        </w:rPr>
        <w:t xml:space="preserve">الترتيب في القضاء ، فإذا استؤجر جماعة للنيابة عن واحد في قضاء صلاته لا يجب تعيين الوقت لكلّ منهم حذراً من وقوع صلاة بعضهم مقارناً لصلاة البعض الآخر ، فلا يتحقّق الترتيب ؛ لما عرفت من عدم وجوبه ، مع أ نّه لو قلنا به فالمسلّم عدم جواز تقديم اللاحق لا وجوب تقديم السابق ، فلا يضرّ المقارنة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للأجير أن يستأجر غيره للعمل بلا إذن من المستأجر ، نعم لو تقبّل العمل من دون أن يؤاجر نفسه له يجوز أن يستأجر غيره له لكن حينئذٍ لا يجوز أن</w:t>
      </w:r>
      <w:r>
        <w:rPr>
          <w:rStyle w:val="FootnoteAnchor"/>
          <w:rtl w:val="true"/>
        </w:rPr>
        <w:footnoteReference w:id="647"/>
      </w:r>
      <w:r>
        <w:rPr>
          <w:rFonts w:ascii="Amiri" w:hAnsi="Amiri" w:eastAsia="Amiri" w:cs="Amiri"/>
          <w:color w:val="111111"/>
          <w:sz w:val="28"/>
          <w:sz w:val="28"/>
          <w:szCs w:val="28"/>
          <w:rtl w:val="true"/>
          <w:lang w:bidi="ar-SA"/>
        </w:rPr>
        <w:t xml:space="preserve">يستأجره بأقلّ من الاُجرة المجعولة له ، إلاّ إذا أتى ببعض العمل وإن قلّ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للأجير وقتاً أو مدّة ولم يأت بالعمل أو تمامه في تلك المدّة ليس له أن يأتي به بعدها إلاّ بإذن من المستأجر ، ولو أتى به فهو كالمتبرّع لا يستحقّ اُجرة ، نعم لو كان الإتيان بالعمل في الوقت المعيّن والمدّة المضروبة بعنوان الاشتراط يستحقّ الاُجرة المسمّاة وإن كان للمستأجر خيار الفسخ من </w:t>
      </w:r>
      <w:bookmarkStart w:id="313" w:name="pg15003_159836"/>
    </w:p>
    <w:p>
      <w:pPr>
        <w:pStyle w:val="BookText"/>
        <w:rPr/>
      </w:pPr>
      <w:bookmarkEnd w:id="313"/>
      <w:r>
        <w:rPr>
          <w:rFonts w:ascii="Amiri" w:hAnsi="Amiri" w:eastAsia="Amiri" w:cs="Amiri"/>
          <w:color w:val="111111"/>
          <w:sz w:val="28"/>
          <w:sz w:val="28"/>
          <w:szCs w:val="28"/>
          <w:rtl w:val="true"/>
          <w:lang w:bidi="ar-SA"/>
        </w:rPr>
        <w:t xml:space="preserve">جهة تخلّف الشرط ، فإذا فسخ يرجع إلى الأجير بالاُجرة المسمّاة وهو يستحقّ اُجرة المثل للعمل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العمل بطلان الإجارة استحقّ الأجير اُجرة المثل بعمله ، وكذا إذا فسخت الإجارة من جهة الغبن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يعيّن</w:t>
      </w:r>
      <w:r>
        <w:rPr>
          <w:rStyle w:val="FootnoteAnchor"/>
          <w:rtl w:val="true"/>
        </w:rPr>
        <w:footnoteReference w:id="648"/>
      </w:r>
      <w:r>
        <w:rPr>
          <w:rFonts w:ascii="Amiri" w:hAnsi="Amiri" w:eastAsia="Amiri" w:cs="Amiri"/>
          <w:color w:val="111111"/>
          <w:sz w:val="28"/>
          <w:sz w:val="28"/>
          <w:szCs w:val="28"/>
          <w:rtl w:val="true"/>
          <w:lang w:bidi="ar-SA"/>
        </w:rPr>
        <w:t>كيفية العمل من حيث الإتيان بالمستحبّات يجب الإتيان بالمستحبّات المتعارفة كالإقامة</w:t>
      </w:r>
      <w:r>
        <w:rPr>
          <w:rStyle w:val="FootnoteAnchor"/>
          <w:rtl w:val="true"/>
        </w:rPr>
        <w:footnoteReference w:id="649"/>
      </w:r>
      <w:r>
        <w:rPr>
          <w:rFonts w:ascii="Amiri" w:hAnsi="Amiri" w:eastAsia="Amiri" w:cs="Amiri"/>
          <w:color w:val="111111"/>
          <w:sz w:val="28"/>
          <w:sz w:val="28"/>
          <w:szCs w:val="28"/>
          <w:rtl w:val="true"/>
          <w:lang w:bidi="ar-SA"/>
        </w:rPr>
        <w:t xml:space="preserve">والقنوت وتكبيرة الركوع ونحو ذلك </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487795_3406789950"/>
      <w:bookmarkStart w:id="315" w:name="_Toc112"/>
      <w:bookmarkEnd w:id="314"/>
      <w:r>
        <w:rPr>
          <w:rtl w:val="true"/>
        </w:rPr>
        <w:t xml:space="preserve">القول في صلاة العيدين </w:t>
      </w:r>
      <w:r>
        <w:rPr>
          <w:rtl w:val="true"/>
        </w:rPr>
        <w:t xml:space="preserve">: </w:t>
      </w:r>
      <w:r>
        <w:rPr>
          <w:rtl w:val="true"/>
        </w:rPr>
        <w:t>الفطر والأضحى</w:t>
      </w:r>
      <w:bookmarkEnd w:id="31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واجبة مع حضور</w:t>
      </w:r>
      <w:r>
        <w:rPr>
          <w:rStyle w:val="FootnoteAnchor"/>
          <w:rtl w:val="true"/>
        </w:rPr>
        <w:footnoteReference w:id="650"/>
      </w:r>
      <w:r>
        <w:rPr>
          <w:rFonts w:ascii="IRNazanin" w:hAnsi="IRNazanin" w:eastAsia="IRNazanin"/>
          <w:color w:val="111111"/>
          <w:sz w:val="28"/>
          <w:sz w:val="28"/>
          <w:szCs w:val="28"/>
          <w:rtl w:val="true"/>
          <w:lang w:bidi="fa-IR"/>
        </w:rPr>
        <w:t>الإمام علیه السلام وبسط يده ، ومستحبّة جماعة</w:t>
      </w:r>
      <w:r>
        <w:rPr>
          <w:rStyle w:val="FootnoteAnchor"/>
          <w:rtl w:val="true"/>
        </w:rPr>
        <w:footnoteReference w:id="651"/>
      </w:r>
      <w:r>
        <w:rPr>
          <w:rFonts w:ascii="Amiri" w:hAnsi="Amiri" w:eastAsia="Amiri" w:cs="Amiri"/>
          <w:color w:val="111111"/>
          <w:sz w:val="28"/>
          <w:sz w:val="28"/>
          <w:szCs w:val="28"/>
          <w:rtl w:val="true"/>
          <w:lang w:bidi="ar-SA"/>
        </w:rPr>
        <w:t xml:space="preserve">وفرادى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ووقتها من طلوع الشمس إلى الزوال ، ولا قضاء لها لو فاتت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ركعتان في كلّ منهما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والأفضل أن يقرأ في الاُولى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ويكبّر بعد السورة في الاُولى خمس تكبيرات ويقنت خمس قنوتات ؛ بعد كلّ تكبيرة قنوت ، وفي الثانية أربع تكبيرات وأربع قنوتات بعد كلّ تكبيرة 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القنوت كلّ ما جرى على اللسان من ذكر ودعاء ، كسائر الصلوات ، والأفضل ما هو المأثور ؛ وهو </w:t>
      </w:r>
    </w:p>
    <w:p>
      <w:pPr>
        <w:pStyle w:val="BookText"/>
        <w:rPr/>
      </w:pPr>
      <w:r>
        <w:rPr>
          <w:rFonts w:ascii="IRNazanin" w:hAnsi="IRNazanin" w:eastAsia="IRNazanin"/>
          <w:color w:val="111111"/>
          <w:sz w:val="28"/>
          <w:sz w:val="28"/>
          <w:szCs w:val="28"/>
          <w:rtl w:val="true"/>
          <w:lang w:bidi="fa-IR"/>
        </w:rPr>
        <w:t>أن</w:t>
      </w:r>
      <w:r>
        <w:rPr>
          <w:rStyle w:val="FootnoteAnchor"/>
          <w:rtl w:val="true"/>
        </w:rPr>
        <w:footnoteReference w:id="65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 وأهلَ التقوى والمغفرة ، أسأ لُك بحقّ هذا اليوم الذي جعلتَه للمسلمين عيداً ، ولمحمّدٍ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وشرفاً وكرامةً ومزيداً ، أن تصلّي على محمّدٍ وآل محمّدٍ ، وأن تُدْخلَني في كلّ خيرٍ أدخلت فيه محمّداً وآلَ محمّدٍ ، وأن تُخرِجني من كلِّ سوءٍ أخرجتَ منه محمّداً وآلَ محمّدٍ ، صلواتُك عليه وعليهم ، اللهمّ إنّي أسأ لُك خيرَ ما سألكَ به عبادُكَ الصالحون ، وأعوذُ بِكَ ممّا استعاذ منه عبادُك المخلصون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بخطبتين بعد الصلاة ، ويجوز</w:t>
      </w:r>
      <w:r>
        <w:rPr>
          <w:rStyle w:val="FootnoteAnchor"/>
          <w:rtl w:val="true"/>
        </w:rPr>
        <w:footnoteReference w:id="653"/>
      </w:r>
      <w:r>
        <w:rPr>
          <w:rFonts w:ascii="Amiri" w:hAnsi="Amiri" w:eastAsia="Amiri" w:cs="Amiri"/>
          <w:color w:val="111111"/>
          <w:sz w:val="28"/>
          <w:sz w:val="28"/>
          <w:szCs w:val="28"/>
          <w:rtl w:val="true"/>
          <w:lang w:bidi="ar-SA"/>
        </w:rPr>
        <w:t xml:space="preserve">تركهما في زمان الغيبة وإن كانت الصلاة بجماعة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فيها الجهر بالقراءة للإمام والمنفرد ، ورفع اليدين حال التكبيرات ، والإصحار بها إلاّ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يصلّي تحت السقف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في هذه الصلاة ما عدا القراءة كسائر الصلوات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التكبيرات أو القنوتات بنى على الأقلّ</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بموجب سجود السهو فيها فالأحوط إتيانه</w:t>
      </w:r>
      <w:r>
        <w:rPr>
          <w:rStyle w:val="FootnoteAnchor"/>
          <w:rtl w:val="true"/>
        </w:rPr>
        <w:footnoteReference w:id="655"/>
      </w:r>
      <w:r>
        <w:rPr>
          <w:rFonts w:ascii="Amiri" w:hAnsi="Amiri" w:eastAsia="Amiri" w:cs="Amiri"/>
          <w:color w:val="111111"/>
          <w:sz w:val="28"/>
          <w:sz w:val="28"/>
          <w:szCs w:val="28"/>
          <w:rtl w:val="true"/>
          <w:lang w:bidi="ar-SA"/>
        </w:rPr>
        <w:t xml:space="preserve">وإن كان عدم وجوبه في صورة استحبابها لا يخلو من قوّة ، وكذا الحال في قضاء التشهّد والسجدة المنسيّين </w:t>
      </w:r>
      <w:r>
        <w:rPr>
          <w:rFonts w:eastAsia="Amiri" w:cs="Amiri" w:ascii="Amiri" w:hAnsi="Amiri"/>
          <w:color w:val="111111"/>
          <w:sz w:val="28"/>
          <w:szCs w:val="28"/>
          <w:rtl w:val="true"/>
          <w:lang w:bidi="ar-SA"/>
        </w:rPr>
        <w:t xml:space="preserve">. </w:t>
      </w:r>
      <w:bookmarkStart w:id="316" w:name="pg15003_159838"/>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هذه الصلاة أذان ولا إقامة ، نعم يستحبّ أن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87797_3406789950"/>
      <w:bookmarkStart w:id="318" w:name="_Toc113"/>
      <w:bookmarkEnd w:id="317"/>
      <w:r>
        <w:rPr>
          <w:rtl w:val="true"/>
        </w:rPr>
        <w:t xml:space="preserve">القول </w:t>
      </w:r>
      <w:r>
        <w:rPr>
          <w:rtl w:val="true"/>
        </w:rPr>
        <w:t xml:space="preserve">: </w:t>
      </w:r>
      <w:r>
        <w:rPr>
          <w:rtl w:val="true"/>
        </w:rPr>
        <w:t>في بعض الصلوات المندوبة</w:t>
      </w:r>
      <w:bookmarkEnd w:id="318"/>
    </w:p>
    <w:p>
      <w:pPr>
        <w:pStyle w:val="Heading4"/>
        <w:numPr>
          <w:ilvl w:val="3"/>
          <w:numId w:val="1"/>
        </w:numPr>
        <w:rPr/>
      </w:pPr>
      <w:bookmarkStart w:id="319" w:name="__RefHeading___Toc487799_3406789950"/>
      <w:bookmarkStart w:id="320" w:name="_Toc114"/>
      <w:bookmarkEnd w:id="319"/>
      <w:r>
        <w:rPr>
          <w:rtl w:val="true"/>
        </w:rPr>
        <w:t xml:space="preserve">فمنها </w:t>
      </w:r>
      <w:r>
        <w:rPr>
          <w:rtl w:val="true"/>
        </w:rPr>
        <w:t xml:space="preserve">: </w:t>
      </w:r>
      <w:r>
        <w:rPr>
          <w:rtl w:val="true"/>
        </w:rPr>
        <w:t>صلاة جعفر بن أبي طالب</w:t>
      </w:r>
      <w:bookmarkEnd w:id="320"/>
    </w:p>
    <w:p>
      <w:pPr>
        <w:pStyle w:val="BookText"/>
        <w:rPr/>
      </w:pPr>
      <w:r>
        <w:rPr>
          <w:rFonts w:ascii="IRNazanin" w:hAnsi="IRNazanin" w:eastAsia="IRNazanin"/>
          <w:color w:val="111111"/>
          <w:sz w:val="28"/>
          <w:sz w:val="28"/>
          <w:szCs w:val="28"/>
          <w:rtl w:val="true"/>
          <w:lang w:bidi="fa-IR"/>
        </w:rPr>
        <w:t xml:space="preserve">وهي من المستحبّات الأكيدة ، ومن المشهورات بين العامّة والخاصّة ، وممّا حباه النبي صلی الله علیه و آله وسلم ابن عمّه حين قدومه من سفره حبّاً له وكرامةً عليه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قال النبي صلی الله علیه و آله وسلم لجعفر حين قدومه من الحبشة يوم 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أمنحك ؟ ألا اُعطيك ؟ ألا أحبوك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الناس أ نّه يعطيه ذهباً أو فضّة ، فأشرف الناس لذلك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اُعطيك شيئاً إن أنت صنعته في كلّ يوم كان خيراً لك من الدنيا وما فيها ، فإن صنعته بين يومين غفر اللّه لك ما بينهما أو كلّ جمعة أو كلّ شهر أو كلّ سنة غفر لك ما بينهما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وأفضل أوقاتها يوم الجمعة حين ارتفاع الشمس ، ويجوز احتسابها من نوافل الليل أو النهار تحسب له من نوافله وتحسب له من صلاة جعفر كما في الخبر ، فينوي بصلاة جعفر نافلة المغرب مثلاً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أربع ركعات بتسليمتين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مرّة ، ويقولها في الركوع عشر مرّات ، وكذا بعد رفع الرأس منه عشر مرّات ، وكذا في السجدة الاُولى ، وبعد رفع الرأس منها ، وفي السجدة الثانية ، وبعد رفع الرأس منها يقولها عشر مرّات ، فتكون في كلّ ركعة خمسة وسبعون مرّة ومجموعها ثلاثمائة </w:t>
      </w:r>
    </w:p>
    <w:p>
      <w:pPr>
        <w:pStyle w:val="BookText"/>
        <w:rPr/>
      </w:pPr>
      <w:r>
        <w:rPr>
          <w:rFonts w:ascii="Amiri" w:hAnsi="Amiri" w:eastAsia="Amiri" w:cs="Amiri"/>
          <w:color w:val="111111"/>
          <w:sz w:val="28"/>
          <w:sz w:val="28"/>
          <w:szCs w:val="28"/>
          <w:rtl w:val="true"/>
          <w:lang w:bidi="ar-SA"/>
        </w:rPr>
        <w:t xml:space="preserve">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الاكتفاء بالتسبيحات عن ذكر الركوع والسجود ، والأحوط عدم الاكتفاء 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تتعيّن فيها سورة مخصوصة ، لكن الأفضل أن يقرأ 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تأخير التسبيحات إلى ما بعد الصلاة إذا كان مستعجلاً ، كما يجوز التفريق في أصل الصلاة إذا كانت له حاجة ضرورية فيأتي بركعتين وبعد قضاء تلك الحاجة يأتي بالبقيّة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سها عن بعض التسبيحات في محلّها فإن تذكّرها في بعض المحالّ الاُخر قضاها في ذلك المحلّ مضافاً إلى وظيفته ، فإذا نسي تسبيحات الركوع وتذكّرها بعد رفع الرأس منه سبّح عشرين تسبيحة ، وهكذا في باقي المحالّ والأحوال ، وإن لم يتذكّرها إلاّ بعد الصلاة قضاها بعدها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في السجدة الثانية من الركعة الرابعة بعد التسبيحات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لبِسَ العِزَّ والوَقارَ ، يا مَن تَعَطّفَ بالمجدِ وتَكَرّمَ به ، يا من لا ينبغي التسبيحُ إلاّ لهُ ، يا من أحصى كلَّ شيءٍ عِلمُه ، يا ذا النعمة والطول ، يا ذا المنّ والفضلِ ، يا ذا القدرةِ والكرمِ ، أسأ لُكَ بمعاقد العزِّ من عرشِك ، ومنتهى الرحمة من كتابِكَ ، وباسمكَ الأعظم الأعلى وكلماتِك التامّاتِ ، أن تُصَلّي على محمّدٍ وآل محمّد ،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حاجاته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أن يدعو بعد الفراغ من الصلاة ما رواه الشيخ الطوسي والسيّد بن طاووس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علیه السلام يصلّي صلاة </w:t>
      </w:r>
      <w:bookmarkStart w:id="321" w:name="pg15003_159840"/>
    </w:p>
    <w:p>
      <w:pPr>
        <w:pStyle w:val="BookText"/>
        <w:rPr/>
      </w:pPr>
      <w:bookmarkEnd w:id="321"/>
      <w:r>
        <w:rPr>
          <w:rFonts w:ascii="Amiri" w:hAnsi="Amiri" w:eastAsia="Amiri" w:cs="Amiri"/>
          <w:color w:val="111111"/>
          <w:sz w:val="28"/>
          <w:sz w:val="28"/>
          <w:szCs w:val="28"/>
          <w:rtl w:val="true"/>
          <w:lang w:bidi="ar-SA"/>
        </w:rPr>
        <w:t xml:space="preserve">جعفر ورفع يديه ودعا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يا 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ربّاه يا ربّاه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رحمان يا رحمان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 مرّات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أفتتح القولَ بحمدِك وأنطقُ بالثناء عليك واُمجّدك ولا غاية لمدحِك واُثني عليك ومن يبلغُ غايةَ ثنائِك وأمدَ مجدِك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نّى لخليقتِكَ كُنه معرفَة مجدك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زمنٍ لم تكن ممدوحاً بفضلِكَ موصوفاً بمجدك عوّاداً على المُذنِبين بحلمك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سكّانُ أرضِك عن طاعَتك فكُنتَ عليهم عطوفاً بجودك جواداً بفضلك عوّاداً بكرمك ، يا لا إله إلاّ أنتَ المنّان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 إذا كانت لك حاجة مهمّة فصلّ هذه الصلاة ، وادع بهذا الدعاء ، وسل حاجتك يقضها اللّه إن شاء اللّه وبه الثقة</w:t>
      </w:r>
      <w:r>
        <w:rPr>
          <w:rFonts w:eastAsia="Amiri" w:cs="Amiri" w:ascii="Amiri" w:hAnsi="Amiri"/>
          <w:color w:val="111111"/>
          <w:sz w:val="28"/>
          <w:szCs w:val="28"/>
          <w:rtl w:val="true"/>
          <w:lang w:bidi="ar-SA"/>
        </w:rPr>
        <w:t>» .</w:t>
      </w:r>
    </w:p>
    <w:p>
      <w:pPr>
        <w:pStyle w:val="Heading4"/>
        <w:numPr>
          <w:ilvl w:val="3"/>
          <w:numId w:val="1"/>
        </w:numPr>
        <w:rPr/>
      </w:pPr>
      <w:bookmarkStart w:id="322" w:name="__RefHeading___Toc487801_3406789950"/>
      <w:bookmarkStart w:id="323" w:name="_Toc115"/>
      <w:bookmarkEnd w:id="322"/>
      <w:r>
        <w:rPr>
          <w:rtl w:val="true"/>
        </w:rPr>
        <w:t xml:space="preserve">ومنها </w:t>
      </w:r>
      <w:r>
        <w:rPr>
          <w:rtl w:val="true"/>
        </w:rPr>
        <w:t xml:space="preserve">: </w:t>
      </w:r>
      <w:r>
        <w:rPr>
          <w:rtl w:val="true"/>
        </w:rPr>
        <w:t>صلاة الغفيلة</w:t>
      </w:r>
      <w:bookmarkEnd w:id="323"/>
    </w:p>
    <w:p>
      <w:pPr>
        <w:pStyle w:val="BookText"/>
        <w:rPr/>
      </w:pPr>
      <w:r>
        <w:rPr>
          <w:rFonts w:ascii="Amiri" w:hAnsi="Amiri" w:eastAsia="Amiri" w:cs="Amiri"/>
          <w:color w:val="111111"/>
          <w:sz w:val="28"/>
          <w:sz w:val="28"/>
          <w:szCs w:val="28"/>
          <w:rtl w:val="true"/>
          <w:lang w:bidi="ar-SA"/>
        </w:rPr>
        <w:t xml:space="preserve">وهي ركعتان بين المغرب والعشاء ، والظاهر أ نّها غير نافلة المغرب ،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وَذَا النُّونِ إذْ ذَهَبَ مُغاضِباً فَظَنَّ أنْ لَنْ نَقْدِرَ عَلَيْهِ فَنادى فِى الظُّلُماتِ أنْ لا إِلهَ إِلاّ أَنْتَ سُبْحانَكَ إنّى كُنْتُ مِنَ الظالِمِينَ فَاسْتَجَبْنا لَهُ وَنَجَّيْناهُ مِنَ الْغَمِّ وَكَذلِكَ نُنْجِى الْمُؤْمِنِينَ</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وَعِنْدَهُ مَفَاتِحُ الْغَيْبِ لاَ يَعْلَمُها إِلاّ هُوَ وَيَعْلَمُ ما فِى الْبَرِّ وَالْبَحْرِ وَما تَسْقُطُ مِنْ وَرَقَةٍ إلاّ يَعْلَمُها وَلا حَبَّةٍ فِى ظُلُماتِ الأرْضِ وَلا رَطْبٍ وَلا يابِسٍ إلاّ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يديه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w:t>
      </w:r>
      <w:bookmarkStart w:id="324" w:name="pg15003_159841"/>
    </w:p>
    <w:p>
      <w:pPr>
        <w:pStyle w:val="BookText"/>
        <w:rPr/>
      </w:pPr>
      <w:bookmarkEnd w:id="324"/>
      <w:r>
        <w:rPr>
          <w:rFonts w:ascii="Amiri" w:hAnsi="Amiri" w:eastAsia="Amiri" w:cs="Amiri"/>
          <w:color w:val="111111"/>
          <w:sz w:val="28"/>
          <w:sz w:val="28"/>
          <w:szCs w:val="28"/>
          <w:rtl w:val="true"/>
          <w:lang w:bidi="ar-SA"/>
        </w:rPr>
        <w:t>أسأ لُك بمفاتح الغيب التي لا يعلمها إلاّ أنت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حاجته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وليّ نعمتي والقادر على طلبتي تعلمُ حاجتي فأسأ لُك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اللّه حاجته أعطاه اللّه ما سأل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87803_3406789950"/>
      <w:bookmarkStart w:id="326" w:name="_Toc116"/>
      <w:bookmarkEnd w:id="325"/>
      <w:r>
        <w:rPr>
          <w:rtl w:val="true"/>
        </w:rPr>
        <w:t xml:space="preserve">ومنها </w:t>
      </w:r>
      <w:r>
        <w:rPr>
          <w:rtl w:val="true"/>
        </w:rPr>
        <w:t xml:space="preserve">: </w:t>
      </w:r>
      <w:r>
        <w:rPr>
          <w:rtl w:val="true"/>
        </w:rPr>
        <w:t>صلاة أوّل كلّ شهر</w:t>
      </w:r>
      <w:bookmarkEnd w:id="326"/>
    </w:p>
    <w:p>
      <w:pPr>
        <w:pStyle w:val="BookText"/>
        <w:rPr/>
      </w:pPr>
      <w:r>
        <w:rPr>
          <w:rFonts w:ascii="Amiri" w:hAnsi="Amiri" w:eastAsia="Amiri" w:cs="Amiri"/>
          <w:color w:val="111111"/>
          <w:sz w:val="28"/>
          <w:sz w:val="28"/>
          <w:szCs w:val="28"/>
          <w:rtl w:val="true"/>
          <w:lang w:bidi="ar-SA"/>
        </w:rPr>
        <w:t xml:space="preserve">يصلّي ركعتين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ويتصدّق بما يتيسّر ، يشتري به سلامة ذلك الشهر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يقرأ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فِى الأرْضِ إلاّ عَلَى اللّه‌ِ رِزْقُها وَيَعْلَمُ مُسْتَقَرَّها وَمُسْتَوْدَعَها كُلٌّ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 وَهُوَ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أمْرِى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إِنِّى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إِلَىَّ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تَذَرْنِى فَرْداً وَأَنْتَ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وقت معيّن ، ويجوز الإتيان بها في تمام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الدفن ، وقد مرّت في باب الدفن من أحكام الأموات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الحاجة 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عبدالرحيم</w:t>
      </w:r>
      <w:r>
        <w:rPr>
          <w:rStyle w:val="FootnoteAnchor"/>
          <w:rtl w:val="true"/>
        </w:rPr>
        <w:footnoteReference w:id="657"/>
      </w:r>
      <w:r>
        <w:rPr>
          <w:rFonts w:ascii="IRNazanin" w:hAnsi="IRNazanin" w:eastAsia="IRNazanin"/>
          <w:color w:val="111111"/>
          <w:sz w:val="28"/>
          <w:sz w:val="28"/>
          <w:szCs w:val="28"/>
          <w:rtl w:val="true"/>
          <w:lang w:bidi="fa-IR"/>
        </w:rPr>
        <w:t xml:space="preserve">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اخترعت دعاء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دعني من اختراعك ، إذا نزل بك أمر فافزع إلى رسول اللّه صلی الله علیه و آله وسلم وصلِّ ركعتين تهديهما إلى رسول 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تغتسل وتصلّي ركعتين تستفتح بهما افتتاح الفريضة وتشهّد تشهّد الفريضة ، فإذا فرغت من التشهّد وسلّمت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السلامُ ومنك السلامُ وإليك يرجع السلامُ ، اللهمّ صلِّ على محمّدٍ وآل محمّدٍ ، وبلِّغ روح محمّد صلی الله علیه و آله وسلم منّي السلام وأرواح الأئمّة الصالحين سلامي ، واردد عليّ منهم السلامَ ، والسلامُ عليهم ورحمةُ اللّه وبركاتُهُ ، اللهمّ إنّ هاتين الركعتين هديّةٌ منّي إلى رسول اللّه فأثبني عليهما ما أمّلتُ ورجوت فيكَ وفي رسولِكَ يا وليّ المؤمنينَ ، ثمّ تخرّ ساجداً فتقول أربعين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 يا حيّاً لا يموت ، يا حيّ لا إله إلاّ أنت ، يا ذا الجلال والإكرام ، يا أرحم الراحمين ، ثمّ ضع خدّك الأيمن فتقولها أربعين مرّة ، ثمّ ضع خدّك الأيسر فتقولها أربعين مرّة ، ثمّ ترفع رأسك وتمدّ يديك فتقول أربعين مرّة ، ثمّ تردّ يدك إلى رقبتك وتلوذ بسبّابتك وتقول ذلك أربعين مرّة ، ثمّ خذ لحيتك بيدك اليسرى وابك أو تباك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رسول اللّه صلی الله علیه و آله وسلم أشكو إلى اللّه وإليك حاجتي ، وإلى أهل بيتك الراشدين حاجتي ، وبكم أتوجّه إلى اللّه في حاجتي ، ثمّ تسجد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حتّى ينقطع نفسك صلِّ على محمّد وآل محمّد وافعل بي كذا وكذا وتذكر حاجتك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فأنا الضامن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يبرح حتّى تقضى حاجته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جرّب مراراً </w:t>
      </w:r>
      <w:r>
        <w:rPr>
          <w:rFonts w:eastAsia="IRNazanin" w:cs="IRNazanin"/>
          <w:color w:val="111111"/>
          <w:sz w:val="28"/>
          <w:szCs w:val="28"/>
          <w:rtl w:val="true"/>
          <w:lang w:bidi="fa-IR"/>
        </w:rPr>
        <w:t xml:space="preserve">. </w:t>
      </w:r>
      <w:bookmarkStart w:id="327" w:name="pg15003_159843"/>
    </w:p>
    <w:p>
      <w:pPr>
        <w:pStyle w:val="BookText"/>
        <w:rPr/>
      </w:pPr>
      <w:bookmarkEnd w:id="327"/>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كانت له إلى اللّه حاجة فليقصد إلى مسجد الكوفة ويسبغ وضوءه ويصلّي في المسجد ركعتين يقرأ في كلّ واحدة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 سور معها ؛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فرغ من الركعتين وتشهّد وسلّم سأل اللّه حاجته ، فإنّها تقضى بعون اللّه إن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إتيان الصلوات المندوبة جالساً اختياراً وكذا ماشياً وراكباً ، كما يجوز إتيان ركعة قائماً وركعة جالساً لكن إتيانها قائماً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إذا أتى بها جالساً احتساب كلّ ركعتين بركعة ، فيأتي في نافلة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بتسليمتين جالساً بدل ركعتين قائماً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وجبت النافلة بنذر ونحوه فالظاهر بقاء حكمها فيجوز اختيار الجلوس فيها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87805_3406789950"/>
      <w:bookmarkStart w:id="329" w:name="_Toc117"/>
      <w:bookmarkEnd w:id="328"/>
      <w:r>
        <w:rPr>
          <w:rtl w:val="true"/>
        </w:rPr>
        <w:t xml:space="preserve">فصل </w:t>
      </w:r>
      <w:r>
        <w:rPr>
          <w:rtl w:val="true"/>
        </w:rPr>
        <w:t xml:space="preserve">: </w:t>
      </w:r>
      <w:r>
        <w:rPr>
          <w:rtl w:val="true"/>
        </w:rPr>
        <w:t>في صلاة المسافر</w:t>
      </w:r>
      <w:bookmarkEnd w:id="329"/>
    </w:p>
    <w:p>
      <w:pPr>
        <w:pStyle w:val="Heading4"/>
        <w:numPr>
          <w:ilvl w:val="3"/>
          <w:numId w:val="1"/>
        </w:numPr>
        <w:rPr/>
      </w:pPr>
      <w:bookmarkStart w:id="330" w:name="__RefHeading___Toc487807_3406789950"/>
      <w:bookmarkStart w:id="331" w:name="_Toc118"/>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يجب القصر على المسافر في الصلوات الرباعية مع اجتماع الشروط الآتية ، وأمّا الصبح والمغرب فلا قصر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التقصير للمسافر اُمور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 وهي ثمانية فراسخ امتدادية ذهاباً أو إياباً أو ملفّقة بشرط عدم كون الذهاب أقلّ من أربعة ؛ سواء اتّصل إيابه بذهابه ولم يقطعه بمبيت ليلة فصاعداً في الأثناء أو قطعه بذلك لا على وجه تحصل به الإقامة القاطعة للسفر ولا غيرها من قواطعه فيقصّر ويفطر ، إلاّ أنّ الأحوط احتياطاً شديداً في الصورة الأخيرة التمام مع ذلك وقضاء الصوم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الفرسخ ثلاثة أميال ، والميل أربعة آلاف ذراع بذراع اليد الذي طوله عرض أربع وعشرين إصبعاً ، وكلّ إصبع عرض سبع شعيرات ، وكلّ شعيرة عرض سبع شعرات من أوسط شعر البرذون ، فإن نقصت عن ذلك ولو يسيراً بقي على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الذهاب خمسة فراسخ والإياب ثلاثة وجب القصر بخلاف العكس ، ولو تردّد في أقلّ من أربعة فراسخ ذاهباً وجائياً مرّات حتّى بلغ المجموع ثمانية لم يقصّر وإن لم يصل إلى حدّ الترخّص ، فلا بدّ في التلفيق أن يكون المجموع من ذهاب واحد وإياب واحد 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للبلد طريقان والأبعد منهما مسافة دون الأقرب ، فإن سلك الأبعد قصّر ، وإن سلك الأقرب أتمّ ، وإذا ذهب من الأقرب ورجع من الأبعد فإذا كان الأقرب أربعة فراسخ أو أزيد قصّر دون ما إذا كان 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حساب المسافة سور البلد وفيما لا سور له آخر البيوت ، هذا في غير البلدان الكبار الخارقة ، وأمّا فيها فهو آخر المحلّة إذا كان منفصل المحالّ</w:t>
      </w:r>
      <w:r>
        <w:rPr>
          <w:rStyle w:val="FootnoteAnchor"/>
          <w:rtl w:val="true"/>
        </w:rPr>
        <w:footnoteReference w:id="658"/>
      </w:r>
      <w:r>
        <w:rPr>
          <w:rFonts w:ascii="Amiri" w:hAnsi="Amiri" w:eastAsia="Amiri" w:cs="Amiri"/>
          <w:color w:val="111111"/>
          <w:sz w:val="28"/>
          <w:sz w:val="28"/>
          <w:szCs w:val="28"/>
          <w:rtl w:val="true"/>
          <w:lang w:bidi="ar-SA"/>
        </w:rPr>
        <w:t>، وأمّا مع الاتّصال ففيه إشكال لا يترك الاحتياط بالجمع فيها فيما إذا لم يبلغ المسافة من آخر البلد وكان بمقدارها إذا لوحظ آخر المحلّة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قاصداً للرواح إلى بلد ، وكان شاكّاً في كونه مسافة أو معتقداً للعدم، ثمّ بان في أثناء السير كونه مسافة يقصّر وإن لم يكن الباقي مسافة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المسافة بالعلم وبالبيّنة ، بل وخبر العدل الواحد في وجه لا يخلو من إشكال ، فلا يترك الاحتياط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بلوغها أو ظنّ به بقي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يكلّف الاختبار بالمسافة المستلزم للحرج ، نعم يجب</w:t>
      </w:r>
      <w:r>
        <w:rPr>
          <w:rStyle w:val="FootnoteAnchor"/>
          <w:rtl w:val="true"/>
        </w:rPr>
        <w:footnoteReference w:id="660"/>
      </w:r>
      <w:r>
        <w:rPr>
          <w:rFonts w:ascii="Amiri" w:hAnsi="Amiri" w:eastAsia="Amiri" w:cs="Amiri"/>
          <w:color w:val="111111"/>
          <w:sz w:val="28"/>
          <w:sz w:val="28"/>
          <w:szCs w:val="28"/>
          <w:rtl w:val="true"/>
          <w:lang w:bidi="ar-SA"/>
        </w:rPr>
        <w:t xml:space="preserve">السؤال ونحوه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العامّي</w:t>
      </w:r>
      <w:r>
        <w:rPr>
          <w:rStyle w:val="FootnoteAnchor"/>
          <w:rtl w:val="true"/>
        </w:rPr>
        <w:footnoteReference w:id="661"/>
      </w:r>
      <w:r>
        <w:rPr>
          <w:rFonts w:ascii="Amiri" w:hAnsi="Amiri" w:eastAsia="Amiri" w:cs="Amiri"/>
          <w:color w:val="111111"/>
          <w:sz w:val="28"/>
          <w:sz w:val="28"/>
          <w:szCs w:val="28"/>
          <w:rtl w:val="true"/>
          <w:lang w:bidi="ar-SA"/>
        </w:rPr>
        <w:t xml:space="preserve">في مقدار المسافة شرعاً من جهة جهله بها وجب عليه الاحتياط بالجمع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كونه مسافة فقصّر ، ثمّ ظهر عدمها وجبت الإعادة ، وكذا لو اعتقد عدم كونه مسافة فأتمّ ، ثمّ ظهر كونه مسافة ، فإنّه يجب عليه الإعادة في الوقت على الأقوى وفي خارجه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المسافة المستديرة الذهاب هو السير إلى المقصد إذا كان في منتصف الدائرة ؛ أعني النقطة المقابلة لمبدأ السير أو بعده ، وأمّا لو كان المقصد قبله ففيه إشكال</w:t>
      </w:r>
      <w:r>
        <w:rPr>
          <w:rStyle w:val="FootnoteAnchor"/>
          <w:rtl w:val="true"/>
        </w:rPr>
        <w:footnoteReference w:id="662"/>
      </w:r>
      <w:r>
        <w:rPr>
          <w:rFonts w:ascii="Amiri" w:hAnsi="Amiri" w:eastAsia="Amiri" w:cs="Amiri"/>
          <w:color w:val="111111"/>
          <w:sz w:val="28"/>
          <w:sz w:val="28"/>
          <w:szCs w:val="28"/>
          <w:rtl w:val="true"/>
          <w:lang w:bidi="ar-SA"/>
        </w:rPr>
        <w:t xml:space="preserve">، فعلى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عدم كون الذهاب أقلّ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المجموع ثمانية وكان من البلد إليه أقلّ من أربعة فلا يترك الاحتياط بالجمع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من حين الخروج ، فلو قصد ما دونها وبعد الوصول إلى المقصد قصد مقداراً آخر دونها وهكذا ، يتمّ في الذهاب وإن كان المجموع أزيد من مسافة التقصير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شرع في العود يقصّر إذا كملت المسافة </w:t>
      </w:r>
    </w:p>
    <w:p>
      <w:pPr>
        <w:pStyle w:val="BookText"/>
        <w:rPr/>
      </w:pPr>
      <w:r>
        <w:rPr>
          <w:rFonts w:ascii="Amiri" w:hAnsi="Amiri" w:eastAsia="Amiri" w:cs="Amiri"/>
          <w:color w:val="111111"/>
          <w:sz w:val="28"/>
          <w:sz w:val="28"/>
          <w:szCs w:val="28"/>
          <w:rtl w:val="true"/>
          <w:lang w:bidi="ar-SA"/>
        </w:rPr>
        <w:t>فما زاد ، وكذا لا يقصّر لو لم يكن له مقصد معيّن ولا يدري أيّ مقدار يقطع ، كما لو طلب عبداً آبقاً أو دابّة شاردة ولم يدر إلى أين مسيره ، فلا يقصّر في ذهابه وإن قطع مسافات ، نعم يقصّر في العود إذا كان مسافة ، كما أ نّه يقصّر لو عيّن في الأثناء مقصداً يبلغ المسافة ولو بالتلفيق</w:t>
      </w:r>
      <w:r>
        <w:rPr>
          <w:rStyle w:val="FootnoteAnchor"/>
          <w:rtl w:val="true"/>
        </w:rPr>
        <w:footnoteReference w:id="663"/>
      </w:r>
      <w:r>
        <w:rPr>
          <w:rFonts w:ascii="Amiri" w:hAnsi="Amiri" w:eastAsia="Amiri" w:cs="Amiri"/>
          <w:color w:val="111111"/>
          <w:sz w:val="28"/>
          <w:sz w:val="28"/>
          <w:szCs w:val="28"/>
          <w:rtl w:val="true"/>
          <w:lang w:bidi="ar-SA"/>
        </w:rPr>
        <w:t xml:space="preserve">، وكذا لا يقصّر لو خرج إلى ما دون الأربعة وينتظر رفقة إن تيسّروا سافر معهم وإلاّ فلا ، أو كان سفره منوطاً بحصول أمر ولم يطمئنّ بتيسّر الرفقة أو حصول ذلك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على قصد قطع المسافة وإن حصل ذلك منه في أيّام مع عدم تخلّل أحد قواطع السفر ما لم يخرج بذلك عن صدق اسم السفر عرفاً ، كما لو قطع في كلّ يوم مقداراً يسيراً جدّاً للتنزّه ونحوه ، لا من جهة صعوبة السير ، فإنّه يتمّ حينئذٍ ، والأحوط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قصد المسافة أن يكون مستقلاًّ ، بل يكفي ولو كان من جهة التبعية ؛ سواء كان لوجوب الطاعة كالزوجة والعبد أو قهراً كالأسير أو اختياراً كالخادم بشرط العلم بكون قصد المتبوع مسافة وإلاّ بقي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الاستخبار تأمّل</w:t>
      </w:r>
      <w:r>
        <w:rPr>
          <w:rStyle w:val="FootnoteAnchor"/>
          <w:rtl w:val="true"/>
        </w:rPr>
        <w:footnoteReference w:id="664"/>
      </w:r>
      <w:r>
        <w:rPr>
          <w:rFonts w:ascii="Amiri" w:hAnsi="Amiri" w:eastAsia="Amiri" w:cs="Amiri"/>
          <w:color w:val="111111"/>
          <w:sz w:val="28"/>
          <w:sz w:val="28"/>
          <w:szCs w:val="28"/>
          <w:rtl w:val="true"/>
          <w:lang w:bidi="ar-SA"/>
        </w:rPr>
        <w:t xml:space="preserve">وإن كان أحوط ، ولا يجب على المتبوع الإخبار وإن أوجبنا على التابع الاستخبار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التابع أنّ متبوعه لم يقصد المسافة أو شكّ في ذلك ، وعلم في الأثناء أ نّه كان قاصداً لها ، فإن كان الباقي مسافة يجب عليه القصر وإلاّ فالظاهر أ نّه يجب عليه التمام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 فلو عدل عنه قبل بلوغ أربعة فراسخ أو تردّد أتمّ ومضى ما صلاّه قصراً ، ولا يحتاج إلى إعادته في الوقت فضلاً عن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العدول أو التردّد بعد بلوغ الأربعة بقي على التقصير وإن لم يرجع ليومه ، إذا كان عازماً على العود قبل عشرة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استمرار القصد بقاء قصد النوع وإن عدل عن الشخص ، كما لو قصد السفر إلى مكان خاصّ فعدل في أثناء الطريق إلى آخر يبلغ ما مضى مع ما بقي إليه مسافة ، فإنّه يقصّر حينئذٍ على الأصحّ ، كما أ نّه يقصّر لو كان من أوّل الأمر قاصداً للنوع دون الشخص ؛ بأن يشرع في السفر قاصداً للرواح إلى أحد الأمكنة التي كلّها مسافة ولم يعيّن أحدها بل أوكل التعيين إلى ما بعد الوصول إلى آخر الحدّ المشترك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الأثناء قبل بلوغ أربعة فراسخ ثمّ عاد إلى الجزم ، فإن لم يقطع شيئاً من الطريق بعد التردّد بقي على القصر وإن لم يكن ما بقي مسافة ولو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شيئاً منه بعده فإن كان ما بقي مسافة بقي على القصر أيضاً ، وأمّا إن لم يكن مسافة ، فلا إشكال في وجوب التمام إذا لم يكن ما بقي بضمّ ما قطع قبل حصول التردّد مسافة ، وأمّا إذا كان المجموع بإسقاط ما تخلّل في البين مسافة ففي وجوب التمام أو العود إلى التقصير إشكال</w:t>
      </w:r>
      <w:r>
        <w:rPr>
          <w:rStyle w:val="FootnoteAnchor"/>
          <w:rtl w:val="true"/>
        </w:rPr>
        <w:footnoteReference w:id="665"/>
      </w:r>
      <w:r>
        <w:rPr>
          <w:rFonts w:ascii="Amiri" w:hAnsi="Amiri" w:eastAsia="Amiri" w:cs="Amiri"/>
          <w:color w:val="111111"/>
          <w:sz w:val="28"/>
          <w:sz w:val="28"/>
          <w:szCs w:val="28"/>
          <w:rtl w:val="true"/>
          <w:lang w:bidi="ar-SA"/>
        </w:rPr>
        <w:t xml:space="preserve">فلا يترك الاحتياط بالجمع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ينوي قطع المسافة بإقامة عشرة أيّام فصاعداً في أثنائها أو مرور في وطنه كذلك ، كما لو عزم على قطع أربعة فراسخ قاصداً لنيّة الإقامة في </w:t>
      </w:r>
    </w:p>
    <w:p>
      <w:pPr>
        <w:pStyle w:val="BookText"/>
        <w:rPr/>
      </w:pPr>
      <w:r>
        <w:rPr>
          <w:rFonts w:ascii="Amiri" w:hAnsi="Amiri" w:eastAsia="Amiri" w:cs="Amiri"/>
          <w:color w:val="111111"/>
          <w:sz w:val="28"/>
          <w:sz w:val="28"/>
          <w:szCs w:val="28"/>
          <w:rtl w:val="true"/>
          <w:lang w:bidi="ar-SA"/>
        </w:rPr>
        <w:t xml:space="preserve">أثنائها أو على رأسها ، أو كان له وطن كذلك وقد قصد المرور به ، فإنّه يتمّ حينئذٍ ، وكذا لو كان متردّداً في نيّة الإقامة أو المرور في المنزل المزبور على وجه ينافي القصد إلى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 كما إذا قصدها ولكن يحتمل</w:t>
      </w:r>
      <w:r>
        <w:rPr>
          <w:rStyle w:val="FootnoteAnchor"/>
          <w:rtl w:val="true"/>
        </w:rPr>
        <w:footnoteReference w:id="666"/>
      </w:r>
      <w:r>
        <w:rPr>
          <w:rFonts w:ascii="Amiri" w:hAnsi="Amiri" w:eastAsia="Amiri" w:cs="Amiri"/>
          <w:color w:val="111111"/>
          <w:sz w:val="28"/>
          <w:sz w:val="28"/>
          <w:szCs w:val="28"/>
          <w:rtl w:val="true"/>
          <w:lang w:bidi="ar-SA"/>
        </w:rPr>
        <w:t xml:space="preserve">عروض مقتضٍ لنيّة الإقامة أو المرور في المنزل في الأثناء ، فإنّه يقصّر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حين الشروع قاصداً للإقامة أو المرور على الوطن قبل بلوغ الثمانية أو كان متردّداً ثمّ عدل وبنى على عدم الأمرين فإن كان ما بقي بعد العدول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من نيّته الإقامة وقطع مقداراً من المسافة ، ثمّ بدا له قبل بلوغ الثمانية ، ثمّ عدل عمّا بدا له وعزم على عدم الإقامة ، فإذا كان ما بقي بعد العدول عمّا بدا له مسافة قصّر بلا إشكال ، وكذا إن لم يكن كذلك ولم يقطع بين العزمين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قطع شيئاً بينهما فهل يضمّ ما مضى قبل العدول إلى ما بقي إذا كان المجموع مسافة بإسقاط ما تخلّل في البين ؟ فيه إشكال</w:t>
      </w:r>
      <w:r>
        <w:rPr>
          <w:rStyle w:val="FootnoteAnchor"/>
          <w:rtl w:val="true"/>
        </w:rPr>
        <w:footnoteReference w:id="667"/>
      </w:r>
      <w:r>
        <w:rPr>
          <w:rFonts w:ascii="Amiri" w:hAnsi="Amiri" w:eastAsia="Amiri" w:cs="Amiri"/>
          <w:color w:val="111111"/>
          <w:sz w:val="28"/>
          <w:sz w:val="28"/>
          <w:szCs w:val="28"/>
          <w:rtl w:val="true"/>
          <w:lang w:bidi="ar-SA"/>
        </w:rPr>
        <w:t xml:space="preserve">، فلا يترك الاحتياط بالجمع ، نظير ما مرّ في الشرط الثالث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السفر سائغاً ، فلو كان معصية لم يقصّر ؛ سواء كان نفسه معصية كإباق العبد ونحوه ، أو غايته كالسفر لقطع الطريق ونيل المظالم من قبل السلطان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منه ما وقع المحرّم في أثنائه مثل الغيبة ونحوها </w:t>
      </w:r>
    </w:p>
    <w:p>
      <w:pPr>
        <w:pStyle w:val="BookText"/>
        <w:rPr/>
      </w:pPr>
      <w:r>
        <w:rPr>
          <w:rFonts w:ascii="Amiri" w:hAnsi="Amiri" w:eastAsia="Amiri" w:cs="Amiri"/>
          <w:color w:val="111111"/>
          <w:sz w:val="28"/>
          <w:sz w:val="28"/>
          <w:szCs w:val="28"/>
          <w:rtl w:val="true"/>
          <w:lang w:bidi="ar-SA"/>
        </w:rPr>
        <w:t xml:space="preserve">ممّا ليس غاية للسفر فيبقى على القصر ، بل ليس منه ما إذا ركب دابّة مغصوبة على الأقوى ، بل وليس منه ما كان ضدّاً لواجب قد تركه وسافر على الأقوى ، كما إذا كان مديوناً وسافر مع مطالبة الديّان وإمكان الأداء في الحضر دون السفر ونحو ذلك ، نعم لا يترك الاحتياط بالجمع فيما إذا كان السفر لأجل التوصّل إلى ترك الواجب وإن كان تعيّن الإتمام حينئذٍ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 للجائر يقصّر إذا كان مجبوراً في سفره ، أو كان قصده دفع مظلمة ونحوه من الأغراض الصحيحة ، وأمّا إذا كان من قصده إعانة الجائر في جوره أو كان سفره ومتابعته له تقوية لشوكته</w:t>
      </w:r>
      <w:r>
        <w:rPr>
          <w:rStyle w:val="FootnoteAnchor"/>
          <w:rtl w:val="true"/>
        </w:rPr>
        <w:footnoteReference w:id="668"/>
      </w:r>
      <w:r>
        <w:rPr>
          <w:rFonts w:ascii="Amiri" w:hAnsi="Amiri" w:eastAsia="Amiri" w:cs="Amiri"/>
          <w:color w:val="111111"/>
          <w:sz w:val="28"/>
          <w:sz w:val="28"/>
          <w:szCs w:val="28"/>
          <w:rtl w:val="true"/>
          <w:lang w:bidi="ar-SA"/>
        </w:rPr>
        <w:t xml:space="preserve">ومعاضدة له في جهة ظلمه ، وجب عليه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غاية السفر طاعة ومعصية معاً يقصّر ، إذا كان داعي المعصية تبعاً ؛ بحيث ينسب السفر إلى الطاعة ، ويتمّ في غيره ، والأحوط الجمع فيما إذا اشتركا</w:t>
      </w:r>
      <w:r>
        <w:rPr>
          <w:rStyle w:val="FootnoteAnchor"/>
          <w:rtl w:val="true"/>
        </w:rPr>
        <w:footnoteReference w:id="669"/>
      </w:r>
      <w:r>
        <w:rPr>
          <w:rFonts w:ascii="Amiri" w:hAnsi="Amiri" w:eastAsia="Amiri" w:cs="Amiri"/>
          <w:color w:val="111111"/>
          <w:sz w:val="28"/>
          <w:sz w:val="28"/>
          <w:szCs w:val="28"/>
          <w:rtl w:val="true"/>
          <w:lang w:bidi="ar-SA"/>
        </w:rPr>
        <w:t xml:space="preserve">؛ بحيث لو لا اجتماعهما لم يسافر ، بل لا يترك الاحتياط في هذه الصورة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ابتداء سفره طاعة ثمّ قصد المعصية في الأثناء انقطع ترخّصه</w:t>
      </w:r>
      <w:r>
        <w:rPr>
          <w:rStyle w:val="FootnoteAnchor"/>
          <w:rtl w:val="true"/>
        </w:rPr>
        <w:footnoteReference w:id="670"/>
      </w:r>
      <w:r>
        <w:rPr>
          <w:rFonts w:ascii="Amiri" w:hAnsi="Amiri" w:eastAsia="Amiri" w:cs="Amiri"/>
          <w:color w:val="111111"/>
          <w:sz w:val="28"/>
          <w:sz w:val="28"/>
          <w:szCs w:val="28"/>
          <w:rtl w:val="true"/>
          <w:lang w:bidi="ar-SA"/>
        </w:rPr>
        <w:t xml:space="preserve">وإن كان قد قطع مسافات ، ولا يجب إعادة ما صلاّه قصراً ، فلو عاد </w:t>
      </w:r>
    </w:p>
    <w:p>
      <w:pPr>
        <w:pStyle w:val="BookText"/>
        <w:rPr/>
      </w:pPr>
      <w:r>
        <w:rPr>
          <w:rFonts w:ascii="Amiri" w:hAnsi="Amiri" w:eastAsia="Amiri" w:cs="Amiri"/>
          <w:color w:val="111111"/>
          <w:sz w:val="28"/>
          <w:sz w:val="28"/>
          <w:szCs w:val="28"/>
          <w:rtl w:val="true"/>
          <w:lang w:bidi="ar-SA"/>
        </w:rPr>
        <w:t xml:space="preserve">إلى قصد الطاعة قبل أن يضرب في الأرض عاد حكمه فيجب عليه القصر ، وكذلك فيما إذا كان بعد ضربه في الأرض وكان الباقي مسافة ولو ملفّقة ؛ بأن كان الذهاب إلى المقصد أربعة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الباقي مسافة فإن كان مجموع ما مضى مع ما بقي بعد طرح ما تخلّل في البين من المصاحب للمعصية بقدر المسافة يجب القصر ، والأحوط ضمّ التمام أيضاً ، وإن لم يكن المجموع مسافة إلاّ بضمّ ما تخلّل من المصاحب للمعصية ففيه إشكال</w:t>
      </w:r>
      <w:r>
        <w:rPr>
          <w:rStyle w:val="FootnoteAnchor"/>
          <w:rtl w:val="true"/>
        </w:rPr>
        <w:footnoteReference w:id="671"/>
      </w:r>
      <w:r>
        <w:rPr>
          <w:rFonts w:ascii="Amiri" w:hAnsi="Amiri" w:eastAsia="Amiri" w:cs="Amiri"/>
          <w:color w:val="111111"/>
          <w:sz w:val="28"/>
          <w:sz w:val="28"/>
          <w:szCs w:val="28"/>
          <w:rtl w:val="true"/>
          <w:lang w:bidi="ar-SA"/>
        </w:rPr>
        <w:t xml:space="preserve">، فلا يترك الاحتياط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ابتداء سفره معصية ثمّ عدل إلى الطاعة يقصّر ، إن كان الباقي مسافة ولو ملفّقة ، وإلاّ بقي على التمام</w:t>
      </w:r>
      <w:r>
        <w:rPr>
          <w:rStyle w:val="FootnoteAnchor"/>
          <w:rtl w:val="true"/>
        </w:rPr>
        <w:footnoteReference w:id="672"/>
      </w:r>
      <w:r>
        <w:rPr>
          <w:rFonts w:ascii="IRNazanin" w:hAnsi="IRNazanin" w:eastAsia="IRNazanin"/>
          <w:color w:val="111111"/>
          <w:sz w:val="28"/>
          <w:sz w:val="28"/>
          <w:szCs w:val="28"/>
          <w:rtl w:val="true"/>
          <w:lang w:bidi="fa-IR"/>
        </w:rPr>
        <w:t xml:space="preserve">، والأحوط الجمع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ابتداء سفره معصية فنوى الصوم ، ثمّ عدل إلى الطاعة فإن كان قبل الزوال وجب الإفطار</w:t>
      </w:r>
      <w:r>
        <w:rPr>
          <w:rStyle w:val="FootnoteAnchor"/>
          <w:rtl w:val="true"/>
        </w:rPr>
        <w:footnoteReference w:id="673"/>
      </w:r>
      <w:r>
        <w:rPr>
          <w:rFonts w:ascii="Amiri" w:hAnsi="Amiri" w:eastAsia="Amiri" w:cs="Amiri"/>
          <w:color w:val="111111"/>
          <w:sz w:val="28"/>
          <w:sz w:val="28"/>
          <w:szCs w:val="28"/>
          <w:rtl w:val="true"/>
          <w:lang w:bidi="ar-SA"/>
        </w:rPr>
        <w:t xml:space="preserve">وإن كان بعده لا يبعد الصحّة ، لكن الأحوط الإتمام ثمّ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طاعة في الابتداء ثمّ عدل إلى المعصية في الأثناء فإن كان قبل الزوال ولم يتناول شيئاً نوى الصوم وصحّ منه</w:t>
      </w:r>
      <w:r>
        <w:rPr>
          <w:rStyle w:val="FootnoteAnchor"/>
          <w:rtl w:val="true"/>
        </w:rPr>
        <w:footnoteReference w:id="674"/>
      </w:r>
      <w:r>
        <w:rPr>
          <w:rFonts w:ascii="Amiri" w:hAnsi="Amiri" w:eastAsia="Amiri" w:cs="Amiri"/>
          <w:color w:val="111111"/>
          <w:sz w:val="28"/>
          <w:sz w:val="28"/>
          <w:szCs w:val="28"/>
          <w:rtl w:val="true"/>
          <w:lang w:bidi="ar-SA"/>
        </w:rPr>
        <w:t xml:space="preserve">، وإن كان بعد تناول المفطر أو بعد الزوال لم يجب عليه الصوم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الراجع من سفر المعصية إن كان بعد التوبة</w:t>
      </w:r>
      <w:r>
        <w:rPr>
          <w:rStyle w:val="FootnoteAnchor"/>
          <w:rtl w:val="true"/>
        </w:rPr>
        <w:footnoteReference w:id="675"/>
      </w:r>
      <w:r>
        <w:rPr>
          <w:rFonts w:ascii="Amiri" w:hAnsi="Amiri" w:eastAsia="Amiri" w:cs="Amiri"/>
          <w:color w:val="111111"/>
          <w:sz w:val="28"/>
          <w:sz w:val="28"/>
          <w:szCs w:val="28"/>
          <w:rtl w:val="true"/>
          <w:lang w:bidi="ar-SA"/>
        </w:rPr>
        <w:t xml:space="preserve">يقصّر ، وإن كان </w:t>
      </w:r>
    </w:p>
    <w:p>
      <w:pPr>
        <w:pStyle w:val="BookText"/>
        <w:rPr/>
      </w:pPr>
      <w:r>
        <w:rPr>
          <w:rFonts w:ascii="Amiri" w:hAnsi="Amiri" w:eastAsia="Amiri" w:cs="Amiri"/>
          <w:color w:val="111111"/>
          <w:sz w:val="28"/>
          <w:sz w:val="28"/>
          <w:szCs w:val="28"/>
          <w:rtl w:val="true"/>
          <w:lang w:bidi="ar-SA"/>
        </w:rPr>
        <w:t xml:space="preserve">مع عدم التوبة فلا يبعد وجوب التمام عليه ؛ لأنّ العود يعدّ جزءاً من سفر المعصية والأحوط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بسفر المعصية السفر للصيد لهواً كما يستعمله أبناء الدنيا ، وأمّا إذا كان للقوت يقصّر ، وكذا ما كان للتجارة بالنسبة إلى الإفطار ، وأمّا بالنسبة إلى الصلاة ففيه إشكال والأحوط الجمع بين القصر والتمام ، ولا يلحق به السفر بقصد مجرّد التنزّه فلا يوجب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كبعض أهل البوادي</w:t>
      </w:r>
      <w:r>
        <w:rPr>
          <w:rStyle w:val="FootnoteAnchor"/>
          <w:rtl w:val="true"/>
        </w:rPr>
        <w:footnoteReference w:id="676"/>
      </w:r>
      <w:r>
        <w:rPr>
          <w:rFonts w:ascii="Amiri" w:hAnsi="Amiri" w:eastAsia="Amiri" w:cs="Amiri"/>
          <w:color w:val="111111"/>
          <w:sz w:val="28"/>
          <w:sz w:val="28"/>
          <w:szCs w:val="28"/>
          <w:rtl w:val="true"/>
          <w:lang w:bidi="ar-SA"/>
        </w:rPr>
        <w:t xml:space="preserve">الذين يدورون في البراري وينزلون في محلّ الماء والعشب والكلأ ولم يتّخذوا مقرّاً معيّناً ، فيجب على أمثال هؤلاء التمام في سيرهم المخصوص ؛ لأنّ بيوتهم معهم فلا يصدق عليهم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سافروا لمقصد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أو زيارة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قصّروا 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سار أحدهم لاختيار منزل مخصوص أو لطلب محلّ الماء أو العشب أو الكلأ وكان يبلغ مسافة ، ففي وجوب القصر أو التمام عليه إشكال ، فلا يترك الاحتياط بالجمع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السفر عملاً له كالمكاري والملاّح وغيرهما من أصحاب السفن والساعي ونحوهم ممّن عمله ذلك ، فإنّ هؤلاء يتمّون الصلاة في سفرهم الذي هو عمل لهم ، وإن استعملوه لأنفسهم لا لغيرهم كحمل المكاري مثلاً متاعه وأهله من مكان إلى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يقصّرون في السفر الذي ليس عملاً لهم كما لو فارق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سفينته وسافر للزيارة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صدق </w:t>
      </w:r>
    </w:p>
    <w:p>
      <w:pPr>
        <w:pStyle w:val="BookText"/>
        <w:rPr/>
      </w:pPr>
      <w:r>
        <w:rPr>
          <w:rFonts w:ascii="Amiri" w:hAnsi="Amiri" w:eastAsia="Amiri" w:cs="Amiri"/>
          <w:color w:val="111111"/>
          <w:sz w:val="28"/>
          <w:sz w:val="28"/>
          <w:szCs w:val="28"/>
          <w:rtl w:val="true"/>
          <w:lang w:bidi="ar-SA"/>
        </w:rPr>
        <w:t>اتّخاذ السفر عملاً وشغلاً له ، ويتحقّق ذلك بالعزم على ذلك مع الاشتغال بالسفر مقداراً معتدّاً به من الزمان ، ولو كان في سفرة واحدة</w:t>
      </w:r>
      <w:r>
        <w:rPr>
          <w:rStyle w:val="FootnoteAnchor"/>
          <w:rtl w:val="true"/>
        </w:rPr>
        <w:footnoteReference w:id="677"/>
      </w:r>
      <w:r>
        <w:rPr>
          <w:rFonts w:ascii="Amiri" w:hAnsi="Amiri" w:eastAsia="Amiri" w:cs="Amiri"/>
          <w:color w:val="111111"/>
          <w:sz w:val="28"/>
          <w:sz w:val="28"/>
          <w:szCs w:val="28"/>
          <w:rtl w:val="true"/>
          <w:lang w:bidi="ar-SA"/>
        </w:rPr>
        <w:t xml:space="preserve">لطولها وتكرّر ذلك منه من مكان غير بلده إلى مكان آخر فلا يعتبر في تحقّق ذلك تعدّد السفر ثلاث مرّات أو مرّتين ، نعم ربّما لا يتحقّق إلاّ بالتعدّد فيما إذا كان تلبّسه واشتغاله بالسفر في أوّل الأمر في زمان قصير فيحتاج في تحقّقه إلى التكرّر ، والظاهر كفاية سفرتين فيتمّ في الثانية وإن كان الأحوط فيها الجمع وتعيّن التمام في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شغله المكاراة في الصيف دون الشتاء أو بالعكس الظاهر أ نّه يجب عليه التمام وإن كان الأحوط الجمع ، وأمّا مثل الحملدارية الذين يتشاغلون بالسفر في خصوص أشهر الحجّ فالظاهر وجوب القصر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استمرار من عمله السفر على التمام ، أن لا يقيم في بلده عشرة أيّام ولو غير منويّة ، أو في غيره عشرة إذا كانت منويّة</w:t>
      </w:r>
      <w:r>
        <w:rPr>
          <w:rStyle w:val="FootnoteAnchor"/>
          <w:rtl w:val="true"/>
        </w:rPr>
        <w:footnoteReference w:id="678"/>
      </w:r>
      <w:r>
        <w:rPr>
          <w:rFonts w:ascii="Amiri" w:hAnsi="Amiri" w:eastAsia="Amiri" w:cs="Amiri"/>
          <w:color w:val="111111"/>
          <w:sz w:val="28"/>
          <w:sz w:val="28"/>
          <w:szCs w:val="28"/>
          <w:rtl w:val="true"/>
          <w:lang w:bidi="ar-SA"/>
        </w:rPr>
        <w:t xml:space="preserve">، وإلاّ انقطع حكم عملية السفر وعاد إلى القصر ، لكن في السفرة الاُولى خاصّة دون الثانية ، فضلاً عن الثالثة ، وإن كان الأحوط فيهما الجمع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شغله السفر لكن عرض له عارض فسافر أسفاراً عديدة يقصّر ، كما لو كان له شغل في بلد وقد احتاج إلى التردّد إليه مرّات عديدة ، بل وكذا فيما إذا كان من منزله إلى 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ونذر أو بنى على أن يزوره كلّ ليلة جمعة إلى مدّة ، فإنّ الظاهر أ نّه ليس ممّن يجب </w:t>
      </w:r>
    </w:p>
    <w:p>
      <w:pPr>
        <w:pStyle w:val="BookText"/>
        <w:rPr/>
      </w:pPr>
      <w:r>
        <w:rPr>
          <w:rFonts w:ascii="Amiri" w:hAnsi="Amiri" w:eastAsia="Amiri" w:cs="Amiri"/>
          <w:color w:val="111111"/>
          <w:sz w:val="28"/>
          <w:sz w:val="28"/>
          <w:szCs w:val="28"/>
          <w:rtl w:val="true"/>
          <w:lang w:bidi="ar-SA"/>
        </w:rPr>
        <w:t xml:space="preserve">عليه التمام ، نعم الظاهر أ نّه منه السائح في الأرض الذي لم يتّخذ وطناً ، ولو اُدخل ذلك في العنوان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كان بيته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بعيداً ، وكيف كان يجب عليه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شغله السفر ، الراعي الذي ليس له مكان مخصوص</w:t>
      </w:r>
      <w:r>
        <w:rPr>
          <w:rStyle w:val="FootnoteAnchor"/>
          <w:rtl w:val="true"/>
        </w:rPr>
        <w:footnoteReference w:id="679"/>
      </w:r>
      <w:r>
        <w:rPr>
          <w:rFonts w:ascii="Amiri" w:hAnsi="Amiri" w:eastAsia="Amiri" w:cs="Amiri"/>
          <w:color w:val="111111"/>
          <w:sz w:val="28"/>
          <w:sz w:val="28"/>
          <w:szCs w:val="28"/>
          <w:rtl w:val="true"/>
          <w:lang w:bidi="ar-SA"/>
        </w:rPr>
        <w:t xml:space="preserve">والتاجر الذي يدور في تجارته ، فيجب عليهما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 في الأرض حتّى يصل إلى محلّ الترخّص فلا يقصّر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يخفى عليه فيه الأذان أو يتوارى عنه فيه صور الجدران وأشكالها لا أشباحها ، ولا يترك الاحتياط في مراعاة حصولهما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يعتبر في التقصير الوصول إلى محلّ الترخّص إذا سافر من بلده ، كذلك يعتبر في السفر من محلّ الإقامة بل ومن محلّ التردّد ثلاثين يوماً ، وإن كان الأولى فيهما مراعاة الاحتياط</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 نّه من شروط القصر في ابتداء السفر الوصول إلى حدّ الترخّص ، كذلك عند العود ينقطع حكم السفر بالوصول إليه ، فيجب</w:t>
      </w:r>
      <w:r>
        <w:rPr>
          <w:rStyle w:val="FootnoteAnchor"/>
          <w:rtl w:val="true"/>
        </w:rPr>
        <w:footnoteReference w:id="681"/>
      </w:r>
      <w:r>
        <w:rPr>
          <w:rFonts w:ascii="Amiri" w:hAnsi="Amiri" w:eastAsia="Amiri" w:cs="Amiri"/>
          <w:color w:val="111111"/>
          <w:sz w:val="28"/>
          <w:sz w:val="28"/>
          <w:szCs w:val="28"/>
          <w:rtl w:val="true"/>
          <w:lang w:bidi="ar-SA"/>
        </w:rPr>
        <w:t xml:space="preserve">عليه التمام ، وإن كان الأحوط تأخير الصلاة إلى الدخول في منزله أو الجمع بين القصر والتمام إذا صلّى بعد الوصول إلى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المحلّ الذي عزم على الإقامة فيه ، فهل يعتبر فيه حدّ الترخّص ، فينقطع حكم السفر بالوصول إليه أو لا ؟ فيه إشكال ، فلا يترك الاحتياط ، إمّا بتأخير الصلاة إليه أو الجمع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عين الرائي واُذُن السامع وصوت المؤذّن والهواء على المتوسّط المعتدل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خفاء الأذان عدم تميّز فصوله ، ويحتمل أن يكون المعتبر خفاء أصل الصوت حتّى المتردّد بين كونه أذاناً أو غيره ، أو خفاؤه بحيث لا يتميّز</w:t>
      </w:r>
      <w:r>
        <w:rPr>
          <w:rStyle w:val="FootnoteAnchor"/>
          <w:rtl w:val="true"/>
        </w:rPr>
        <w:footnoteReference w:id="682"/>
      </w:r>
      <w:r>
        <w:rPr>
          <w:rFonts w:ascii="Amiri" w:hAnsi="Amiri" w:eastAsia="Amiri" w:cs="Amiri"/>
          <w:color w:val="111111"/>
          <w:sz w:val="28"/>
          <w:sz w:val="28"/>
          <w:szCs w:val="28"/>
          <w:rtl w:val="true"/>
          <w:lang w:bidi="ar-SA"/>
        </w:rPr>
        <w:t xml:space="preserve">بين كونه أذاناً أو غيره ، فينبغي رعاية الاحتياط في جميع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هناك بيوت ولا جدران يعتبر التقدير ، نعم في بيوت الأعراب ونحوهم ممّن لا جدران لبيوتهم يكفي</w:t>
      </w:r>
      <w:r>
        <w:rPr>
          <w:rStyle w:val="FootnoteAnchor"/>
          <w:rtl w:val="true"/>
        </w:rPr>
        <w:footnoteReference w:id="683"/>
      </w:r>
      <w:r>
        <w:rPr>
          <w:rFonts w:ascii="Amiri" w:hAnsi="Amiri" w:eastAsia="Amiri" w:cs="Amiri"/>
          <w:color w:val="111111"/>
          <w:sz w:val="28"/>
          <w:sz w:val="28"/>
          <w:szCs w:val="28"/>
          <w:rtl w:val="true"/>
          <w:lang w:bidi="ar-SA"/>
        </w:rPr>
        <w:t xml:space="preserve">خفاؤها ولا يحتاج إلى تقدير الجدران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البلوغ إلى حدّ الترخّص بنى على عدمه</w:t>
      </w:r>
      <w:r>
        <w:rPr>
          <w:rStyle w:val="FootnoteAnchor"/>
          <w:rtl w:val="true"/>
        </w:rPr>
        <w:footnoteReference w:id="684"/>
      </w:r>
      <w:r>
        <w:rPr>
          <w:rFonts w:ascii="Amiri" w:hAnsi="Amiri" w:eastAsia="Amiri" w:cs="Amiri"/>
          <w:color w:val="111111"/>
          <w:sz w:val="28"/>
          <w:sz w:val="28"/>
          <w:szCs w:val="28"/>
          <w:rtl w:val="true"/>
          <w:lang w:bidi="ar-SA"/>
        </w:rPr>
        <w:t xml:space="preserve">، فيبقى على التمام في الذهاب وعلى القصر في الإياب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السفينة ونحوها ، فشرع في الصلاة قبل حدّ الترخّص بنيّة التمام ، ثمّ وصل إليه في الأثناء ، فإن كان قبل الدخول في ركوع الركعة الثالثة أتمّها قصراً وصحّت</w:t>
      </w:r>
      <w:r>
        <w:rPr>
          <w:rStyle w:val="FootnoteAnchor"/>
          <w:rtl w:val="true"/>
        </w:rPr>
        <w:footnoteReference w:id="685"/>
      </w:r>
      <w:r>
        <w:rPr>
          <w:rFonts w:ascii="Amiri" w:hAnsi="Amiri" w:eastAsia="Amiri" w:cs="Amiri"/>
          <w:color w:val="111111"/>
          <w:sz w:val="28"/>
          <w:sz w:val="28"/>
          <w:szCs w:val="28"/>
          <w:rtl w:val="true"/>
          <w:lang w:bidi="ar-SA"/>
        </w:rPr>
        <w:t xml:space="preserve">، وإن كان بعده ففيه إشكال ، فلا يترك الاحتياط بإتمامها تماماً ثمّ إعادتها قصراً ، ولو كان في حال </w:t>
      </w:r>
      <w:bookmarkStart w:id="332" w:name="pg15003_159855"/>
    </w:p>
    <w:p>
      <w:pPr>
        <w:pStyle w:val="BookText"/>
        <w:rPr/>
      </w:pPr>
      <w:bookmarkEnd w:id="332"/>
      <w:r>
        <w:rPr>
          <w:rFonts w:ascii="Amiri" w:hAnsi="Amiri" w:eastAsia="Amiri" w:cs="Amiri"/>
          <w:color w:val="111111"/>
          <w:sz w:val="28"/>
          <w:sz w:val="28"/>
          <w:szCs w:val="28"/>
          <w:rtl w:val="true"/>
          <w:lang w:bidi="ar-SA"/>
        </w:rPr>
        <w:t xml:space="preserve">العود وشرع في الصلاة بنيّة القصر قبل الوصول إلى الحدّ ثمّ في الأثناء وصل إليه أتمّها تماماً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87809_3406789950"/>
      <w:bookmarkStart w:id="334" w:name="_Toc119"/>
      <w:bookmarkEnd w:id="333"/>
      <w:r>
        <w:rPr>
          <w:rtl w:val="true"/>
        </w:rPr>
        <w:t xml:space="preserve">القول </w:t>
      </w:r>
      <w:r>
        <w:rPr>
          <w:rtl w:val="true"/>
        </w:rPr>
        <w:t xml:space="preserve">: </w:t>
      </w:r>
      <w:r>
        <w:rPr>
          <w:rtl w:val="true"/>
        </w:rPr>
        <w:t>في قواطع السفر</w:t>
      </w:r>
      <w:bookmarkEnd w:id="33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 فينقطع السفر بالمرور عليه ، ويحتاج في القصر بعده إلى قصد مسافة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الذي اتّخذه مسكناً</w:t>
      </w:r>
      <w:r>
        <w:rPr>
          <w:rStyle w:val="FootnoteAnchor"/>
          <w:rtl w:val="true"/>
        </w:rPr>
        <w:footnoteReference w:id="686"/>
      </w:r>
      <w:r>
        <w:rPr>
          <w:rFonts w:ascii="Amiri" w:hAnsi="Amiri" w:eastAsia="Amiri" w:cs="Amiri"/>
          <w:color w:val="111111"/>
          <w:sz w:val="28"/>
          <w:sz w:val="28"/>
          <w:szCs w:val="28"/>
          <w:rtl w:val="true"/>
          <w:lang w:bidi="ar-SA"/>
        </w:rPr>
        <w:t xml:space="preserve">ومقرّاً له دائماً ؛ سواء كان مسكناً لأبويه ومسقط رأسه أو ممّا استجدّه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حصول ملك ولا إقامة ستّة أشهر ، نعم يعتبر في المستجدّ الإقامة فيه بمقدار يصدق عرفاً أ نّه وطنه ومسكنه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أعرض عن وطنه الأصلي أو المستجدّ وتوطّن في غيره ، فإن لم يكن له فيه ملك ، أو كان ولم يكن قابلاً للسكنى ، أو كان ولم يسكن فيه ستّة أشهر بقصد التوطّن الأبدي ، يزول عنه حكم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 ملك وقد سكن فيه بعد اتّخاذه وطناً دائماً ستّة أشهر فالمشهور على أ نّه بحكم الوطن الفعلي ويسمّونه بالوطن الشرعي ، فيوجبون عليه التمام بالمرور عليه ما دام ملكه باقياً فيه ، بل قال بعضهم بوجوب التمام فيما إذا كان له فيه ملك غير قابل للسكنى أيضاً ولو نخلة ونحوها ، بل فيما إذا سكن ستّة أشهر ولو لم يكن بقصد التوطّن دائماً بل بقصد التجارة مثلاً ، والأقوى خلاف ذلك كلّه من عدم جريان </w:t>
      </w:r>
    </w:p>
    <w:p>
      <w:pPr>
        <w:pStyle w:val="BookText"/>
        <w:rPr/>
      </w:pPr>
      <w:r>
        <w:rPr>
          <w:rFonts w:ascii="Amiri" w:hAnsi="Amiri" w:eastAsia="Amiri" w:cs="Amiri"/>
          <w:color w:val="111111"/>
          <w:sz w:val="28"/>
          <w:sz w:val="28"/>
          <w:szCs w:val="28"/>
          <w:rtl w:val="true"/>
          <w:lang w:bidi="ar-SA"/>
        </w:rPr>
        <w:t xml:space="preserve">حكم الوطن على جميع الأقسام ، وأنّ بالإعراض عن الوطن الأصلي أو الاتّخاذي يزول حكم الوطنية مطلقاً ، وإن كان الأحوط الجمع بين إجراء حكم الوطن وغيره في جميع الصور خصوصاً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للإنسان وطنان فعليان في زمان واحد ؛ بأن جعل بلدين مسكناً له دائماً فيقيم في كلّ منهما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 بل يمكن أن يكون له ثلاثة أوطان أو أزيد</w:t>
      </w:r>
      <w:r>
        <w:rPr>
          <w:rStyle w:val="FootnoteAnchor"/>
          <w:rtl w:val="true"/>
        </w:rPr>
        <w:footnoteReference w:id="687"/>
      </w:r>
      <w:r>
        <w:rPr>
          <w:rFonts w:ascii="Amiri" w:hAnsi="Amiri" w:eastAsia="Amiri" w:cs="Amiri"/>
          <w:color w:val="111111"/>
          <w:sz w:val="28"/>
          <w:sz w:val="28"/>
          <w:szCs w:val="28"/>
          <w:rtl w:val="true"/>
          <w:lang w:bidi="ar-SA"/>
        </w:rPr>
        <w:t xml:space="preserve">؛ بأن يكون كلّ منها مسكناً له بأن يقيم في كلّ منها مقداراً من السنة ، فيجري على كلّ منها حكم الوطنية ؛ من كونه قاطعاً للسفر بمجرّد المرور إليه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الأولاد الصغار</w:t>
      </w:r>
      <w:r>
        <w:rPr>
          <w:rStyle w:val="FootnoteAnchor"/>
          <w:rtl w:val="true"/>
        </w:rPr>
        <w:footnoteReference w:id="688"/>
      </w:r>
      <w:r>
        <w:rPr>
          <w:rFonts w:ascii="Amiri" w:hAnsi="Amiri" w:eastAsia="Amiri" w:cs="Amiri"/>
          <w:color w:val="111111"/>
          <w:sz w:val="28"/>
          <w:sz w:val="28"/>
          <w:szCs w:val="28"/>
          <w:rtl w:val="true"/>
          <w:lang w:bidi="ar-SA"/>
        </w:rPr>
        <w:t xml:space="preserve">تابعون لأبويهم ، فيعدّ وطنهما وطناً لهم حتّى بعد بلوغهم ما لم يعرضوا عنه ، ولا يحتاج إلى أن يقصدوا التوطّن فيه مستقلاًّ ، نعم إذا اتّخذا وطناً ومعهما أولادهما البالغون فلا يكون وطنهما وطناً لهم إلاّ أن يقصدوا التوطّن فيه أيضاً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له التردّد في المهاجرة عن الوطن الأصلي فالظاهر بقاؤه على الوطنية ما لم يتحقّق الخروج والإعراض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الوطن المستجدّ فلا إشكال في زواله إن كان ذلك قبل أن يبقى فيه مقداراً يتوقّف عليه </w:t>
      </w:r>
    </w:p>
    <w:p>
      <w:pPr>
        <w:pStyle w:val="BookText"/>
        <w:rPr/>
      </w:pPr>
      <w:r>
        <w:rPr>
          <w:rFonts w:ascii="Amiri" w:hAnsi="Amiri" w:eastAsia="Amiri" w:cs="Amiri"/>
          <w:color w:val="111111"/>
          <w:sz w:val="28"/>
          <w:sz w:val="28"/>
          <w:szCs w:val="28"/>
          <w:rtl w:val="true"/>
          <w:lang w:bidi="ar-SA"/>
        </w:rPr>
        <w:t>صدق الوطن عرفاً ، وإن كان بعد ذلك ففي زوال حكم الوطنية بمجرّد ذلك من دون تحقّق الخروج والإعراض تأمّل وإشكال</w:t>
      </w:r>
      <w:r>
        <w:rPr>
          <w:rStyle w:val="FootnoteAnchor"/>
          <w:rtl w:val="true"/>
        </w:rPr>
        <w:footnoteReference w:id="689"/>
      </w:r>
      <w:r>
        <w:rPr>
          <w:rFonts w:ascii="Amiri" w:hAnsi="Amiri" w:eastAsia="Amiri" w:cs="Amiri"/>
          <w:color w:val="111111"/>
          <w:sz w:val="28"/>
          <w:sz w:val="28"/>
          <w:szCs w:val="28"/>
          <w:rtl w:val="true"/>
          <w:lang w:bidi="ar-SA"/>
        </w:rPr>
        <w:t xml:space="preserve">، فلا يترك الاحتياط فيه بالجمع بين أحكام الوطن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إقامة عشرة أيّام متواليات أو العلم ببقائه وإن كان لا عن 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الليالي المتوسّطة داخلة دون الليلة الاُولى والأخيرة ، فيكفي عشرة أيّام وتسع ليال ، ويكفي تلفيق اليوم المنكسر من يوم آخر على الأقوى ، كما إذا نوى المقام عند الزوال من اليوم الأوّل إلى الزوال من اليوم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اليوم طلوع الفجر الثاني على الأقوى ، فلو دخل حين طلوع الشمس كان انتهاء العشرة طلوع الشمس من الحادي عشر لا غروب الشمس من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وحدة محلّ الإقامة ، فلو قصد الإقامة في أمكنة متعدّدة عشرة أيّام لم ينقطع حكم السفر ، كما إذا عزم على إقامة عشرة أيّام في النجف والكوفة معاً أو في الكاظمين وبغداد مثلاً ، نعم لا يضرّ بوحدة المحلّ فصل مثل الشطّ بعد كون المجموع بلداً واحداً كجانبي الحلّة وبغداد ، فلو قصد الإقامة في مجموع الجانبين يكفي في انقطاع حكم السفر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نيّة الإقامة قصد عدم الخروج عن خطّة سور البلد ، بل لو قصد حال نيّتها الخروج إلى بعض بساتينها ومزارعها جرى عليه حكم المقيم ، بل لو كان من نيّته الخروج عن حدّ الترخّص بل إلى ما دون الأربعة أيضاً لا يضرّ إذا كان من قصده الرجوع قريباً ؛ بأن كان مكثه مقدار ساعتين أو ثلاث </w:t>
      </w:r>
    </w:p>
    <w:p>
      <w:pPr>
        <w:pStyle w:val="BookText"/>
        <w:rPr/>
      </w:pPr>
      <w:r>
        <w:rPr>
          <w:rFonts w:ascii="Amiri" w:hAnsi="Amiri" w:eastAsia="Amiri" w:cs="Amiri"/>
          <w:color w:val="111111"/>
          <w:sz w:val="28"/>
          <w:sz w:val="28"/>
          <w:szCs w:val="28"/>
          <w:rtl w:val="true"/>
          <w:lang w:bidi="ar-SA"/>
        </w:rPr>
        <w:t xml:space="preserve">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يخرج عن صدق إقامة عشرة أيّام في ذلك البلد عرفاً ، وأمّا الزائد على ذلك ففيه إشكال ، خصوصاً إذا كان قصده المبيت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القصد الإجمالي في تحقّق الإقامة ، فالتابع للغير كالزوجة والعبد والرفيق إذا كان قاصداً للمقام بمقدار ما قصده المتبوع لا يكفي وإن كان المتبوع قاصداً لإقامة العشرة إذا لم يدر من أوّل الأمر مقدار قصده ، فإذا تبيّن له بعد أيّام أ نّه كان قاصداً للعشرة يبقى على القصر ، إلاّ إذا نوى بعد ذلك بقاء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قاصداً للمقام إلى آخر الشهر أو إلى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الواقع عشرة أيّام ولم يكن عالماً به حين القصد لا يبعد كفايته</w:t>
      </w:r>
      <w:r>
        <w:rPr>
          <w:rStyle w:val="FootnoteAnchor"/>
          <w:rtl w:val="true"/>
        </w:rPr>
        <w:footnoteReference w:id="690"/>
      </w:r>
      <w:r>
        <w:rPr>
          <w:rFonts w:ascii="Amiri" w:hAnsi="Amiri" w:eastAsia="Amiri" w:cs="Amiri"/>
          <w:color w:val="111111"/>
          <w:sz w:val="28"/>
          <w:sz w:val="28"/>
          <w:szCs w:val="28"/>
          <w:rtl w:val="true"/>
          <w:lang w:bidi="ar-SA"/>
        </w:rPr>
        <w:t xml:space="preserve">، وأ نّه يجب عليه التمام لوتبيّن له بعد أيّام أ نّه عشرة أيّام ، لكن الأحوط فيه الجمع بين القصر والتمام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على الإقامة ثمّ عدل عن قصده فإن صلّى مع العزم المذكور رباعية بتمام بقي على التمام ما دام في ذلك المكان ولو كان من قصده الارتحال بعد ساعة أو ساعتين ، وإن لم يصلِّ أو صلّى صلاة ليس فيه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بعد العدول إلى القصر ، ولو صلّى رباعية تماماً مع الغفلة عن عزمه على الإقامة أو صلاّها تماماً لشرف البقعة بعد الغفلة عن نيّة الإقامة ثمّ عدل عنها فالأحوط فيهما</w:t>
      </w:r>
      <w:r>
        <w:rPr>
          <w:rStyle w:val="FootnoteAnchor"/>
          <w:rtl w:val="true"/>
        </w:rPr>
        <w:footnoteReference w:id="691"/>
      </w:r>
      <w:r>
        <w:rPr>
          <w:rFonts w:ascii="Amiri" w:hAnsi="Amiri" w:eastAsia="Amiri" w:cs="Amiri"/>
          <w:color w:val="111111"/>
          <w:sz w:val="28"/>
          <w:sz w:val="28"/>
          <w:szCs w:val="28"/>
          <w:rtl w:val="true"/>
          <w:lang w:bidi="ar-SA"/>
        </w:rPr>
        <w:t xml:space="preserve">الجمع بين القصر والتمام ، وإن كان تعيّن الثاني في الأوّل والأوّل في الثاني لا يخلو من قوّة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فاتته الصلاة على وجه يجب عليه قضاؤها ، فقضاها تماماً </w:t>
      </w:r>
    </w:p>
    <w:p>
      <w:pPr>
        <w:pStyle w:val="BookText"/>
        <w:rPr/>
      </w:pPr>
      <w:r>
        <w:rPr>
          <w:rFonts w:ascii="Amiri" w:hAnsi="Amiri" w:eastAsia="Amiri" w:cs="Amiri"/>
          <w:color w:val="111111"/>
          <w:sz w:val="28"/>
          <w:sz w:val="28"/>
          <w:szCs w:val="28"/>
          <w:rtl w:val="true"/>
          <w:lang w:bidi="ar-SA"/>
        </w:rPr>
        <w:t xml:space="preserve">ثمّ عدل عن نيّة الإقامة بقي على حكم التمام على إشكال ، فالأحوط الجمع ، وأمّا إن عدل عنها قبل قضائها فالظاهر العود إلى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على الإقامة فنوى الصوم ، ثمّ عدل بعد الزوال قبل الصلاة تماماً رجع إلى القصر في صلاته لكن صحّ صومه ، فهو كمن صام ثمّ سافر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العدول عن قصد الإقامة بين أن يعزم على عدمها أو يتردّد فيها في أ نّه لو كان بعد الصلاة تماماً بقي على التمام ولو كان قبله رجع إلى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العشرة لا يحتاج في البقاء على التمام إلى إقامة جديدة ، بل قد عرفت بقاء حكمه بمجرّد النيّة مع صلاة واحدة تماماً ، فما دام لم ينشئ سفراً جديداً يبقى على التمام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الإقامة واستقرّ حكم التمام</w:t>
      </w:r>
      <w:r>
        <w:rPr>
          <w:rStyle w:val="FootnoteAnchor"/>
          <w:rtl w:val="true"/>
        </w:rPr>
        <w:footnoteReference w:id="692"/>
      </w:r>
      <w:r>
        <w:rPr>
          <w:rFonts w:ascii="Amiri" w:hAnsi="Amiri" w:eastAsia="Amiri" w:cs="Amiri"/>
          <w:color w:val="111111"/>
          <w:sz w:val="28"/>
          <w:sz w:val="28"/>
          <w:szCs w:val="28"/>
          <w:rtl w:val="true"/>
          <w:lang w:bidi="ar-SA"/>
        </w:rPr>
        <w:t xml:space="preserve">؛ سواء تمّت العشرة أو لم تتمّ ، لكن صلّى صلاة واحدة بتمام ثمّ خرج إلى ما دون المسافة ، وكان من نيّته العود إلى محلّ الإقامة من حيث إنّه محلّ إقامته ؛ بأن كان رحله باقياً فيه ولم يعرض عنه فإن كان من نيّته مقام عشرة أيّام فيه بعد العود إليه ، فلا إشكال في بقائه على حكم التمام ، وإذا لم يكن من نيّته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متردّداً أو ناوياً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أيضاً البقاء على التمام</w:t>
      </w:r>
      <w:r>
        <w:rPr>
          <w:rStyle w:val="FootnoteAnchor"/>
          <w:rtl w:val="true"/>
        </w:rPr>
        <w:footnoteReference w:id="693"/>
      </w:r>
      <w:r>
        <w:rPr>
          <w:rFonts w:ascii="Amiri" w:hAnsi="Amiri" w:eastAsia="Amiri" w:cs="Amiri"/>
          <w:color w:val="111111"/>
          <w:sz w:val="28"/>
          <w:sz w:val="28"/>
          <w:szCs w:val="28"/>
          <w:rtl w:val="true"/>
          <w:lang w:bidi="ar-SA"/>
        </w:rPr>
        <w:t xml:space="preserve">في الذهاب والمقصد والإياب ومحلّ الإقامة ما لم ينشئ سفراً جديداً ، وإن كان الأحوط الجمع خصوصاً في </w:t>
      </w:r>
    </w:p>
    <w:p>
      <w:pPr>
        <w:pStyle w:val="BookText"/>
        <w:rPr/>
      </w:pPr>
      <w:r>
        <w:rPr>
          <w:rFonts w:ascii="Amiri" w:hAnsi="Amiri" w:eastAsia="Amiri" w:cs="Amiri"/>
          <w:color w:val="111111"/>
          <w:sz w:val="28"/>
          <w:sz w:val="28"/>
          <w:szCs w:val="28"/>
          <w:rtl w:val="true"/>
          <w:lang w:bidi="ar-SA"/>
        </w:rPr>
        <w:t>الإياب</w:t>
      </w:r>
      <w:r>
        <w:rPr>
          <w:rStyle w:val="FootnoteAnchor"/>
          <w:rtl w:val="true"/>
        </w:rPr>
        <w:footnoteReference w:id="694"/>
      </w:r>
      <w:r>
        <w:rPr>
          <w:rFonts w:ascii="Amiri" w:hAnsi="Amiri" w:eastAsia="Amiri" w:cs="Amiri"/>
          <w:color w:val="111111"/>
          <w:sz w:val="28"/>
          <w:sz w:val="28"/>
          <w:szCs w:val="28"/>
          <w:rtl w:val="true"/>
          <w:lang w:bidi="ar-SA"/>
        </w:rPr>
        <w:t xml:space="preserve">ومحلّ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مُنشئاً للسفر من حين الخروج عن محلّ الإقامة وكان ناوياً للعود إليه من حيث إنّه أحد منازله في سفره الجديد كان حكمه وجوب القصر في الجميع</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يكن من نيّته الخروج في أثناء العشرة إلى ما دون المسافة من أوّل الأمر ، وإلاّ فقد مرّ أ نّه إن كان من قصده العود قريباً يكون حكمه التمام وإلاّ ففيه إشكال ، ولو خرج إلى ما دون المسافة وكان متردّداً في العود إلى محلّ الإقامة وعدمه أو ذاهلاً عنه ، فلا يترك</w:t>
      </w:r>
      <w:r>
        <w:rPr>
          <w:rStyle w:val="FootnoteAnchor"/>
          <w:rtl w:val="true"/>
        </w:rPr>
        <w:footnoteReference w:id="696"/>
      </w:r>
      <w:r>
        <w:rPr>
          <w:rFonts w:ascii="Amiri" w:hAnsi="Amiri" w:eastAsia="Amiri" w:cs="Amiri"/>
          <w:color w:val="111111"/>
          <w:sz w:val="28"/>
          <w:sz w:val="28"/>
          <w:szCs w:val="28"/>
          <w:rtl w:val="true"/>
          <w:lang w:bidi="ar-SA"/>
        </w:rPr>
        <w:t xml:space="preserve">الاحتياط بالجمع بين القصر والتمام في الذهاب والمقصد والإياب ومحلّ الإقامة إذا عاد إليه إلى أن يعزم على الإقامة أو ينشئ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بدا للمقيم السفر ثمّ بدا له العود إلى محلّ الإقامة والبقاء عشرة أيّام ، فإن كان ذلك بعد بلوغ أربعة فراسخ قصّر في الذهاب والمقصد والعود ، وإن كان قبله فيقصّر حال الخروج بعد التجاوز عن حدّ الترخّص إلى حال العزم على العود ويتمّ عند العزم عليه ، ولا يجب عليه قضاء ما صلّى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بدا له العود بدون إقامة جديدة بقي على القصر حتّى في محلّ الإقامة ؛ لأنّ المفروض الإعراض عنه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الصلاة بنيّة القصر ، ثمّ بدا له الإقامة في أثنائها أتمّها ، ولو نوى الإقامة ودخل في الصلاة بنيّة التمام ثمّ عدل عنها في الأثناء ، </w:t>
      </w:r>
    </w:p>
    <w:p>
      <w:pPr>
        <w:pStyle w:val="BookText"/>
        <w:rPr/>
      </w:pPr>
      <w:r>
        <w:rPr>
          <w:rFonts w:ascii="Amiri" w:hAnsi="Amiri" w:eastAsia="Amiri" w:cs="Amiri"/>
          <w:color w:val="111111"/>
          <w:sz w:val="28"/>
          <w:sz w:val="28"/>
          <w:szCs w:val="28"/>
          <w:rtl w:val="true"/>
          <w:lang w:bidi="ar-SA"/>
        </w:rPr>
        <w:t>فإن كان قبل الدخول في ركوع الثالثة أتمّها قصراً ، وإن كان بعده قبل الفراغ من الصلاة فلا يترك</w:t>
      </w:r>
      <w:r>
        <w:rPr>
          <w:rStyle w:val="FootnoteAnchor"/>
          <w:rtl w:val="true"/>
        </w:rPr>
        <w:footnoteReference w:id="697"/>
      </w:r>
      <w:r>
        <w:rPr>
          <w:rFonts w:ascii="Amiri" w:hAnsi="Amiri" w:eastAsia="Amiri" w:cs="Amiri"/>
          <w:color w:val="111111"/>
          <w:sz w:val="28"/>
          <w:sz w:val="28"/>
          <w:szCs w:val="28"/>
          <w:rtl w:val="true"/>
          <w:lang w:bidi="ar-SA"/>
        </w:rPr>
        <w:t xml:space="preserve">الاحتياط بإتمامها تماماً ثمّ إعادتها قصراً والجمع بين القصر والتمام ما لم يسافر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ثلاثين يوماً في مكان متردّداً ، ويلحق بالتردّد ما إذا عزم على الخروج غداً أو بعد غدٍ ثمّ لم يخرج وهكذا إلى أن مضى ثلاثون يوماً ، بل يلحق به أيضاً إذا عزم على الإقامة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بعدها عزم على إقامة تسعة اُخرى وهكذا ، فيقصّر إلى ثلاثين يوماً ثمّ يتمّ ولو لم يبق إلاّ مقدار صلاة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إلحاق الشهر الهلالي بثلاثين يوماً إذا كان تردّده من أوّل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اتّحاد مكان التردّد كمحلّ الإقامة ، فمع التعدّد لا ينقطع حكم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w:t>
      </w:r>
      <w:r>
        <w:rPr>
          <w:rStyle w:val="FootnoteAnchor"/>
          <w:rtl w:val="true"/>
        </w:rPr>
        <w:footnoteReference w:id="698"/>
      </w:r>
      <w:r>
        <w:rPr>
          <w:rFonts w:ascii="Amiri" w:hAnsi="Amiri" w:eastAsia="Amiri" w:cs="Amiri"/>
          <w:color w:val="111111"/>
          <w:sz w:val="28"/>
          <w:sz w:val="28"/>
          <w:szCs w:val="28"/>
          <w:rtl w:val="true"/>
          <w:lang w:bidi="ar-SA"/>
        </w:rPr>
        <w:t xml:space="preserve">المتردّد ثلاثين يوماً ؛ إذا خرج عن مكان التردّد إلى ما دون المسافة وكان من نيّته العود إلى ذلك المكان حكم المقيم ، وقد مرّ حكمه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مكان تسعة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ثمّ سافر إلى مكان آخر وبقي متردّداً فيه كذلك بقي على القصر ما دام كذلك ، إلاّ إذا نوى الإقامة في مكان أو بقي متردّداً ثلاثين يوماً </w:t>
      </w:r>
      <w:r>
        <w:rPr>
          <w:rFonts w:eastAsia="Amiri" w:cs="Amiri" w:ascii="Amiri" w:hAnsi="Amiri"/>
          <w:color w:val="111111"/>
          <w:sz w:val="28"/>
          <w:szCs w:val="28"/>
          <w:rtl w:val="true"/>
          <w:lang w:bidi="ar-SA"/>
        </w:rPr>
        <w:t xml:space="preserve">. </w:t>
      </w:r>
      <w:bookmarkStart w:id="335" w:name="pg15003_159862"/>
    </w:p>
    <w:p>
      <w:pPr>
        <w:pStyle w:val="Heading4"/>
        <w:numPr>
          <w:ilvl w:val="3"/>
          <w:numId w:val="1"/>
        </w:numPr>
        <w:rPr/>
      </w:pPr>
      <w:bookmarkStart w:id="336" w:name="__RefHeading___Toc487811_3406789950"/>
      <w:bookmarkStart w:id="337" w:name="_Toc120"/>
      <w:bookmarkEnd w:id="335"/>
      <w:bookmarkEnd w:id="336"/>
      <w:r>
        <w:rPr>
          <w:rtl w:val="true"/>
        </w:rPr>
        <w:t xml:space="preserve">القول </w:t>
      </w:r>
      <w:r>
        <w:rPr>
          <w:rtl w:val="true"/>
        </w:rPr>
        <w:t xml:space="preserve">: </w:t>
      </w:r>
      <w:r>
        <w:rPr>
          <w:rtl w:val="true"/>
        </w:rPr>
        <w:t>في أحكام المسافر</w:t>
      </w:r>
      <w:bookmarkEnd w:id="337"/>
    </w:p>
    <w:p>
      <w:pPr>
        <w:pStyle w:val="BookText"/>
        <w:rPr/>
      </w:pPr>
      <w:r>
        <w:rPr>
          <w:rFonts w:ascii="Amiri" w:hAnsi="Amiri" w:eastAsia="Amiri" w:cs="Amiri"/>
          <w:color w:val="111111"/>
          <w:sz w:val="28"/>
          <w:sz w:val="28"/>
          <w:szCs w:val="28"/>
          <w:rtl w:val="true"/>
          <w:lang w:bidi="ar-SA"/>
        </w:rPr>
        <w:t xml:space="preserve">قد عرفت أ نّه تسقط عن المسافر بعد تحقّق الشرائط ركعتان من الرباعيات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الظهرين والعشاء ، كما أ نّه تسقط عنه نوافل الظهرين ، وتبقى بقيّة النوافل حتّى نافلة العشاء على الأقوى</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المسافر بعد تحقّق شرائط القصر تماماً ، فإن كان عالماً بالحكم والموضوع بطلت صلاته وأعاده في الوقت وخارجه ، وإن كان جاهلاً بأصل الحكم وأنّ حكم المسافر التقصير لم يجب عليه الإعادة فضلاً عن القضاء ، وأمّا إن كان عالماً بأصل الحكم وجاهلاً ببعض الخصوصيات مثل جهله بأنّ السفر إلى أربعة فراسخ مع قصد الرجوع يوجب القصر ، أو أنّ كثير السفر إذا أقام في بلده عشرة أيّام يجب عليه القصر في السفر الأوّل فأتمّ ونحو ذلك ، وجب عليه الإعادة في الوقت والقضاء في خارجه ، وكذا إذا كان عالماً بالحكم وجاهلاً بالموضوع ، كما إذا تخيّل عدم كون مقصده مسافة فأتمّ مع كونه مسافة ، وأمّا إذا كان ناسياً لسفره فأتمّ ، فإن تذكّر في الوقت وجب عليه الإعادة ، وإن تذكّر في خارجه لا يجب عليه القضاء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الصوم بالصلاة فيما ذكر</w:t>
      </w:r>
      <w:r>
        <w:rPr>
          <w:rStyle w:val="FootnoteAnchor"/>
          <w:rtl w:val="true"/>
        </w:rPr>
        <w:footnoteReference w:id="700"/>
      </w:r>
      <w:r>
        <w:rPr>
          <w:rFonts w:ascii="Amiri" w:hAnsi="Amiri" w:eastAsia="Amiri" w:cs="Amiri"/>
          <w:color w:val="111111"/>
          <w:sz w:val="28"/>
          <w:sz w:val="28"/>
          <w:szCs w:val="28"/>
          <w:rtl w:val="true"/>
          <w:lang w:bidi="ar-SA"/>
        </w:rPr>
        <w:t xml:space="preserve">على الأقوى ، فيبطل مع العلم والعمد ويصحّ مع الجهل بأصل الحكم دون الجهل بالخصوصيات ودون الجهل بالموضوع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 من كانت وظيفته التمام بطلت صلاته مطلقاً حتّى في المقيم المقصّر للجهل بأنّ حكمه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الناسي للسفر في أثناء الصلاة ، فإن كان قبل الدخول في ركوع الركعة الثالثة أتمّ الصلاة قصراً واجتزأ بها ، وإن تذكّر بعد ذلك بطلت ووجبت عليه الإعادة مع سعة الوقت ولو بإدراك ركعة من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الوقت وهو حاضر متمكّن من فعل الصلاة ثمّ سافر قبل أن يصلّي حتّى تجاوز محلّ الترخّص والوقت باقٍ قصّر ، والأحوط الإتمام</w:t>
      </w:r>
      <w:r>
        <w:rPr>
          <w:rStyle w:val="FootnoteAnchor"/>
          <w:rtl w:val="true"/>
        </w:rPr>
        <w:footnoteReference w:id="701"/>
      </w:r>
      <w:r>
        <w:rPr>
          <w:rFonts w:ascii="Amiri" w:hAnsi="Amiri" w:eastAsia="Amiri" w:cs="Amiri"/>
          <w:color w:val="111111"/>
          <w:sz w:val="28"/>
          <w:sz w:val="28"/>
          <w:szCs w:val="28"/>
          <w:rtl w:val="true"/>
          <w:lang w:bidi="ar-SA"/>
        </w:rPr>
        <w:t xml:space="preserve">معه ، كما أ نّه لو دخل الوقت وهو مسافر فحضر قبل أن يصلّي والوقت باقٍ فإنّه يتمّ ، والأحوط القصر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 منه الصلاة في الحضر يجب عليه قضاؤها تماماً ولو في السفر ، كما أ نّه إذا فاتت منه في السفر يجب عليه قضاؤها قصراً ولو في الحضر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 منه الصلاة وكان في أوّل الوقت حاضراً وفي آخره مسافراً وبالعكس الأقوى</w:t>
      </w:r>
      <w:r>
        <w:rPr>
          <w:rStyle w:val="FootnoteAnchor"/>
          <w:rtl w:val="true"/>
        </w:rPr>
        <w:footnoteReference w:id="702"/>
      </w:r>
      <w:r>
        <w:rPr>
          <w:rFonts w:ascii="Amiri" w:hAnsi="Amiri" w:eastAsia="Amiri" w:cs="Amiri"/>
          <w:color w:val="111111"/>
          <w:sz w:val="28"/>
          <w:sz w:val="28"/>
          <w:szCs w:val="28"/>
          <w:rtl w:val="true"/>
          <w:lang w:bidi="ar-SA"/>
        </w:rPr>
        <w:t xml:space="preserve">مراعاة حال الفوت ؛ وهو آخر الوقت في القضاء ، فيقضي الأوّل قصراً والثاني تماماً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يتخيّر المسافر مع عدم قصد الإقامة بين القصر والإتمام في الأماكن الأربعة ؛ وهي مسجد الحرام ومسجد النبي صلی الله علیه و آله وسلم ومسجد الكوفة والحائر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والإتمام أفضل ، وإلحاق بلدي مكّة </w:t>
      </w:r>
      <w:bookmarkStart w:id="338" w:name="pg15003_159864"/>
    </w:p>
    <w:p>
      <w:pPr>
        <w:pStyle w:val="BookText"/>
        <w:rPr/>
      </w:pPr>
      <w:bookmarkEnd w:id="338"/>
      <w:r>
        <w:rPr>
          <w:rFonts w:ascii="Amiri" w:hAnsi="Amiri" w:eastAsia="Amiri" w:cs="Amiri"/>
          <w:color w:val="111111"/>
          <w:sz w:val="28"/>
          <w:sz w:val="28"/>
          <w:szCs w:val="28"/>
          <w:rtl w:val="true"/>
          <w:lang w:bidi="ar-SA"/>
        </w:rPr>
        <w:t>والمدينة بمسجديهما لا يخلو من قوّة</w:t>
      </w:r>
      <w:r>
        <w:rPr>
          <w:rStyle w:val="FootnoteAnchor"/>
          <w:rtl w:val="true"/>
        </w:rPr>
        <w:footnoteReference w:id="703"/>
      </w:r>
      <w:r>
        <w:rPr>
          <w:rFonts w:ascii="Amiri" w:hAnsi="Amiri" w:eastAsia="Amiri" w:cs="Amiri"/>
          <w:color w:val="111111"/>
          <w:sz w:val="28"/>
          <w:sz w:val="28"/>
          <w:szCs w:val="28"/>
          <w:rtl w:val="true"/>
          <w:lang w:bidi="ar-SA"/>
        </w:rPr>
        <w:t xml:space="preserve">، ولا يلحق بها سائر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المساجد بين السطوح والصحن والمواضع المنخفضة كبيت الطشت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دخول تمام الروضة الشريفة في الحائر ، فيمتدّ من طرف الرأس إلى الشبّاك المتّصل بالرواق ، ومن طرف الرجل إلى الباب والشبّاك المتّصلين بالرواق ، ومن الخلف إلى حدّ المسجد ، وإن كان دخول المسجد والرواق الشريف فيه أيضاً لا يخلو من قوّة ، لكنّ الاحتياط بالقصر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في هذه الأماكن استمراري ، فيجوز لمن شرع في الصلاة بنيّة القصر العدول إلى التمام وبالعكس ما لم يتجاوز محلّ العدول ، بل لا بأس بأن ينوي الصلاة من غير تعيين للقصر أو التمام من أوّل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الصوم بالصلاة في التخيير المزبور ، فلا يصحّ له الصوم فيها ما لم ينو الإقامة أو بقي متردّداً ثلاثين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عقيب كلّ صلاة مقصورة ثلاثين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w:t>
      </w:r>
    </w:p>
    <w:p>
      <w:pPr>
        <w:pStyle w:val="Heading3"/>
        <w:numPr>
          <w:ilvl w:val="2"/>
          <w:numId w:val="1"/>
        </w:numPr>
        <w:rPr/>
      </w:pPr>
      <w:bookmarkStart w:id="339" w:name="__RefHeading___Toc487813_3406789950"/>
      <w:bookmarkStart w:id="340" w:name="_Toc121"/>
      <w:bookmarkEnd w:id="339"/>
      <w:r>
        <w:rPr>
          <w:rtl w:val="true"/>
        </w:rPr>
        <w:t xml:space="preserve">فصل </w:t>
      </w:r>
      <w:r>
        <w:rPr>
          <w:rtl w:val="true"/>
        </w:rPr>
        <w:t xml:space="preserve">: </w:t>
      </w:r>
      <w:r>
        <w:rPr>
          <w:rtl w:val="true"/>
        </w:rPr>
        <w:t>في صلاة الجماعة</w:t>
      </w:r>
      <w:bookmarkEnd w:id="340"/>
    </w:p>
    <w:p>
      <w:pPr>
        <w:pStyle w:val="Heading4"/>
        <w:numPr>
          <w:ilvl w:val="3"/>
          <w:numId w:val="1"/>
        </w:numPr>
        <w:rPr/>
      </w:pPr>
      <w:bookmarkStart w:id="341" w:name="__RefHeading___Toc487815_3406789950"/>
      <w:bookmarkStart w:id="342" w:name="_Toc122"/>
      <w:bookmarkEnd w:id="341"/>
      <w:r>
        <w:rPr>
          <w:rtl w:val="true"/>
        </w:rPr>
        <w:t>اشارة</w:t>
      </w:r>
      <w:bookmarkEnd w:id="34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المستحبّات الأكيدة في جميع الفرائض خصوصاً اليومية ، ويتأكّد في الصبح والعشاءين ، ولها ثواب عظيم يبهر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واجبة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شرعاً ولا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الجمعة مع الشرائط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تشرع في </w:t>
      </w:r>
    </w:p>
    <w:p>
      <w:pPr>
        <w:pStyle w:val="BookText"/>
        <w:rPr/>
      </w:pPr>
      <w:r>
        <w:rPr>
          <w:rFonts w:ascii="Amiri" w:hAnsi="Amiri" w:eastAsia="Amiri" w:cs="Amiri"/>
          <w:color w:val="111111"/>
          <w:sz w:val="28"/>
          <w:sz w:val="28"/>
          <w:szCs w:val="28"/>
          <w:rtl w:val="true"/>
          <w:lang w:bidi="ar-SA"/>
        </w:rPr>
        <w:t>شيء من النوافل الأصلية وإن وجبت بالعارض بنذر ونحوه عدا صلاة الاستسقاء ، ولا بأس بها فيما صار نفلاً بالعارض كصلاة العيدين</w:t>
      </w:r>
      <w:r>
        <w:rPr>
          <w:rStyle w:val="FootnoteAnchor"/>
          <w:rtl w:val="true"/>
        </w:rPr>
        <w:footnoteReference w:id="704"/>
      </w:r>
      <w:r>
        <w:rPr>
          <w:rFonts w:ascii="IRNazanin" w:hAnsi="IRNazanin" w:eastAsia="IRNazanin"/>
          <w:color w:val="111111"/>
          <w:sz w:val="28"/>
          <w:sz w:val="28"/>
          <w:szCs w:val="28"/>
          <w:rtl w:val="true"/>
          <w:lang w:bidi="fa-IR"/>
        </w:rPr>
        <w:t xml:space="preserve">مع عدم اجتماع شرائط الوجوب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الجماعة اتّحاد صلاة الإمام والمأموم نوعاً أو كيفية ، فيأتمّ مصلّي اليومية أيّ صلاة كانت بمصلّي اليومية كذلك وإن اختلفتا في القصر والتمام أو الأداء والقضاء ، وكذا مصلّي الآية بمصلّيها وإن اختلفت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اقتداء اليومية بالعيدين والآيات وصلاة الأموات ، بل وصلاة الاحتياط وصلاة الطواف وبالعكس ، وكذا لا يجوز اقتداء كلّ من الخمس بعضها ببعض بل مشروعية الجماعة في صلاة الطواف محلّ إشكال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عدد تنعقد به الجماعة في غير الجمعة والعيدين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الإمام ؛ سواء كان المأموم رجلاً أو امرأة بل وصبيّاً مميّزاً على الأقوى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انعقاد الجماعة في غير الجمعة والعيدين</w:t>
      </w:r>
      <w:r>
        <w:rPr>
          <w:rStyle w:val="FootnoteAnchor"/>
          <w:rtl w:val="true"/>
        </w:rPr>
        <w:footnoteReference w:id="706"/>
      </w:r>
      <w:r>
        <w:rPr>
          <w:rFonts w:ascii="Amiri" w:hAnsi="Amiri" w:eastAsia="Amiri" w:cs="Amiri"/>
          <w:color w:val="111111"/>
          <w:sz w:val="28"/>
          <w:sz w:val="28"/>
          <w:szCs w:val="28"/>
          <w:rtl w:val="true"/>
          <w:lang w:bidi="ar-SA"/>
        </w:rPr>
        <w:t xml:space="preserve">نيّة الإمام الجماعة والإمامة ؛ وإن توقّف حصول الثواب في حقّه عليها ، وأمّا المأموم فلا بدّ له من نيّة الاقتداء ، فلو لم ينوه لم تنعقد الجماعة وإن تابع الإمام في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وحدة الإمام ، فلو نوى الاقتداء باثنين لم تتحقّق الجماعة ولو كانا متقارنين ، وكذا يجب تعيين الإمام بالاسم أو الوصف أو </w:t>
      </w:r>
    </w:p>
    <w:p>
      <w:pPr>
        <w:pStyle w:val="BookText"/>
        <w:rPr/>
      </w:pPr>
      <w:r>
        <w:rPr>
          <w:rFonts w:ascii="Amiri" w:hAnsi="Amiri" w:eastAsia="Amiri" w:cs="Amiri"/>
          <w:color w:val="111111"/>
          <w:sz w:val="28"/>
          <w:sz w:val="28"/>
          <w:szCs w:val="28"/>
          <w:rtl w:val="true"/>
          <w:lang w:bidi="ar-SA"/>
        </w:rPr>
        <w:t xml:space="preserve">الإشارة الذهنية أو الخارجية ؛ كأن ينوي الاقتداء بهذا الحاضر ولو لم يعرفه باسمه ووصفه ، إلاّ أ نّه يعلم كونه عادلاً صالحاً للاقتداء ، فلو نوى الاقتداء بأحد هذين لم تقع الجماعة وإن كان من قصده تعيين أحدهما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 نّه نوى الائتمام أم لا ، بنى على العدم وإن علم أ نّه قام بنيّة الدخول في الجماعة ، نعم لو ظهر فيه حال الائتمام</w:t>
      </w:r>
      <w:r>
        <w:rPr>
          <w:rStyle w:val="FootnoteAnchor"/>
          <w:rtl w:val="true"/>
        </w:rPr>
        <w:footnoteReference w:id="707"/>
      </w:r>
      <w:r>
        <w:rPr>
          <w:rFonts w:ascii="Amiri" w:hAnsi="Amiri" w:eastAsia="Amiri" w:cs="Amiri"/>
          <w:color w:val="111111"/>
          <w:sz w:val="28"/>
          <w:sz w:val="28"/>
          <w:szCs w:val="28"/>
          <w:rtl w:val="true"/>
          <w:lang w:bidi="ar-SA"/>
        </w:rPr>
        <w:t xml:space="preserve">كالإنصات ونحوه بنى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الاقتداء بشخص على أ نّه زيد فبان أ نّه عمرو ، فإن لم يكن عمرو عادلاً بطلت جماعته ، بل وصلاته</w:t>
      </w:r>
      <w:r>
        <w:rPr>
          <w:rStyle w:val="FootnoteAnchor"/>
          <w:rtl w:val="true"/>
        </w:rPr>
        <w:footnoteReference w:id="708"/>
      </w:r>
      <w:r>
        <w:rPr>
          <w:rFonts w:ascii="Amiri" w:hAnsi="Amiri" w:eastAsia="Amiri" w:cs="Amiri"/>
          <w:color w:val="111111"/>
          <w:sz w:val="28"/>
          <w:sz w:val="28"/>
          <w:szCs w:val="28"/>
          <w:rtl w:val="true"/>
          <w:lang w:bidi="ar-SA"/>
        </w:rPr>
        <w:t>أيضاً إذا أتى بما يخالف صلاة المنفرد ، وإن كان عادلاً ففي المسألة صورتان</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يكون قصده الاقتداء بزيد وتخيّل أنّ الحاضر هو زيد ، وفي هذه الصورة تبطل جماعته ، بل وصلاته أيضاً إن خالفت صلاة المنفرد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الاقتداء بهذا الحاضر ، ولكن تخيّل أ نّه زيد فبان أ نّه عمرو ، وفي هذه الصورة تصحّ جماعته وصلاته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710"/>
      </w:r>
      <w:r>
        <w:rPr>
          <w:rFonts w:ascii="Amiri" w:hAnsi="Amiri" w:eastAsia="Amiri" w:cs="Amiri"/>
          <w:color w:val="111111"/>
          <w:sz w:val="28"/>
          <w:sz w:val="28"/>
          <w:szCs w:val="28"/>
          <w:rtl w:val="true"/>
          <w:lang w:bidi="ar-SA"/>
        </w:rPr>
        <w:t xml:space="preserve">للمنفرد العدول إلى الائتمام في الأثناء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الائتمام إلى الانفراد ولو اختياراً في جميع </w:t>
      </w:r>
    </w:p>
    <w:p>
      <w:pPr>
        <w:pStyle w:val="BookText"/>
        <w:rPr/>
      </w:pPr>
      <w:r>
        <w:rPr>
          <w:rFonts w:ascii="Amiri" w:hAnsi="Amiri" w:eastAsia="Amiri" w:cs="Amiri"/>
          <w:color w:val="111111"/>
          <w:sz w:val="28"/>
          <w:sz w:val="28"/>
          <w:szCs w:val="28"/>
          <w:rtl w:val="true"/>
          <w:lang w:bidi="ar-SA"/>
        </w:rPr>
        <w:t>أحوال الصلاة وإن كان من نيّته ذلك في أوّل الصلاة ، لكن الأحوط</w:t>
      </w:r>
      <w:r>
        <w:rPr>
          <w:rStyle w:val="FootnoteAnchor"/>
          <w:rtl w:val="true"/>
        </w:rPr>
        <w:footnoteReference w:id="711"/>
      </w:r>
      <w:r>
        <w:rPr>
          <w:rFonts w:ascii="Amiri" w:hAnsi="Amiri" w:eastAsia="Amiri" w:cs="Amiri"/>
          <w:color w:val="111111"/>
          <w:sz w:val="28"/>
          <w:sz w:val="28"/>
          <w:szCs w:val="28"/>
          <w:rtl w:val="true"/>
          <w:lang w:bidi="ar-SA"/>
        </w:rPr>
        <w:t xml:space="preserve">عدم العدول إلاّ لضرورة ولو دنيوية خصوصاً في الصورة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الانفراد بعد قراءة الإمام قبل الركوع لا يجب عليه القراءة ، بل لو كان في أثناء القراءة يكفيه بعد نيّة الانفراد قراءة ما بقي منها ، وإن كان الأحوط استئنافها بقصد القربة المطلقة خصوصاً في الصورة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الانفراد في الأثناء لا يجوز له</w:t>
      </w:r>
      <w:r>
        <w:rPr>
          <w:rStyle w:val="FootnoteAnchor"/>
          <w:rtl w:val="true"/>
        </w:rPr>
        <w:footnoteReference w:id="712"/>
      </w:r>
      <w:r>
        <w:rPr>
          <w:rFonts w:ascii="Amiri" w:hAnsi="Amiri" w:eastAsia="Amiri" w:cs="Amiri"/>
          <w:color w:val="111111"/>
          <w:sz w:val="28"/>
          <w:sz w:val="28"/>
          <w:szCs w:val="28"/>
          <w:rtl w:val="true"/>
          <w:lang w:bidi="ar-SA"/>
        </w:rPr>
        <w:t xml:space="preserve">العود إلى الائتمام ، كما أ نّه لا يجوز للمنفرد العدول إلى الائتمام في الأثناء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يدرك الإمام إلاّ في الركوع قبل أن يرفع رأسه منه ولو بعد الذكر ، أو أدركه قبله لكن لم يدخل في الصلاة إلى أن ركع جاز له الدخول معه وتحسب له ركعة ، وهو منتهى ما يدرك به الركعة في ابتداء الجماعة ، فإدراك الركعة في ابتداء الجماعة يتوقّف على إدراك ركوع الإمام قبل الشروع في رفع رأسه ، وأمّا في الركعات الاُخر فلا يضرّ</w:t>
      </w:r>
      <w:r>
        <w:rPr>
          <w:rStyle w:val="FootnoteAnchor"/>
          <w:rtl w:val="true"/>
        </w:rPr>
        <w:footnoteReference w:id="713"/>
      </w:r>
      <w:r>
        <w:rPr>
          <w:rFonts w:ascii="Amiri" w:hAnsi="Amiri" w:eastAsia="Amiri" w:cs="Amiri"/>
          <w:color w:val="111111"/>
          <w:sz w:val="28"/>
          <w:sz w:val="28"/>
          <w:szCs w:val="28"/>
          <w:rtl w:val="true"/>
          <w:lang w:bidi="ar-SA"/>
        </w:rPr>
        <w:t xml:space="preserve">عدم إدراك الركوع مع الإمام ؛ بأن ركع بعد رفع رأسه منه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إذا دخل في الجماعة في أوّل الركعة أو في أثناء القراءة واتّفق أ نّه تأخّر عن الإمام في الركوع وما لحق به فيه صحّت صلاته وجماعته وتحسب له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إدراك الركعة في ابتداء الجماعة يتوقّف على إدراك ركوع الإمام قبل الشروع في رفع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 بما إذا دخل في الجماعة في حال ركوع الإمام أو قبله بعد تمام القراءة لا فيما إذا دخل فيها من أوّل الركعة أو في أثنائها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ركع بتخيّل أ نّه يدرك الإمام راكعاً ولم يدركه بطلت</w:t>
      </w:r>
      <w:r>
        <w:rPr>
          <w:rStyle w:val="FootnoteAnchor"/>
          <w:rtl w:val="true"/>
        </w:rPr>
        <w:footnoteReference w:id="714"/>
      </w:r>
      <w:r>
        <w:rPr>
          <w:rFonts w:ascii="Amiri" w:hAnsi="Amiri" w:eastAsia="Amiri" w:cs="Amiri"/>
          <w:color w:val="111111"/>
          <w:sz w:val="28"/>
          <w:sz w:val="28"/>
          <w:szCs w:val="28"/>
          <w:rtl w:val="true"/>
          <w:lang w:bidi="ar-SA"/>
        </w:rPr>
        <w:t xml:space="preserve">صلاته ، بل وكذا لو شكّ في إدراكه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715"/>
      </w:r>
      <w:r>
        <w:rPr>
          <w:rFonts w:ascii="Amiri" w:hAnsi="Amiri" w:eastAsia="Amiri" w:cs="Amiri"/>
          <w:color w:val="111111"/>
          <w:sz w:val="28"/>
          <w:sz w:val="28"/>
          <w:szCs w:val="28"/>
          <w:rtl w:val="true"/>
          <w:lang w:bidi="ar-SA"/>
        </w:rPr>
        <w:t xml:space="preserve">عدم الدخول في الجماعة بقصد الركوع مع الإمام إلاّ مع الاطمئنان بإدراكه ، نعم لا بأس بأن يكبّر للإحرام بقصد أ نّه إن أدركه لحق وإلاّ انفرد قبل الركوع أو انتظر الركعة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الائتمام وكبّر فرفع الإمام رأسه قبل أن يركع لزمه الانفراد أو انتظار الإمام قائماً إلى الركعة الاُخرى ، فيجعلها الاُولى له ، على إشكال</w:t>
      </w:r>
      <w:r>
        <w:rPr>
          <w:rStyle w:val="FootnoteAnchor"/>
          <w:rtl w:val="true"/>
        </w:rPr>
        <w:footnoteReference w:id="716"/>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الإمام في السجدة الاُولى أو الثانية من الركعة الأخيرة وأراد إدراك فضل الجماعة نوى وكبّر</w:t>
      </w:r>
      <w:r>
        <w:rPr>
          <w:rStyle w:val="FootnoteAnchor"/>
          <w:rtl w:val="true"/>
        </w:rPr>
        <w:footnoteReference w:id="717"/>
      </w:r>
      <w:r>
        <w:rPr>
          <w:rFonts w:ascii="Amiri" w:hAnsi="Amiri" w:eastAsia="Amiri" w:cs="Amiri"/>
          <w:color w:val="111111"/>
          <w:sz w:val="28"/>
          <w:sz w:val="28"/>
          <w:szCs w:val="28"/>
          <w:rtl w:val="true"/>
          <w:lang w:bidi="ar-SA"/>
        </w:rPr>
        <w:t xml:space="preserve">وسجد معه السجدة أو السجدتين وتشهّد ثمّ يقوم بعد تسليم الإمام ويستأنف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بتلك النيّة وذلك التكبير ، بل إذا أدركه في التشهّد الأخير يجوز له الدخول معه ؛ بأن ينوي ويكبّر ثمّ </w:t>
      </w:r>
      <w:bookmarkStart w:id="343" w:name="pg15003_159869"/>
    </w:p>
    <w:p>
      <w:pPr>
        <w:pStyle w:val="BookText"/>
        <w:rPr/>
      </w:pPr>
      <w:bookmarkEnd w:id="343"/>
      <w:r>
        <w:rPr>
          <w:rFonts w:ascii="Amiri" w:hAnsi="Amiri" w:eastAsia="Amiri" w:cs="Amiri"/>
          <w:color w:val="111111"/>
          <w:sz w:val="28"/>
          <w:sz w:val="28"/>
          <w:szCs w:val="28"/>
          <w:rtl w:val="true"/>
          <w:lang w:bidi="ar-SA"/>
        </w:rPr>
        <w:t xml:space="preserve">يجلس معه ويتشهّد ، فإذا سلّم الإمام يقوم فيصلّي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هذه الصورة يكتفي بتلك النيّة وذلك التكبير ، ويحصل له بذلك فضل الجماعة وإن لم يدرك ركعة </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87817_3406789950"/>
      <w:bookmarkStart w:id="345" w:name="_Toc123"/>
      <w:bookmarkEnd w:id="344"/>
      <w:r>
        <w:rPr>
          <w:rtl w:val="true"/>
        </w:rPr>
        <w:t xml:space="preserve">القول </w:t>
      </w:r>
      <w:r>
        <w:rPr>
          <w:rtl w:val="true"/>
        </w:rPr>
        <w:t xml:space="preserve">: </w:t>
      </w:r>
      <w:r>
        <w:rPr>
          <w:rtl w:val="true"/>
        </w:rPr>
        <w:t>في شرائط الجماعة</w:t>
      </w:r>
      <w:bookmarkEnd w:id="345"/>
    </w:p>
    <w:p>
      <w:pPr>
        <w:pStyle w:val="BookText"/>
        <w:rPr/>
      </w:pPr>
      <w:r>
        <w:rPr>
          <w:rFonts w:ascii="Amiri" w:hAnsi="Amiri" w:eastAsia="Amiri" w:cs="Amiri"/>
          <w:color w:val="111111"/>
          <w:sz w:val="28"/>
          <w:sz w:val="28"/>
          <w:szCs w:val="28"/>
          <w:rtl w:val="true"/>
          <w:lang w:bidi="ar-SA"/>
        </w:rPr>
        <w:t xml:space="preserve">مضافاً إلى ما مرّ ،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المأموم والإمام أو بين بعض المأمومين مع البعض الآخر ممّن يكون واسطة في اتّصاله بالإمام حائل يمنع المشاهدة ، وإنّما يعتبر ذلك إذا كان المأموم رجلاً ، أمّا المرأة فلا بأس</w:t>
      </w:r>
      <w:r>
        <w:rPr>
          <w:rStyle w:val="FootnoteAnchor"/>
          <w:rtl w:val="true"/>
        </w:rPr>
        <w:footnoteReference w:id="718"/>
      </w:r>
      <w:r>
        <w:rPr>
          <w:rFonts w:ascii="Amiri" w:hAnsi="Amiri" w:eastAsia="Amiri" w:cs="Amiri"/>
          <w:color w:val="111111"/>
          <w:sz w:val="28"/>
          <w:sz w:val="28"/>
          <w:szCs w:val="28"/>
          <w:rtl w:val="true"/>
          <w:lang w:bidi="ar-SA"/>
        </w:rPr>
        <w:t xml:space="preserve">بالحائل بينها وبين الإمام أو غيره من المأمومين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موقف الإمام أعلى من موقف المأمومين علوّاً معتدّاً به ، ولا بأس بغير المعتدّ به ممّا هو دون الشبر</w:t>
      </w:r>
      <w:r>
        <w:rPr>
          <w:rStyle w:val="FootnoteAnchor"/>
          <w:rtl w:val="true"/>
        </w:rPr>
        <w:footnoteReference w:id="719"/>
      </w:r>
      <w:r>
        <w:rPr>
          <w:rFonts w:ascii="Amiri" w:hAnsi="Amiri" w:eastAsia="Amiri" w:cs="Amiri"/>
          <w:color w:val="111111"/>
          <w:sz w:val="28"/>
          <w:sz w:val="28"/>
          <w:szCs w:val="28"/>
          <w:rtl w:val="true"/>
          <w:lang w:bidi="ar-SA"/>
        </w:rPr>
        <w:t>، كما أ نّه لا بأس بعلوّ المأموم على الإمام ولو بكثير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يتباعد المأموم عن الإمام أو عن الصفّ المتقدّم عليه بما يكون كثيراً في العادة ، والأحوط تقديره بأن لا يكون بين مسجد المأموم وموقف الإمام أو بين مسجد اللاحق وموقف السابق أزيد من مقدار الخطوة المتعارفة ، وأحوط منه أن يكون مسجد اللاحق وراء موقف السابق بلا فصل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 والأحوط تأخّره عنه ولو يسيراً ، ولا يضرّ تقدّم المأموم في ركوعه وسجوده لطول قامته بعد عدم تقدّمه </w:t>
      </w:r>
    </w:p>
    <w:p>
      <w:pPr>
        <w:pStyle w:val="BookText"/>
        <w:rPr/>
      </w:pPr>
      <w:r>
        <w:rPr>
          <w:rFonts w:ascii="Amiri" w:hAnsi="Amiri" w:eastAsia="Amiri" w:cs="Amiri"/>
          <w:color w:val="111111"/>
          <w:sz w:val="28"/>
          <w:sz w:val="28"/>
          <w:szCs w:val="28"/>
          <w:rtl w:val="true"/>
          <w:lang w:bidi="ar-SA"/>
        </w:rPr>
        <w:t xml:space="preserve">في الموقف ، وإن كان الأحوط مراعاته في جميع الأحوال ، خصوصاً حال الجلوس بالنسبة إلى ركبتيه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الحائل الظلمة والغبار المانعان من المشاهدة وكذا النهر والطريق إذا لم يكن فيهما بُعد ممنوع في الجماعة ، بل الظاهر عدم كون الشبّاك أيضاً من الحائل إلاّ مع ضيق الثقب بحيث يصدق عليه السترة والجدار ، نعم إذا كان الحائل زجاجاً فالظاهر عدم جوازه</w:t>
      </w:r>
      <w:r>
        <w:rPr>
          <w:rStyle w:val="FootnoteAnchor"/>
          <w:rtl w:val="true"/>
        </w:rPr>
        <w:footnoteReference w:id="721"/>
      </w:r>
      <w:r>
        <w:rPr>
          <w:rFonts w:ascii="Amiri" w:hAnsi="Amiri" w:eastAsia="Amiri" w:cs="Amiri"/>
          <w:color w:val="111111"/>
          <w:sz w:val="28"/>
          <w:sz w:val="28"/>
          <w:szCs w:val="28"/>
          <w:rtl w:val="true"/>
          <w:lang w:bidi="ar-SA"/>
        </w:rPr>
        <w:t xml:space="preserve">وإن كان يحكي ما وراءه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القصير الذي لا يمنع المشاهدة في أحوال الصلاة وإن كان مانعاً منها حال السجود كمقدار شبر بل وأزيد أيضاً ، نعم إذا كان مانعاً حال الجلوس فيه إشكال ، فلا يترك فيه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حيلولة المأمومين المتقدّمين وإن لم يدخلوا في الصلاة إذا كانوا متهيّئين له ، كما لا يقدح عدم مشاهدة بعض الصفّ الأوّل أو أكثرهم للإمام إذا كان ذلك من جهة استطالة الصفّ ، وكذا عدم مشاهدة بعض الصفّ الثاني للصفّ الأوّل إذا كان من جهة أطولية الثاني من الأوّل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وصلت الصفوف إلى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صفّ في خارج المسجد ، بحيث وقف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الباب والباقون في جانبيه ، فالظاهر صحّة</w:t>
      </w:r>
      <w:r>
        <w:rPr>
          <w:rStyle w:val="FootnoteAnchor"/>
          <w:rtl w:val="true"/>
        </w:rPr>
        <w:footnoteReference w:id="722"/>
      </w:r>
      <w:r>
        <w:rPr>
          <w:rFonts w:ascii="Amiri" w:hAnsi="Amiri" w:eastAsia="Amiri" w:cs="Amiri"/>
          <w:color w:val="111111"/>
          <w:sz w:val="28"/>
          <w:sz w:val="28"/>
          <w:szCs w:val="28"/>
          <w:rtl w:val="true"/>
          <w:lang w:bidi="ar-SA"/>
        </w:rPr>
        <w:t xml:space="preserve">صلاة الجميع </w:t>
      </w:r>
      <w:r>
        <w:rPr>
          <w:rFonts w:eastAsia="Amiri" w:cs="Amiri" w:ascii="Amiri" w:hAnsi="Amiri"/>
          <w:color w:val="111111"/>
          <w:sz w:val="28"/>
          <w:szCs w:val="28"/>
          <w:rtl w:val="true"/>
          <w:lang w:bidi="ar-SA"/>
        </w:rPr>
        <w:t xml:space="preserve">. </w:t>
      </w:r>
      <w:bookmarkStart w:id="346" w:name="pg15003_159871"/>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الحائل أو البعد في الأثناء فالأقوى كونه كالابتداء ، فتبطل الجماعة ويصير منفرداً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الغير المستقرّ كمرور إنسان أو حيوان ، نعم إذا اتّصلت المارّة لا يجوز وإن كانوا غير مستقرّين ؛ لاستقرار المنع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انتهت صلاة الصفّ المتقدّم يشكل اقتداء المتأخّر إلاّ إذا عادوا</w:t>
      </w:r>
      <w:r>
        <w:rPr>
          <w:rStyle w:val="FootnoteAnchor"/>
          <w:rtl w:val="true"/>
        </w:rPr>
        <w:footnoteReference w:id="723"/>
      </w:r>
      <w:r>
        <w:rPr>
          <w:rFonts w:ascii="Amiri" w:hAnsi="Amiri" w:eastAsia="Amiri" w:cs="Amiri"/>
          <w:color w:val="111111"/>
          <w:sz w:val="28"/>
          <w:sz w:val="28"/>
          <w:szCs w:val="28"/>
          <w:rtl w:val="true"/>
          <w:lang w:bidi="ar-SA"/>
        </w:rPr>
        <w:t xml:space="preserve">إلى الجماعة بلا 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ببطلان الصفّ المتقدّم تبطل جماعة المتأخّر من جهة الفصل أو الحيلولة ، نعم مع الجهل بحالهم تحمل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w:t>
      </w:r>
      <w:r>
        <w:rPr>
          <w:rStyle w:val="FootnoteAnchor"/>
          <w:rtl w:val="true"/>
        </w:rPr>
        <w:footnoteReference w:id="724"/>
      </w:r>
      <w:r>
        <w:rPr>
          <w:rFonts w:ascii="Amiri" w:hAnsi="Amiri" w:eastAsia="Amiri" w:cs="Amiri"/>
          <w:color w:val="111111"/>
          <w:sz w:val="28"/>
          <w:sz w:val="28"/>
          <w:szCs w:val="28"/>
          <w:rtl w:val="true"/>
          <w:lang w:bidi="ar-SA"/>
        </w:rPr>
        <w:t xml:space="preserve">كون صلاتهم صحيحة بحسب تقليدهم وإن كانت باطلة بحسب تقليد الصفّ المتأخّر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لأهل الصفّ المتأخّر الإحرام قبل إحرام المتقدّم إذا كانوا قائمين متهيّئين</w:t>
      </w:r>
      <w:r>
        <w:rPr>
          <w:rStyle w:val="FootnoteAnchor"/>
          <w:rtl w:val="true"/>
        </w:rPr>
        <w:footnoteReference w:id="725"/>
      </w:r>
      <w:r>
        <w:rPr>
          <w:rFonts w:ascii="IRNazanin" w:hAnsi="IRNazanin" w:eastAsia="IRNazanin"/>
          <w:color w:val="111111"/>
          <w:sz w:val="28"/>
          <w:sz w:val="28"/>
          <w:szCs w:val="28"/>
          <w:rtl w:val="true"/>
          <w:lang w:bidi="fa-IR"/>
        </w:rPr>
        <w:t xml:space="preserve">للإحرام </w:t>
      </w:r>
      <w:r>
        <w:rPr>
          <w:rFonts w:eastAsia="IRNazanin" w:cs="IRNazanin"/>
          <w:color w:val="111111"/>
          <w:sz w:val="28"/>
          <w:szCs w:val="28"/>
          <w:rtl w:val="true"/>
          <w:lang w:bidi="fa-IR"/>
        </w:rPr>
        <w:t>.</w:t>
      </w:r>
    </w:p>
    <w:p>
      <w:pPr>
        <w:pStyle w:val="Heading4"/>
        <w:numPr>
          <w:ilvl w:val="3"/>
          <w:numId w:val="1"/>
        </w:numPr>
        <w:rPr/>
      </w:pPr>
      <w:bookmarkStart w:id="347" w:name="__RefHeading___Toc487819_3406789950"/>
      <w:bookmarkStart w:id="348" w:name="_Toc124"/>
      <w:bookmarkEnd w:id="347"/>
      <w:r>
        <w:rPr>
          <w:rtl w:val="true"/>
        </w:rPr>
        <w:t xml:space="preserve">القول </w:t>
      </w:r>
      <w:r>
        <w:rPr>
          <w:rtl w:val="true"/>
        </w:rPr>
        <w:t xml:space="preserve">: </w:t>
      </w:r>
      <w:r>
        <w:rPr>
          <w:rtl w:val="true"/>
        </w:rPr>
        <w:t>في أحكام الجماعة</w:t>
      </w:r>
      <w:bookmarkEnd w:id="3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الأحوط بل الأقوى وجوب ترك المأموم القراءة في الركعتين الاُوليين من الإخفاتية ، وكذا في الاُوليين من الجهرية إذا سمع صوت الإمام ولو الهمهمة ، وأمّا إذا لم يسمع حتّى الهمهمة جاز بل استحبّ له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الأخيرتين </w:t>
      </w:r>
    </w:p>
    <w:p>
      <w:pPr>
        <w:pStyle w:val="BookText"/>
        <w:rPr/>
      </w:pPr>
      <w:r>
        <w:rPr>
          <w:rFonts w:ascii="Amiri" w:hAnsi="Amiri" w:eastAsia="Amiri" w:cs="Amiri"/>
          <w:color w:val="111111"/>
          <w:sz w:val="28"/>
          <w:sz w:val="28"/>
          <w:szCs w:val="28"/>
          <w:rtl w:val="true"/>
          <w:lang w:bidi="ar-SA"/>
        </w:rPr>
        <w:t>من الجهرية أو الإخفاتية فهو كالمنفرد</w:t>
      </w:r>
      <w:r>
        <w:rPr>
          <w:rStyle w:val="FootnoteAnchor"/>
          <w:rtl w:val="true"/>
        </w:rPr>
        <w:footnoteReference w:id="726"/>
      </w:r>
      <w:r>
        <w:rPr>
          <w:rFonts w:ascii="Amiri" w:hAnsi="Amiri" w:eastAsia="Amiri" w:cs="Amiri"/>
          <w:color w:val="111111"/>
          <w:sz w:val="28"/>
          <w:sz w:val="28"/>
          <w:szCs w:val="28"/>
          <w:rtl w:val="true"/>
          <w:lang w:bidi="ar-SA"/>
        </w:rPr>
        <w:t xml:space="preserve">يجب عليه القراءة أو التسبيح مخيّراً بينهما ؛ سمع قراءة الإمام أو لم يسمع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كون عدم السماع للبعد أو لكثرة الأصوات أو للصمم أو لغير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بعض قراءة الإمام دون البعض فالأحوط ترك القراءة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السماع وعدمه أو أنّ المسموع صوت الإمام أو غيره فالأحوط</w:t>
      </w:r>
      <w:r>
        <w:rPr>
          <w:rStyle w:val="FootnoteAnchor"/>
          <w:rtl w:val="true"/>
        </w:rPr>
        <w:footnoteReference w:id="727"/>
      </w:r>
      <w:r>
        <w:rPr>
          <w:rFonts w:ascii="Amiri" w:hAnsi="Amiri" w:eastAsia="Amiri" w:cs="Amiri"/>
          <w:color w:val="111111"/>
          <w:sz w:val="28"/>
          <w:sz w:val="28"/>
          <w:szCs w:val="28"/>
          <w:rtl w:val="true"/>
          <w:lang w:bidi="ar-SA"/>
        </w:rPr>
        <w:t xml:space="preserve">ترك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المأموم الطمأنينة حال قراءة الإمام وإن كان الأحوط ذلك ، وكذا لا تجب المبادرة إلى القيام حال قراءته في الركعة الثانية ، فيجوز</w:t>
      </w:r>
      <w:r>
        <w:rPr>
          <w:rStyle w:val="FootnoteAnchor"/>
          <w:rtl w:val="true"/>
        </w:rPr>
        <w:footnoteReference w:id="728"/>
      </w:r>
      <w:r>
        <w:rPr>
          <w:rFonts w:ascii="Amiri" w:hAnsi="Amiri" w:eastAsia="Amiri" w:cs="Amiri"/>
          <w:color w:val="111111"/>
          <w:sz w:val="28"/>
          <w:sz w:val="28"/>
          <w:szCs w:val="28"/>
          <w:rtl w:val="true"/>
          <w:lang w:bidi="ar-SA"/>
        </w:rPr>
        <w:t xml:space="preserve">أن يطيل سجوده ويقوم بعد أن قرأ الإمام بعض القراءة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عن المأموم شيئاً غير القراءة في الاُوليين إذا ائتمّ به فيهما ، وأمّا في الأخيرتين فهو كالمنفرد وإن قرأ الإمام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المأموم قراءته ، وإذا لم يدرك الاُوليين وجب عليه القراءة فيهما ؛ لأ نّهما أوّلتا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يمهله الإمام لإتمامها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السورة ولحق به في الركوع ، وإن لم يمهله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فالأحوط</w:t>
      </w:r>
      <w:r>
        <w:rPr>
          <w:rStyle w:val="FootnoteAnchor"/>
          <w:rtl w:val="true"/>
        </w:rPr>
        <w:footnoteReference w:id="729"/>
      </w:r>
      <w:r>
        <w:rPr>
          <w:rFonts w:ascii="IRNazanin" w:hAnsi="IRNazanin" w:eastAsia="IRNazanin"/>
          <w:color w:val="111111"/>
          <w:sz w:val="28"/>
          <w:sz w:val="28"/>
          <w:szCs w:val="28"/>
          <w:rtl w:val="true"/>
          <w:lang w:bidi="fa-IR"/>
        </w:rPr>
        <w:t xml:space="preserve">قصد الانفراد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في الركعة الثانية ، تحمّل عنه القراءة فيها ويتابع الإمام في القنوت والتشهّد ، والأحوط التجافي فيه ، ثمّ بعد القيام إلى الثانية يجب القراءة فيها لكونها ثالثة الإمام ؛ سواء قرأ الإمام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المأموم خلف الإمام وجوباً كما إذا كان مسبوقاً بركعة أو ركعتين ، أو استحباباً كما في الاُوليين إذا لم يسمع صوت الإمام في الصلاة الجهرية تجب عليه الإخفات وإن كانت الصلاة جهرية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في الأخيرتين فدخل في الصلاة معه قبل ركوعه وجب عليه القراءة وإذا لم يمهله ترك السورة ، وإذا علم أ نّه لو دخل معه لم يمهله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فالأحوط عدم الدخول إلاّ بعد ركوعه فيحرم ويركع معه ، وليس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متابعة المأموم للإمام في الأفعال ؛ بمعنى أن لا يتقدّم فيها عليه ولا يتأخّر عنه تأخّراً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الأقوال فالأقوى عدم وجوبها فيها عدا تكبيرة الإحرام</w:t>
      </w:r>
      <w:r>
        <w:rPr>
          <w:rStyle w:val="FootnoteAnchor"/>
          <w:rtl w:val="true"/>
        </w:rPr>
        <w:footnoteReference w:id="730"/>
      </w:r>
      <w:r>
        <w:rPr>
          <w:rFonts w:ascii="Amiri" w:hAnsi="Amiri" w:eastAsia="Amiri" w:cs="Amiri"/>
          <w:color w:val="111111"/>
          <w:sz w:val="28"/>
          <w:sz w:val="28"/>
          <w:szCs w:val="28"/>
          <w:rtl w:val="true"/>
          <w:lang w:bidi="ar-SA"/>
        </w:rPr>
        <w:t>؛ من غير فرق بين المسموع منها وغيره ، وإن كان أحوط في المسموع وفي خصوص التسليم ، ولو ترك المتابعة فيما وجبت فيه عصى ولكن صحّت صلاته</w:t>
      </w:r>
      <w:r>
        <w:rPr>
          <w:rStyle w:val="FootnoteAnchor"/>
          <w:rtl w:val="true"/>
        </w:rPr>
        <w:footnoteReference w:id="731"/>
      </w:r>
      <w:r>
        <w:rPr>
          <w:rFonts w:ascii="Amiri" w:hAnsi="Amiri" w:eastAsia="Amiri" w:cs="Amiri"/>
          <w:color w:val="111111"/>
          <w:sz w:val="28"/>
          <w:sz w:val="28"/>
          <w:szCs w:val="28"/>
          <w:rtl w:val="true"/>
          <w:lang w:bidi="ar-SA"/>
        </w:rPr>
        <w:t xml:space="preserve">بل جماعته أيضاً ، نعم لو تقدّم أو تأخّر فاحشاً على وجه ذهبت هيئة الجماعة بطلت جماعته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قبل الإمام سهواً أو بزعم أ نّه قد كبّر كان منفرداً ، </w:t>
      </w:r>
    </w:p>
    <w:p>
      <w:pPr>
        <w:pStyle w:val="BookText"/>
        <w:rPr/>
      </w:pPr>
      <w:r>
        <w:rPr>
          <w:rFonts w:ascii="Amiri" w:hAnsi="Amiri" w:eastAsia="Amiri" w:cs="Amiri"/>
          <w:color w:val="111111"/>
          <w:sz w:val="28"/>
          <w:sz w:val="28"/>
          <w:szCs w:val="28"/>
          <w:rtl w:val="true"/>
          <w:lang w:bidi="ar-SA"/>
        </w:rPr>
        <w:t xml:space="preserve">فإن أراد الجماعة عدل إلى النافلة وأتمّها ركعتين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رفع رأسه من الركوع أو السجود قبل الإمام سهواً أو لزعم رفع الإمام رأسه وجب عليه العود والمتابعة ، ولا يضرّ زيادة الركن حينئذٍ ، وإن لم يعد أثم وصحّت صلاته</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رفع رأسه قبل الإمام عامداً</w:t>
      </w:r>
      <w:r>
        <w:rPr>
          <w:rStyle w:val="FootnoteAnchor"/>
          <w:rtl w:val="true"/>
        </w:rPr>
        <w:footnoteReference w:id="733"/>
      </w:r>
      <w:r>
        <w:rPr>
          <w:rFonts w:ascii="Amiri" w:hAnsi="Amiri" w:eastAsia="Amiri" w:cs="Amiri"/>
          <w:color w:val="111111"/>
          <w:sz w:val="28"/>
          <w:sz w:val="28"/>
          <w:szCs w:val="28"/>
          <w:rtl w:val="true"/>
          <w:lang w:bidi="ar-SA"/>
        </w:rPr>
        <w:t xml:space="preserve">أثم ولم يجز له المتابعة ، فإن تابع عمداً بطلت صلاته ؛ للزيادة العمدية ، ولو تابع سهواً فكذلك إذا كان ركناً كالركوع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رأسه من الركوع قبل الإمام سهواً ثمّ عاد إليه للمتابعة فرفع الإمام رأسه قبل وصوله إلى حدّ الركوع لا يبعد بطلان صلاته ، والأحوط إتمام الصلاة ثمّ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رفع رأسه من السجود فرأى الإمام في السجدة فتخيّل أ نّها الاُولى فعاد إليها بقصد المتابعة فبان كونها الثانية حسبت ثانية</w:t>
      </w:r>
      <w:r>
        <w:rPr>
          <w:rStyle w:val="FootnoteAnchor"/>
          <w:rtl w:val="true"/>
        </w:rPr>
        <w:footnoteReference w:id="734"/>
      </w:r>
      <w:r>
        <w:rPr>
          <w:rFonts w:ascii="Amiri" w:hAnsi="Amiri" w:eastAsia="Amiri" w:cs="Amiri"/>
          <w:color w:val="111111"/>
          <w:sz w:val="28"/>
          <w:sz w:val="28"/>
          <w:szCs w:val="28"/>
          <w:rtl w:val="true"/>
          <w:lang w:bidi="ar-SA"/>
        </w:rPr>
        <w:t>، وإن تخيّل أ نّها الثانية فسجد اُخرى بقصد الثانية فبان أ نّها الاُولى حسبت متابعة</w:t>
      </w:r>
      <w:r>
        <w:rPr>
          <w:rStyle w:val="FootnoteAnchor"/>
          <w:rtl w:val="true"/>
        </w:rPr>
        <w:footnoteReference w:id="735"/>
      </w:r>
      <w:r>
        <w:rPr>
          <w:rFonts w:ascii="Amiri" w:hAnsi="Amiri" w:eastAsia="Amiri" w:cs="Amiri"/>
          <w:color w:val="111111"/>
          <w:sz w:val="28"/>
          <w:sz w:val="28"/>
          <w:szCs w:val="28"/>
          <w:rtl w:val="true"/>
          <w:lang w:bidi="ar-SA"/>
        </w:rPr>
        <w:t xml:space="preserve">، والأحوط إعادة الصلاة في الصورتين ولا سيّما في الثانية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ركع أو سجد قبل الإمام عمداً لا يجوز له المتابعة ، وأمّا إذا </w:t>
      </w:r>
      <w:bookmarkStart w:id="349" w:name="pg15003_159875"/>
    </w:p>
    <w:p>
      <w:pPr>
        <w:pStyle w:val="BookText"/>
        <w:rPr/>
      </w:pPr>
      <w:bookmarkEnd w:id="349"/>
      <w:r>
        <w:rPr>
          <w:rFonts w:ascii="Amiri" w:hAnsi="Amiri" w:eastAsia="Amiri" w:cs="Amiri"/>
          <w:color w:val="111111"/>
          <w:sz w:val="28"/>
          <w:sz w:val="28"/>
          <w:szCs w:val="28"/>
          <w:rtl w:val="true"/>
          <w:lang w:bidi="ar-SA"/>
        </w:rPr>
        <w:t>كان سهواً وجبت</w:t>
      </w:r>
      <w:r>
        <w:rPr>
          <w:rStyle w:val="FootnoteAnchor"/>
          <w:rtl w:val="true"/>
        </w:rPr>
        <w:footnoteReference w:id="736"/>
      </w:r>
      <w:r>
        <w:rPr>
          <w:rFonts w:ascii="Amiri" w:hAnsi="Amiri" w:eastAsia="Amiri" w:cs="Amiri"/>
          <w:color w:val="111111"/>
          <w:sz w:val="28"/>
          <w:sz w:val="28"/>
          <w:szCs w:val="28"/>
          <w:rtl w:val="true"/>
          <w:lang w:bidi="ar-SA"/>
        </w:rPr>
        <w:t xml:space="preserve">بالعود إلى القيام أو الجلوس ثمّ الركوع أو السجود معه ، والأحوط مع ذلك الإعادة بعد الإتمام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مشتغلاً بالنافلة فاُقيمت الجماعة وخاف عدم إدراكها جاز</w:t>
      </w:r>
      <w:r>
        <w:rPr>
          <w:rStyle w:val="FootnoteAnchor"/>
          <w:rtl w:val="true"/>
        </w:rPr>
        <w:footnoteReference w:id="737"/>
      </w:r>
      <w:r>
        <w:rPr>
          <w:rFonts w:ascii="Amiri" w:hAnsi="Amiri" w:eastAsia="Amiri" w:cs="Amiri"/>
          <w:color w:val="111111"/>
          <w:sz w:val="28"/>
          <w:sz w:val="28"/>
          <w:szCs w:val="28"/>
          <w:rtl w:val="true"/>
          <w:lang w:bidi="ar-SA"/>
        </w:rPr>
        <w:t xml:space="preserve">له قطعها ، ولو كان مشتغلاً بالفريضة منفرداً استحبّ له العدول إلى النافلة وإتمامها ركعتين إذا لم يتجاوز محلّ العدول ، كما إذا دخل في ركوع الركعة الثالثة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87821_3406789950"/>
      <w:bookmarkStart w:id="351" w:name="_Toc125"/>
      <w:bookmarkEnd w:id="350"/>
      <w:r>
        <w:rPr>
          <w:rtl w:val="true"/>
        </w:rPr>
        <w:t xml:space="preserve">القول </w:t>
      </w:r>
      <w:r>
        <w:rPr>
          <w:rtl w:val="true"/>
        </w:rPr>
        <w:t xml:space="preserve">: </w:t>
      </w:r>
      <w:r>
        <w:rPr>
          <w:rtl w:val="true"/>
        </w:rPr>
        <w:t>في شرائط إمام الجماعة</w:t>
      </w:r>
      <w:bookmarkEnd w:id="35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وطهارة المولد ، والعقل ، والبلوغ إذا كان المأموم بالغاً</w:t>
      </w:r>
      <w:r>
        <w:rPr>
          <w:rStyle w:val="FootnoteAnchor"/>
          <w:rtl w:val="true"/>
        </w:rPr>
        <w:footnoteReference w:id="738"/>
      </w:r>
      <w:r>
        <w:rPr>
          <w:rFonts w:ascii="Amiri" w:hAnsi="Amiri" w:eastAsia="Amiri" w:cs="Amiri"/>
          <w:color w:val="111111"/>
          <w:sz w:val="28"/>
          <w:sz w:val="28"/>
          <w:szCs w:val="28"/>
          <w:rtl w:val="true"/>
          <w:lang w:bidi="ar-SA"/>
        </w:rPr>
        <w:t>، والذكورة إذا كان المأموم ذكراً بل مطلقاً على الأحوط ، والعدالة ، فلا تجوز الصلاة خلف الفاسق ولا مجهول الحال ؛ وهي حالة نفسانية باعثة على ملازمة التقوى مانعة عن ارتكاب الكبائر التي</w:t>
      </w:r>
      <w:r>
        <w:rPr>
          <w:rStyle w:val="FootnoteAnchor"/>
          <w:rtl w:val="true"/>
        </w:rPr>
        <w:footnoteReference w:id="739"/>
      </w:r>
      <w:r>
        <w:rPr>
          <w:rFonts w:ascii="Amiri" w:hAnsi="Amiri" w:eastAsia="Amiri" w:cs="Amiri"/>
          <w:color w:val="111111"/>
          <w:sz w:val="28"/>
          <w:sz w:val="28"/>
          <w:szCs w:val="28"/>
          <w:rtl w:val="true"/>
          <w:lang w:bidi="ar-SA"/>
        </w:rPr>
        <w:t xml:space="preserve">منها الإصرار على الصغائر وعن منافيات المروءة ؛ وهي كلّ ما </w:t>
      </w:r>
      <w:r>
        <w:rPr>
          <w:rStyle w:val="FootnoteAnchor"/>
          <w:rtl w:val="true"/>
        </w:rPr>
        <w:footnoteReference w:id="740"/>
      </w:r>
      <w:r>
        <w:rPr>
          <w:rFonts w:ascii="Amiri" w:hAnsi="Amiri" w:eastAsia="Amiri" w:cs="Amiri"/>
          <w:color w:val="111111"/>
          <w:sz w:val="28"/>
          <w:sz w:val="28"/>
          <w:szCs w:val="28"/>
          <w:rtl w:val="true"/>
          <w:lang w:bidi="ar-SA"/>
        </w:rPr>
        <w:t xml:space="preserve">دلّ ارتكابها على مهانة النفس وقلّة الحياء وعدم المبالاة بالدين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 معصية ورد التوعيد عليها بالنار</w:t>
      </w:r>
      <w:r>
        <w:rPr>
          <w:rStyle w:val="FootnoteAnchor"/>
          <w:rtl w:val="true"/>
        </w:rPr>
        <w:footnoteReference w:id="741"/>
      </w:r>
      <w:r>
        <w:rPr>
          <w:rFonts w:ascii="Amiri" w:hAnsi="Amiri" w:eastAsia="Amiri" w:cs="Amiri"/>
          <w:color w:val="111111"/>
          <w:sz w:val="28"/>
          <w:sz w:val="28"/>
          <w:szCs w:val="28"/>
          <w:rtl w:val="true"/>
          <w:lang w:bidi="ar-SA"/>
        </w:rPr>
        <w:t>أو ورد النصّ بكونها كبيرة</w:t>
      </w:r>
      <w:r>
        <w:rPr>
          <w:rStyle w:val="FootnoteAnchor"/>
          <w:rtl w:val="true"/>
        </w:rPr>
        <w:footnoteReference w:id="742"/>
      </w:r>
      <w:r>
        <w:rPr>
          <w:rFonts w:ascii="Amiri" w:hAnsi="Amiri" w:eastAsia="Amiri" w:cs="Amiri"/>
          <w:color w:val="111111"/>
          <w:sz w:val="28"/>
          <w:sz w:val="28"/>
          <w:szCs w:val="28"/>
          <w:rtl w:val="true"/>
          <w:lang w:bidi="ar-SA"/>
        </w:rPr>
        <w:t>، كالإشراك باللّه‌</w:t>
      </w:r>
      <w:r>
        <w:rPr>
          <w:rStyle w:val="FootnoteAnchor"/>
          <w:rtl w:val="true"/>
        </w:rPr>
        <w:footnoteReference w:id="743"/>
      </w:r>
      <w:r>
        <w:rPr>
          <w:rFonts w:ascii="Amiri" w:hAnsi="Amiri" w:eastAsia="Amiri" w:cs="Amiri"/>
          <w:color w:val="111111"/>
          <w:sz w:val="28"/>
          <w:sz w:val="28"/>
          <w:szCs w:val="28"/>
          <w:rtl w:val="true"/>
          <w:lang w:bidi="ar-SA"/>
        </w:rPr>
        <w:t xml:space="preserve">، وإنكار ما أنزله ، واليأس من روحه ، والأمن من مكره ، والكذب عليه أو على رسوله أو أوصيائه ، ومحاربة أوليائه ، وقتل النفس التي حرّمها اللّه إلاّ بالحقّ ، وعقوق الوالدين ، وأكل مال اليتيم ظلماً ، وقذف المحصنة ، والفرار من الزحف ، وقطيعة الرحم ، والسحر ، والزنا ، واللواط ، والسرقة ، واليمين الغموس ، وكتمان الشهادة ، وشهادة الزور ، ونقض العهد ، والحيف في الوصيّة ، وشرب الخمر ، وأكل الربا ، وأكل السحت والقمار ، وأكل الميتة والدم ولحم الخنزير وما اُهلَّ لغير اللّه من غير ضرورة ، والبخس في المكيال والميزان ، والتعرّب بعد الهجرة ، ومعونة الظالمين والركون إليهم ، وحبس الحقوق من غير عذر ، والكذب ، والكبر ، والإسراف ، والتبذير ، والخيانة ، والغيبة ، والنميمة ، والاشتغال بالملاهي ، والاستخفاف بالحجّ ، وترك الصلاة ، ومنع الزكاة ، والإصرار على الصغائر من الذنوب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الإصرار الموجب لدخول الصغيرة في الكبيرة هو المداومة والملازمة على المعصية من دون تخلّل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من الإصرار العزم على العود إلى المعصية بعد ارتكابها وإن لم يعد إليها ، خصوصاً إذا كان عزمه على العود حال ارتكاب المعصية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عدم تحقّقه بمجرّد </w:t>
      </w:r>
    </w:p>
    <w:p>
      <w:pPr>
        <w:pStyle w:val="BookText"/>
        <w:rPr/>
      </w:pPr>
      <w:r>
        <w:rPr>
          <w:rFonts w:ascii="Amiri" w:hAnsi="Amiri" w:eastAsia="Amiri" w:cs="Amiri"/>
          <w:color w:val="111111"/>
          <w:sz w:val="28"/>
          <w:sz w:val="28"/>
          <w:szCs w:val="28"/>
          <w:rtl w:val="true"/>
          <w:lang w:bidi="ar-SA"/>
        </w:rPr>
        <w:t xml:space="preserve">عدم التوبة بعد المعصية من دون العزم على العود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تصدّي الإمامة لمن يعرف نفسه بعدم العدالة مع اعتقاد المأمومين عدالته وإن كان الأحوط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عدالة الإمام بالبيّنة والشياع الموجب للاطمئنان ، بل يكفي الوثوق والاطمئنان من أيّ وجه حصل ولو من جهة اقتداء جماعة به من أهل البصيرة والصلاح لا من الهمج الرعاع والجهّال ، كما أ نّه يكفي حسن الظاهر الكاشف ظنّاً</w:t>
      </w:r>
      <w:r>
        <w:rPr>
          <w:rStyle w:val="FootnoteAnchor"/>
          <w:rtl w:val="true"/>
        </w:rPr>
        <w:footnoteReference w:id="744"/>
      </w:r>
      <w:r>
        <w:rPr>
          <w:rFonts w:ascii="Amiri" w:hAnsi="Amiri" w:eastAsia="Amiri" w:cs="Amiri"/>
          <w:color w:val="111111"/>
          <w:sz w:val="28"/>
          <w:sz w:val="28"/>
          <w:szCs w:val="28"/>
          <w:rtl w:val="true"/>
          <w:lang w:bidi="ar-SA"/>
        </w:rPr>
        <w:t xml:space="preserve">عن تلك الحالة النفسانية الباعثة على ملازمة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إمامة القاعد للقائمين ، ولا المضطجع للقاعدين ، ولا من لا يحسن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تأدية الحرف من مخرجه أو إبداله بغيره حتّى اللحن في الإعراب وإن كان لعدم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ممّن يحسنها ، وكذا الأخرس للناطق وإن كان ممّن لا يحسنها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Style w:val="FootnoteAnchor"/>
          <w:rtl w:val="true"/>
        </w:rPr>
        <w:footnoteReference w:id="745"/>
      </w:r>
      <w:r>
        <w:rPr>
          <w:rFonts w:ascii="Amiri" w:hAnsi="Amiri" w:eastAsia="Amiri" w:cs="Amiri"/>
          <w:color w:val="111111"/>
          <w:sz w:val="28"/>
          <w:sz w:val="28"/>
          <w:szCs w:val="28"/>
          <w:rtl w:val="true"/>
          <w:lang w:bidi="ar-SA"/>
        </w:rPr>
        <w:t xml:space="preserve">بإمامة من لا يحسن القراءة في غير المحلّ الذي يتحمّلها الإمام عن المأموم كالركعتين الأخيرتين إذا كان ذلك لعدم استطاعته حتّى لمن يحسنها فيه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746"/>
      </w:r>
      <w:r>
        <w:rPr>
          <w:rFonts w:ascii="Amiri" w:hAnsi="Amiri" w:eastAsia="Amiri" w:cs="Amiri"/>
          <w:color w:val="111111"/>
          <w:sz w:val="28"/>
          <w:sz w:val="28"/>
          <w:szCs w:val="28"/>
          <w:rtl w:val="true"/>
          <w:lang w:bidi="ar-SA"/>
        </w:rPr>
        <w:t xml:space="preserve">بإمامة القاعد للقاعد والمضطجع لمثله، كما أ نّه </w:t>
      </w:r>
    </w:p>
    <w:p>
      <w:pPr>
        <w:pStyle w:val="BookText"/>
        <w:rPr/>
      </w:pPr>
      <w:r>
        <w:rPr>
          <w:rFonts w:ascii="Amiri" w:hAnsi="Amiri" w:eastAsia="Amiri" w:cs="Amiri"/>
          <w:color w:val="111111"/>
          <w:sz w:val="28"/>
          <w:sz w:val="28"/>
          <w:szCs w:val="28"/>
          <w:rtl w:val="true"/>
          <w:lang w:bidi="ar-SA"/>
        </w:rPr>
        <w:t xml:space="preserve">لا بأس بإمامة المتيمّم للمتوضّئ، وذي الجبيرة لغيره، ومستصحب النجاسة من جهة العذر لغيره ، بل لا يبعد جواز إمامة المسلوس والمبطون لغيرهما فضلاً عن مثلهما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الإمام مع المأموم في المسائل المتعلّقة بالصلاة اجتهاداً أو تقليداً صحّ الاقتداء إذا اتّحدا في العمل ؛ كما إذا رأى أحدهما اجتهاداً أو تقليداً وجوب السورة والآخر عدمه يجوز اقتداء الأوّل بالثاني إذا قرأها وإن لم يوجبها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المخالفة في العمل فيشكل</w:t>
      </w:r>
      <w:r>
        <w:rPr>
          <w:rStyle w:val="FootnoteAnchor"/>
          <w:rtl w:val="true"/>
        </w:rPr>
        <w:footnoteReference w:id="747"/>
      </w:r>
      <w:r>
        <w:rPr>
          <w:rFonts w:ascii="Amiri" w:hAnsi="Amiri" w:eastAsia="Amiri" w:cs="Amiri"/>
          <w:color w:val="111111"/>
          <w:sz w:val="28"/>
          <w:sz w:val="28"/>
          <w:szCs w:val="28"/>
          <w:rtl w:val="true"/>
          <w:lang w:bidi="ar-SA"/>
        </w:rPr>
        <w:t xml:space="preserve">جواز الاقتداء خصوصاً فيما يتعلّق بقراءة الإمام التي يتحمّلها عن المأموم إذا أتى بما رآه المأموم باطلاً ، فلا يترك الاحتياط فيه بترك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يعلم اختلافهما في المسائل أو تخالفهما</w:t>
      </w:r>
      <w:r>
        <w:rPr>
          <w:rStyle w:val="FootnoteAnchor"/>
          <w:rtl w:val="true"/>
        </w:rPr>
        <w:footnoteReference w:id="748"/>
      </w:r>
      <w:r>
        <w:rPr>
          <w:rFonts w:ascii="Amiri" w:hAnsi="Amiri" w:eastAsia="Amiri" w:cs="Amiri"/>
          <w:color w:val="111111"/>
          <w:sz w:val="28"/>
          <w:sz w:val="28"/>
          <w:szCs w:val="28"/>
          <w:rtl w:val="true"/>
          <w:lang w:bidi="ar-SA"/>
        </w:rPr>
        <w:t xml:space="preserve">في العمل يجوز الائتمام ولا يجب الفحص والسؤال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الإمام في الصلاة معتقداً دخول الوقت والمأموم معتقد عدمه أو شاكّ فيه لا يجوز له الائتمام في الصلاة ، نعم إذا علم بالدخول في أثناء صلاة الإمام جاز له</w:t>
      </w:r>
      <w:r>
        <w:rPr>
          <w:rStyle w:val="FootnoteAnchor"/>
          <w:rtl w:val="true"/>
        </w:rPr>
        <w:footnoteReference w:id="749"/>
      </w:r>
      <w:r>
        <w:rPr>
          <w:rFonts w:ascii="IRNazanin" w:hAnsi="IRNazanin" w:eastAsia="IRNazanin"/>
          <w:color w:val="111111"/>
          <w:sz w:val="28"/>
          <w:sz w:val="28"/>
          <w:szCs w:val="28"/>
          <w:rtl w:val="true"/>
          <w:lang w:bidi="fa-IR"/>
        </w:rPr>
        <w:t xml:space="preserve">الائتمام به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تشاحّ</w:t>
      </w:r>
      <w:r>
        <w:rPr>
          <w:rStyle w:val="FootnoteAnchor"/>
          <w:rtl w:val="true"/>
        </w:rPr>
        <w:footnoteReference w:id="750"/>
      </w:r>
      <w:r>
        <w:rPr>
          <w:rFonts w:ascii="Amiri" w:hAnsi="Amiri" w:eastAsia="Amiri" w:cs="Amiri"/>
          <w:color w:val="111111"/>
          <w:sz w:val="28"/>
          <w:sz w:val="28"/>
          <w:szCs w:val="28"/>
          <w:rtl w:val="true"/>
          <w:lang w:bidi="ar-SA"/>
        </w:rPr>
        <w:t xml:space="preserve">الأئمّة لا لغرض دنيوي يقدح في العدالة يرجّح من قدّمه المأمومون ، ومع الاختلاف يقدّم الفقيه الجامع للشرائط ، فإن لم يكن أو تعدّد يقدّم الأجود قراءة ثمّ الأفقه في أحكام الصلاة ثمّ الأسنّ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الراتب في المسجد أولى بالإمامة من غيره وإن كان أفضل ، لكن الأولى له تقديم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صاحب المنزل أولى من غيره المأذون في الصلاة ، والأولى أيضاً تقديم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الهاشمي أولى من غيره المساوي له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والترجيحات المذكورة إنّما هي من باب الأفضلية والاستحباب لا على وجه اللزوم والإيجاب حتّى في أولوية الإمام الراتب ، فلا يحرم</w:t>
      </w:r>
      <w:r>
        <w:rPr>
          <w:rStyle w:val="FootnoteAnchor"/>
          <w:rtl w:val="true"/>
        </w:rPr>
        <w:footnoteReference w:id="751"/>
      </w:r>
      <w:r>
        <w:rPr>
          <w:rFonts w:ascii="Amiri" w:hAnsi="Amiri" w:eastAsia="Amiri" w:cs="Amiri"/>
          <w:color w:val="111111"/>
          <w:sz w:val="28"/>
          <w:sz w:val="28"/>
          <w:szCs w:val="28"/>
          <w:rtl w:val="true"/>
          <w:lang w:bidi="ar-SA"/>
        </w:rPr>
        <w:t xml:space="preserve">مزاحمة الغير له وإن كان مفضولاً من جميع الجهات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إمامة الأجذم والأبرص</w:t>
      </w:r>
      <w:r>
        <w:rPr>
          <w:rStyle w:val="FootnoteAnchor"/>
          <w:rtl w:val="true"/>
        </w:rPr>
        <w:footnoteReference w:id="752"/>
      </w:r>
      <w:r>
        <w:rPr>
          <w:rFonts w:ascii="Amiri" w:hAnsi="Amiri" w:eastAsia="Amiri" w:cs="Amiri"/>
          <w:color w:val="111111"/>
          <w:sz w:val="28"/>
          <w:sz w:val="28"/>
          <w:szCs w:val="28"/>
          <w:rtl w:val="true"/>
          <w:lang w:bidi="ar-SA"/>
        </w:rPr>
        <w:t xml:space="preserve">والأغلف المعذور في ترك الختان والمحدود بعد توبته ومن يكره المأمومون إمامته والمتيمّم للمتطهّر ، بل الأولى عدم إمامة كلّ ناقص للكامل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المأموم بطلان صلاة الإمام من جهة كونه محدثاً أو تاركاً لركن ونحوه لا يجوز له الاقتداء به وإن اعتقد الإمام صحّتها جهلاً أو سهواً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المأموم في ثوب الإمام نجاسة غير معفوّ عنها فإن علم </w:t>
      </w:r>
    </w:p>
    <w:p>
      <w:pPr>
        <w:pStyle w:val="BookText"/>
        <w:rPr/>
      </w:pPr>
      <w:r>
        <w:rPr>
          <w:rFonts w:ascii="Amiri" w:hAnsi="Amiri" w:eastAsia="Amiri" w:cs="Amiri"/>
          <w:color w:val="111111"/>
          <w:sz w:val="28"/>
          <w:sz w:val="28"/>
          <w:szCs w:val="28"/>
          <w:rtl w:val="true"/>
          <w:lang w:bidi="ar-SA"/>
        </w:rPr>
        <w:t xml:space="preserve">أ نّه قد نسيها لا يجوز الاقتداء به وإن علم كونه جاهلاً بها يجوز الاقتداء به ، وإذا لم يدر أ نّه جاهل أو ناسٍ ففي جواز الاقتداء به تأمّل وإشكال فلا يترك الاحتياط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الصلاة كون الإمام فاسقاً أو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بطلان</w:t>
      </w:r>
      <w:r>
        <w:rPr>
          <w:rStyle w:val="FootnoteAnchor"/>
          <w:rtl w:val="true"/>
        </w:rPr>
        <w:footnoteReference w:id="753"/>
      </w:r>
      <w:r>
        <w:rPr>
          <w:rFonts w:ascii="Amiri" w:hAnsi="Amiri" w:eastAsia="Amiri" w:cs="Amiri"/>
          <w:color w:val="111111"/>
          <w:sz w:val="28"/>
          <w:sz w:val="28"/>
          <w:szCs w:val="28"/>
          <w:rtl w:val="true"/>
          <w:lang w:bidi="ar-SA"/>
        </w:rPr>
        <w:t xml:space="preserve">الجماعة ، لكن صلاة المأموم صحيحة إذا لم يزد ركناً أو نحوه ممّا يخلّ بصلاة المنفرد ، وأمّا ترك القراءة يكون كتركها سهواً فلا يضرّ بصحّة صلاته </w:t>
      </w:r>
      <w:r>
        <w:rPr>
          <w:rFonts w:eastAsia="Amiri" w:cs="Amiri" w:ascii="Amiri" w:hAnsi="Amiri"/>
          <w:color w:val="111111"/>
          <w:sz w:val="28"/>
          <w:szCs w:val="28"/>
          <w:rtl w:val="true"/>
          <w:lang w:bidi="ar-SA"/>
        </w:rPr>
        <w:t xml:space="preserve">. </w:t>
      </w:r>
      <w:bookmarkStart w:id="352" w:name="pg15003_159881"/>
    </w:p>
    <w:p>
      <w:pPr>
        <w:pStyle w:val="Heading2"/>
        <w:numPr>
          <w:ilvl w:val="1"/>
          <w:numId w:val="1"/>
        </w:numPr>
        <w:rPr/>
      </w:pPr>
      <w:bookmarkStart w:id="353" w:name="__RefHeading___Toc487823_3406789950"/>
      <w:bookmarkStart w:id="354" w:name="_Toc126"/>
      <w:bookmarkEnd w:id="352"/>
      <w:bookmarkEnd w:id="353"/>
      <w:r>
        <w:rPr>
          <w:rtl w:val="true"/>
        </w:rPr>
        <w:t>كتاب الصوم</w:t>
      </w:r>
      <w:bookmarkEnd w:id="354"/>
    </w:p>
    <w:p>
      <w:pPr>
        <w:pStyle w:val="Heading3"/>
        <w:numPr>
          <w:ilvl w:val="2"/>
          <w:numId w:val="1"/>
        </w:numPr>
        <w:rPr/>
      </w:pPr>
      <w:bookmarkStart w:id="355" w:name="__RefHeading___Toc487825_3406789950"/>
      <w:bookmarkStart w:id="356" w:name="_Toc127"/>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87827_3406789950"/>
      <w:bookmarkStart w:id="358" w:name="_Toc128"/>
      <w:bookmarkEnd w:id="357"/>
      <w:r>
        <w:rPr>
          <w:rtl w:val="true"/>
        </w:rPr>
        <w:t xml:space="preserve">فصل </w:t>
      </w:r>
      <w:r>
        <w:rPr>
          <w:rtl w:val="true"/>
        </w:rPr>
        <w:t xml:space="preserve">: </w:t>
      </w:r>
      <w:r>
        <w:rPr>
          <w:rtl w:val="true"/>
        </w:rPr>
        <w:t>في النيّة</w:t>
      </w:r>
      <w:bookmarkEnd w:id="35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الصوم النيّة ؛ بأن يقصد إلى تلك العبادة المقرّرة في الشريعة ويعزم على الإمساك عن المفطرات المعهودة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العلم بالمفطرات على التفصيل ، فلو نوى الإمساك عن كلّ مفطر يضرّ بالصوم ولم يعلم بمفطرية بعض الأشياء كالاحتقان أو القيء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زعم عدم مفطريته ولكن لم يرتكبه صحّ صومه ، وكذا لو نوى الإمساك عن اُمور يعلم باشتمالها على المفطرات صحّ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النيّة بعد القصد والقربة والإخلاص سوى تعيين الصوم الذي قصد إطاعة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صوم شهر رمضان نيّة صوم غد من غير حاجة إلى تعيينه ، بل لو نوى غيره فيه جاهلاً به أو ناسياً له صحّ ووقع عن رمضان ، بخلاف العالم به فإنّه لا يقع لواحد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فيما عدا شهر رمضان من التعيين ؛ بمعنى القصد إلى صنف الصوم المخصوص كالكفّارة والقضاء والنذر المطلق بل المعيّن أيضاً على الأقوى ، </w:t>
      </w:r>
    </w:p>
    <w:p>
      <w:pPr>
        <w:pStyle w:val="BookText"/>
        <w:rPr/>
      </w:pPr>
      <w:r>
        <w:rPr>
          <w:rFonts w:ascii="Amiri" w:hAnsi="Amiri" w:eastAsia="Amiri" w:cs="Amiri"/>
          <w:color w:val="111111"/>
          <w:sz w:val="28"/>
          <w:sz w:val="28"/>
          <w:szCs w:val="28"/>
          <w:rtl w:val="true"/>
          <w:lang w:bidi="ar-SA"/>
        </w:rPr>
        <w:t xml:space="preserve">ويكفي التعيين الإجمالي كما إذا كان ما وجب في ذمّته صنفاً واحداً فقصد ما في ذمّته فإنّه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اعتبار التعيين في المندوب المطلق ، فلو نوى صوم غد متقرّباً إلى اللّه تعالى صحّ ووقع ندباً إذا كان الزمان صالحاً له وكان الشخص ممّن يجوز له أن يتطوّع بالصوم ، بل وكذا المندوب المعيّن أيضاً إذا كان تعيّنه بالزمان الخاصّ كأيّام البيض والجمعة والخميس ، نعم في إحراز ثواب الخصوصية يعتبر إحراز ذلك اليوم وقصده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القضاء عن الغير نيّة النيابة ولو لم يكن في ذمّته صوم آخر لنفسه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في شهر رمضان صوم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مكلّفاً بصومه أو لا كالمسافر ونحوه ، نعم مع الجهل بكونه رمضاناً أو نسيانه لو نوى فيه غير صومه يقع من رمضان كما مرّ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النيّة</w:t>
      </w:r>
      <w:r>
        <w:rPr>
          <w:rStyle w:val="FootnoteAnchor"/>
          <w:rtl w:val="true"/>
        </w:rPr>
        <w:footnoteReference w:id="754"/>
      </w:r>
      <w:r>
        <w:rPr>
          <w:rFonts w:ascii="Amiri" w:hAnsi="Amiri" w:eastAsia="Amiri" w:cs="Amiri"/>
          <w:color w:val="111111"/>
          <w:sz w:val="28"/>
          <w:sz w:val="28"/>
          <w:szCs w:val="28"/>
          <w:rtl w:val="true"/>
          <w:lang w:bidi="ar-SA"/>
        </w:rPr>
        <w:t xml:space="preserve">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التنبّه المقارنة لطلوع الفجر الصادق أو في أيّ جزء من ليلة اليوم الذي يريد صومه وإن نام أو تناول المفطر بعدها فيها مع استمرار العزم على مقتضاها إلى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التنبّه والالتفات ، وأمّا مع النسيان أو الغفلة أو الجهل بكونه رمضاناً فيمتدّ وقتها إلى الزوال لو لم يتناول المفطر قبله ، وكذا لو فاتته النيّة </w:t>
      </w:r>
    </w:p>
    <w:p>
      <w:pPr>
        <w:pStyle w:val="BookText"/>
        <w:rPr/>
      </w:pPr>
      <w:r>
        <w:rPr>
          <w:rFonts w:ascii="IRNazanin" w:hAnsi="IRNazanin" w:eastAsia="IRNazanin"/>
          <w:color w:val="111111"/>
          <w:sz w:val="28"/>
          <w:sz w:val="28"/>
          <w:szCs w:val="28"/>
          <w:rtl w:val="true"/>
          <w:lang w:bidi="fa-IR"/>
        </w:rPr>
        <w:t>لعذر آخر</w:t>
      </w:r>
      <w:r>
        <w:rPr>
          <w:rStyle w:val="FootnoteAnchor"/>
          <w:rtl w:val="true"/>
        </w:rPr>
        <w:footnoteReference w:id="755"/>
      </w:r>
      <w:r>
        <w:rPr>
          <w:rFonts w:ascii="Amiri" w:hAnsi="Amiri" w:eastAsia="Amiri" w:cs="Amiri"/>
          <w:color w:val="111111"/>
          <w:sz w:val="28"/>
          <w:sz w:val="28"/>
          <w:szCs w:val="28"/>
          <w:rtl w:val="true"/>
          <w:lang w:bidi="ar-SA"/>
        </w:rPr>
        <w:t xml:space="preserve">من مرض أو سفر فزال عذره قبل الزوال ولم يتناول مفطراً ، وإذا زالت الشمس فقد فات محلّها ، ويمتدّ محلّها اختياراً في غير المعيّن إلى الزوال دون ما بعده ، فلو أصبح ناوياً للإفطار ولم يكن تناول مفطراً فبدا له قبل الزوال أن يصوم قضاءً من شهر رمضان أو كفّارة أو نذراً مطلقاً جاز وصحّ دون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في المندوب يمتدّ إلى أن يبقى من الغروب زمان يمكن تجديدها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الشكّ في أ نّه من شعبان أو رمضان يبني على أ نّه من شعبان فلا يجب صومه ، ولو صامه بنيّة أ نّه من شعبان ندباً أجزأه عن رمضان لو بان بعد ذلك أ نّه من رمضان ، وكذا لو صامه بنيّة أ نّه منه قضاءً أو نذراً أجزأه لو صادف ، ولو صامه بنيّة أ نّه من رمضان لم يقع لأحدهما ، وكذا لو صامه على</w:t>
      </w:r>
      <w:r>
        <w:rPr>
          <w:rStyle w:val="FootnoteAnchor"/>
          <w:rtl w:val="true"/>
        </w:rPr>
        <w:footnoteReference w:id="756"/>
      </w:r>
      <w:r>
        <w:rPr>
          <w:rFonts w:ascii="Amiri" w:hAnsi="Amiri" w:eastAsia="Amiri" w:cs="Amiri"/>
          <w:color w:val="111111"/>
          <w:sz w:val="28"/>
          <w:sz w:val="28"/>
          <w:szCs w:val="28"/>
          <w:rtl w:val="true"/>
          <w:lang w:bidi="ar-SA"/>
        </w:rPr>
        <w:t xml:space="preserve">أ نّه إن كان من شهر رمضان كان واجباً وإلاّ كان مندوباً على وجه الترديد في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يوم الشكّ بانياً على الإفطار ، ثمّ ظهر في أثناء النهار أ نّه من شهر رمضان ، فإن تناول المفطر أو لم يتناوله لكن ظهر الحال بعد الزوال يجب عليه إمساك بقيّة النهار تأدّباً وقضاء ذلك اليوم، وإن كان قبل الزوال ولم يتناول شيئاً يجدّد النيّة وأجزأ عنه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يوم الشكّ بنيّة أ نّه من شعبان ثمّ تناول المفطر نسياناً وتبيّن بعد ذلك أ نّه من رمضان أجزأ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أفسد صومه برياء ونحوه لم يجزه من رمضان ، حتّى لو تبيّن له كونه منه قبل الزوال وجدّد النيّة </w:t>
      </w:r>
      <w:r>
        <w:rPr>
          <w:rFonts w:eastAsia="Amiri" w:cs="Amiri" w:ascii="Amiri" w:hAnsi="Amiri"/>
          <w:color w:val="111111"/>
          <w:sz w:val="28"/>
          <w:szCs w:val="28"/>
          <w:rtl w:val="true"/>
          <w:lang w:bidi="ar-SA"/>
        </w:rPr>
        <w:t xml:space="preserve">. </w:t>
      </w:r>
      <w:bookmarkStart w:id="359" w:name="pg15003_159884"/>
    </w:p>
    <w:p>
      <w:pPr>
        <w:pStyle w:val="BookText"/>
        <w:rPr/>
      </w:pPr>
      <w:bookmarkEnd w:id="3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يجب النيّة في ابتداء الصوم يجب الاستدامة على مقتضاها في أثنائه ، فلو نوى القطع في الواجب المعيّن ؛ بمعنى أ نّه أنشأ رفع اليد عمّا تلبّس به من الصوم بطل على الأحوط</w:t>
      </w:r>
      <w:r>
        <w:rPr>
          <w:rStyle w:val="FootnoteAnchor"/>
          <w:rtl w:val="true"/>
        </w:rPr>
        <w:footnoteReference w:id="757"/>
      </w:r>
      <w:r>
        <w:rPr>
          <w:rFonts w:ascii="Amiri" w:hAnsi="Amiri" w:eastAsia="Amiri" w:cs="Amiri"/>
          <w:color w:val="111111"/>
          <w:sz w:val="28"/>
          <w:sz w:val="28"/>
          <w:szCs w:val="28"/>
          <w:rtl w:val="true"/>
          <w:lang w:bidi="ar-SA"/>
        </w:rPr>
        <w:t xml:space="preserve">وإن عاد إلى نيّة الصوم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لزعم اختلال في صومه ثمّ بان عدمه لم يبطل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ينافي الاستدامة المزبورة التردّد</w:t>
      </w:r>
      <w:r>
        <w:rPr>
          <w:rStyle w:val="FootnoteAnchor"/>
          <w:rtl w:val="true"/>
        </w:rPr>
        <w:footnoteReference w:id="758"/>
      </w:r>
      <w:r>
        <w:rPr>
          <w:rFonts w:ascii="Amiri" w:hAnsi="Amiri" w:eastAsia="Amiri" w:cs="Amiri"/>
          <w:color w:val="111111"/>
          <w:sz w:val="28"/>
          <w:sz w:val="28"/>
          <w:szCs w:val="28"/>
          <w:rtl w:val="true"/>
          <w:lang w:bidi="ar-SA"/>
        </w:rPr>
        <w:t xml:space="preserve">في الأثناء ، نعم لو كان تردّده في البطلان وعدمه لعروض عارض لم يدر أ نّه مبطل لصومه أم لا ، لم يكن فيه بأس وإن استمرّ ذلك إلى أن يسأل عنه ، وأمّا غير الواجب المعيّن فلو نوى القطع ثمّ رجع قبل الزوال صحّ صومه </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87829_3406789950"/>
      <w:bookmarkStart w:id="361" w:name="_Toc129"/>
      <w:bookmarkEnd w:id="360"/>
      <w:r>
        <w:rPr>
          <w:rtl w:val="true"/>
        </w:rPr>
        <w:t xml:space="preserve">القول </w:t>
      </w:r>
      <w:r>
        <w:rPr>
          <w:rtl w:val="true"/>
        </w:rPr>
        <w:t xml:space="preserve">: </w:t>
      </w:r>
      <w:r>
        <w:rPr>
          <w:rtl w:val="true"/>
        </w:rPr>
        <w:t>فيما يجب الإمساك عنه</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الصائم الإمساك عن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المعتاد ، كالخبز والماء وغيره كالحصاة وعصارة الأشجار ولو كان قليلاً جدّاً كعشر حبّة الحنطة أو عشر قطرة من الماء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على صدق الأكل والشرب ولو كان على النحو الغير المتعارف ، فإذا أوصل الماء إلى الجوف من طريق أنفه ، فالظاهر </w:t>
      </w:r>
    </w:p>
    <w:p>
      <w:pPr>
        <w:pStyle w:val="BookText"/>
        <w:rPr/>
      </w:pPr>
      <w:r>
        <w:rPr>
          <w:rFonts w:ascii="Amiri" w:hAnsi="Amiri" w:eastAsia="Amiri" w:cs="Amiri"/>
          <w:color w:val="111111"/>
          <w:sz w:val="28"/>
          <w:sz w:val="28"/>
          <w:szCs w:val="28"/>
          <w:rtl w:val="true"/>
          <w:lang w:bidi="ar-SA"/>
        </w:rPr>
        <w:t xml:space="preserve">صدق الشرب عليه وإن كان بنحو غير 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للذكر والاُنثى والبهيمة ؛ قبلاً أو دبراً ، حيّاً أو ميّتاً ، صغيراً أو كبيراً ، واطئاً كان الصائم أو موطوءاً ، فتعمّد ذلك مبطل لصومه وإن لم ينزل ، نعم لا بطلان مع النسيان أو القهر المانع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جامع نسياناً أو جبراً</w:t>
      </w:r>
      <w:r>
        <w:rPr>
          <w:rStyle w:val="FootnoteAnchor"/>
          <w:rtl w:val="true"/>
        </w:rPr>
        <w:footnoteReference w:id="759"/>
      </w:r>
      <w:r>
        <w:rPr>
          <w:rFonts w:ascii="Amiri" w:hAnsi="Amiri" w:eastAsia="Amiri" w:cs="Amiri"/>
          <w:color w:val="111111"/>
          <w:sz w:val="28"/>
          <w:sz w:val="28"/>
          <w:szCs w:val="28"/>
          <w:rtl w:val="true"/>
          <w:lang w:bidi="ar-SA"/>
        </w:rPr>
        <w:t xml:space="preserve">فتذكّر أو ارتفع الجبر في الأثناء وجب الإخراج فوراً ، فإن تراخى 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بلا قصد لم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الإدخال فلم يتحقّق كان مبطلاً من جهة نيّة المفطر</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الجماع بغيبوبة الحشفة أو مقدارها</w:t>
      </w:r>
      <w:r>
        <w:rPr>
          <w:rStyle w:val="FootnoteAnchor"/>
          <w:rtl w:val="true"/>
        </w:rPr>
        <w:footnoteReference w:id="761"/>
      </w:r>
      <w:r>
        <w:rPr>
          <w:rFonts w:ascii="IRNazanin" w:hAnsi="IRNazanin" w:eastAsia="IRNazanin"/>
          <w:color w:val="111111"/>
          <w:sz w:val="28"/>
          <w:sz w:val="28"/>
          <w:szCs w:val="28"/>
          <w:rtl w:val="true"/>
          <w:lang w:bidi="fa-IR"/>
        </w:rPr>
        <w:t xml:space="preserve">من مقطوعها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باستمناء أو ملامسة أو قبلة أو تفخيذ أو نحو ذلك من الأفعال التي يقصد بها حصوله ، فإنّه مبطل للصوم بجميع أفراده ، بل لو لم يقصد حصوله وكان من عادته ذلك بالفعل المزبور فهو كذلك أيضاً ، نعم لو سبقه المنيّ من دون إيجاد شيء ممّا يقتضيه منه لم يكن عليه شيء ، فإنّه حينئذٍ كالمحتلم في نهار الصوم والناسي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بالاستبراء</w:t>
      </w:r>
      <w:r>
        <w:rPr>
          <w:rStyle w:val="FootnoteAnchor"/>
          <w:rtl w:val="true"/>
        </w:rPr>
        <w:footnoteReference w:id="762"/>
      </w:r>
      <w:r>
        <w:rPr>
          <w:rFonts w:ascii="Amiri" w:hAnsi="Amiri" w:eastAsia="Amiri" w:cs="Amiri"/>
          <w:color w:val="111111"/>
          <w:sz w:val="28"/>
          <w:sz w:val="28"/>
          <w:szCs w:val="28"/>
          <w:rtl w:val="true"/>
          <w:lang w:bidi="ar-SA"/>
        </w:rPr>
        <w:t xml:space="preserve">بالبول أو الخرطات لمن احتلم في النهار وإن علم بخروج بقايا المنيّ في المجرى ، كما أ نّه لا يجب عليه التحفّظ من خروج المنيّ بعد الإنزال إن استيقظ قبله ، خصوصاً مع الحرج أو الإضرار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إلى الفجر في شهر رمضان وقضائه ، بل الأقوى في الثاني البطلان بالإصباح جنباً وإن لم يكن عن عمد ، كما أنّ الأقوى أيضاً بطلان صوم شهر رمضان بنسيان غسل الجنابة ليلاً قبل الفجر حتّى مضى عليه يوم أو أيّام ، بل الأحوط</w:t>
      </w:r>
      <w:r>
        <w:rPr>
          <w:rStyle w:val="FootnoteAnchor"/>
          <w:rtl w:val="true"/>
        </w:rPr>
        <w:footnoteReference w:id="763"/>
      </w:r>
      <w:r>
        <w:rPr>
          <w:rFonts w:ascii="Amiri" w:hAnsi="Amiri" w:eastAsia="Amiri" w:cs="Amiri"/>
          <w:color w:val="111111"/>
          <w:sz w:val="28"/>
          <w:sz w:val="28"/>
          <w:szCs w:val="28"/>
          <w:rtl w:val="true"/>
          <w:lang w:bidi="ar-SA"/>
        </w:rPr>
        <w:t xml:space="preserve">إلحاق غير شهر رمضان من النذر المعيّن ونحوه به ، وأمّا غير شهر رمضان وقضائه من الواجب المعيّن والموسّع والمندوب ففي بطلانه بسبب تعمّد البقاء على الجنابة إشكال ، أحوطه ذلك خصوصاً في الواجب الموسّع ، وأقواه العدم خصوصاً في 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سبب الجنابة في وقت لا يسع الغسل ولا التيمّم فهو كمتعمّد البقاء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وسع التيمّم خاصّة عصى وصحّ الصوم المعيّن والأحوط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 السعة وأجنب فبان الخلاف لم يكن عليه شيء إذا كان مع المراعاة ، أمّا مع عدمها فعليه القضاء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يبطل الصوم بالبقاء على الجنابة متعمّداً كذا يبطل بالبقاء على حدث الحيض والنفاس إلى طلوع الفجر، فإذا طهرتا منهما قبل الفجر وجب عليهما الاغتسال أو التيمّم ، ومع تركهما عمداً يبطل صومهما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يشترط في صحّة صوم المستحاضة على الأحوط</w:t>
      </w:r>
      <w:r>
        <w:rPr>
          <w:rStyle w:val="FootnoteAnchor"/>
          <w:rtl w:val="true"/>
        </w:rPr>
        <w:footnoteReference w:id="764"/>
      </w:r>
      <w:r>
        <w:rPr>
          <w:rFonts w:ascii="Amiri" w:hAnsi="Amiri" w:eastAsia="Amiri" w:cs="Amiri"/>
          <w:color w:val="111111"/>
          <w:sz w:val="28"/>
          <w:sz w:val="28"/>
          <w:szCs w:val="28"/>
          <w:rtl w:val="true"/>
          <w:lang w:bidi="ar-SA"/>
        </w:rPr>
        <w:t xml:space="preserve">الأغسال النهارية التي للصلاة دون غيرها ، فلو استحاضت قبل الإتيان بصلاة الصبح أو الظهرين بما يوجب الغسل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كالمتوسّطة والكثيرة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الغسل بطل صومها ، بخلاف ما لو استحاضت بعد الإتيان بصلاة الظهرين فتركت الغسل إلى الغروب فإنّه لا يبطل صومها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فاقد الطهورين يسقط عنه اشتراط رفع الحدث لصحّة صومه ، فيصحّ منه مع البقاء على الجنابة أو مع حدث الحيض أو النفاس ، نعم فيما يفسده البقاء على الجنابة مطلقاً ولو لا عن عمد كقضاء شهر رمضان فالظاهر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الصوم الغسل لمسّ الميّت ، كما لا يضرّ مسّه في أثناء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يتمكّن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الماء أو لغيره من أسباب التيمّم ولو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التيمّم للصوم ، فمن تركه حتّى أصبح كان كتارك الغسل ، نعم يجب عليه</w:t>
      </w:r>
      <w:r>
        <w:rPr>
          <w:rStyle w:val="FootnoteAnchor"/>
          <w:rtl w:val="true"/>
        </w:rPr>
        <w:footnoteReference w:id="765"/>
      </w:r>
      <w:r>
        <w:rPr>
          <w:rFonts w:ascii="Amiri" w:hAnsi="Amiri" w:eastAsia="Amiri" w:cs="Amiri"/>
          <w:color w:val="111111"/>
          <w:sz w:val="28"/>
          <w:sz w:val="28"/>
          <w:szCs w:val="28"/>
          <w:rtl w:val="true"/>
          <w:lang w:bidi="ar-SA"/>
        </w:rPr>
        <w:t xml:space="preserve">البقاء على التيمّم مستيقظاً حتّى يصبح على الأحوط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استيقظ بعد الصبح محتلماً ، فإن علم أنّ جنابته كانت ليلاً صحّ صومه إن كان مضيّقاً</w:t>
      </w:r>
      <w:r>
        <w:rPr>
          <w:rStyle w:val="FootnoteAnchor"/>
          <w:rtl w:val="true"/>
        </w:rPr>
        <w:footnoteReference w:id="766"/>
      </w:r>
      <w:r>
        <w:rPr>
          <w:rFonts w:ascii="Amiri" w:hAnsi="Amiri" w:eastAsia="Amiri" w:cs="Amiri"/>
          <w:color w:val="111111"/>
          <w:sz w:val="28"/>
          <w:sz w:val="28"/>
          <w:szCs w:val="28"/>
          <w:rtl w:val="true"/>
          <w:lang w:bidi="ar-SA"/>
        </w:rPr>
        <w:t xml:space="preserve">وبادر إلى الغسل استحباباً ، وإن كان موسّعاً بطل إن كان قضاء شهر رمضان ، وصحّ إن كان غيره أو مندوباً ، إلاّ أنّ الأحوط إلحاقهما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بوقت وقوع الجنابة أو علم بوقوعها نهاراً كان كمن احتلم أو سبق منيّه في النهار بغير اختيار ولا يبطل صومه ؛ من غير فرق بين الموسّع وغيره والمندوب ، ولا يجب عليه البدار إلى الغسل ، كما لا يجب على كلّ من أجنب بالنهار بدون اختيار وإن كان هو الأحوط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أجنب في الليل في شهر رمضان جاز له أن ينام قبل الاغتسال إن احتمل الاستيقاظ حتّى بعد الانتباه والانتباهتين بل وأزيد خصوصاً مع اعتياد الاستيقاظ ، فلا يكون نومه حراماً ، وإن كان الأحوط شديداً ترك النوم الثاني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نام مع احتمال الاستيقاظ فلم يستيقظ حتّى طلع الفجر فإن كان بانياً على عدم الاغتسال لو استيقظ أو متردّداً</w:t>
      </w:r>
      <w:r>
        <w:rPr>
          <w:rStyle w:val="FootnoteAnchor"/>
          <w:rtl w:val="true"/>
        </w:rPr>
        <w:footnoteReference w:id="767"/>
      </w:r>
      <w:r>
        <w:rPr>
          <w:rFonts w:ascii="Amiri" w:hAnsi="Amiri" w:eastAsia="Amiri" w:cs="Amiri"/>
          <w:color w:val="111111"/>
          <w:sz w:val="28"/>
          <w:sz w:val="28"/>
          <w:szCs w:val="28"/>
          <w:rtl w:val="true"/>
          <w:lang w:bidi="ar-SA"/>
        </w:rPr>
        <w:t>فيه لحقه حكم متعمّد البقاء جنباً ، فعليه القضاء مع الكفّارة كما يأتي ، وإن كان بانياً على الاغتسال لا شيء عليه</w:t>
      </w:r>
      <w:r>
        <w:rPr>
          <w:rStyle w:val="FootnoteAnchor"/>
          <w:rtl w:val="true"/>
        </w:rPr>
        <w:footnoteReference w:id="768"/>
      </w:r>
      <w:r>
        <w:rPr>
          <w:rFonts w:ascii="Amiri" w:hAnsi="Amiri" w:eastAsia="Amiri" w:cs="Amiri"/>
          <w:color w:val="111111"/>
          <w:sz w:val="28"/>
          <w:sz w:val="28"/>
          <w:szCs w:val="28"/>
          <w:rtl w:val="true"/>
          <w:lang w:bidi="ar-SA"/>
        </w:rPr>
        <w:t xml:space="preserve">؛ لا القضاء ولا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انتبه ثمّ نام ثانياً حتّى طلع الفجر بطل صومه فيجب عليه الإمساك تأدّباً والقضاء ، ولو عاد إلى النوم ثالثاً ولم ينتبه فعليه الكفّارة أيضاً على المشهور ، وفيه تردّد بل عدم وجوبها لا يخلو من قوّة ، لكن الاحتياط 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ذاهلاً وغافلاً عن الاغتسال ولم يكن بانياً على الاغتسال ولا بانياً على تركه ففي لحوقه بالأوّل أو الثاني وجهان ، أوجههما الأوّل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الكذب على اللّه ورسوله والأئمّة علیهم السلام وكذا باقي الأنبياء والأوصياء على الأحوط</w:t>
      </w:r>
      <w:r>
        <w:rPr>
          <w:rStyle w:val="FootnoteAnchor"/>
          <w:rtl w:val="true"/>
        </w:rPr>
        <w:footnoteReference w:id="770"/>
      </w:r>
      <w:r>
        <w:rPr>
          <w:rFonts w:ascii="Amiri" w:hAnsi="Amiri" w:eastAsia="Amiri" w:cs="Amiri"/>
          <w:color w:val="111111"/>
          <w:sz w:val="28"/>
          <w:sz w:val="28"/>
          <w:szCs w:val="28"/>
          <w:rtl w:val="true"/>
          <w:lang w:bidi="ar-SA"/>
        </w:rPr>
        <w:t>؛ من غير فرق</w:t>
      </w:r>
      <w:r>
        <w:rPr>
          <w:rStyle w:val="FootnoteAnchor"/>
          <w:rtl w:val="true"/>
        </w:rPr>
        <w:footnoteReference w:id="771"/>
      </w:r>
      <w:r>
        <w:rPr>
          <w:rFonts w:ascii="Amiri" w:hAnsi="Amiri" w:eastAsia="Amiri" w:cs="Amiri"/>
          <w:color w:val="111111"/>
          <w:sz w:val="28"/>
          <w:sz w:val="28"/>
          <w:szCs w:val="28"/>
          <w:rtl w:val="true"/>
          <w:lang w:bidi="ar-SA"/>
        </w:rPr>
        <w:t xml:space="preserve">بين كونه في الدنيا أو الدين وبين كونه بالقول أو بالكتابة أو الإشارة أو الكناية ونحوها ممّا يصدق عليه الكذب </w:t>
      </w:r>
    </w:p>
    <w:p>
      <w:pPr>
        <w:pStyle w:val="BookText"/>
        <w:rPr/>
      </w:pPr>
      <w:r>
        <w:rPr>
          <w:rFonts w:ascii="IRNazanin" w:hAnsi="IRNazanin" w:eastAsia="IRNazanin"/>
          <w:color w:val="111111"/>
          <w:sz w:val="28"/>
          <w:sz w:val="28"/>
          <w:szCs w:val="28"/>
          <w:rtl w:val="true"/>
          <w:lang w:bidi="fa-IR"/>
        </w:rPr>
        <w:t xml:space="preserve">عليهم ، فلو سأله سائل هل قال النبي صلی الله علیه و آله وسلم كذا ؟ فأشار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صومه ، وكذا لو أخبر صادقاً عن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أخبرتُ به عنه كذب ، أو أخبر كاذباً في الليل ثمّ قال في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أخبرتُ به في الليل صدق ، فسد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عدم القصد الجدّي إلى الإخبار ؛ بأن كان هازلاً ولاغياً ، لا يترتّب عليه 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الصدق فبان كذباً لم يضرّ وكذا إذا قصد الكذب فبان صدقاً ، نعم مع العلم بمفطريته داخل في قصد المفطر وقد مرّ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أن يكون الكذب مجعولاً له أو لغيره ، كما إذا كان مذكوراً في بعض كتب التواريخ أو الأخبار إذا كان على وجه الإخبار ، نعم لا بأس</w:t>
      </w:r>
      <w:r>
        <w:rPr>
          <w:rStyle w:val="FootnoteAnchor"/>
          <w:rtl w:val="true"/>
        </w:rPr>
        <w:footnoteReference w:id="772"/>
      </w:r>
      <w:r>
        <w:rPr>
          <w:rFonts w:ascii="Amiri" w:hAnsi="Amiri" w:eastAsia="Amiri" w:cs="Amiri"/>
          <w:color w:val="111111"/>
          <w:sz w:val="28"/>
          <w:sz w:val="28"/>
          <w:szCs w:val="28"/>
          <w:rtl w:val="true"/>
          <w:lang w:bidi="ar-SA"/>
        </w:rPr>
        <w:t xml:space="preserve">بنقله إذا كان على وجه الحكاية والنقل من الشخص الفلاني أو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الرأس في الماء على الأحوط ولو مع خروج البدن ، والأحوط إلحاق المضاف</w:t>
      </w:r>
      <w:r>
        <w:rPr>
          <w:rStyle w:val="FootnoteAnchor"/>
          <w:rtl w:val="true"/>
        </w:rPr>
        <w:footnoteReference w:id="773"/>
      </w:r>
      <w:r>
        <w:rPr>
          <w:rFonts w:ascii="Amiri" w:hAnsi="Amiri" w:eastAsia="Amiri" w:cs="Amiri"/>
          <w:color w:val="111111"/>
          <w:sz w:val="28"/>
          <w:sz w:val="28"/>
          <w:szCs w:val="28"/>
          <w:rtl w:val="true"/>
          <w:lang w:bidi="ar-SA"/>
        </w:rPr>
        <w:t xml:space="preserve">بالماء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بالإفاضة أو نحوها ممّا لا يسمّى رمساً وإن كثر الماء ، بل لا بأس برمس البعض وإن كان المنافذ ، ولا بغمس التمام على التعاقب ؛ بأن غمس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وغمس نصفه الآخر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ألقى نفسه في الماء بتخيّل عدم الرمس فحصل لم يبطل</w:t>
      </w:r>
      <w:r>
        <w:rPr>
          <w:rStyle w:val="FootnoteAnchor"/>
          <w:rtl w:val="true"/>
        </w:rPr>
        <w:footnoteReference w:id="774"/>
      </w: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ارتمس الصائم مغتسلاً ، فإن كان تطوّعاً أو واجباً موسّعاً بطل صومه وصحّ غسله ، وإن كان واجباً معيّناً فإن قصد الغسل بأوّل مسمّى الارتماس بطل صومه وغسله معاً</w:t>
      </w:r>
      <w:r>
        <w:rPr>
          <w:rStyle w:val="FootnoteAnchor"/>
          <w:rtl w:val="true"/>
        </w:rPr>
        <w:footnoteReference w:id="775"/>
      </w:r>
      <w:r>
        <w:rPr>
          <w:rFonts w:ascii="Amiri" w:hAnsi="Amiri" w:eastAsia="Amiri" w:cs="Amiri"/>
          <w:color w:val="111111"/>
          <w:sz w:val="28"/>
          <w:sz w:val="28"/>
          <w:szCs w:val="28"/>
          <w:rtl w:val="true"/>
          <w:lang w:bidi="ar-SA"/>
        </w:rPr>
        <w:t>، وإن نواه بالمكث أو الخروج صحّ غسله دون صومه في غير شهر رمضان ، وأمّا فيه بطلا معاً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إلى الحلق بل وغير الغليظ</w:t>
      </w:r>
      <w:r>
        <w:rPr>
          <w:rStyle w:val="FootnoteAnchor"/>
          <w:rtl w:val="true"/>
        </w:rPr>
        <w:footnoteReference w:id="777"/>
      </w:r>
      <w:r>
        <w:rPr>
          <w:rFonts w:ascii="Amiri" w:hAnsi="Amiri" w:eastAsia="Amiri" w:cs="Amiri"/>
          <w:color w:val="111111"/>
          <w:sz w:val="28"/>
          <w:sz w:val="28"/>
          <w:szCs w:val="28"/>
          <w:rtl w:val="true"/>
          <w:lang w:bidi="ar-SA"/>
        </w:rPr>
        <w:t xml:space="preserve">أيضاً على الأحوط ؛ سواء كان بإثارته بنفسه بكنس ونحوه ، أو بإثارة غيره ، أو بإثارة الهواء مع تمكينه من الوصول لعدم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w:t>
      </w:r>
      <w:r>
        <w:rPr>
          <w:rStyle w:val="FootnoteAnchor"/>
          <w:rtl w:val="true"/>
        </w:rPr>
        <w:footnoteReference w:id="778"/>
      </w:r>
      <w:r>
        <w:rPr>
          <w:rFonts w:ascii="Amiri" w:hAnsi="Amiri" w:eastAsia="Amiri" w:cs="Amiri"/>
          <w:color w:val="111111"/>
          <w:sz w:val="28"/>
          <w:sz w:val="28"/>
          <w:szCs w:val="28"/>
          <w:rtl w:val="true"/>
          <w:lang w:bidi="ar-SA"/>
        </w:rPr>
        <w:t xml:space="preserve">بما يعسر التحرّز عنه ، كما أ نّه لا بأس به مع النسيان أو الغفلة أو القهر أو تخيّل عدم الوصول إلاّ إذا خرج بهيئة الطين إلى فضاء الفم ثمّ ابتلعه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w:t>
      </w:r>
      <w:r>
        <w:rPr>
          <w:rStyle w:val="FootnoteAnchor"/>
          <w:rtl w:val="true"/>
        </w:rPr>
        <w:footnoteReference w:id="779"/>
      </w:r>
      <w:r>
        <w:rPr>
          <w:rFonts w:ascii="Amiri" w:hAnsi="Amiri" w:eastAsia="Amiri" w:cs="Amiri"/>
          <w:color w:val="111111"/>
          <w:sz w:val="28"/>
          <w:sz w:val="28"/>
          <w:szCs w:val="28"/>
          <w:rtl w:val="true"/>
          <w:lang w:bidi="ar-SA"/>
        </w:rPr>
        <w:t xml:space="preserve">بالغبار البخار ودخان التنباك ونحوه على الأحوط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 ولو لمرض ونحوه ، نعم لا بأس بالجامد</w:t>
      </w:r>
      <w:r>
        <w:rPr>
          <w:rStyle w:val="FootnoteAnchor"/>
          <w:rtl w:val="true"/>
        </w:rPr>
        <w:footnoteReference w:id="780"/>
      </w:r>
      <w:r>
        <w:rPr>
          <w:rFonts w:ascii="Amiri" w:hAnsi="Amiri" w:eastAsia="Amiri" w:cs="Amiri"/>
          <w:color w:val="111111"/>
          <w:sz w:val="28"/>
          <w:sz w:val="28"/>
          <w:szCs w:val="28"/>
          <w:rtl w:val="true"/>
          <w:lang w:bidi="ar-SA"/>
        </w:rPr>
        <w:t xml:space="preserve">مع أنّ الأحوط اجتنابه ، كما أ نّه لا بأس بوصول الدواء إلى جوفه من جرحه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وإن كان للضرورة دون ما كان منه بلا عمد ، والمدار على صدق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ابتلع في الليل ما يجب عليه قيؤه بالنهار فسد صومه</w:t>
      </w:r>
      <w:r>
        <w:rPr>
          <w:rStyle w:val="FootnoteAnchor"/>
          <w:rtl w:val="true"/>
        </w:rPr>
        <w:footnoteReference w:id="781"/>
      </w:r>
      <w:r>
        <w:rPr>
          <w:rFonts w:ascii="Amiri" w:hAnsi="Amiri" w:eastAsia="Amiri" w:cs="Amiri"/>
          <w:color w:val="111111"/>
          <w:sz w:val="28"/>
          <w:sz w:val="28"/>
          <w:szCs w:val="28"/>
          <w:rtl w:val="true"/>
          <w:lang w:bidi="ar-SA"/>
        </w:rPr>
        <w:t xml:space="preserve">مع انحصار إخراجه بذلك ، نعم لو لم ينحصر فيه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بالتجشّؤ شيء ووصل إلى فضاء الفم ، ثمّ نزل من غير اختيار لم يبطل صومه ، بخلاف ما إذا بلعه اختياراً فإنّه يبطل صومه وعليه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للصائم التجشّؤ اختياراً إذا علم بأ نّه يخرج معه شيء يصدق عليه القيء أو ينحدر بعد الخروج بلا اختيار ، وأمّا إذا لم يعلم بذلك ، بل احتمله فلا بأس</w:t>
      </w:r>
      <w:r>
        <w:rPr>
          <w:rStyle w:val="FootnoteAnchor"/>
          <w:rtl w:val="true"/>
        </w:rPr>
        <w:footnoteReference w:id="782"/>
      </w:r>
      <w:r>
        <w:rPr>
          <w:rFonts w:ascii="Amiri" w:hAnsi="Amiri" w:eastAsia="Amiri" w:cs="Amiri"/>
          <w:color w:val="111111"/>
          <w:sz w:val="28"/>
          <w:sz w:val="28"/>
          <w:szCs w:val="28"/>
          <w:rtl w:val="true"/>
          <w:lang w:bidi="ar-SA"/>
        </w:rPr>
        <w:t>به، بل لو ترتّب عليه حينئذٍ الخروج والانحدار لم يبطل صومه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يفسد الصوم بابتلاع البصاق المجتمع في الفم وإن كان بتذكّر ما كان سبباً في جمعه ، ولا بابتلاع النخامة التي لم تصل إلى فضاء الفم ؛ من غير فرق بين النازلة من الرأس والخارجة من الصدر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الواصلة إلى فضاء الفم فلا يترك الاحتياط بترك ابتلاعها ، نعم لو خرجت عن الفم ثمّ ابتلعها بطل صومه قطعاً ، وكذا البصاق ، بل لو كانت في فمه حصاة فأخرجها وعليها بلّة من الريق ثمّ أعادها وابتلع الريق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بلّ الخيّاط الخيط بريقه ثمّ ردّه إلى الفم وابتلع ما عليه من الرطوبة 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استاك وأخرج المسواك المبلّل بالريق ثمّ ردّه وابتلع ما عليه من الرطوبة ، إلاّ إذا استهلك ما كان عليه </w:t>
      </w:r>
      <w:bookmarkStart w:id="362" w:name="pg15003_159892"/>
    </w:p>
    <w:p>
      <w:pPr>
        <w:pStyle w:val="BookText"/>
        <w:rPr/>
      </w:pPr>
      <w:bookmarkEnd w:id="362"/>
      <w:r>
        <w:rPr>
          <w:rFonts w:ascii="Amiri" w:hAnsi="Amiri" w:eastAsia="Amiri" w:cs="Amiri"/>
          <w:color w:val="111111"/>
          <w:sz w:val="28"/>
          <w:sz w:val="28"/>
          <w:szCs w:val="28"/>
          <w:rtl w:val="true"/>
          <w:lang w:bidi="ar-SA"/>
        </w:rPr>
        <w:t xml:space="preserve">من الرطوبة في ريقه على وجه لا يصدق أ نّه ابتلع ريقه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ذوق المرق ومضغ الطعام والمتخلّف من ماء المضمضة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يفسده العلك على الأصحّ وإن وجد منه طعماً في ريقه ما لم يكن ذلك بتفتّت أجزائه ولو كان بنحو الذوبان في الفم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عرفت أ نّه يفسد الصوم ما عدا 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يفسده إذا وقع عن عمد لا بدونه كالنسيان أو عدم القصد ، فإنّه لا يفسد الصوم بأقسامه ، بخلاف العمد ، فإنّه يفسده بأقسامه ، من غير فرق بين العالم بالحكم والجاهل به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العمد من أكل ناسياً فظنّ فساد صومه فأفطر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والمكره الموجر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 بخلاف المكره على تناول المفطر بنفسه فإنّه يفطر ولو كان لتقيّة</w:t>
      </w:r>
      <w:r>
        <w:rPr>
          <w:rStyle w:val="FootnoteAnchor"/>
          <w:rtl w:val="true"/>
        </w:rPr>
        <w:footnoteReference w:id="784"/>
      </w:r>
      <w:r>
        <w:rPr>
          <w:rFonts w:ascii="Amiri" w:hAnsi="Amiri" w:eastAsia="Amiri" w:cs="Amiri"/>
          <w:color w:val="111111"/>
          <w:sz w:val="28"/>
          <w:sz w:val="28"/>
          <w:szCs w:val="28"/>
          <w:rtl w:val="true"/>
          <w:lang w:bidi="ar-SA"/>
        </w:rPr>
        <w:t xml:space="preserve">كالإفطار معهم في عيدهم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487831_3406789950"/>
      <w:bookmarkStart w:id="364" w:name="_Toc130"/>
      <w:bookmarkEnd w:id="363"/>
      <w:r>
        <w:rPr>
          <w:rtl w:val="true"/>
        </w:rPr>
        <w:t xml:space="preserve">القول </w:t>
      </w:r>
      <w:r>
        <w:rPr>
          <w:rtl w:val="true"/>
        </w:rPr>
        <w:t xml:space="preserve">: </w:t>
      </w:r>
      <w:r>
        <w:rPr>
          <w:rtl w:val="true"/>
        </w:rPr>
        <w:t>فيما يكره للصائم ارتكابه</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للصائم اُمور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تقبيلاً ولمساً وملاعبة لمن تتحرّك شهوته ولم يقصد </w:t>
      </w:r>
    </w:p>
    <w:p>
      <w:pPr>
        <w:pStyle w:val="BookText"/>
        <w:rPr/>
      </w:pPr>
      <w:r>
        <w:rPr>
          <w:rFonts w:ascii="Amiri" w:hAnsi="Amiri" w:eastAsia="Amiri" w:cs="Amiri"/>
          <w:color w:val="111111"/>
          <w:sz w:val="28"/>
          <w:sz w:val="28"/>
          <w:szCs w:val="28"/>
          <w:rtl w:val="true"/>
          <w:lang w:bidi="ar-SA"/>
        </w:rPr>
        <w:t>الإنزال بذلك ولا كان من عادته ، وإلاّ حرم في الصوم المعيّن ، بل الأولى ترك ذلك حتّى لمن لم تتحرّك شهوته بذلك عادة مع احتمال التحرّك</w:t>
      </w:r>
      <w:r>
        <w:rPr>
          <w:rStyle w:val="FootnoteAnchor"/>
          <w:rtl w:val="true"/>
        </w:rPr>
        <w:footnoteReference w:id="785"/>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w:t>
      </w:r>
      <w:r>
        <w:rPr>
          <w:rStyle w:val="FootnoteAnchor"/>
          <w:rtl w:val="true"/>
        </w:rPr>
        <w:footnoteReference w:id="786"/>
      </w:r>
      <w:r>
        <w:rPr>
          <w:rFonts w:ascii="Amiri" w:hAnsi="Amiri" w:eastAsia="Amiri" w:cs="Amiri"/>
          <w:color w:val="111111"/>
          <w:sz w:val="28"/>
          <w:sz w:val="28"/>
          <w:szCs w:val="28"/>
          <w:rtl w:val="true"/>
          <w:lang w:bidi="ar-SA"/>
        </w:rPr>
        <w:t xml:space="preserve">خصوصاً إذا كان بالذرّ أو شبهه أو كان فيه مسك أو يصل منه أو يخاف وصوله أو يجد طعمه في الحلق لما فيه من الصبر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بحجامة أو غيرها ، بل كلّ ما يورث ذلك أو يصير سبباً لهيجان المرّة من غير فرق بين شهر رمضان وغيره وإن اشتدّ فيه ، بل يحرم ذلك فيه ، بل في مطلق الصوم المعيّن إذا علم حصول الغشيان المبطل ولم تكن ضرورة تدعو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به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 وخصوصاً مع العلم بوصوله إلى الدماغ أو الجوف ، بل يفسد الصوم مع التعدّي إلى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 خصوصاً النرجس ، والمراد بها كلّ نبت طيّب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بالطيب فإنّه تحفة الصائم ، لكن الأولى ترك المسك منه ، بل يكره التطيّب به للصائم ، كما أنّ الأولى ترك شمّ الرائحة الغليظة حتّى تصل إلى الحلق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باستنقاع الرجل في الماء ، ويكره للامرأة ، كما أ نّه يكره لهما بلّ الثوب ووضعه على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بمضغ الطعام للصبيّ ولا زقّ الطائر ولا ذوق المرق ولا غيرها ممّا لا يتعدّى إلى الحلق ، أو تعدّى من غير قصد أو مع القصد ولكن عن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أصل الوضع في الفم لغرض </w:t>
      </w:r>
      <w:bookmarkStart w:id="365" w:name="pg15003_159894"/>
    </w:p>
    <w:p>
      <w:pPr>
        <w:pStyle w:val="BookText"/>
        <w:rPr/>
      </w:pPr>
      <w:bookmarkEnd w:id="365"/>
      <w:r>
        <w:rPr>
          <w:rFonts w:ascii="Amiri" w:hAnsi="Amiri" w:eastAsia="Amiri" w:cs="Amiri"/>
          <w:color w:val="111111"/>
          <w:sz w:val="28"/>
          <w:sz w:val="28"/>
          <w:szCs w:val="28"/>
          <w:rtl w:val="true"/>
          <w:lang w:bidi="ar-SA"/>
        </w:rPr>
        <w:t xml:space="preserve">صحيح أو لا ، نعم يكره الذوق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بالسواك باليابس بل هو مستحبّ ، نعم لا يبعد الكراهة بالرطب ، كما أ نّه يكره نزع الضرس بل مطلق ما فيه إدماء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487833_3406789950"/>
      <w:bookmarkStart w:id="367" w:name="_Toc131"/>
      <w:bookmarkEnd w:id="366"/>
      <w:r>
        <w:rPr>
          <w:rtl w:val="true"/>
        </w:rPr>
        <w:t xml:space="preserve">القول </w:t>
      </w:r>
      <w:r>
        <w:rPr>
          <w:rtl w:val="true"/>
        </w:rPr>
        <w:t xml:space="preserve">: </w:t>
      </w:r>
      <w:r>
        <w:rPr>
          <w:rtl w:val="true"/>
        </w:rPr>
        <w:t>فيما يترتّب على الإفطار</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بالمفطرات المذكورة كما أ نّه موجب للقضاء يوجب الكفّارة</w:t>
      </w:r>
      <w:r>
        <w:rPr>
          <w:rStyle w:val="FootnoteAnchor"/>
          <w:rtl w:val="true"/>
        </w:rPr>
        <w:footnoteReference w:id="787"/>
      </w:r>
      <w:r>
        <w:rPr>
          <w:rFonts w:ascii="Amiri" w:hAnsi="Amiri" w:eastAsia="Amiri" w:cs="Amiri"/>
          <w:color w:val="111111"/>
          <w:sz w:val="28"/>
          <w:sz w:val="28"/>
          <w:szCs w:val="28"/>
          <w:rtl w:val="true"/>
          <w:lang w:bidi="ar-SA"/>
        </w:rPr>
        <w:t xml:space="preserve">إذا كان مع العمد والاختيار من غير كره ولا إجبار إلاّ في القيء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العالم والجاهل إذا كان مقصّراً</w:t>
      </w:r>
      <w:r>
        <w:rPr>
          <w:rStyle w:val="FootnoteAnchor"/>
          <w:rtl w:val="true"/>
        </w:rPr>
        <w:footnoteReference w:id="788"/>
      </w:r>
      <w:r>
        <w:rPr>
          <w:rFonts w:ascii="Amiri" w:hAnsi="Amiri" w:eastAsia="Amiri" w:cs="Amiri"/>
          <w:color w:val="111111"/>
          <w:sz w:val="28"/>
          <w:sz w:val="28"/>
          <w:szCs w:val="28"/>
          <w:rtl w:val="true"/>
          <w:lang w:bidi="ar-SA"/>
        </w:rPr>
        <w:t xml:space="preserve">، وأمّا إذا كان قاصراً غير ملتفت إلى السؤال فالظاهر عدم وجوب الكفّارة عليه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إفطار صوم شهر رمضان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وصيام شهرين متتابعين وإطعام ستّين مسكيناً مخيّراً بينها ، وإن كان الأحوط الترتيب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w:t>
      </w:r>
      <w:r>
        <w:rPr>
          <w:rStyle w:val="FootnoteAnchor"/>
          <w:rtl w:val="true"/>
        </w:rPr>
        <w:footnoteReference w:id="789"/>
      </w:r>
      <w:r>
        <w:rPr>
          <w:rFonts w:ascii="Amiri" w:hAnsi="Amiri" w:eastAsia="Amiri" w:cs="Amiri"/>
          <w:color w:val="111111"/>
          <w:sz w:val="28"/>
          <w:sz w:val="28"/>
          <w:szCs w:val="28"/>
          <w:rtl w:val="true"/>
          <w:lang w:bidi="ar-SA"/>
        </w:rPr>
        <w:t xml:space="preserve">الجمع بين الخصال إذا أفطر بشيء محرّم كأكل المغصوب وشرب الخمر والجماع المحرّم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 نّه لا تتكرّر الكفّارة بتكرّر الموجب في يوم واحد في غير الجماع وإن اختلف جنس الموجب ، وأمّا هو فالأقوى</w:t>
      </w:r>
      <w:r>
        <w:rPr>
          <w:rStyle w:val="FootnoteAnchor"/>
          <w:rtl w:val="true"/>
        </w:rPr>
        <w:footnoteReference w:id="790"/>
      </w:r>
      <w:r>
        <w:rPr>
          <w:rFonts w:ascii="Amiri" w:hAnsi="Amiri" w:eastAsia="Amiri" w:cs="Amiri"/>
          <w:color w:val="111111"/>
          <w:sz w:val="28"/>
          <w:sz w:val="28"/>
          <w:szCs w:val="28"/>
          <w:rtl w:val="true"/>
          <w:lang w:bidi="ar-SA"/>
        </w:rPr>
        <w:t xml:space="preserve">تكرّرها بتكرّره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الكفّارة إلاّ في إفطار صوم شهر رمضان وقضائه بعد </w:t>
      </w:r>
    </w:p>
    <w:p>
      <w:pPr>
        <w:pStyle w:val="BookText"/>
        <w:rPr/>
      </w:pPr>
      <w:r>
        <w:rPr>
          <w:rFonts w:ascii="Amiri" w:hAnsi="Amiri" w:eastAsia="Amiri" w:cs="Amiri"/>
          <w:color w:val="111111"/>
          <w:sz w:val="28"/>
          <w:sz w:val="28"/>
          <w:szCs w:val="28"/>
          <w:rtl w:val="true"/>
          <w:lang w:bidi="ar-SA"/>
        </w:rPr>
        <w:t xml:space="preserve">الزوال والنذر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فيما عدا ذلك من أقسام الصوم ؛ واجباً كان أو مندوباً ، أفطر قبل الزوال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جماعة من الأصحاب وجوبها في صوم الاعتكاف إذا وجب ، وهم بين معمّم لها لجميع المفطرات وبين مخصّص لها بالجماع ، ولكن الظاهر اختصاصها بالجماع ، كما أنّ الظاهر أ نّها لأجل نفس الاعتكاف لا لأجل الصوم ؛ ولذا لا فرق بين وقوعه في الليل أو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في نهار شهر رمضان تجب الكفّارتان ، كما أ نّه لو وقع الإفطار فيه بغير الجماع تجب كفّارة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متعمّداً ثمّ سافر لم تسقط</w:t>
      </w:r>
      <w:r>
        <w:rPr>
          <w:rStyle w:val="FootnoteAnchor"/>
          <w:rtl w:val="true"/>
        </w:rPr>
        <w:footnoteReference w:id="791"/>
      </w:r>
      <w:r>
        <w:rPr>
          <w:rFonts w:ascii="Amiri" w:hAnsi="Amiri" w:eastAsia="Amiri" w:cs="Amiri"/>
          <w:color w:val="111111"/>
          <w:sz w:val="28"/>
          <w:sz w:val="28"/>
          <w:szCs w:val="28"/>
          <w:rtl w:val="true"/>
          <w:lang w:bidi="ar-SA"/>
        </w:rPr>
        <w:t xml:space="preserve">عنه الكفّارة ؛ سواء سافر بعد الزوال أو قبله ، بل وكذا لو سافر وأفطر قبل الوصول إلى حدّ الترخّص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لا يترك</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سقوطها فيما لو أفطر متعمّداً ثمّ عرض له عارض قهري من حيض أو نفاس أو مرض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أفطر يوم الشكّ في آخر الشهر ثمّ تبيّن أ نّه من شوّال فالأقوى سقوط الكفّارة كالقضاء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جامع زوجته في شهر رمضان وهما صائمان ، فإن طاوعته فعلى كلّ منهما كفّارته وتعزيره ؛ وهو خمسة وعشرون سوطاً ، وإذا أكرهها على ذلك يتحمّل عنها كفّارتها وتعزيرها ، وإن أكرهها في الابتداء ثمّ طاوعته في الأثناء فالأحوط</w:t>
      </w:r>
      <w:r>
        <w:rPr>
          <w:rStyle w:val="FootnoteAnchor"/>
          <w:rtl w:val="true"/>
        </w:rPr>
        <w:footnoteReference w:id="793"/>
      </w:r>
      <w:r>
        <w:rPr>
          <w:rFonts w:ascii="Amiri" w:hAnsi="Amiri" w:eastAsia="Amiri" w:cs="Amiri"/>
          <w:color w:val="111111"/>
          <w:sz w:val="28"/>
          <w:sz w:val="28"/>
          <w:szCs w:val="28"/>
          <w:rtl w:val="true"/>
          <w:lang w:bidi="ar-SA"/>
        </w:rPr>
        <w:t xml:space="preserve">كفّارة منها وكفّارتان منه ،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w:t>
      </w:r>
    </w:p>
    <w:p>
      <w:pPr>
        <w:pStyle w:val="BookText"/>
        <w:rPr/>
      </w:pPr>
      <w:r>
        <w:rPr>
          <w:rFonts w:ascii="Amiri" w:hAnsi="Amiri" w:eastAsia="Amiri" w:cs="Amiri"/>
          <w:color w:val="111111"/>
          <w:sz w:val="28"/>
          <w:sz w:val="28"/>
          <w:szCs w:val="28"/>
          <w:rtl w:val="true"/>
          <w:lang w:bidi="ar-SA"/>
        </w:rPr>
        <w:t xml:space="preserve">بالزوجة المكرهة الأمة والأجنبيّة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الزوجة بين الدائمة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أكرهت الزوجة زوجها لا تتحمّل عنه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مفطراً لكونه مسافراً أو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زوجته صائمة لا يجوز إكراهها على الجماع ، وإن فعل لا يتحمّل</w:t>
      </w:r>
      <w:r>
        <w:rPr>
          <w:rStyle w:val="FootnoteAnchor"/>
          <w:rtl w:val="true"/>
        </w:rPr>
        <w:footnoteReference w:id="794"/>
      </w:r>
      <w:r>
        <w:rPr>
          <w:rFonts w:ascii="Amiri" w:hAnsi="Amiri" w:eastAsia="Amiri" w:cs="Amiri"/>
          <w:color w:val="111111"/>
          <w:sz w:val="28"/>
          <w:sz w:val="28"/>
          <w:szCs w:val="28"/>
          <w:rtl w:val="true"/>
          <w:lang w:bidi="ar-SA"/>
        </w:rPr>
        <w:t xml:space="preserve">عنها الكفّارة ولا التعزير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مصرف كفّارة إطعام الفقراء ؛ إمّا بإشباعهم وإمّا بالتسليم إليهم كلّ واحد مُدّاً من حنطة أو شعير أو دقيق أو أرُز أو خبز أو غير ذلك من أقسام الطعام ، والأحوط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w:t>
      </w:r>
      <w:r>
        <w:rPr>
          <w:rStyle w:val="FootnoteAnchor"/>
          <w:rtl w:val="true"/>
        </w:rPr>
        <w:footnoteReference w:id="795"/>
      </w:r>
      <w:r>
        <w:rPr>
          <w:rFonts w:ascii="Amiri" w:hAnsi="Amiri" w:eastAsia="Amiri" w:cs="Amiri"/>
          <w:color w:val="111111"/>
          <w:sz w:val="28"/>
          <w:sz w:val="28"/>
          <w:szCs w:val="28"/>
          <w:rtl w:val="true"/>
          <w:lang w:bidi="ar-SA"/>
        </w:rPr>
        <w:t>في كفّارة واحدة إشباع شخص واحد مرّتين أو مرّات أو إعطاؤه مدّين أو أمداداً بل لا بدّ من ستّين نفساً ، نعم إذا كان للفقير عيالات متعدّدة يجوز</w:t>
      </w:r>
      <w:r>
        <w:rPr>
          <w:rStyle w:val="FootnoteAnchor"/>
          <w:rtl w:val="true"/>
        </w:rPr>
        <w:footnoteReference w:id="796"/>
      </w:r>
      <w:r>
        <w:rPr>
          <w:rFonts w:ascii="Amiri" w:hAnsi="Amiri" w:eastAsia="Amiri" w:cs="Amiri"/>
          <w:color w:val="111111"/>
          <w:sz w:val="28"/>
          <w:sz w:val="28"/>
          <w:szCs w:val="28"/>
          <w:rtl w:val="true"/>
          <w:lang w:bidi="ar-SA"/>
        </w:rPr>
        <w:t xml:space="preserve">إعطاؤه بعدد الجميع لكلّ واحد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ربع الصاع ، وهو ستّمائة مثقال وأربعة عشر مثقالاً وربع مثقال ، فالمدّ مائة وخمسون مثقالاً وثلاثة مثاقيل ونصف مثقال وربع ربع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أعطى ثلاثة أرباع الوقية من حقّة النجف فقد زاد أزيد من واحد وعشرين مثقالاً ؛ إذ ثلاثة أرباع الوقية مائة وخمسة وسبعون مثقالاً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بالكفّارة عن الميّت ؛ صوماً كانت أو غيره ، وفي </w:t>
      </w:r>
    </w:p>
    <w:p>
      <w:pPr>
        <w:pStyle w:val="BookText"/>
        <w:rPr/>
      </w:pPr>
      <w:r>
        <w:rPr>
          <w:rFonts w:ascii="Amiri" w:hAnsi="Amiri" w:eastAsia="Amiri" w:cs="Amiri"/>
          <w:color w:val="111111"/>
          <w:sz w:val="28"/>
          <w:sz w:val="28"/>
          <w:szCs w:val="28"/>
          <w:rtl w:val="true"/>
          <w:lang w:bidi="ar-SA"/>
        </w:rPr>
        <w:t xml:space="preserve">جواز التبرّع بها عن الحيّ إشكال والأحوط العدم خصوصاً في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حصول التتابع في الشهرين صوم الشهر الأوّل ويوم من الشهر الثاني ، ويجوز له التفريق في البقيّة ولو اختياراً 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 الأوّل</w:t>
      </w:r>
      <w:r>
        <w:rPr>
          <w:rStyle w:val="FootnoteAnchor"/>
          <w:rtl w:val="true"/>
        </w:rPr>
        <w:footnoteReference w:id="797"/>
      </w:r>
      <w:r>
        <w:rPr>
          <w:rFonts w:ascii="Amiri" w:hAnsi="Amiri" w:eastAsia="Amiri" w:cs="Amiri"/>
          <w:color w:val="111111"/>
          <w:sz w:val="28"/>
          <w:sz w:val="28"/>
          <w:szCs w:val="28"/>
          <w:rtl w:val="true"/>
          <w:lang w:bidi="ar-SA"/>
        </w:rPr>
        <w:t xml:space="preserve">فإذا أفطر في أثنائه لا لعذر يجب استئنافه ، وإذا أفطر لعذر من الأعذار كالمرض والحيض والنفاس والسفر الاضطراري لم يجب استئنافه ، بل يبني على ما مضى ، ومن العذر ما إذا نسي النيّة حتّى فات وقتها بأن تذكّر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عن الخصال الثلاث في كفّارة شهر رمضان تخيّر</w:t>
      </w:r>
      <w:r>
        <w:rPr>
          <w:rStyle w:val="FootnoteAnchor"/>
          <w:rtl w:val="true"/>
        </w:rPr>
        <w:footnoteReference w:id="798"/>
      </w:r>
      <w:r>
        <w:rPr>
          <w:rFonts w:ascii="Amiri" w:hAnsi="Amiri" w:eastAsia="Amiri" w:cs="Amiri"/>
          <w:color w:val="111111"/>
          <w:sz w:val="28"/>
          <w:sz w:val="28"/>
          <w:szCs w:val="28"/>
          <w:rtl w:val="true"/>
          <w:lang w:bidi="ar-SA"/>
        </w:rPr>
        <w:t xml:space="preserve">بين أن يصوم ثمانية عشر يوماً أو يتصدّق بما يطيق ، ولو عجز أتى بالممكن منهما ، وإن لم يقدر على شيء منهما استغفر اللّه ولو مرّة بدلاً عن الكفّارة ، وإن تمكّن بعد ذلك منها أتى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نام المجنب في الليل ثانياً بعد انتباهه من النوم واستمرّ نومه إلى أن طلع الفجر ، بل الأقوى ذلك في النوم الثالث الواقع بعد انتباهتين ، وإن كان الأحوط شديداً فيه ما هو المشهور من وجوب الكفّارة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الذي احتلم فيه لا يعدّ</w:t>
      </w:r>
      <w:r>
        <w:rPr>
          <w:rStyle w:val="FootnoteAnchor"/>
          <w:rtl w:val="true"/>
        </w:rPr>
        <w:footnoteReference w:id="799"/>
      </w:r>
      <w:r>
        <w:rPr>
          <w:rFonts w:ascii="Amiri" w:hAnsi="Amiri" w:eastAsia="Amiri" w:cs="Amiri"/>
          <w:color w:val="111111"/>
          <w:sz w:val="28"/>
          <w:sz w:val="28"/>
          <w:szCs w:val="28"/>
          <w:rtl w:val="true"/>
          <w:lang w:bidi="ar-SA"/>
        </w:rPr>
        <w:t xml:space="preserve">من النومة الاُولى حتّى يكون النوم بعده النومة 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 صومه لمجرّد عدم النيّة</w:t>
      </w:r>
      <w:r>
        <w:rPr>
          <w:rStyle w:val="FootnoteAnchor"/>
          <w:rtl w:val="true"/>
        </w:rPr>
        <w:footnoteReference w:id="800"/>
      </w:r>
      <w:r>
        <w:rPr>
          <w:rFonts w:ascii="Amiri" w:hAnsi="Amiri" w:eastAsia="Amiri" w:cs="Amiri"/>
          <w:color w:val="111111"/>
          <w:sz w:val="28"/>
          <w:sz w:val="28"/>
          <w:szCs w:val="28"/>
          <w:rtl w:val="true"/>
          <w:lang w:bidi="ar-SA"/>
        </w:rPr>
        <w:t xml:space="preserve">مع عدم الإتيان بشيء من المفطرات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ومضى عليه يوم أو أيّام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بالمفطر قبل مراعاة الفجر ثمّ ظهر سبق طلوعه ؛ سواء كان قادراً على المراعاة أو عاجزاً عنها</w:t>
      </w:r>
      <w:r>
        <w:rPr>
          <w:rStyle w:val="FootnoteAnchor"/>
          <w:rtl w:val="true"/>
        </w:rPr>
        <w:footnoteReference w:id="801"/>
      </w:r>
      <w:r>
        <w:rPr>
          <w:rFonts w:ascii="Amiri" w:hAnsi="Amiri" w:eastAsia="Amiri" w:cs="Amiri"/>
          <w:color w:val="111111"/>
          <w:sz w:val="28"/>
          <w:sz w:val="28"/>
          <w:szCs w:val="28"/>
          <w:rtl w:val="true"/>
          <w:lang w:bidi="ar-SA"/>
        </w:rPr>
        <w:t>، وكذا مع المراعاة وعدم التيقّن ببقاء الليل ؛ بأن كان شاكّاً في الطلوع أو ظانّاً</w:t>
      </w:r>
      <w:r>
        <w:rPr>
          <w:rStyle w:val="FootnoteAnchor"/>
          <w:rtl w:val="true"/>
        </w:rPr>
        <w:footnoteReference w:id="802"/>
      </w:r>
      <w:r>
        <w:rPr>
          <w:rFonts w:ascii="Amiri" w:hAnsi="Amiri" w:eastAsia="Amiri" w:cs="Amiri"/>
          <w:color w:val="111111"/>
          <w:sz w:val="28"/>
          <w:sz w:val="28"/>
          <w:szCs w:val="28"/>
          <w:rtl w:val="true"/>
          <w:lang w:bidi="ar-SA"/>
        </w:rPr>
        <w:t xml:space="preserve">به فأكل ثمّ تبيّن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راعى وتيقّن البقاء فأكل ثمّ تبيّن خلافه صحّ صومه ، هذا في صوم شهر رمضان ، وأمّا غيره من أقسام الصوم حتّى الواجب المعيّن فالظاهر بطلانه بوقوع الأكل بعد طلوع الفجر مطلقاً حتّى مع المراعاة وتيقّن بقاء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من أخبر ببقاء الليل مع كون الفجر طالعاً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إذا أخبره مخبر بطلوع الفجر لزعمه سخريّة المخبر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لم يتيقّن بطلوع الفجر تناول المفطر من دون فحص ، فلو أكل أو شرب والحال هذه ولم يتبيّن الطلوع ولا عدمه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التيقّن بدخول الليل فلا يجوز له الإفطار ، فلو أفطر والحال هذه يجب عليه القضاء والكفّارة وإن لم يحصل له التيقّن ببقاء النهار وبقي على شكّه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تقليداً لمن أخبر بدخول الليل ولم يدخل إذا كان المخبر </w:t>
      </w:r>
      <w:bookmarkStart w:id="368" w:name="pg15003_159899"/>
    </w:p>
    <w:p>
      <w:pPr>
        <w:pStyle w:val="BookText"/>
        <w:rPr/>
      </w:pPr>
      <w:bookmarkEnd w:id="368"/>
      <w:r>
        <w:rPr>
          <w:rFonts w:ascii="Amiri" w:hAnsi="Amiri" w:eastAsia="Amiri" w:cs="Amiri"/>
          <w:color w:val="111111"/>
          <w:sz w:val="28"/>
          <w:sz w:val="28"/>
          <w:szCs w:val="28"/>
          <w:rtl w:val="true"/>
          <w:lang w:bidi="ar-SA"/>
        </w:rPr>
        <w:t xml:space="preserve">ممّن جاز التعويل على إخباره ، كما إذا أخبره عدلان بل عدل واحد ، وإلاّ فالأقوى وجوب الكفّارة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قطع بدخول الليل منها ولم يدخل ، مع عدم وجود علّة في السماء ، وأمّا لو كانت في السماء علّة فظنّ دخول الليل فأفطر ثمّ بان له الخطأ لا يجب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في الفم للتبرّد بمضمضة أو غيرها فسبقه ودخل الحلق ، وكذا لو أدخله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نسي فابتلعه فلا قضاء عليه ، وكذا لو تمضمض لوضوء الصلاة فسبقه الماء فلا يجب عليه القضاء ، والأحوط</w:t>
      </w:r>
      <w:r>
        <w:rPr>
          <w:rStyle w:val="FootnoteAnchor"/>
          <w:rtl w:val="true"/>
        </w:rPr>
        <w:footnoteReference w:id="803"/>
      </w:r>
      <w:r>
        <w:rPr>
          <w:rFonts w:ascii="Amiri" w:hAnsi="Amiri" w:eastAsia="Amiri" w:cs="Amiri"/>
          <w:color w:val="111111"/>
          <w:sz w:val="28"/>
          <w:sz w:val="28"/>
          <w:szCs w:val="28"/>
          <w:rtl w:val="true"/>
          <w:lang w:bidi="ar-SA"/>
        </w:rPr>
        <w:t xml:space="preserve">الاقتصار على ما كان الوضوء لصلاة الفريضة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487835_3406789950"/>
      <w:bookmarkStart w:id="370" w:name="_Toc132"/>
      <w:bookmarkEnd w:id="369"/>
      <w:r>
        <w:rPr>
          <w:rtl w:val="true"/>
        </w:rPr>
        <w:t xml:space="preserve">القول </w:t>
      </w:r>
      <w:r>
        <w:rPr>
          <w:rtl w:val="true"/>
        </w:rPr>
        <w:t xml:space="preserve">: </w:t>
      </w:r>
      <w:r>
        <w:rPr>
          <w:rtl w:val="true"/>
        </w:rPr>
        <w:t>في شرائط صحّة الصوم ووجوبه</w:t>
      </w:r>
      <w:bookmarkEnd w:id="3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صحّة الصوم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والإيمان ، والعقل ، والخلوّ من الحيض والنفاس ، فلا يصحّ من غير المؤمن ولو في جزء من النهار ، فلو ارتدّ في الأثناء ثمّ عاد لم يصحّ وإن كان الصوم معيّناً وجدّد النيّة قبل الزوال ، وكذا من المجنون ولو أدواراً مستغرقاً للنهار أو بعضه ، وكذا السكران والمغمى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الصحّة مع سبق النيّة منهما لا يخلو من قوّة</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من النائم إذا سبقت منه النيّة في الليل وإن استوعب تمام النهار ، وكذا لا يصحّ الصوم من الحائض والنفساء وإن فاجأهما الدم قبل الغروب بلحظة أو انقطع عنهما بعد الفجر بلحظة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شرائط صحّة الصوم عدم المرض أو الرمد الذي يضرّه الصوم لإيجابه شدّته أو طول برئه أو شدّة ألمه ؛ سواء حصل اليقين بذلك أو الظنّ أو الاحتمال الموجب للخوف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الخوف</w:t>
      </w:r>
      <w:r>
        <w:rPr>
          <w:rStyle w:val="FootnoteAnchor"/>
          <w:rtl w:val="true"/>
        </w:rPr>
        <w:footnoteReference w:id="805"/>
      </w:r>
      <w:r>
        <w:rPr>
          <w:rFonts w:ascii="Amiri" w:hAnsi="Amiri" w:eastAsia="Amiri" w:cs="Amiri"/>
          <w:color w:val="111111"/>
          <w:sz w:val="28"/>
          <w:sz w:val="28"/>
          <w:szCs w:val="28"/>
          <w:rtl w:val="true"/>
          <w:lang w:bidi="ar-SA"/>
        </w:rPr>
        <w:t xml:space="preserve">من حدوث المرض والضرر بسببه فإنّه لا يصحّ معه الصوم ويجوز بل يجب عليه الإفطار ، ولا يكفي الضعف وإن كان مفرطاً ، نعم لو كان ممّا لا يتحمّل عادة جاز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بزعم عدم الضرر فبان الخلاف بعد الفراغ من الصوم ففي الصحّة إشكال</w:t>
      </w:r>
      <w:r>
        <w:rPr>
          <w:rStyle w:val="FootnoteAnchor"/>
          <w:rtl w:val="true"/>
        </w:rPr>
        <w:footnoteReference w:id="806"/>
      </w:r>
      <w:r>
        <w:rPr>
          <w:rFonts w:ascii="Amiri" w:hAnsi="Amiri" w:eastAsia="Amiri" w:cs="Amiri"/>
          <w:color w:val="111111"/>
          <w:sz w:val="28"/>
          <w:sz w:val="28"/>
          <w:szCs w:val="28"/>
          <w:rtl w:val="true"/>
          <w:lang w:bidi="ar-SA"/>
        </w:rPr>
        <w:t xml:space="preserve">، فلا يترك الاحتياط بالقضاء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شرائط الصحّة أن لا يكون مسافراً سفراً يوجب قصر الصلاة فإنّه لا يصحّ منه الصوم حتّى المندوب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استثني في الصوم الواجب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بدل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البدنة ممّن أفاض من عرفات قبل الغروب عامداً ، وهو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المشترط إيقاعه في خصوص السفر أو المصرّح بأن يوقع سفراً وحضراً دون النذر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الصوم المندوب 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عليه صوم واجب من قضاء أو كفّارة أو غيرها ؛ وإن كان تعميم الحكم إلى غير القضاء محلّ إشكال</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ذكرنا من أ نّه شرط للصحّة شرط للوجوب أيضاً غير الإسلام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شرائط الوجوب أيضاً البلوغ فلا يجب على الصبيّ إلاّ </w:t>
      </w:r>
    </w:p>
    <w:p>
      <w:pPr>
        <w:pStyle w:val="BookText"/>
        <w:rPr/>
      </w:pPr>
      <w:r>
        <w:rPr>
          <w:rFonts w:ascii="Amiri" w:hAnsi="Amiri" w:eastAsia="Amiri" w:cs="Amiri"/>
          <w:color w:val="111111"/>
          <w:sz w:val="28"/>
          <w:sz w:val="28"/>
          <w:szCs w:val="28"/>
          <w:rtl w:val="true"/>
          <w:lang w:bidi="ar-SA"/>
        </w:rPr>
        <w:t>إذا كمل قبل الفجر أو نوى</w:t>
      </w:r>
      <w:r>
        <w:rPr>
          <w:rStyle w:val="FootnoteAnchor"/>
          <w:rtl w:val="true"/>
        </w:rPr>
        <w:footnoteReference w:id="808"/>
      </w:r>
      <w:r>
        <w:rPr>
          <w:rFonts w:ascii="Amiri" w:hAnsi="Amiri" w:eastAsia="Amiri" w:cs="Amiri"/>
          <w:color w:val="111111"/>
          <w:sz w:val="28"/>
          <w:sz w:val="28"/>
          <w:szCs w:val="28"/>
          <w:rtl w:val="true"/>
          <w:lang w:bidi="ar-SA"/>
        </w:rPr>
        <w:t xml:space="preserve">الصوم تطوّعاً وكمل في أثناء النهار ، بل فيما إذا كمل قبل الزوال ولم يتناول شيئاً لا يبعد وجوب الصوم عليه وتجديد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حاضراً فخرج إلى السفر فإن كان قبل الزوال وجب عليه الإفطار وإن كان بعده وجب عليه البقاء على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مسافراً وحضر بلده أو بلداً عزم على الإقامة فيه عشرة أيّام فإن كان قبل الزوال ولم يتناول المفطر وجب عليه الصوم، وإن كان بعده أو قبله لكن تناول المفطر فلا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الجاهل بالحكم لو صام صحّ صومه ويجزيه على حسب ما عرفته في جاهل حكم الصلاة ؛ إذ القصر كالإفطار والصيام كالتمام فيجري هنا حينئذٍ جميع ما ذكرناه</w:t>
      </w:r>
      <w:r>
        <w:rPr>
          <w:rStyle w:val="FootnoteAnchor"/>
          <w:rtl w:val="true"/>
        </w:rPr>
        <w:footnoteReference w:id="809"/>
      </w:r>
      <w:r>
        <w:rPr>
          <w:rFonts w:ascii="Amiri" w:hAnsi="Amiri" w:eastAsia="Amiri" w:cs="Amiri"/>
          <w:color w:val="111111"/>
          <w:sz w:val="28"/>
          <w:sz w:val="28"/>
          <w:szCs w:val="28"/>
          <w:rtl w:val="true"/>
          <w:lang w:bidi="ar-SA"/>
        </w:rPr>
        <w:t xml:space="preserve">بالنسبة إلى الصلاة ، فمن كان يجب عليه التمام كالمكاري والعاصي بسفره والمقيم والمتردّد ثلاثين يوماً وغير ذلك يجب عليه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يتعيّن عليه الإفطار في الأماكن الأربعة وإن جاز له الإتمام ، كما أ نّه يتعيّن عليه البقاء على الصوم لو خرج بعد الزوال وإن وجب عليه القصر ، ويتعيّن عليه الإفطار لو قدم بعده وإن وجب عليه التمام إذا لم يكن 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قصر الصلاة على وصول المسافر حدّ الترخّص فكذا هو المدار في قصر الصوم ، فليس له الإفطار قبل الوصول إليه بل لو فعل كانت عليه مع القضاء الكفّارة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الأصحّ السفر اختياراً في شهر رمضان ولو كان للفرار </w:t>
      </w:r>
    </w:p>
    <w:p>
      <w:pPr>
        <w:pStyle w:val="BookText"/>
        <w:rPr/>
      </w:pPr>
      <w:r>
        <w:rPr>
          <w:rFonts w:ascii="Amiri" w:hAnsi="Amiri" w:eastAsia="Amiri" w:cs="Amiri"/>
          <w:color w:val="111111"/>
          <w:sz w:val="28"/>
          <w:sz w:val="28"/>
          <w:szCs w:val="28"/>
          <w:rtl w:val="true"/>
          <w:lang w:bidi="ar-SA"/>
        </w:rPr>
        <w:t xml:space="preserve">من الصوم ، لكن على كراهية قبل أن يمضي منه ثلاثة وعشرون يوماً ، إلاّ في حجّ أو عمرة أو مال يخاف تلفه أو أخ يخاف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صوم شهر رمضان من الواجب المعيّن فالأحوط ترك</w:t>
      </w:r>
      <w:r>
        <w:rPr>
          <w:rStyle w:val="FootnoteAnchor"/>
          <w:rtl w:val="true"/>
        </w:rPr>
        <w:footnoteReference w:id="811"/>
      </w:r>
      <w:r>
        <w:rPr>
          <w:rFonts w:ascii="Amiri" w:hAnsi="Amiri" w:eastAsia="Amiri" w:cs="Amiri"/>
          <w:color w:val="111111"/>
          <w:sz w:val="28"/>
          <w:sz w:val="28"/>
          <w:szCs w:val="28"/>
          <w:rtl w:val="true"/>
          <w:lang w:bidi="ar-SA"/>
        </w:rPr>
        <w:t xml:space="preserve">السفر مع الاختيار ، كما أ نّه لو كان مسافراً فالأحوط الإقامة لإتيانه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للمسافر في شهر رمضان بل كلّ من يجوز له الإفطار التملّؤ من الطعام والشراب وكذا الجماع في النهار ، بل الأحوط تركه وإن كان الأقوى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الإفطار في شهر رمضان 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تعذّر أو تعسّر عليهما الصوم ، ومن به داء العطش ؛ سواء لم يقدر على الصبر أو تعسّر عليه ، والحامل المقرب التي يضرّ بها أو بولدها الصوم ، والمرضعة القليلة اللبن إذا أضرّ بها أو بولدها الصوم ، فإنّ جميع هذه الأشخاص يفطرون ، لكن يجب</w:t>
      </w:r>
      <w:r>
        <w:rPr>
          <w:rStyle w:val="FootnoteAnchor"/>
          <w:rtl w:val="true"/>
        </w:rPr>
        <w:footnoteReference w:id="812"/>
      </w:r>
      <w:r>
        <w:rPr>
          <w:rFonts w:ascii="Amiri" w:hAnsi="Amiri" w:eastAsia="Amiri" w:cs="Amiri"/>
          <w:color w:val="111111"/>
          <w:sz w:val="28"/>
          <w:sz w:val="28"/>
          <w:szCs w:val="28"/>
          <w:rtl w:val="true"/>
          <w:lang w:bidi="ar-SA"/>
        </w:rPr>
        <w:t xml:space="preserve">على كلّ واحد منهم التكفير ؛ بأن يتصدّق بدل كلّ يوم بمدّ من الطعام والأحوط مدّان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المرضعة بين أن يكون الولد لها أو متبرّعة برضاعه أو مستأجرة ، والأحوط بل الأقوى</w:t>
      </w:r>
      <w:r>
        <w:rPr>
          <w:rStyle w:val="FootnoteAnchor"/>
          <w:rtl w:val="true"/>
        </w:rPr>
        <w:footnoteReference w:id="813"/>
      </w:r>
      <w:r>
        <w:rPr>
          <w:rFonts w:ascii="Amiri" w:hAnsi="Amiri" w:eastAsia="Amiri" w:cs="Amiri"/>
          <w:color w:val="111111"/>
          <w:sz w:val="28"/>
          <w:sz w:val="28"/>
          <w:szCs w:val="28"/>
          <w:rtl w:val="true"/>
          <w:lang w:bidi="ar-SA"/>
        </w:rPr>
        <w:t xml:space="preserve">الاقتصار على صورة عدم وجود من يقوم مقامها في الرضاع تبرّعاً أو باُجرة من أبيه أو منها أو من متبرّع </w:t>
      </w:r>
      <w:r>
        <w:rPr>
          <w:rFonts w:eastAsia="Amiri" w:cs="Amiri" w:ascii="Amiri" w:hAnsi="Amiri"/>
          <w:color w:val="111111"/>
          <w:sz w:val="28"/>
          <w:szCs w:val="28"/>
          <w:rtl w:val="true"/>
          <w:lang w:bidi="ar-SA"/>
        </w:rPr>
        <w:t xml:space="preserve">. </w:t>
      </w:r>
      <w:bookmarkStart w:id="371" w:name="pg15003_159903"/>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الحامل والمرضعة القضاء بعد ذلك ، كما أنّ الأحوط بل الأقوى</w:t>
      </w:r>
      <w:r>
        <w:rPr>
          <w:rStyle w:val="FootnoteAnchor"/>
          <w:rtl w:val="true"/>
        </w:rPr>
        <w:footnoteReference w:id="814"/>
      </w:r>
      <w:r>
        <w:rPr>
          <w:rFonts w:ascii="Amiri" w:hAnsi="Amiri" w:eastAsia="Amiri" w:cs="Amiri"/>
          <w:color w:val="111111"/>
          <w:sz w:val="28"/>
          <w:sz w:val="28"/>
          <w:szCs w:val="28"/>
          <w:rtl w:val="true"/>
          <w:lang w:bidi="ar-SA"/>
        </w:rPr>
        <w:t xml:space="preserve">وجوب القضاء على الأوّلين أيضاً لو تمكّنا بعد ذلك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487837_3406789950"/>
      <w:bookmarkStart w:id="373" w:name="_Toc133"/>
      <w:bookmarkEnd w:id="372"/>
      <w:r>
        <w:rPr>
          <w:rtl w:val="true"/>
        </w:rPr>
        <w:t xml:space="preserve">القول </w:t>
      </w:r>
      <w:r>
        <w:rPr>
          <w:rtl w:val="true"/>
        </w:rPr>
        <w:t xml:space="preserve">: </w:t>
      </w:r>
      <w:r>
        <w:rPr>
          <w:rtl w:val="true"/>
        </w:rPr>
        <w:t>في طريق ثبوت هلال شهر رمضان وشوّال</w:t>
      </w:r>
      <w:bookmarkEnd w:id="373"/>
    </w:p>
    <w:p>
      <w:pPr>
        <w:pStyle w:val="BookText"/>
        <w:rPr/>
      </w:pPr>
      <w:r>
        <w:rPr>
          <w:rFonts w:ascii="Amiri" w:hAnsi="Amiri" w:eastAsia="Amiri" w:cs="Amiri"/>
          <w:color w:val="111111"/>
          <w:sz w:val="28"/>
          <w:sz w:val="28"/>
          <w:szCs w:val="28"/>
          <w:rtl w:val="true"/>
          <w:lang w:bidi="ar-SA"/>
        </w:rPr>
        <w:t xml:space="preserve">يثبت الهلال بالرؤية وإن تفرّد بها الرائي ، والتواتر ، والشياع المفيدين للعلم ، ومضيّ ثلاثين يوماً من الشهر السابق ، وبالبيّنة الشرعية وهي شهادة عدلين ، وحكم الحاكم الذي لم يعلم خطؤه ولا خطأ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بقول المنجّمين ولا بتطوّق الهلال أو غيبوبته بعد الشفق في ثبوت كونه للّيلة السابقة وإن أفاد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قبول شهادة البيّنة أن تشهد بالرؤية ، فلا تكفي الشهادة العلمية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حجّية البيّنة قيامها عند الحاكم الشرعي ، فهي حجّة لكلّ من قامت عنده ، بل لو قامت عند الحاكم وردّ شهادتها من جهة عدم ثبوت عدالة الشاهد عنده وكانا عادلين عند غيره يجب ترتيب الأثر عليها من الصوم أو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اتّحادهما في زمان الرؤية بعد توافقهما على الرؤية في الليل ، نعم يعتبر توافقهما في الأوصاف</w:t>
      </w:r>
      <w:r>
        <w:rPr>
          <w:rStyle w:val="FootnoteAnchor"/>
          <w:rtl w:val="true"/>
        </w:rPr>
        <w:footnoteReference w:id="815"/>
      </w:r>
      <w:r>
        <w:rPr>
          <w:rFonts w:ascii="Amiri" w:hAnsi="Amiri" w:eastAsia="Amiri" w:cs="Amiri"/>
          <w:color w:val="111111"/>
          <w:sz w:val="28"/>
          <w:sz w:val="28"/>
          <w:szCs w:val="28"/>
          <w:rtl w:val="true"/>
          <w:lang w:bidi="ar-SA"/>
        </w:rPr>
        <w:t xml:space="preserve">؛ بمعنى أ نّه إن تصدّيا للوصف لم </w:t>
      </w:r>
      <w:bookmarkStart w:id="374" w:name="pg15003_159904"/>
    </w:p>
    <w:p>
      <w:pPr>
        <w:pStyle w:val="BookText"/>
        <w:rPr/>
      </w:pPr>
      <w:bookmarkEnd w:id="374"/>
      <w:r>
        <w:rPr>
          <w:rFonts w:ascii="Amiri" w:hAnsi="Amiri" w:eastAsia="Amiri" w:cs="Amiri"/>
          <w:color w:val="111111"/>
          <w:sz w:val="28"/>
          <w:sz w:val="28"/>
          <w:szCs w:val="28"/>
          <w:rtl w:val="true"/>
          <w:lang w:bidi="ar-SA"/>
        </w:rPr>
        <w:t xml:space="preserve">يتخالفا فيه ، فلو أطلقا أو وصف أحدهما وأطلق الآخر 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في ثبوت الهلال بشهادة أربع من النساء ولا برجل وامرأتين ولا بشاهد واحد مع ضمّ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أن تكون البيّنة من البلد أو خارجه إذا كان في السماء علّة ، وأمّا مع الصحو ففي حجّيتها من البلد تأمّل</w:t>
      </w:r>
      <w:r>
        <w:rPr>
          <w:rStyle w:val="FootnoteAnchor"/>
          <w:rtl w:val="true"/>
        </w:rPr>
        <w:footnoteReference w:id="816"/>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حجّية حكم الحاكم بمقلّديه ، بل حجّة حتّى على حاكم آخر إذا لم يثبت عنده خلافه أو خطأ مستنده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ثبتت الرؤية في بلد آخر ولم تثبت في بلده فإن كانا متقاربين أو علم توافق اُفقهما كفى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الاعتماد على التلغراف في الإخبار عن الرؤية إلاّ إذا تقارب البلدان وعلم وتحقّق ثبوتها</w:t>
      </w:r>
      <w:r>
        <w:rPr>
          <w:rStyle w:val="FootnoteAnchor"/>
          <w:rtl w:val="true"/>
        </w:rPr>
        <w:footnoteReference w:id="817"/>
      </w:r>
      <w:r>
        <w:rPr>
          <w:rFonts w:ascii="Amiri" w:hAnsi="Amiri" w:eastAsia="Amiri" w:cs="Amiri"/>
          <w:color w:val="111111"/>
          <w:sz w:val="28"/>
          <w:sz w:val="28"/>
          <w:szCs w:val="28"/>
          <w:rtl w:val="true"/>
          <w:lang w:bidi="ar-SA"/>
        </w:rPr>
        <w:t xml:space="preserve">هناك إمّا بحكم الحاكم أو بالبيّنة الشرعية </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87839_3406789950"/>
      <w:bookmarkStart w:id="376" w:name="_Toc134"/>
      <w:bookmarkEnd w:id="375"/>
      <w:r>
        <w:rPr>
          <w:rtl w:val="true"/>
        </w:rPr>
        <w:t xml:space="preserve">القول </w:t>
      </w:r>
      <w:r>
        <w:rPr>
          <w:rtl w:val="true"/>
        </w:rPr>
        <w:t xml:space="preserve">: </w:t>
      </w:r>
      <w:r>
        <w:rPr>
          <w:rtl w:val="true"/>
        </w:rPr>
        <w:t>في قضاء صوم شهر رمضان</w:t>
      </w:r>
      <w:bookmarkEnd w:id="37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على الصبيّ قضاء ما أفطر في زمان صباه ، ولا على المجنون والمغمى عليه قضاء ما أفطرا في حال عذرهما ، ولا على الكافر الأصلي قضاء ما أفطر في حال كفره ، ويجب على غيرهم حتّى المرتدّ بالنسبة إلى زمان ردّته </w:t>
      </w:r>
    </w:p>
    <w:p>
      <w:pPr>
        <w:pStyle w:val="BookText"/>
        <w:rPr/>
      </w:pPr>
      <w:r>
        <w:rPr>
          <w:rFonts w:ascii="Amiri" w:hAnsi="Amiri" w:eastAsia="Amiri" w:cs="Amiri"/>
          <w:color w:val="111111"/>
          <w:sz w:val="28"/>
          <w:sz w:val="28"/>
          <w:szCs w:val="28"/>
          <w:rtl w:val="true"/>
          <w:lang w:bidi="ar-SA"/>
        </w:rPr>
        <w:t xml:space="preserve">وكذا الحائض والنفساء وإن لم يجب عليهما قضاء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سابقاً وجوب الصوم</w:t>
      </w:r>
      <w:r>
        <w:rPr>
          <w:rStyle w:val="FootnoteAnchor"/>
          <w:rtl w:val="true"/>
        </w:rPr>
        <w:footnoteReference w:id="818"/>
      </w:r>
      <w:r>
        <w:rPr>
          <w:rFonts w:ascii="Amiri" w:hAnsi="Amiri" w:eastAsia="Amiri" w:cs="Amiri"/>
          <w:color w:val="111111"/>
          <w:sz w:val="28"/>
          <w:sz w:val="28"/>
          <w:szCs w:val="28"/>
          <w:rtl w:val="true"/>
          <w:lang w:bidi="ar-SA"/>
        </w:rPr>
        <w:t xml:space="preserve">على من بلغ قبل الزوال ولم يتناول شيئاً وكذا على من نوى الصوم ندباً وبلغ في أثناء النهار ، فيتبعه وجوب القضاء لو أفطرا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819"/>
      </w:r>
      <w:r>
        <w:rPr>
          <w:rFonts w:ascii="Amiri" w:hAnsi="Amiri" w:eastAsia="Amiri" w:cs="Amiri"/>
          <w:color w:val="111111"/>
          <w:sz w:val="28"/>
          <w:sz w:val="28"/>
          <w:szCs w:val="28"/>
          <w:rtl w:val="true"/>
          <w:lang w:bidi="ar-SA"/>
        </w:rPr>
        <w:t xml:space="preserve">القضاء على من فاته الصوم لسكر ؛ سواء كان شرب المسكر للتداوي أو على وجه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المخالف إذا استبصر لا يقضي ما أتى به على وفق مذهبه</w:t>
      </w:r>
      <w:r>
        <w:rPr>
          <w:rStyle w:val="FootnoteAnchor"/>
          <w:rtl w:val="true"/>
        </w:rPr>
        <w:footnoteReference w:id="820"/>
      </w:r>
      <w:r>
        <w:rPr>
          <w:rFonts w:ascii="Amiri" w:hAnsi="Amiri" w:eastAsia="Amiri" w:cs="Amiri"/>
          <w:color w:val="111111"/>
          <w:sz w:val="28"/>
          <w:sz w:val="28"/>
          <w:szCs w:val="28"/>
          <w:rtl w:val="true"/>
          <w:lang w:bidi="ar-SA"/>
        </w:rPr>
        <w:t xml:space="preserve">كالصلاة ، وأمّا ما فاته في تلك الحال يجب عليه قضاؤه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 نعم لا يجوز تأخير القضاء إلى رمضان آخر ، وإذا أخّر يكون موسّعاً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الترتيب في القضاء ولا تعيين الأيّام فلو كان عليه أيّام فصام بعددها كفى وإن لم يعيّن الأوّل والثاني وهكذا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رمضانين أو أكثر يتخيّر بين تقديم السابق وتأخيره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عليه قضاء رمضان هذه السنة مع قضاء رمضان سابق ولم يسع الوقت للاّحق لو قدّم السابق ؛ بأن لا يبقى إلى رمضان آخر زمان يسع قضاء اللاحق ، يتعيّن قضاء اللاحق قبل السابق ، ولو عكس والحال </w:t>
      </w:r>
    </w:p>
    <w:p>
      <w:pPr>
        <w:pStyle w:val="BookText"/>
        <w:rPr/>
      </w:pPr>
      <w:r>
        <w:rPr>
          <w:rFonts w:ascii="Amiri" w:hAnsi="Amiri" w:eastAsia="Amiri" w:cs="Amiri"/>
          <w:color w:val="111111"/>
          <w:sz w:val="28"/>
          <w:sz w:val="28"/>
          <w:szCs w:val="28"/>
          <w:rtl w:val="true"/>
          <w:lang w:bidi="ar-SA"/>
        </w:rPr>
        <w:t xml:space="preserve">هذه فالظاهر صحّة ما قدّمه وإن عصى بتأخير ما أخّره ، ولزمه الكفّارة ؛ أعني كفّارة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صوم رمضان بمرض أو حيض أو نفاس ومات قبل أن يخرج منه ، لم يجب القضاء وإن استحبّ النيابة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شهر رمضان أو بعضه لعذر واستمرّ إلى رمضان آخر ، فإن كان العذر هو المرض ، سقط قضاؤه وكفّر عن كلّ يوم بمدّ ، ولا يجزي القضاء عن التكفير ، وإن كان العذر غير المرض كالسفر ونحوه فالأحوط</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القضاء والمدّ ، وكذا إن كان سبب الفوت هو المرض وكان العذر في التأخير غيره أو العكس فإنّ الأحوط فيها الجمع أيضاً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أو بعضه لا لعذر بل متعمّداً ولم يأت بالقضاء إلى رمضان آخر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كفّارة الإفطار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بمدّ بدل كلّ يوم والقضاء فيما بعد ، وكذا يجب التكفير بمدّ إن فاته لعذر ولم يستمرّ ذلك العذر ولم يطرء عذر آخر ، بل كان قادراً غير معذور فتهاون في القضاء حتّى جاء رمضان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عازماً على القضاء بعد ارتفاع العذر فاتّفق طروّ عذر آخر عند الضيق فلا يبعد</w:t>
      </w:r>
      <w:r>
        <w:rPr>
          <w:rStyle w:val="FootnoteAnchor"/>
          <w:rtl w:val="true"/>
        </w:rPr>
        <w:footnoteReference w:id="822"/>
      </w:r>
      <w:r>
        <w:rPr>
          <w:rFonts w:ascii="Amiri" w:hAnsi="Amiri" w:eastAsia="Amiri" w:cs="Amiri"/>
          <w:color w:val="111111"/>
          <w:sz w:val="28"/>
          <w:sz w:val="28"/>
          <w:szCs w:val="28"/>
          <w:rtl w:val="true"/>
          <w:lang w:bidi="ar-SA"/>
        </w:rPr>
        <w:t xml:space="preserve">كفاية القضاء ، لكن لا يترك الاحتياط بالجمع بين التكفير والقضاء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تتكرّر كفّارة التأخير بتكرّر السنين ، فإذا فاته ثلاثة أيّام من ثلاث رمضانات متتاليات ولم يقضها وجب عليه كفّارة واحدة للأوّل وكفّارة اُخرى للثاني والقضاء للثالث إذا لم يتأخّر إلى الرمضان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كفّارة أيّام عديدة من رمضان واحد أو أزيد لفقير واحد ، فلا يجب إعطاء كلّ فقير مدّاً واحداً ليوم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الإفطار قبل الزوال في قضاء شهر رمضان ما لم يتضيّق ، أمّا بعد الزوال فيحرم ، بل تجب به الكفّارة وإن لم يجب الإمساك بقيّة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والكفّارة هنا إطعام عشرة مساكين ، لكلّ مسكين مدّ ، فإن لم يمكنه صام ثلاثة أيّام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كالصلاة في أ نّه يجب على الوليّ قضاء ما فات عنه لعذر</w:t>
      </w:r>
      <w:r>
        <w:rPr>
          <w:rStyle w:val="FootnoteAnchor"/>
          <w:rtl w:val="true"/>
        </w:rPr>
        <w:footnoteReference w:id="823"/>
      </w:r>
      <w:r>
        <w:rPr>
          <w:rFonts w:ascii="Amiri" w:hAnsi="Amiri" w:eastAsia="Amiri" w:cs="Amiri"/>
          <w:color w:val="111111"/>
          <w:sz w:val="28"/>
          <w:sz w:val="28"/>
          <w:szCs w:val="28"/>
          <w:rtl w:val="true"/>
          <w:lang w:bidi="ar-SA"/>
        </w:rPr>
        <w:t xml:space="preserve">، لكن فيما إذا كان فوته يوجب القضاء ، فإذا فاته لعذر ومات في أثناء رمضان أو كان مريضاً واستمرّ مرضه إلى رمضان آخر لا يجب لسقوط القضاء حينئذٍ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ما إذا ترك الميّت ما يمكن التصدّق به عنه وعدمه ، وإن كان الأحوط في الأوّل مع رضا الورثة الجمع بين التصدّق والقضاء ، وقد تقدّم في قضاء الصلاة بعض الفروع المتعلّقة بالمقام </w:t>
      </w:r>
      <w:r>
        <w:rPr>
          <w:rFonts w:eastAsia="Amiri" w:cs="Amiri" w:ascii="Amiri" w:hAnsi="Amiri"/>
          <w:color w:val="111111"/>
          <w:sz w:val="28"/>
          <w:szCs w:val="28"/>
          <w:rtl w:val="true"/>
          <w:lang w:bidi="ar-SA"/>
        </w:rPr>
        <w:t xml:space="preserve">. </w:t>
      </w:r>
      <w:bookmarkStart w:id="377" w:name="pg15003_159908"/>
    </w:p>
    <w:p>
      <w:pPr>
        <w:pStyle w:val="Heading3"/>
        <w:numPr>
          <w:ilvl w:val="2"/>
          <w:numId w:val="1"/>
        </w:numPr>
        <w:rPr/>
      </w:pPr>
      <w:bookmarkStart w:id="378" w:name="__RefHeading___Toc487841_3406789950"/>
      <w:bookmarkStart w:id="379" w:name="_Toc135"/>
      <w:bookmarkEnd w:id="377"/>
      <w:bookmarkEnd w:id="378"/>
      <w:r>
        <w:rPr>
          <w:rtl w:val="true"/>
        </w:rPr>
        <w:t xml:space="preserve">القول </w:t>
      </w:r>
      <w:r>
        <w:rPr>
          <w:rtl w:val="true"/>
        </w:rPr>
        <w:t xml:space="preserve">: </w:t>
      </w:r>
      <w:r>
        <w:rPr>
          <w:rtl w:val="true"/>
        </w:rPr>
        <w:t>في أقسام الصوم</w:t>
      </w:r>
      <w:bookmarkEnd w:id="379"/>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ومندوب ومكروه ومحظور </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87843_3406789950"/>
      <w:bookmarkStart w:id="381" w:name="_Toc136"/>
      <w:bookmarkEnd w:id="380"/>
      <w:r>
        <w:rPr>
          <w:rtl w:val="true"/>
        </w:rPr>
        <w:t xml:space="preserve">فالواجب من الصوم ستّة </w:t>
      </w:r>
      <w:r>
        <w:rPr>
          <w:rtl w:val="true"/>
        </w:rPr>
        <w:t>:</w:t>
      </w:r>
      <w:bookmarkEnd w:id="381"/>
    </w:p>
    <w:p>
      <w:pPr>
        <w:pStyle w:val="BookText"/>
        <w:rPr/>
      </w:pPr>
      <w:r>
        <w:rPr>
          <w:rFonts w:ascii="Amiri" w:hAnsi="Amiri" w:eastAsia="Amiri" w:cs="Amiri"/>
          <w:color w:val="111111"/>
          <w:sz w:val="28"/>
          <w:sz w:val="28"/>
          <w:szCs w:val="28"/>
          <w:rtl w:val="true"/>
          <w:lang w:bidi="ar-SA"/>
        </w:rPr>
        <w:t xml:space="preserve">صوم شهر رمضان ، وصوم الكفّارة ، وصوم القضاء ، وصوم دم المتعة في الحجّ ، وصوم النذر والعهد واليمين ونحوها ، وصوم اليوم الثالث من أيّام الاعتكاف </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87845_3406789950"/>
      <w:bookmarkStart w:id="383" w:name="_Toc137"/>
      <w:bookmarkEnd w:id="382"/>
      <w:r>
        <w:rPr>
          <w:rtl w:val="true"/>
        </w:rPr>
        <w:t xml:space="preserve">القول </w:t>
      </w:r>
      <w:r>
        <w:rPr>
          <w:rtl w:val="true"/>
        </w:rPr>
        <w:t xml:space="preserve">: </w:t>
      </w:r>
      <w:r>
        <w:rPr>
          <w:rtl w:val="true"/>
        </w:rPr>
        <w:t>في صوم الكفّارة</w:t>
      </w:r>
      <w:bookmarkEnd w:id="383"/>
    </w:p>
    <w:p>
      <w:pPr>
        <w:pStyle w:val="BookText"/>
        <w:rPr/>
      </w:pPr>
      <w:r>
        <w:rPr>
          <w:rFonts w:ascii="IRNazanin" w:hAnsi="IRNazanin" w:eastAsia="IRNazanin"/>
          <w:color w:val="111111"/>
          <w:sz w:val="28"/>
          <w:sz w:val="28"/>
          <w:szCs w:val="28"/>
          <w:rtl w:val="true"/>
          <w:lang w:bidi="fa-IR"/>
        </w:rPr>
        <w:t xml:space="preserve">وهو 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مع غيره ؛ وهي كفّارة قتل العمد ، وكفّارة من أفطر في شهر رمضان على محرّم ، فإنّه تجب فيهما</w:t>
      </w:r>
      <w:r>
        <w:rPr>
          <w:rStyle w:val="FootnoteAnchor"/>
          <w:rtl w:val="true"/>
        </w:rPr>
        <w:footnoteReference w:id="824"/>
      </w:r>
      <w:r>
        <w:rPr>
          <w:rFonts w:ascii="IRNazanin" w:hAnsi="IRNazanin" w:eastAsia="IRNazanin"/>
          <w:color w:val="111111"/>
          <w:sz w:val="28"/>
          <w:sz w:val="28"/>
          <w:szCs w:val="28"/>
          <w:rtl w:val="true"/>
          <w:lang w:bidi="fa-IR"/>
        </w:rPr>
        <w:t xml:space="preserve">الخصال الثلاث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مايجب فيه الصوم بعد العجز عن غيره ؛ وهي كفّارة الظهار وكفّارة قتل الخطأ ، فإنّ وجوب الصوم فيهما بعد العجز عن العتق ، وكفّارة الإفطار في قضاء شهر رمضان ، فإنّ الصوم فيها بعد العجز عن الإطعام ، وكفّارة اليمين وهي عتق رقبة أو إطعام عشرة مساكين أو كسوتهم ، وإن لم يقدر فصيام ثلاثة أيّام ، وكفّارة صيد النعامة ، فإنّها صيام ثمانية عشر يوماً بعد العجز عن البدنة</w:t>
      </w:r>
      <w:r>
        <w:rPr>
          <w:rStyle w:val="FootnoteAnchor"/>
          <w:rtl w:val="true"/>
        </w:rPr>
        <w:footnoteReference w:id="825"/>
      </w:r>
      <w:r>
        <w:rPr>
          <w:rFonts w:ascii="Amiri" w:hAnsi="Amiri" w:eastAsia="Amiri" w:cs="Amiri"/>
          <w:color w:val="111111"/>
          <w:sz w:val="28"/>
          <w:sz w:val="28"/>
          <w:szCs w:val="28"/>
          <w:rtl w:val="true"/>
          <w:lang w:bidi="ar-SA"/>
        </w:rPr>
        <w:t xml:space="preserve">، وكفّارة صيد </w:t>
      </w:r>
    </w:p>
    <w:p>
      <w:pPr>
        <w:pStyle w:val="BookText"/>
        <w:rPr/>
      </w:pPr>
      <w:r>
        <w:rPr>
          <w:rFonts w:ascii="Amiri" w:hAnsi="Amiri" w:eastAsia="Amiri" w:cs="Amiri"/>
          <w:color w:val="111111"/>
          <w:sz w:val="28"/>
          <w:sz w:val="28"/>
          <w:szCs w:val="28"/>
          <w:rtl w:val="true"/>
          <w:lang w:bidi="ar-SA"/>
        </w:rPr>
        <w:t>البقر الوحشي ، صوم تسعة أيّام بعد العجز عن ذبح</w:t>
      </w:r>
      <w:r>
        <w:rPr>
          <w:rStyle w:val="FootnoteAnchor"/>
          <w:rtl w:val="true"/>
        </w:rPr>
        <w:footnoteReference w:id="826"/>
      </w:r>
      <w:r>
        <w:rPr>
          <w:rFonts w:ascii="Amiri" w:hAnsi="Amiri" w:eastAsia="Amiri" w:cs="Amiri"/>
          <w:color w:val="111111"/>
          <w:sz w:val="28"/>
          <w:sz w:val="28"/>
          <w:szCs w:val="28"/>
          <w:rtl w:val="true"/>
          <w:lang w:bidi="ar-SA"/>
        </w:rPr>
        <w:t>البقرة ، وكفّارة صيد الغزال ، صوم ثلاثة أيّام بعد العجز عن شاة</w:t>
      </w:r>
      <w:r>
        <w:rPr>
          <w:rStyle w:val="FootnoteAnchor"/>
          <w:rtl w:val="true"/>
        </w:rPr>
        <w:footnoteReference w:id="827"/>
      </w:r>
      <w:r>
        <w:rPr>
          <w:rFonts w:ascii="Amiri" w:hAnsi="Amiri" w:eastAsia="Amiri" w:cs="Amiri"/>
          <w:color w:val="111111"/>
          <w:sz w:val="28"/>
          <w:sz w:val="28"/>
          <w:szCs w:val="28"/>
          <w:rtl w:val="true"/>
          <w:lang w:bidi="ar-SA"/>
        </w:rPr>
        <w:t>، وكفّارة الإفاضة من عرفات قبل الغروب عامداً ، ثمانية عشر يوماً بعد العجز عن بدنة ، وكفّارة خدش المرأة وجهها في المصاب حتّى أدمته ونتفها رأسها فيه ، وكفّارة شقّ الرجل ثوبه على زوجته</w:t>
      </w:r>
      <w:r>
        <w:rPr>
          <w:rStyle w:val="FootnoteAnchor"/>
          <w:rtl w:val="true"/>
        </w:rPr>
        <w:footnoteReference w:id="828"/>
      </w:r>
      <w:r>
        <w:rPr>
          <w:rFonts w:ascii="Amiri" w:hAnsi="Amiri" w:eastAsia="Amiri" w:cs="Amiri"/>
          <w:color w:val="111111"/>
          <w:sz w:val="28"/>
          <w:sz w:val="28"/>
          <w:szCs w:val="28"/>
          <w:rtl w:val="true"/>
          <w:lang w:bidi="ar-SA"/>
        </w:rPr>
        <w:t xml:space="preserve">، فإنّهما ككفّارة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مخيّراً بينه وبين غيره ، وهي كفّارة الإفطار في شهر رمضان ، وكفّارة الاعتكاف ، وكفّارة جزّ المرأة شعرها في المصاب ، فإنّ كلّ هذه مخيّرة بين الخصال الثلاث ، وكذا كفّارة النذر والعهد على المشهور</w:t>
      </w:r>
      <w:r>
        <w:rPr>
          <w:rStyle w:val="FootnoteAnchor"/>
          <w:rtl w:val="true"/>
        </w:rPr>
        <w:footnoteReference w:id="829"/>
      </w:r>
      <w:r>
        <w:rPr>
          <w:rFonts w:ascii="Amiri" w:hAnsi="Amiri" w:eastAsia="Amiri" w:cs="Amiri"/>
          <w:color w:val="111111"/>
          <w:sz w:val="28"/>
          <w:sz w:val="28"/>
          <w:szCs w:val="28"/>
          <w:rtl w:val="true"/>
          <w:lang w:bidi="ar-SA"/>
        </w:rPr>
        <w:t xml:space="preserve">، والأقوى عندي أنّ كفّارة النذر ككفّارة اليمين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التتابع في صوم شهرين من كفّارة الجمع أو كفّارة </w:t>
      </w:r>
      <w:bookmarkStart w:id="384" w:name="pg15003_159910"/>
    </w:p>
    <w:p>
      <w:pPr>
        <w:pStyle w:val="BookText"/>
        <w:rPr/>
      </w:pPr>
      <w:bookmarkEnd w:id="384"/>
      <w:r>
        <w:rPr>
          <w:rFonts w:ascii="Amiri" w:hAnsi="Amiri" w:eastAsia="Amiri" w:cs="Amiri"/>
          <w:color w:val="111111"/>
          <w:sz w:val="28"/>
          <w:sz w:val="28"/>
          <w:szCs w:val="28"/>
          <w:rtl w:val="true"/>
          <w:lang w:bidi="ar-SA"/>
        </w:rPr>
        <w:t>التخيير</w:t>
      </w:r>
      <w:r>
        <w:rPr>
          <w:rStyle w:val="FootnoteAnchor"/>
          <w:rtl w:val="true"/>
        </w:rPr>
        <w:footnoteReference w:id="830"/>
      </w:r>
      <w:r>
        <w:rPr>
          <w:rFonts w:ascii="Amiri" w:hAnsi="Amiri" w:eastAsia="Amiri" w:cs="Amiri"/>
          <w:color w:val="111111"/>
          <w:sz w:val="28"/>
          <w:sz w:val="28"/>
          <w:szCs w:val="28"/>
          <w:rtl w:val="true"/>
          <w:lang w:bidi="ar-SA"/>
        </w:rPr>
        <w:t>، ويكفي في حصوله صوم الشهر الأوّل ويوم من الشهر الثاني كما مرّ ، وكذا يجب</w:t>
      </w:r>
      <w:r>
        <w:rPr>
          <w:rStyle w:val="FootnoteAnchor"/>
          <w:rtl w:val="true"/>
        </w:rPr>
        <w:footnoteReference w:id="831"/>
      </w:r>
      <w:r>
        <w:rPr>
          <w:rFonts w:ascii="Amiri" w:hAnsi="Amiri" w:eastAsia="Amiri" w:cs="Amiri"/>
          <w:color w:val="111111"/>
          <w:sz w:val="28"/>
          <w:sz w:val="28"/>
          <w:szCs w:val="28"/>
          <w:rtl w:val="true"/>
          <w:lang w:bidi="ar-SA"/>
        </w:rPr>
        <w:t xml:space="preserve">التتابع في الثمانية عشر بدل الشهرين ، بل هو الأحوط في صيام سائر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بالتتابع فيما يشترط فيه التتابع الإفطار في الأثناء لعذر من الأعذار فيبني على ما مضى كما تقدّم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87847_3406789950"/>
      <w:bookmarkStart w:id="386" w:name="_Toc138"/>
      <w:bookmarkEnd w:id="385"/>
      <w:r>
        <w:rPr>
          <w:rtl w:val="true"/>
        </w:rPr>
        <w:t>وأمّا المندوب من الصوم</w:t>
      </w:r>
      <w:bookmarkEnd w:id="386"/>
    </w:p>
    <w:p>
      <w:pPr>
        <w:pStyle w:val="BookText"/>
        <w:rPr/>
      </w:pPr>
      <w:r>
        <w:rPr>
          <w:rFonts w:ascii="Amiri" w:hAnsi="Amiri" w:eastAsia="Amiri" w:cs="Amiri"/>
          <w:color w:val="111111"/>
          <w:sz w:val="28"/>
          <w:sz w:val="28"/>
          <w:szCs w:val="28"/>
          <w:rtl w:val="true"/>
          <w:lang w:bidi="ar-SA"/>
        </w:rPr>
        <w:t xml:space="preserve">فالمؤكّد منه أفراد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أيّام من كلّ شهر ، وأفضل كيفيتها أوّل خميس منه وآخر خميس منه وأوّل أربعاء في العشر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الليالي البيض ، وهي الثالث عشر والرابع عشر والخامس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 وهو الثامن عشر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مولود النبي صلی الله علیه و آله وسلم ، وهو السابع عشر من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مبعثه صلی الله علیه و آله وسلم ، وهو اليوم السابع والعشرون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دحو الأرض ، وهو اليوم الخامس والعشرون من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لمن لم يضعفه الصوم عمّا عزم عليه من الدعاء مع تحقّق الهلال على وجه لا يحتمل وقوعه في يوم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المباهلة</w:t>
      </w:r>
      <w:r>
        <w:rPr>
          <w:rStyle w:val="FootnoteAnchor"/>
          <w:rtl w:val="true"/>
        </w:rPr>
        <w:footnoteReference w:id="832"/>
      </w:r>
      <w:r>
        <w:rPr>
          <w:rFonts w:ascii="Amiri" w:hAnsi="Amiri" w:eastAsia="Amiri" w:cs="Amiri"/>
          <w:color w:val="111111"/>
          <w:sz w:val="28"/>
          <w:sz w:val="28"/>
          <w:szCs w:val="28"/>
          <w:rtl w:val="true"/>
          <w:lang w:bidi="ar-SA"/>
        </w:rPr>
        <w:t xml:space="preserve">، وهو الرابع والعشرون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خميس وجمعة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ذي الحجّة ، بل كلّ يوم من أوّله إلى يوم التاسع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وشعبان كلاًّ أو بعضاً ولو يوماً من كلّ منهما </w:t>
      </w:r>
      <w:r>
        <w:rPr>
          <w:rFonts w:eastAsia="Amiri" w:cs="Amiri" w:ascii="Amiri" w:hAnsi="Amiri"/>
          <w:color w:val="111111"/>
          <w:sz w:val="28"/>
          <w:szCs w:val="28"/>
          <w:rtl w:val="true"/>
          <w:lang w:bidi="ar-SA"/>
        </w:rPr>
        <w:t xml:space="preserve">. </w:t>
      </w:r>
      <w:bookmarkStart w:id="387" w:name="pg15003_159911"/>
    </w:p>
    <w:p>
      <w:pPr>
        <w:pStyle w:val="BookText"/>
        <w:rPr/>
      </w:pPr>
      <w:bookmarkEnd w:id="38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المحرّم وثالثه وسابعه</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 أيّام</w:t>
      </w:r>
      <w:r>
        <w:rPr>
          <w:rStyle w:val="FootnoteAnchor"/>
          <w:rtl w:val="true"/>
        </w:rPr>
        <w:footnoteReference w:id="834"/>
      </w:r>
      <w:r>
        <w:rPr>
          <w:rFonts w:ascii="Amiri" w:hAnsi="Amiri" w:eastAsia="Amiri" w:cs="Amiri"/>
          <w:color w:val="111111"/>
          <w:sz w:val="28"/>
          <w:sz w:val="28"/>
          <w:szCs w:val="28"/>
          <w:rtl w:val="true"/>
          <w:lang w:bidi="ar-SA"/>
        </w:rPr>
        <w:t xml:space="preserve">بعد عيد الفطر ، والأولى جعلها بعد ثلاثة أيّام أحدها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w:t>
      </w:r>
      <w:r>
        <w:rPr>
          <w:rStyle w:val="FootnoteAnchor"/>
          <w:rtl w:val="true"/>
        </w:rPr>
        <w:footnoteReference w:id="835"/>
      </w:r>
      <w:r>
        <w:rPr>
          <w:rFonts w:ascii="IRNazanin" w:hAnsi="IRNazanin" w:eastAsia="IRNazanin"/>
          <w:color w:val="111111"/>
          <w:sz w:val="28"/>
          <w:sz w:val="28"/>
          <w:szCs w:val="28"/>
          <w:rtl w:val="true"/>
          <w:lang w:bidi="fa-IR"/>
        </w:rPr>
        <w:t xml:space="preserve">من جمادى الاُولى </w:t>
      </w:r>
      <w:r>
        <w:rPr>
          <w:rFonts w:eastAsia="IRNazanin" w:cs="IRNazanin"/>
          <w:color w:val="111111"/>
          <w:sz w:val="28"/>
          <w:szCs w:val="28"/>
          <w:rtl w:val="true"/>
          <w:lang w:bidi="fa-IR"/>
        </w:rPr>
        <w:t>.</w:t>
      </w:r>
    </w:p>
    <w:p>
      <w:pPr>
        <w:pStyle w:val="Heading3"/>
        <w:numPr>
          <w:ilvl w:val="2"/>
          <w:numId w:val="1"/>
        </w:numPr>
        <w:rPr/>
      </w:pPr>
      <w:bookmarkStart w:id="388" w:name="__RefHeading___Toc487849_3406789950"/>
      <w:bookmarkStart w:id="389" w:name="_Toc139"/>
      <w:bookmarkEnd w:id="388"/>
      <w:r>
        <w:rPr>
          <w:rtl w:val="true"/>
        </w:rPr>
        <w:t>وأمّا المكروه</w:t>
      </w:r>
      <w:bookmarkEnd w:id="389"/>
    </w:p>
    <w:p>
      <w:pPr>
        <w:pStyle w:val="BookText"/>
        <w:rPr/>
      </w:pPr>
      <w:r>
        <w:rPr>
          <w:rFonts w:ascii="Amiri" w:hAnsi="Amiri" w:eastAsia="Amiri" w:cs="Amiri"/>
          <w:color w:val="111111"/>
          <w:sz w:val="28"/>
          <w:sz w:val="28"/>
          <w:szCs w:val="28"/>
          <w:rtl w:val="true"/>
          <w:lang w:bidi="ar-SA"/>
        </w:rPr>
        <w:t>فصوم يوم عرفة</w:t>
      </w:r>
      <w:r>
        <w:rPr>
          <w:rStyle w:val="FootnoteAnchor"/>
          <w:rtl w:val="true"/>
        </w:rPr>
        <w:footnoteReference w:id="836"/>
      </w:r>
      <w:r>
        <w:rPr>
          <w:rFonts w:ascii="Amiri" w:hAnsi="Amiri" w:eastAsia="Amiri" w:cs="Amiri"/>
          <w:color w:val="111111"/>
          <w:sz w:val="28"/>
          <w:sz w:val="28"/>
          <w:szCs w:val="28"/>
          <w:rtl w:val="true"/>
          <w:lang w:bidi="ar-SA"/>
        </w:rPr>
        <w:t xml:space="preserve">لمن خاف أن يُضعفه عن الدعاء الذي هو أفضل من الصوم ، وكذا صومه مع الشكّ في الهلال ولو لوجود غيم ونحوه خوفاً من أن يكون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أيضاً صوم الضيف نافلة من دون إذن مضيفه وكذا مع النهي ، وإن كان الأحوط تركه حينئذٍ ، بل الأحوط تركه مع عدم الإذن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صوم الولد من غير إذن والده ومع النهي ما لم يكن بذلك إيذاءً له من حيث الشفقة ، بل لا يترك</w:t>
      </w:r>
      <w:r>
        <w:rPr>
          <w:rStyle w:val="FootnoteAnchor"/>
          <w:rtl w:val="true"/>
        </w:rPr>
        <w:footnoteReference w:id="837"/>
      </w:r>
      <w:r>
        <w:rPr>
          <w:rFonts w:ascii="Amiri" w:hAnsi="Amiri" w:eastAsia="Amiri" w:cs="Amiri"/>
          <w:color w:val="111111"/>
          <w:sz w:val="28"/>
          <w:sz w:val="28"/>
          <w:szCs w:val="28"/>
          <w:rtl w:val="true"/>
          <w:lang w:bidi="ar-SA"/>
        </w:rPr>
        <w:t xml:space="preserve">الاحتياط في ترك الصوم مع عدم الإذن فضلاً عن النهي ، كما أنّ الأحوط إجراء الحكم على الولد وإن نزل والوالد وإن علا ، بل الأولى مراعاة إذن الوالدة أيضاً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للصائم ندباً أو موسّعاً الإفطار ؛ إذا دعاه أخوه المؤمن إلى طعام ، من غير فرق بين من هيّأ له طعاماً وغيره ، وبين من شقّ عليه المخالفة وغيره </w:t>
      </w:r>
      <w:r>
        <w:rPr>
          <w:rFonts w:eastAsia="Amiri" w:cs="Amiri" w:ascii="Amiri" w:hAnsi="Amiri"/>
          <w:color w:val="111111"/>
          <w:sz w:val="28"/>
          <w:szCs w:val="28"/>
          <w:rtl w:val="true"/>
          <w:lang w:bidi="ar-SA"/>
        </w:rPr>
        <w:t xml:space="preserve">. </w:t>
      </w:r>
      <w:bookmarkStart w:id="390" w:name="pg15003_159912"/>
    </w:p>
    <w:p>
      <w:pPr>
        <w:pStyle w:val="Heading3"/>
        <w:numPr>
          <w:ilvl w:val="2"/>
          <w:numId w:val="1"/>
        </w:numPr>
        <w:rPr/>
      </w:pPr>
      <w:bookmarkStart w:id="391" w:name="__RefHeading___Toc487851_3406789950"/>
      <w:bookmarkStart w:id="392" w:name="_Toc140"/>
      <w:bookmarkEnd w:id="390"/>
      <w:bookmarkEnd w:id="391"/>
      <w:r>
        <w:rPr>
          <w:rtl w:val="true"/>
        </w:rPr>
        <w:t>وأمّا المحظور</w:t>
      </w:r>
      <w:bookmarkEnd w:id="3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فصوم يومي العيدين ، وصوم أيّام التشريق لمن كان بمنى ؛ ناسكاً أو لا ، على تأمّل</w:t>
      </w:r>
      <w:r>
        <w:rPr>
          <w:rStyle w:val="FootnoteAnchor"/>
          <w:rtl w:val="true"/>
        </w:rPr>
        <w:footnoteReference w:id="838"/>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يوم الثلاثين من شعبان بنيّة أ نّه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وفاءً عن نذر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والصوم ساكتاً على معنى نيّته كذلك ولو في بعض اليوم ، ولا بأس به إذا لم يكن السكوت منويّاً فيه ولو في تمام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أيضاً صوم الوصال ، والأقوى كونه للأعمّ من نيّة صوم يوم وليلة إلى السحر ويومين مع ليلة ، ولا بأس بتأخير الإفطار إلى السحر وإلى الليلة الثانية مع عدم النيّة ، وإن كان الأحوط اجتنابه ، كما أنّ الأحوط عدم صوم الزوجة والمملوك تطوّعاً بدون إذن الزوج والسيّد ، بل لا يبعد</w:t>
      </w:r>
      <w:r>
        <w:rPr>
          <w:rStyle w:val="FootnoteAnchor"/>
          <w:rtl w:val="true"/>
        </w:rPr>
        <w:footnoteReference w:id="839"/>
      </w:r>
      <w:r>
        <w:rPr>
          <w:rFonts w:ascii="Amiri" w:hAnsi="Amiri" w:eastAsia="Amiri" w:cs="Amiri"/>
          <w:color w:val="111111"/>
          <w:sz w:val="28"/>
          <w:sz w:val="28"/>
          <w:szCs w:val="28"/>
          <w:rtl w:val="true"/>
          <w:lang w:bidi="ar-SA"/>
        </w:rPr>
        <w:t xml:space="preserve">عدم الجواز مع المزاحمة لحقّ السيّد والزوج ، ولا يترك الاحتياط مع النهي مطلقاً </w:t>
      </w:r>
      <w:r>
        <w:rPr>
          <w:rFonts w:eastAsia="Amiri" w:cs="Amiri" w:ascii="Amiri" w:hAnsi="Amiri"/>
          <w:color w:val="111111"/>
          <w:sz w:val="28"/>
          <w:szCs w:val="28"/>
          <w:rtl w:val="true"/>
          <w:lang w:bidi="ar-SA"/>
        </w:rPr>
        <w:t xml:space="preserve">. </w:t>
      </w:r>
      <w:bookmarkStart w:id="393" w:name="pg15003_159913"/>
    </w:p>
    <w:p>
      <w:pPr>
        <w:pStyle w:val="Heading3"/>
        <w:numPr>
          <w:ilvl w:val="2"/>
          <w:numId w:val="1"/>
        </w:numPr>
        <w:rPr/>
      </w:pPr>
      <w:bookmarkStart w:id="394" w:name="__RefHeading___Toc487853_3406789950"/>
      <w:bookmarkStart w:id="395" w:name="_Toc141"/>
      <w:bookmarkEnd w:id="393"/>
      <w:bookmarkEnd w:id="394"/>
      <w:r>
        <w:rPr>
          <w:rtl w:val="true"/>
        </w:rPr>
        <w:t xml:space="preserve">خاتمة </w:t>
      </w:r>
      <w:r>
        <w:rPr>
          <w:rtl w:val="true"/>
        </w:rPr>
        <w:t xml:space="preserve">: </w:t>
      </w:r>
      <w:r>
        <w:rPr>
          <w:rtl w:val="true"/>
        </w:rPr>
        <w:t>في الاعتكاف</w:t>
      </w:r>
      <w:bookmarkEnd w:id="395"/>
    </w:p>
    <w:p>
      <w:pPr>
        <w:pStyle w:val="BookText"/>
        <w:rPr/>
      </w:pPr>
      <w:r>
        <w:rPr>
          <w:rFonts w:ascii="Amiri" w:hAnsi="Amiri" w:eastAsia="Amiri" w:cs="Amiri"/>
          <w:color w:val="111111"/>
          <w:sz w:val="28"/>
          <w:sz w:val="28"/>
          <w:szCs w:val="28"/>
          <w:rtl w:val="true"/>
          <w:lang w:bidi="ar-SA"/>
        </w:rPr>
        <w:t xml:space="preserve">وهو اللبث في المسجد بقصد التعبّد به ، ولا يعتبر فيه ضمّ قصد عبادة اُخرى خارجة عنه وإن كان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مستحبّ بأصل الشرع ، وربّما يجب لعارض ؛ من نذر أو عهد أو يمين أو 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في كلّ وقت يصحّ فيه الصوم ، وأفضل أوقاته شهر رمضان وأفضله العشر الاُخر منه ، والكلام في شروطه وأحكامه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87855_3406789950"/>
      <w:bookmarkStart w:id="397" w:name="_Toc142"/>
      <w:bookmarkEnd w:id="396"/>
      <w:r>
        <w:rPr>
          <w:rtl w:val="true"/>
        </w:rPr>
        <w:t xml:space="preserve">القول </w:t>
      </w:r>
      <w:r>
        <w:rPr>
          <w:rtl w:val="true"/>
        </w:rPr>
        <w:t xml:space="preserve">: </w:t>
      </w:r>
      <w:r>
        <w:rPr>
          <w:rtl w:val="true"/>
        </w:rPr>
        <w:t>في شروطه</w:t>
      </w:r>
      <w:bookmarkEnd w:id="397"/>
    </w:p>
    <w:p>
      <w:pPr>
        <w:pStyle w:val="BookText"/>
        <w:rPr/>
      </w:pPr>
      <w:r>
        <w:rPr>
          <w:rFonts w:ascii="Amiri" w:hAnsi="Amiri" w:eastAsia="Amiri" w:cs="Amiri"/>
          <w:color w:val="111111"/>
          <w:sz w:val="28"/>
          <w:sz w:val="28"/>
          <w:szCs w:val="28"/>
          <w:rtl w:val="true"/>
          <w:lang w:bidi="ar-SA"/>
        </w:rPr>
        <w:t xml:space="preserve">يشترط في صحّته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من المجنون ولو أدواراً في دوره ، ولا من السكران وغيره من فاقدي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ولا يعتبر فيها بعد التعيين أزيد من الإخلاص وقصد القربة ، ولا يعتبر فيها قصد الوجه ؛ من الوجوب أو الندب كغيره من العبادات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يقصد الوجوب في الواجب والندب في المندوب وإن وجب فيه الثالث كما يأتي ، والأولى ملاحظته في ابتداء النيّة ، بل تجديد نيّة الوجوب لليوم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النيّة في ابتداء الاعتكاف أوّل الفجر من اليوم الأوّل ؛ بمعنى عدم جواز تأخيرها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يشرع فيه في أوّل الليل أو في أثنائه ، فينويه حين الشروع ، بل الأحوط إدخال الليلة الاُولى أيضاً والنيّة من أوّلها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فلا يصحّ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كونه له ، فيكفي صوم غيره ؛ واجباً كان أو مستحبّاً ، مؤدّياً عن نفسه أو متحمّلاً عن غيره ، من غير فرق بين </w:t>
      </w:r>
    </w:p>
    <w:p>
      <w:pPr>
        <w:pStyle w:val="BookText"/>
        <w:rPr/>
      </w:pPr>
      <w:r>
        <w:rPr>
          <w:rFonts w:ascii="Amiri" w:hAnsi="Amiri" w:eastAsia="Amiri" w:cs="Amiri"/>
          <w:color w:val="111111"/>
          <w:sz w:val="28"/>
          <w:sz w:val="28"/>
          <w:szCs w:val="28"/>
          <w:rtl w:val="true"/>
          <w:lang w:bidi="ar-SA"/>
        </w:rPr>
        <w:t>أقسام الاعتكاف وأنواع الصيام ، حتّى أ نّه يصحّ إيقاع الاعتكاف المنذور والإجاري</w:t>
      </w:r>
      <w:r>
        <w:rPr>
          <w:rStyle w:val="FootnoteAnchor"/>
          <w:rtl w:val="true"/>
        </w:rPr>
        <w:footnoteReference w:id="840"/>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نذر الاعتكاف في أيّام معيّنة وكان عليه صوم منذور أجزأه الصوم في أيّام الاعتكاف وفاءً عن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أقلّ من ثلاثة أيّام بلياليها المتوسّطة ، وأمّا الأزيد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لأكثره وإن وجب الثالث لكلّ اثنين ، فإذا اعتكف خمسة أيّام وجب السادس ، وإذا صار ثمانية وجب التاسع</w:t>
      </w:r>
      <w:r>
        <w:rPr>
          <w:rStyle w:val="FootnoteAnchor"/>
          <w:rtl w:val="true"/>
        </w:rPr>
        <w:footnoteReference w:id="841"/>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من طلوع الفجر إلى زوال الحمرة المشرقية ، فلو اعتكف من طلوع الفجر إلى الغروب من اليوم الثالث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إدخال الليلة الاُولى ولا الرابعة وإن جاز كما عرفت ، وفي كفاية الثلاثة التلفيقية بأن يشرع من زوال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زوال اليوم الرابع تأمّل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مسجد جامع</w:t>
      </w:r>
      <w:r>
        <w:rPr>
          <w:rStyle w:val="FootnoteAnchor"/>
          <w:rtl w:val="true"/>
        </w:rPr>
        <w:footnoteReference w:id="842"/>
      </w:r>
      <w:r>
        <w:rPr>
          <w:rFonts w:ascii="IRNazanin" w:hAnsi="IRNazanin" w:eastAsia="IRNazanin"/>
          <w:color w:val="111111"/>
          <w:sz w:val="28"/>
          <w:sz w:val="28"/>
          <w:szCs w:val="28"/>
          <w:rtl w:val="true"/>
          <w:lang w:bidi="fa-IR"/>
        </w:rPr>
        <w:t xml:space="preserve">، فلا يكفي غيره كمسجد القبيلة أو السوق ،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في أحد 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النبي صلی الله علیه و آله وسلم ومسجد الكوفة ومسجد البصرة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يعتبر إذنه ، كالسيّد بالنسبة إلى مملوكه مطلقاً ، نعم إذا كان مبعّضاً وهاياه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له أيّاماً وله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إيقاعه في أيّامه بدون إذن سيّده ، بل مع المنع أيضاً ، وكذا المستأجر بالنسبة إلى أجيره الخاصّ</w:t>
      </w:r>
      <w:r>
        <w:rPr>
          <w:rStyle w:val="FootnoteAnchor"/>
          <w:rtl w:val="true"/>
        </w:rPr>
        <w:footnoteReference w:id="84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والزوج بالنسبة إلى الزوجة إذا كان منافياً لحقّه</w:t>
      </w:r>
      <w:r>
        <w:rPr>
          <w:rStyle w:val="FootnoteAnchor"/>
          <w:rtl w:val="true"/>
        </w:rPr>
        <w:footnoteReference w:id="844"/>
      </w:r>
      <w:r>
        <w:rPr>
          <w:rFonts w:ascii="Amiri" w:hAnsi="Amiri" w:eastAsia="Amiri" w:cs="Amiri"/>
          <w:color w:val="111111"/>
          <w:sz w:val="28"/>
          <w:sz w:val="28"/>
          <w:szCs w:val="28"/>
          <w:rtl w:val="true"/>
          <w:lang w:bidi="ar-SA"/>
        </w:rPr>
        <w:t xml:space="preserve">، والوالدين بالنسبة إلى ولدهما إذا كان مستلزماً لإيذائهما ، وأمّا مع عدم المنافاة وعدم الإيذاء فلا يعتبر إذنهم وإن كان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 فلو خرج عمداً اختياراً لغير الأسباب المبيحة بطل ولو كان جاهلاً بالحكم ، نعم لو خرج ناسياً أو مكرهاً لم يبطل ، وكذا لو خرج لضرورة عقلاً أو شرعاً أو عادة كقضاء الحاجة من بول أو غائط أو للاغتسال من الجنابة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الاغتسال</w:t>
      </w:r>
      <w:r>
        <w:rPr>
          <w:rStyle w:val="FootnoteAnchor"/>
          <w:rtl w:val="true"/>
        </w:rPr>
        <w:footnoteReference w:id="845"/>
      </w:r>
      <w:r>
        <w:rPr>
          <w:rFonts w:ascii="Amiri" w:hAnsi="Amiri" w:eastAsia="Amiri" w:cs="Amiri"/>
          <w:color w:val="111111"/>
          <w:sz w:val="28"/>
          <w:sz w:val="28"/>
          <w:szCs w:val="28"/>
          <w:rtl w:val="true"/>
          <w:lang w:bidi="ar-SA"/>
        </w:rPr>
        <w:t xml:space="preserve">في المسجد وإن أمكن من دون تلويث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الاعتكاف البلوغ فيصحّ من الصبيّ المميّز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اعتكاف إلى اعتكاف آخر وإن اتّحدا في الوجوب والندب ، ولا عن نيابة شخص إلى نيابة شخص آخر ، ولا عن نيابة غيره إلى نفسه وبالعكس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قطع الاعتكاف المندوب في اليومين الأوّلين ، وبعد تمامهما يجب الثالث ، بل يجب الثالث لكلّ اثنين</w:t>
      </w:r>
      <w:r>
        <w:rPr>
          <w:rStyle w:val="FootnoteAnchor"/>
          <w:rtl w:val="true"/>
        </w:rPr>
        <w:footnoteReference w:id="846"/>
      </w:r>
      <w:r>
        <w:rPr>
          <w:rFonts w:ascii="Amiri" w:hAnsi="Amiri" w:eastAsia="Amiri" w:cs="Amiri"/>
          <w:color w:val="111111"/>
          <w:sz w:val="28"/>
          <w:sz w:val="28"/>
          <w:szCs w:val="28"/>
          <w:rtl w:val="true"/>
          <w:lang w:bidi="ar-SA"/>
        </w:rPr>
        <w:t xml:space="preserve">على الأقوى كما تقدّم ، وأمّا المنذور فإن كان معيّناً فلا يجوز قطعه مطلقاً وإلاّ فكالمندوب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كون الأيّام الثلاثة متّصلة ويدخل الليلتان المتوسّطتان كما أشرنا إليه ، فلو نذر اعتكاف ثلاثة أيّام منفصلة أو من دون الليلتين لم ينعقد إذا كان المنذور الاعتكاف الشرعي ، وكذا لو نذر اعتكاف يوم أو يومين مقيّداً بعدم الزيادة ، نعم لو لم يقيّده به صحّ ووجب ضمّ يوم أو يومين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شهر يجزيه ما بين الهلالين وإن كان ناقصاً ، لكن يضمّ إليه حينئذٍ يوماً بناءً على وجوب كلّ ثالث ، كما هو الأقوى</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الاعتكاف الواحد وحدة المسجد ، فلا يجوز أن يجعله في مسجدين ولو كانا متّصلين</w:t>
      </w:r>
      <w:r>
        <w:rPr>
          <w:rStyle w:val="FootnoteAnchor"/>
          <w:rtl w:val="true"/>
        </w:rPr>
        <w:footnoteReference w:id="848"/>
      </w:r>
      <w:r>
        <w:rPr>
          <w:rFonts w:ascii="Amiri" w:hAnsi="Amiri" w:eastAsia="Amiri" w:cs="Amiri"/>
          <w:color w:val="111111"/>
          <w:sz w:val="28"/>
          <w:sz w:val="28"/>
          <w:szCs w:val="28"/>
          <w:rtl w:val="true"/>
          <w:lang w:bidi="ar-SA"/>
        </w:rPr>
        <w:t xml:space="preserve">، نعم لو كان اتّصالهما على نحو يعدّان مسجداً واحداً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إتمام الاعتكاف في محلّ النيّة لخوف أو هدم ونحو ذلك بطل ولا يجزيه إتمامه في جامع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سطوح المساجد وسراديبها ومحاريبها من المساجد ، فحكمها حكمها ما لم يعلم خروجها ، بخلاف سنائدها ومضافاتها كالدهليز ونحوه فإنّها ليس منها ما لم يعلم دخولها وجعلها جزءاً منها ، ومن ذلك بقعتا مسلم بن عقيل وهاني فإنّ الظاهر أ نّهما خارجان عن مسجد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موضعاً خاصّاً من المسجد محلاًّ لاعتكافه لم يتعيّن</w:t>
      </w:r>
      <w:r>
        <w:rPr>
          <w:rStyle w:val="FootnoteAnchor"/>
          <w:rtl w:val="true"/>
        </w:rPr>
        <w:footnoteReference w:id="849"/>
      </w:r>
      <w:r>
        <w:rPr>
          <w:rFonts w:ascii="Amiri" w:hAnsi="Amiri" w:eastAsia="Amiri" w:cs="Amiri"/>
          <w:color w:val="111111"/>
          <w:sz w:val="28"/>
          <w:sz w:val="28"/>
          <w:szCs w:val="28"/>
          <w:rtl w:val="true"/>
          <w:lang w:bidi="ar-SA"/>
        </w:rPr>
        <w:t xml:space="preserve">ويكون قصده وتعيينه لغواً ، حتّى فيما لو عيّن السطح دون الأسفل أو العكس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الضرورات المبيحة للخروج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الشهادة ، وحضور </w:t>
      </w:r>
    </w:p>
    <w:p>
      <w:pPr>
        <w:pStyle w:val="BookText"/>
        <w:rPr/>
      </w:pPr>
      <w:r>
        <w:rPr>
          <w:rFonts w:ascii="Amiri" w:hAnsi="Amiri" w:eastAsia="Amiri" w:cs="Amiri"/>
          <w:color w:val="111111"/>
          <w:sz w:val="28"/>
          <w:sz w:val="28"/>
          <w:szCs w:val="28"/>
          <w:rtl w:val="true"/>
          <w:lang w:bidi="ar-SA"/>
        </w:rPr>
        <w:t>الجماعة</w:t>
      </w:r>
      <w:r>
        <w:rPr>
          <w:rStyle w:val="FootnoteAnchor"/>
          <w:rtl w:val="true"/>
        </w:rPr>
        <w:footnoteReference w:id="850"/>
      </w:r>
      <w:r>
        <w:rPr>
          <w:rFonts w:ascii="Amiri" w:hAnsi="Amiri" w:eastAsia="Amiri" w:cs="Amiri"/>
          <w:color w:val="111111"/>
          <w:sz w:val="28"/>
          <w:sz w:val="28"/>
          <w:szCs w:val="28"/>
          <w:rtl w:val="true"/>
          <w:lang w:bidi="ar-SA"/>
        </w:rPr>
        <w:t>، وعيادة</w:t>
      </w:r>
      <w:r>
        <w:rPr>
          <w:rStyle w:val="FootnoteAnchor"/>
          <w:rtl w:val="true"/>
        </w:rPr>
        <w:footnoteReference w:id="851"/>
      </w:r>
      <w:r>
        <w:rPr>
          <w:rFonts w:ascii="Amiri" w:hAnsi="Amiri" w:eastAsia="Amiri" w:cs="Amiri"/>
          <w:color w:val="111111"/>
          <w:sz w:val="28"/>
          <w:sz w:val="28"/>
          <w:szCs w:val="28"/>
          <w:rtl w:val="true"/>
          <w:lang w:bidi="ar-SA"/>
        </w:rPr>
        <w:t xml:space="preserve">المريض ، وتشييع الجنازة ، وتشييع المسافر ، واستقبال القادم ، وغير ذلك وإن لم يتعيّن عليه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كلّ ما يلزم الخروج إليه عقلاً أو شرعاً أو عادةً من الاُمور الواجبة أو الراجحة ؛ سواء كانت متعلّقة باُمور الدنيا أو الآخرة ، حصل ضرر بترك الخروج إليها أو لا ، نعم الأحوط مراعاة أقرب الطرق والاقتصار على مقدار الحاجة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لا يجلس تحت الظلال مع الإمكان بل ولا يمشي</w:t>
      </w:r>
      <w:r>
        <w:rPr>
          <w:rStyle w:val="FootnoteAnchor"/>
          <w:rtl w:val="true"/>
        </w:rPr>
        <w:footnoteReference w:id="852"/>
      </w:r>
      <w:r>
        <w:rPr>
          <w:rFonts w:ascii="Amiri" w:hAnsi="Amiri" w:eastAsia="Amiri" w:cs="Amiri"/>
          <w:color w:val="111111"/>
          <w:sz w:val="28"/>
          <w:sz w:val="28"/>
          <w:szCs w:val="28"/>
          <w:rtl w:val="true"/>
          <w:lang w:bidi="ar-SA"/>
        </w:rPr>
        <w:t xml:space="preserve">تحته ، بل الأحوط عدم الجلوس مطلقاً إلاّ مع الضرورة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أجنب في المسجد وجب عليه الخروج للاغتسال إذا لم يمكن إيقاعه فيه</w:t>
      </w:r>
      <w:r>
        <w:rPr>
          <w:rStyle w:val="FootnoteAnchor"/>
          <w:rtl w:val="true"/>
        </w:rPr>
        <w:footnoteReference w:id="853"/>
      </w:r>
      <w:r>
        <w:rPr>
          <w:rFonts w:ascii="Amiri" w:hAnsi="Amiri" w:eastAsia="Amiri" w:cs="Amiri"/>
          <w:color w:val="111111"/>
          <w:sz w:val="28"/>
          <w:sz w:val="28"/>
          <w:szCs w:val="28"/>
          <w:rtl w:val="true"/>
          <w:lang w:bidi="ar-SA"/>
        </w:rPr>
        <w:t xml:space="preserve">ولو ترك الخروج بطل اعتكافه من جهة حرمة لبثه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مكاناً في المسجد ؛ بأن دفع من سبق إليه وجلس فيه بطل</w:t>
      </w:r>
      <w:r>
        <w:rPr>
          <w:rStyle w:val="FootnoteAnchor"/>
          <w:rtl w:val="true"/>
        </w:rPr>
        <w:footnoteReference w:id="854"/>
      </w:r>
      <w:r>
        <w:rPr>
          <w:rFonts w:ascii="Amiri" w:hAnsi="Amiri" w:eastAsia="Amiri" w:cs="Amiri"/>
          <w:color w:val="111111"/>
          <w:sz w:val="28"/>
          <w:sz w:val="28"/>
          <w:szCs w:val="28"/>
          <w:rtl w:val="true"/>
          <w:lang w:bidi="ar-SA"/>
        </w:rPr>
        <w:t xml:space="preserve">اعتكافه ، وكذا لو جلس على فراش مغصوب على تأمّل وإشكال فيهما ، نعم لو كان جاهلاً بالغصب أو ناسياً له فلا إشكال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فرش المسجد بتراب أو آجر مغصوب فإن أمكن إزالته والتحرّز عنه يكون كالفراش المغصوب وإلاّ فلا مانع من الكون عليه على إشكال ، فالأحوط</w:t>
      </w:r>
      <w:r>
        <w:rPr>
          <w:rStyle w:val="FootnoteAnchor"/>
          <w:rtl w:val="true"/>
        </w:rPr>
        <w:footnoteReference w:id="855"/>
      </w:r>
      <w:r>
        <w:rPr>
          <w:rFonts w:ascii="IRNazanin" w:hAnsi="IRNazanin" w:eastAsia="IRNazanin"/>
          <w:color w:val="111111"/>
          <w:sz w:val="28"/>
          <w:sz w:val="28"/>
          <w:szCs w:val="28"/>
          <w:rtl w:val="true"/>
          <w:lang w:bidi="fa-IR"/>
        </w:rPr>
        <w:t xml:space="preserve">الاجتناب </w:t>
      </w:r>
      <w:r>
        <w:rPr>
          <w:rFonts w:eastAsia="IRNazanin" w:cs="IRNazanin"/>
          <w:color w:val="111111"/>
          <w:sz w:val="28"/>
          <w:szCs w:val="28"/>
          <w:rtl w:val="true"/>
          <w:lang w:bidi="fa-IR"/>
        </w:rPr>
        <w:t xml:space="preserve">. </w:t>
      </w:r>
      <w:bookmarkStart w:id="398" w:name="pg15003_159918"/>
    </w:p>
    <w:p>
      <w:pPr>
        <w:pStyle w:val="BookText"/>
        <w:rPr/>
      </w:pPr>
      <w:bookmarkEnd w:id="3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طال الخروج في مورد الضرورة بحيث انمحت صورة الاعتكاف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للمعتكف أن يشترط حين النيّة الرجوع عن اعتكافه متى شاء حتّى اليوم الثالث ؛ سواء علّقه على عروض عارض أم لا</w:t>
      </w:r>
      <w:r>
        <w:rPr>
          <w:rStyle w:val="FootnoteAnchor"/>
          <w:rtl w:val="true"/>
        </w:rPr>
        <w:footnoteReference w:id="856"/>
      </w:r>
      <w:r>
        <w:rPr>
          <w:rFonts w:ascii="Amiri" w:hAnsi="Amiri" w:eastAsia="Amiri" w:cs="Amiri"/>
          <w:color w:val="111111"/>
          <w:sz w:val="28"/>
          <w:sz w:val="28"/>
          <w:szCs w:val="28"/>
          <w:rtl w:val="true"/>
          <w:lang w:bidi="ar-SA"/>
        </w:rPr>
        <w:t xml:space="preserve">، فهو على حسب ما شرط إن عامّاً فعامّ وإن خاصّاً فخاصّ ، كما يصحّ للناذر اشتراط ذلك في نذره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أعتكف بشرط أن يكون لي الرجوع عند عروض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الرجوع ، ولا يترتّب عليه إثم ولا حنث ولا قضاء ، وإن لم يشترط ذلك حين الشروع في الاعتكاف ، وإن كان الأحوط</w:t>
      </w:r>
      <w:r>
        <w:rPr>
          <w:rStyle w:val="FootnoteAnchor"/>
          <w:rtl w:val="true"/>
        </w:rPr>
        <w:footnoteReference w:id="857"/>
      </w:r>
      <w:r>
        <w:rPr>
          <w:rFonts w:ascii="Amiri" w:hAnsi="Amiri" w:eastAsia="Amiri" w:cs="Amiri"/>
          <w:color w:val="111111"/>
          <w:sz w:val="28"/>
          <w:sz w:val="28"/>
          <w:szCs w:val="28"/>
          <w:rtl w:val="true"/>
          <w:lang w:bidi="ar-SA"/>
        </w:rPr>
        <w:t xml:space="preserve">ذكر الشرط في حال الشروع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بالشرط المذكور قبل عقد نيّة الاعتكاف ولا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حين النيّة ثمّ أسقط حكم شرطه فالظاهر عدم سقوطه </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487857_3406789950"/>
      <w:bookmarkStart w:id="400" w:name="_Toc143"/>
      <w:bookmarkEnd w:id="399"/>
      <w:r>
        <w:rPr>
          <w:rtl w:val="true"/>
        </w:rPr>
        <w:t xml:space="preserve">القول </w:t>
      </w:r>
      <w:r>
        <w:rPr>
          <w:rtl w:val="true"/>
        </w:rPr>
        <w:t xml:space="preserve">: </w:t>
      </w:r>
      <w:r>
        <w:rPr>
          <w:rtl w:val="true"/>
        </w:rPr>
        <w:t>في أحكام الاعتكاف</w:t>
      </w:r>
      <w:bookmarkEnd w:id="400"/>
    </w:p>
    <w:p>
      <w:pPr>
        <w:pStyle w:val="BookText"/>
        <w:rPr/>
      </w:pPr>
      <w:r>
        <w:rPr>
          <w:rFonts w:ascii="Amiri" w:hAnsi="Amiri" w:eastAsia="Amiri" w:cs="Amiri"/>
          <w:color w:val="111111"/>
          <w:sz w:val="28"/>
          <w:sz w:val="28"/>
          <w:szCs w:val="28"/>
          <w:rtl w:val="true"/>
          <w:lang w:bidi="ar-SA"/>
        </w:rPr>
        <w:t xml:space="preserve">يحرم على المعتكف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بل وباللمس والتقبيل بشهوة ، بل هي مبطلة للاعتكاف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الرجل والمرأة ، فيحرم ذلك على المعتكفة أيضاً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على الأحوط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والريحان متلذّذاً ، ففاقد حاسّة الشمّ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 والأحوط ترك غيرهما أيضاً من أنواع التجارة كالصلح والإجارة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وقعت المعاملة صحّت وترتّب عليها الأثر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بالاشتغال بالاُمور الدنيوية من أصناف المعايش حتّى الخياطة والنساجة ونحوهما وإن كان الأحوط الاجتناب ، نعم لا بأس بها مع الاضطرار ، بل لا بأس بالبيع والشراء إذا مسّت الحاجة إليهما للأكل والشرب ، حتّى مع إمكان</w:t>
      </w:r>
      <w:r>
        <w:rPr>
          <w:rStyle w:val="FootnoteAnchor"/>
          <w:rtl w:val="true"/>
        </w:rPr>
        <w:footnoteReference w:id="858"/>
      </w:r>
      <w:r>
        <w:rPr>
          <w:rFonts w:ascii="Amiri" w:hAnsi="Amiri" w:eastAsia="Amiri" w:cs="Amiri"/>
          <w:color w:val="111111"/>
          <w:sz w:val="28"/>
          <w:sz w:val="28"/>
          <w:szCs w:val="28"/>
          <w:rtl w:val="true"/>
          <w:lang w:bidi="ar-SA"/>
        </w:rPr>
        <w:t xml:space="preserve">توكيل الغير والنقل بغير البيع وإن كان الأحوط الاقتصار على صورة تعذّرهما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على أمر دنيوي أو ديني إذا كانت لأجل الغلبة وإظهار الفضيلة ، فإن كانت بقصد إظهار الحقّ وردّ الخصم عن الخطأ فلا بأس بها ، بل هي حينئذٍ من أفضل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للمعتكف اجتناب ما يجتنبه المحرم ، لكنّ الأقوى خلافه ، خصوصاً لبس المخيط وإزالة الشعر وأكل الصيد وعقد النكاح ، فإنّ جميع ذلك جائز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ما سمعته على المعتكف بين الليل والنهار عدا الإفطار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 الاعتكاف كلّ ما يفسد الصوم من حيث اشتراطه به فبطلانه يوجب بطلانه ، وكذا يفسده الجماع ولو وقع في الليل ، وكذا اللمس والتقبيل بشهوة ، بل الأحوط بطلانه بسائر ما ذكر من المحرّمات أيضاً ، نعم </w:t>
      </w:r>
    </w:p>
    <w:p>
      <w:pPr>
        <w:pStyle w:val="BookText"/>
        <w:rPr/>
      </w:pPr>
      <w:r>
        <w:rPr>
          <w:rFonts w:ascii="IRNazanin" w:hAnsi="IRNazanin" w:eastAsia="IRNazanin"/>
          <w:color w:val="111111"/>
          <w:sz w:val="28"/>
          <w:sz w:val="28"/>
          <w:szCs w:val="28"/>
          <w:rtl w:val="true"/>
          <w:lang w:bidi="fa-IR"/>
        </w:rPr>
        <w:t>بطلانه بها مختصّ بحال العمد</w:t>
      </w:r>
      <w:r>
        <w:rPr>
          <w:rStyle w:val="FootnoteAnchor"/>
          <w:rtl w:val="true"/>
        </w:rPr>
        <w:footnoteReference w:id="859"/>
      </w:r>
      <w:r>
        <w:rPr>
          <w:rFonts w:ascii="Amiri" w:hAnsi="Amiri" w:eastAsia="Amiri" w:cs="Amiri"/>
          <w:color w:val="111111"/>
          <w:sz w:val="28"/>
          <w:sz w:val="28"/>
          <w:szCs w:val="28"/>
          <w:rtl w:val="true"/>
          <w:lang w:bidi="ar-SA"/>
        </w:rPr>
        <w:t xml:space="preserve">والاختيار بخلاف الجماع ، فإنّه يفسده ولو وقع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فسد بأحد المفسدات فإن كان واجباً معيّناً وجب قضاؤه ولا يجب الفور فيه وإن كان أحوط ، وإن كان غير معيّن وجب استئنافه ، وكذا يجب قضاؤه إذا كان مندوباً وأفسده بعد اليومين ، وأمّا إذا كان قبلهما فلا شيء عليه ، بل في مشروعية قضائه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القضاء أو الاستئناف في الاعتكاف الواجب إذا لم يشترط فيه الرجوع وإلاّ فلا قضاء ولا استئناف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أفسد الاعتكاف الواجب</w:t>
      </w:r>
      <w:r>
        <w:rPr>
          <w:rStyle w:val="FootnoteAnchor"/>
          <w:rtl w:val="true"/>
        </w:rPr>
        <w:footnoteReference w:id="860"/>
      </w:r>
      <w:r>
        <w:rPr>
          <w:rFonts w:ascii="Amiri" w:hAnsi="Amiri" w:eastAsia="Amiri" w:cs="Amiri"/>
          <w:color w:val="111111"/>
          <w:sz w:val="28"/>
          <w:sz w:val="28"/>
          <w:szCs w:val="28"/>
          <w:rtl w:val="true"/>
          <w:lang w:bidi="ar-SA"/>
        </w:rPr>
        <w:t xml:space="preserve">بالجماع ولو ليلاً وجبت الكفّارة ، ولا تجب في سائر المحرّمات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ككفّارة شهر رمضان وإن كان الأحوط كونها مرتّبة ككفّارة الظهار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أفسد الاعتكاف الواجب بالجماع في نهار شهر رمضان فعليه كفّارتان ، وكذا في قضاء شهر رمضان إذا كان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أكره زوجته الصائمة في شهر رمضان فإن لم تكن معتكفة فعليه كفّارات ثلاث ؛ إحداها عن نفسه لاعتكافه ، والثانية عن نفسه لصومه ، والثالثة عن زوجته لصومها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معتكفة فكذلك على الأقوى ، وإن كان الأحوط أربع كفّارات بزيادة كفّارة اُخرى عن زوجته لاعتكافها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الزوجة مطاوعة فعلى كلّ منهما كفّارة واحدة إن كان في الليل وكفّارتان إذا كان في النهار </w:t>
      </w:r>
      <w:r>
        <w:rPr>
          <w:rFonts w:eastAsia="Amiri" w:cs="Amiri" w:ascii="Amiri" w:hAnsi="Amiri"/>
          <w:color w:val="111111"/>
          <w:sz w:val="28"/>
          <w:szCs w:val="28"/>
          <w:rtl w:val="true"/>
          <w:lang w:bidi="ar-SA"/>
        </w:rPr>
        <w:t xml:space="preserve">. </w:t>
      </w:r>
      <w:bookmarkStart w:id="401" w:name="pg15003_159921"/>
    </w:p>
    <w:p>
      <w:pPr>
        <w:pStyle w:val="Heading2"/>
        <w:numPr>
          <w:ilvl w:val="1"/>
          <w:numId w:val="1"/>
        </w:numPr>
        <w:rPr/>
      </w:pPr>
      <w:bookmarkStart w:id="402" w:name="__RefHeading___Toc487859_3406789950"/>
      <w:bookmarkStart w:id="403" w:name="_Toc144"/>
      <w:bookmarkEnd w:id="401"/>
      <w:bookmarkEnd w:id="402"/>
      <w:r>
        <w:rPr>
          <w:rtl w:val="true"/>
        </w:rPr>
        <w:t>كتاب الزكاة</w:t>
      </w:r>
      <w:bookmarkEnd w:id="403"/>
    </w:p>
    <w:p>
      <w:pPr>
        <w:pStyle w:val="Heading3"/>
        <w:numPr>
          <w:ilvl w:val="2"/>
          <w:numId w:val="1"/>
        </w:numPr>
        <w:rPr/>
      </w:pPr>
      <w:bookmarkStart w:id="404" w:name="__RefHeading___Toc487861_3406789950"/>
      <w:bookmarkStart w:id="405" w:name="_Toc145"/>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وهي في الجملة من ضروريات الدين ، وإنّ منكرها مندرج</w:t>
      </w:r>
      <w:r>
        <w:rPr>
          <w:rStyle w:val="FootnoteAnchor"/>
          <w:rtl w:val="true"/>
        </w:rPr>
        <w:footnoteReference w:id="861"/>
      </w:r>
      <w:r>
        <w:rPr>
          <w:rFonts w:ascii="Amiri" w:hAnsi="Amiri" w:eastAsia="Amiri" w:cs="Amiri"/>
          <w:color w:val="111111"/>
          <w:sz w:val="28"/>
          <w:sz w:val="28"/>
          <w:szCs w:val="28"/>
          <w:rtl w:val="true"/>
          <w:lang w:bidi="ar-SA"/>
        </w:rPr>
        <w:t xml:space="preserve">في سبيل الكافرين ، وإنّ مانع قيراط منها ليس من المؤمنين ولا من المسلمين ، وليمت إن شاء يهودياً وإن شاء نصرانياً ، وما من ذي مال أو نخل أو زرع أو كرم يمنع من زكاة ماله إلاّ قلّده اللّه تربة أرضه يطوّق بها من سبع أرضين إلى يوم القيامة ، وما من أحد يمنع من زكاة ماله شيئاً إلاّ جعل اللّه ذلك ثعباناً من النار مطوّقاً في عنقه ينهش لحمه حتّى يفرغ من الحساب ، وإنّ اللّه يحبسه يوم القيامة بقاع قفر ويسلّط اللّه عليه شجاعاً 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ثعباناً لا شعر في رأسه لكثرة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وهو يحيد عنه فإذا رأى أ نّه لا يتخلّص منه أمكنه من يده فقضمها كما يقضم الفحل ثمّ يصير طوقاً في عنقه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فضل الزكاة فعظيم وثوابها جسيم ، ويكفيك ما ورد في فضل الصدقة الشاملة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يربّيها لصاحبها كما يربّي الرجل فصيله ، فيأتي بها يوم القيامة مثل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 من لُحيّ سبعمائة </w:t>
      </w:r>
      <w:bookmarkStart w:id="406" w:name="pg15003_159922"/>
    </w:p>
    <w:p>
      <w:pPr>
        <w:pStyle w:val="BookText"/>
        <w:rPr/>
      </w:pPr>
      <w:bookmarkEnd w:id="406"/>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تطفئ غضب الربّ وتمحو الذنب العظيم وتهوّن الحساب وتنمي المال وتزيد في العمر</w:t>
      </w:r>
      <w:r>
        <w:rPr>
          <w:rFonts w:eastAsia="Amiri" w:cs="Amiri" w:ascii="Amiri" w:hAnsi="Amiri"/>
          <w:color w:val="111111"/>
          <w:sz w:val="28"/>
          <w:szCs w:val="28"/>
          <w:rtl w:val="true"/>
          <w:lang w:bidi="ar-SA"/>
        </w:rPr>
        <w:t>» .</w:t>
      </w:r>
    </w:p>
    <w:p>
      <w:pPr>
        <w:pStyle w:val="Heading3"/>
        <w:numPr>
          <w:ilvl w:val="2"/>
          <w:numId w:val="1"/>
        </w:numPr>
        <w:rPr/>
      </w:pPr>
      <w:bookmarkStart w:id="407" w:name="__RefHeading___Toc487863_3406789950"/>
      <w:bookmarkStart w:id="408" w:name="_Toc146"/>
      <w:bookmarkEnd w:id="407"/>
      <w:r>
        <w:rPr>
          <w:rtl w:val="true"/>
        </w:rPr>
        <w:t xml:space="preserve">وهنا مقصدان </w:t>
      </w:r>
      <w:r>
        <w:rPr>
          <w:rtl w:val="true"/>
        </w:rPr>
        <w:t>:</w:t>
      </w:r>
      <w:bookmarkEnd w:id="408"/>
    </w:p>
    <w:p>
      <w:pPr>
        <w:pStyle w:val="Heading3"/>
        <w:numPr>
          <w:ilvl w:val="2"/>
          <w:numId w:val="1"/>
        </w:numPr>
        <w:rPr/>
      </w:pPr>
      <w:bookmarkStart w:id="409" w:name="__RefHeading___Toc487865_3406789950"/>
      <w:bookmarkStart w:id="410" w:name="_Toc147"/>
      <w:bookmarkEnd w:id="409"/>
      <w:r>
        <w:rPr>
          <w:rtl w:val="true"/>
        </w:rPr>
        <w:t xml:space="preserve">المقصد الأوّل </w:t>
      </w:r>
      <w:r>
        <w:rPr>
          <w:rtl w:val="true"/>
        </w:rPr>
        <w:t xml:space="preserve">: </w:t>
      </w:r>
      <w:r>
        <w:rPr>
          <w:rtl w:val="true"/>
        </w:rPr>
        <w:t>في زكاة المال</w:t>
      </w:r>
      <w:bookmarkEnd w:id="410"/>
    </w:p>
    <w:p>
      <w:pPr>
        <w:pStyle w:val="Heading4"/>
        <w:numPr>
          <w:ilvl w:val="3"/>
          <w:numId w:val="1"/>
        </w:numPr>
        <w:rPr/>
      </w:pPr>
      <w:bookmarkStart w:id="411" w:name="__RefHeading___Toc487867_3406789950"/>
      <w:bookmarkStart w:id="412" w:name="_Toc148"/>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والكلام فيمن تجب عليه الزكاة وفيما تجب فيه وفيمن تصرف إليه وفي أوصاف المستحقّين لها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487869_3406789950"/>
      <w:bookmarkStart w:id="414" w:name="_Toc149"/>
      <w:bookmarkEnd w:id="413"/>
      <w:r>
        <w:rPr>
          <w:rtl w:val="true"/>
        </w:rPr>
        <w:t xml:space="preserve">القول </w:t>
      </w:r>
      <w:r>
        <w:rPr>
          <w:rtl w:val="true"/>
        </w:rPr>
        <w:t xml:space="preserve">: </w:t>
      </w:r>
      <w:r>
        <w:rPr>
          <w:rtl w:val="true"/>
        </w:rPr>
        <w:t>فيمن تجب عليه الزكاة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فيمن تجب عليه الزكاة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تجب على غير البالغ ، نعم إذا اتّجر له الوليّ الشرعي استحبّ له إخراج الزكاة من ماله ، كما أ نّه يستحبّ له أيضاً إخراجها من غلاّته ، وأمّا مواشيه فالأحوط</w:t>
      </w:r>
      <w:r>
        <w:rPr>
          <w:rStyle w:val="FootnoteAnchor"/>
          <w:rtl w:val="true"/>
        </w:rPr>
        <w:footnoteReference w:id="862"/>
      </w:r>
      <w:r>
        <w:rPr>
          <w:rFonts w:ascii="Amiri" w:hAnsi="Amiri" w:eastAsia="Amiri" w:cs="Amiri"/>
          <w:color w:val="111111"/>
          <w:sz w:val="28"/>
          <w:sz w:val="28"/>
          <w:szCs w:val="28"/>
          <w:rtl w:val="true"/>
          <w:lang w:bidi="ar-SA"/>
        </w:rPr>
        <w:t xml:space="preserve">الترك ، والمتولّي لإخراجها الوليّ لا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البلوغ أوّل الحول فيما اعتبر فيه الحول ، وفي غيره البلوغ قبل وقت التعلّق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تجب في مال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العقل في تمام الحول فيما اعتبر فيه الحول ، وحال التعلّق فيما لم يعتبر فيه كالبلوغ ، فإذا عرض الجنون فيما يعتبر فيه الحول ولو في زمان قصير</w:t>
      </w:r>
      <w:r>
        <w:rPr>
          <w:rStyle w:val="FootnoteAnchor"/>
          <w:rtl w:val="true"/>
        </w:rPr>
        <w:footnoteReference w:id="863"/>
      </w:r>
      <w:r>
        <w:rPr>
          <w:rFonts w:ascii="Amiri" w:hAnsi="Amiri" w:eastAsia="Amiri" w:cs="Amiri"/>
          <w:color w:val="111111"/>
          <w:sz w:val="28"/>
          <w:sz w:val="28"/>
          <w:szCs w:val="28"/>
          <w:rtl w:val="true"/>
          <w:lang w:bidi="ar-SA"/>
        </w:rPr>
        <w:t xml:space="preserve">يقطع الحول بخلاف النوم ، بل والسكر والإغماء على الأقوى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زكاة على العبد وإن قلنا بملكه كما هو الأقوى</w:t>
      </w:r>
      <w:r>
        <w:rPr>
          <w:rStyle w:val="FootnoteAnchor"/>
          <w:rtl w:val="true"/>
        </w:rPr>
        <w:footnoteReference w:id="864"/>
      </w:r>
      <w:r>
        <w:rPr>
          <w:rFonts w:ascii="Amiri" w:hAnsi="Amiri" w:eastAsia="Amiri" w:cs="Amiri"/>
          <w:color w:val="111111"/>
          <w:sz w:val="28"/>
          <w:sz w:val="28"/>
          <w:szCs w:val="28"/>
          <w:rtl w:val="true"/>
          <w:lang w:bidi="ar-SA"/>
        </w:rPr>
        <w:t xml:space="preserve">، فإذا ملّكه السيّد نصاباً لا تجب الزكاة على واحد منهما ، وكذا فيما إذا كان بيد العبد مال من السيّد مع عدم تمكّنه من التصرّف فيه عرفاً ، وأمّا إن كان متمكّناً عرفاً من التصرّف فيه يجب زكاته على السيّد مع جامعيته لشرائط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العبد بين أقسامه ، نعم المبعّض يجب عليه إذا كان ما يوزّع على شقصه الحرّ بقدر النصاب مع اجتماع سائر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فلا زكاة على الموهوب ولا على القرض إلاّ بعد القبض ؛ لكونه شرطاً لتملّك الموهوب له والمقترض ، ولا على الموصى به إلاّ بعد الوفاة والقبول ، بناءً على ما هو المشهور</w:t>
      </w:r>
      <w:r>
        <w:rPr>
          <w:rStyle w:val="FootnoteAnchor"/>
          <w:rtl w:val="true"/>
        </w:rPr>
        <w:footnoteReference w:id="865"/>
      </w:r>
      <w:r>
        <w:rPr>
          <w:rFonts w:ascii="Amiri" w:hAnsi="Amiri" w:eastAsia="Amiri" w:cs="Amiri"/>
          <w:color w:val="111111"/>
          <w:sz w:val="28"/>
          <w:sz w:val="28"/>
          <w:szCs w:val="28"/>
          <w:rtl w:val="true"/>
          <w:lang w:bidi="ar-SA"/>
        </w:rPr>
        <w:t xml:space="preserve">من اعتبار القبول في حصول الملكية للموصى له ، ولكن عدم اعتباره لا يخلو من وجه ، فلا يترك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 ، فلا زكاة في الوقف وإن كان خاصّاً ، ولا في نمائه إذا كان عامّاً وإن انحصر في واحد ، ولا في المرهون ، نعم لا يترك الاحتياط فيما لو أمكن فكّه</w:t>
      </w:r>
      <w:r>
        <w:rPr>
          <w:rStyle w:val="FootnoteAnchor"/>
          <w:rtl w:val="true"/>
        </w:rPr>
        <w:footnoteReference w:id="866"/>
      </w:r>
      <w:r>
        <w:rPr>
          <w:rFonts w:ascii="Amiri" w:hAnsi="Amiri" w:eastAsia="Amiri" w:cs="Amiri"/>
          <w:color w:val="111111"/>
          <w:sz w:val="28"/>
          <w:sz w:val="28"/>
          <w:szCs w:val="28"/>
          <w:rtl w:val="true"/>
          <w:lang w:bidi="ar-SA"/>
        </w:rPr>
        <w:t xml:space="preserve">، وكذا لا زكاة في المجحود وإن كانت عنده بيّنة يتمكّن من انتزاعه بها أو بيمين ، ولا في المسروق ، ولا في المدفون الذي نسي مكانه ، ولا في الضالّ ، ولا في الساقط في البحر ، ولا في المورّث عن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إليه أو إلى وكيله ، ولا في الدين وإن تمكّن من استيفائه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 كما سيأتي تفصيله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البلوغ حين التعلّق أو في التعلّق حين البلوغ لم يجب </w:t>
      </w:r>
    </w:p>
    <w:p>
      <w:pPr>
        <w:pStyle w:val="BookText"/>
        <w:rPr/>
      </w:pPr>
      <w:r>
        <w:rPr>
          <w:rFonts w:ascii="Amiri" w:hAnsi="Amiri" w:eastAsia="Amiri" w:cs="Amiri"/>
          <w:color w:val="111111"/>
          <w:sz w:val="28"/>
          <w:sz w:val="28"/>
          <w:szCs w:val="28"/>
          <w:rtl w:val="true"/>
          <w:lang w:bidi="ar-SA"/>
        </w:rPr>
        <w:t xml:space="preserve">الإخراج ، وكذا الحال في الشكّ في حدوث العقل في زمان التعلّق مع كونه مسبوقاً بالجنون ، وأمّا لو كان مسبوقاً بالعقل وشكّ في طروّ الجنون حال التعلّق وجب الإخراج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تمام التمكّن من التصرّف فيما يعتبر فيه الحول في تمام الحول ، فإذا طرأ ذلك في أثناء الحول ثمّ ارتفع انقطع الحول ويحتاج إلى حول جديد ، وأمّا فيما لا يعتبر فيه الحول ففي اعتباره حال تعلّق الوجوب تأمّل وإشكال ، أقواه ذلك وأحوطه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الخيار لغير المالك لا يمنع</w:t>
      </w:r>
      <w:r>
        <w:rPr>
          <w:rStyle w:val="FootnoteAnchor"/>
          <w:rtl w:val="true"/>
        </w:rPr>
        <w:footnoteReference w:id="867"/>
      </w:r>
      <w:r>
        <w:rPr>
          <w:rFonts w:ascii="Amiri" w:hAnsi="Amiri" w:eastAsia="Amiri" w:cs="Amiri"/>
          <w:color w:val="111111"/>
          <w:sz w:val="28"/>
          <w:sz w:val="28"/>
          <w:szCs w:val="28"/>
          <w:rtl w:val="true"/>
          <w:lang w:bidi="ar-SA"/>
        </w:rPr>
        <w:t xml:space="preserve">من تعلّق الزكاة ، فلو اشترى نصاباً من الغنم وكان للبائع الخيار جرى في الحول من حين العقد لا من حين انقضائه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تتعلّق الزكاة بنماء الوقف العامّ قبل أن يقبضه من ينطبق عليه عنوان الموقوف عليه ، وأمّا بعد القبض فهو كسائر أمواله تتعلّق به مع اجتماع شرائطه ، فإذا كان نخيل بستان وقفاً على الفقراء وبعد ظهور الثمر وقبل بدوّ الصلاح دفع المتولّي ما على النخيل إلى بعض الفقراء وسلّم إليه فبدا صلاحها عنده تتعلّق بها الزكاة مع اجتماع الشرائط ، وكذا لو كانت أغنام وقفاً على الفقراء ؛ بأن يكون نتاجها لهم فقبض الفقير منها مقدار النصاب وجرى في الحول عنده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القرض على المقترض بعد القبض وجريان الحول عنده ، وليس على المقرض والدائن شيء قبل أن يستوفي طلبه ، فما دام لم يستوفه </w:t>
      </w:r>
    </w:p>
    <w:p>
      <w:pPr>
        <w:pStyle w:val="BookText"/>
        <w:rPr/>
      </w:pPr>
      <w:r>
        <w:rPr>
          <w:rFonts w:ascii="Amiri" w:hAnsi="Amiri" w:eastAsia="Amiri" w:cs="Amiri"/>
          <w:color w:val="111111"/>
          <w:sz w:val="28"/>
          <w:sz w:val="28"/>
          <w:szCs w:val="28"/>
          <w:rtl w:val="true"/>
          <w:lang w:bidi="ar-SA"/>
        </w:rPr>
        <w:t xml:space="preserve">ولو اختياراً ، بل ولو فراراً من الزكاة لم تجب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عدم التمكّن من التصرّف بعد تعلّق الوجوب أو بعد مضيّ الحول متمكّناً فقد استقرّ وجوب الزكاة ، فيجب عليه الأداء إذا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تمكّن بعد ما لم يكن متمكّناً وقد مضى عليه سنون جرى في الحول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زكاته لسنة واحدة ممّا مضى ، بل يقوى</w:t>
      </w:r>
      <w:r>
        <w:rPr>
          <w:rStyle w:val="FootnoteAnchor"/>
          <w:rtl w:val="true"/>
        </w:rPr>
        <w:footnoteReference w:id="868"/>
      </w:r>
      <w:r>
        <w:rPr>
          <w:rFonts w:ascii="Amiri" w:hAnsi="Amiri" w:eastAsia="Amiri" w:cs="Amiri"/>
          <w:color w:val="111111"/>
          <w:sz w:val="28"/>
          <w:sz w:val="28"/>
          <w:szCs w:val="28"/>
          <w:rtl w:val="true"/>
          <w:lang w:bidi="ar-SA"/>
        </w:rPr>
        <w:t xml:space="preserve">استحبابها بمضيّ سنة واحدة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المال الزكوي مشتركاً بين اثنين أو أزيد يعتبر النصاب بالنسبة إلى الحصص لا المجموع ، فكلّ من بلغت حصّته حدّ النصاب وجبت عليه الزكاة ، دون من لم تبلغ حصّته 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استطاع الحجّ بالنصاب فإن تمّ الحول أو تعلّق الوجوب قبل سير القافلة والتمكّن من الذهاب وجبت الزكاة ، فإن بقيت الاستطاعة بعد إخراجها وجب الحجّ وإلاّ فلا ، وإن كان تمام الحول بعد زمان سير القافلة وأمكن صرف النصاب أو بعضه في الحجّ وجب الحجّ ، فإن صرفه فيه سقط وجوب الزكاة وإن عصى ولم يحجّ وجبت الزكاة بعد تمام الحول ، ولو تقارن خروج القافلة مع تمام الحول أو تعلّق الوجوب وجبت الزكاة دون الحجّ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الكافر تجب عليه الزكاة وإن لم تصحّ منه لو أدّاها ، نعم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نائبه أخذها منه قهراً ، بل يقوى أنّ له أخذ عوضها منه لو كان قد </w:t>
      </w:r>
      <w:bookmarkStart w:id="415" w:name="pg15003_159926"/>
    </w:p>
    <w:p>
      <w:pPr>
        <w:pStyle w:val="BookText"/>
        <w:rPr/>
      </w:pPr>
      <w:bookmarkEnd w:id="415"/>
      <w:r>
        <w:rPr>
          <w:rFonts w:ascii="Amiri" w:hAnsi="Amiri" w:eastAsia="Amiri" w:cs="Amiri"/>
          <w:color w:val="111111"/>
          <w:sz w:val="28"/>
          <w:sz w:val="28"/>
          <w:szCs w:val="28"/>
          <w:rtl w:val="true"/>
          <w:lang w:bidi="ar-SA"/>
        </w:rPr>
        <w:t xml:space="preserve">أتلفها ، نعم لو أسلم بعد ما وجبت عليه سقطت عنه وإن كانت العين موجودة على إشكال ، هذا إذا بقي على كفره إلى تمام الحول ، وأمّا لو أسلم قبله ولو بلحظة فالظاهر وجوب الزكاة عليه </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87871_3406789950"/>
      <w:bookmarkStart w:id="417" w:name="_Toc150"/>
      <w:bookmarkEnd w:id="416"/>
      <w:r>
        <w:rPr>
          <w:rtl w:val="true"/>
        </w:rPr>
        <w:t xml:space="preserve">القول </w:t>
      </w:r>
      <w:r>
        <w:rPr>
          <w:rtl w:val="true"/>
        </w:rPr>
        <w:t xml:space="preserve">: </w:t>
      </w:r>
      <w:r>
        <w:rPr>
          <w:rtl w:val="true"/>
        </w:rPr>
        <w:t>فيما يجب فيه الزكاة وما يستحبّ</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الزكاة في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 والنقدين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 والغلاّت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 ولا تجب فيما عدا هذه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في كلّ ما أنبت الأرض ممّا يكال</w:t>
      </w:r>
      <w:r>
        <w:rPr>
          <w:rStyle w:val="FootnoteAnchor"/>
          <w:rtl w:val="true"/>
        </w:rPr>
        <w:footnoteReference w:id="869"/>
      </w:r>
      <w:r>
        <w:rPr>
          <w:rFonts w:ascii="Amiri" w:hAnsi="Amiri" w:eastAsia="Amiri" w:cs="Amiri"/>
          <w:color w:val="111111"/>
          <w:sz w:val="28"/>
          <w:sz w:val="28"/>
          <w:szCs w:val="28"/>
          <w:rtl w:val="true"/>
          <w:lang w:bidi="ar-SA"/>
        </w:rPr>
        <w:t xml:space="preserve">أو يوزن ؛ من الحبوب والثمار وغيرها حتّى الاُشنان ، دون الخضر والبقول كالقتّ والباذنجان والخيار والبطّيخ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أيضاً في مال التجارة على الأصحّ وفي الخيل الإناث دون الذكور منها ودون البغال والحمير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التسعة المزبورة التي يجب فيها الزكاة يقع في ثلاثة فصول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87873_3406789950"/>
      <w:bookmarkStart w:id="419" w:name="_Toc151"/>
      <w:bookmarkEnd w:id="418"/>
      <w:r>
        <w:rPr>
          <w:rtl w:val="true"/>
        </w:rPr>
        <w:t xml:space="preserve">الفصل الأوّل </w:t>
      </w:r>
      <w:r>
        <w:rPr>
          <w:rtl w:val="true"/>
        </w:rPr>
        <w:t xml:space="preserve">: </w:t>
      </w:r>
      <w:r>
        <w:rPr>
          <w:rtl w:val="true"/>
        </w:rPr>
        <w:t>في زكاة الأنعام</w:t>
      </w:r>
      <w:bookmarkEnd w:id="419"/>
    </w:p>
    <w:p>
      <w:pPr>
        <w:pStyle w:val="Heading5"/>
        <w:numPr>
          <w:ilvl w:val="4"/>
          <w:numId w:val="1"/>
        </w:numPr>
        <w:rPr/>
      </w:pPr>
      <w:bookmarkStart w:id="420" w:name="__RefHeading___Toc487875_3406789950"/>
      <w:bookmarkStart w:id="421" w:name="_Toc152"/>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وشرائط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والسوم ، والحول ، وأن لا تكون عوامل </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487877_3406789950"/>
      <w:bookmarkStart w:id="423" w:name="_Toc153"/>
      <w:bookmarkEnd w:id="422"/>
      <w:r>
        <w:rPr>
          <w:rtl w:val="true"/>
        </w:rPr>
        <w:t xml:space="preserve">القول </w:t>
      </w:r>
      <w:r>
        <w:rPr>
          <w:rtl w:val="true"/>
        </w:rPr>
        <w:t xml:space="preserve">: </w:t>
      </w:r>
      <w:r>
        <w:rPr>
          <w:rtl w:val="true"/>
        </w:rPr>
        <w:t>في النصاب</w:t>
      </w:r>
      <w:bookmarkEnd w:id="42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الإبل اثنا عشر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وفيها شاة ، ثمّ عشرة وفيها شاتان ، ثمّ خمسة عشر وفيها ثلاثة شياه ، ثمّ عشرون وفيها أربع شياه ، ثمّ </w:t>
      </w:r>
    </w:p>
    <w:p>
      <w:pPr>
        <w:pStyle w:val="BookText"/>
        <w:rPr/>
      </w:pPr>
      <w:r>
        <w:rPr>
          <w:rFonts w:ascii="Amiri" w:hAnsi="Amiri" w:eastAsia="Amiri" w:cs="Amiri"/>
          <w:color w:val="111111"/>
          <w:sz w:val="28"/>
          <w:sz w:val="28"/>
          <w:szCs w:val="28"/>
          <w:rtl w:val="true"/>
          <w:lang w:bidi="ar-SA"/>
        </w:rPr>
        <w:t xml:space="preserve">خمس وعشرون وفيها خمس شياه ، ثمّ ستّ وعشرون وفيها بنت مخاض ، ثمّ ستّ وثلاثون وفيها بنت لبون ، ثمّ ستّ وأربعون وفيها حقّة ، ثمّ إحدى وستّون وفيها جذعة ، ثمّ ستّ وسبعون وفيها بنتا لبون ، ثمّ إحدى وتسعون وفيها حقّتان ، ثمّ مائة وإحدى وعشرون ، ففي كلّ خمسين حقّة وفي كلّ أربعين بنت لبون ؛ بمعنى وجوب مراعاة المطابق منهما ، ولو لم تحصل المطابقة إلاّ بهما لوحظا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مع المطابقة بكلّ منهما أو بهما ، وعلى هذا لا يتصوّر صورة عدم المطابقة بل هي حاصلة في العقود بأحد الوجوه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اشتمل على النيف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العقدين من الواحد إلى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المطابقة فتراعى على وجه يستوعب الجميع ما عدا النيف ويعفى عنه ، ففي مائة وإحدى وعشرين يحسب ثلاث أربعينات وتدفع ثلاث بنات لبون ، وفي مائة وثلاثين يحسب أربعينين وخمسين فتدفع بنتا لبون وحقّة ، وفي مائة وأربعين يحسب خمسينين وأربعين فتدفع حقّتان وبنت لبون ، وإذا بلغ مأة وخمسين يحسب ثلاث خمسينات فتدفع ثلاث حقق ، وفي مائة وستّين يحسب أربع أربعينات وتدفع أربع بنات لبون إلى أن بلغ مائتين فيتخيّر بين أن يحسبها خمس أربعينات ويعطي خمس بنات لبون وأن يحسبها أربع خمسينات ويعطي أربع حقق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وأربعون ، وفي كلّ ثلاثين تبيع أو تبيعة وفي كلّ أربعين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مراعاة المطابقة هنا أيضاً ، ولا يتصوّر عدم المطابقة إذا لوحظ أحدهما أو كلّ منهما أو 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ثلاثين تبيع أو تبيعة وفي أربعين مسنّة وما بينهما عفو ، كما أنّ ما بين أربعين إلى ستّين عفو أيضاً ، فإذا بلغ الستّين فلا يتصوّر عدم المطابقة في العقود إذا لوحظا بأحد الوجوه المزبورة ، ففي الستّين يلاحظ الثلاثون ويدفع تبيعان ، وفي السبعين </w:t>
      </w:r>
    </w:p>
    <w:p>
      <w:pPr>
        <w:pStyle w:val="BookText"/>
        <w:rPr/>
      </w:pPr>
      <w:r>
        <w:rPr>
          <w:rFonts w:ascii="Amiri" w:hAnsi="Amiri" w:eastAsia="Amiri" w:cs="Amiri"/>
          <w:color w:val="111111"/>
          <w:sz w:val="28"/>
          <w:sz w:val="28"/>
          <w:szCs w:val="28"/>
          <w:rtl w:val="true"/>
          <w:lang w:bidi="ar-SA"/>
        </w:rPr>
        <w:t xml:space="preserve">يلاحظ ثلاثون مع أربعين فيعطي تبيع ومسنّة ، وفي الثمانين يحسب أربعينين ويدفع مسنّتان ، وفي التسعين يحسب ثلاث ثلاثينات ويدفع ثلاث تبيعات ، وفي المائة يحسب ثلاثينين وأربعين فيعطى تبيعتان ومسنّة ، وفي المائة والعشرين يتخيّر بين أن يحسبها أربع ثلاثينات أو ثلاث أربعينات ويعفى عن النيف وهو ما بين العقود كما في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وفيها شاة ، ثمّ مائة وإحدى وعشرون وفيها شاتان ، ثمّ مائتان وواحدة وفيها ثلاث شياه ، ثمّ ثلاثمائة</w:t>
      </w:r>
      <w:r>
        <w:rPr>
          <w:rStyle w:val="FootnoteAnchor"/>
          <w:rtl w:val="true"/>
        </w:rPr>
        <w:footnoteReference w:id="870"/>
      </w:r>
      <w:r>
        <w:rPr>
          <w:rFonts w:ascii="Amiri" w:hAnsi="Amiri" w:eastAsia="Amiri" w:cs="Amiri"/>
          <w:color w:val="111111"/>
          <w:sz w:val="28"/>
          <w:sz w:val="28"/>
          <w:szCs w:val="28"/>
          <w:rtl w:val="true"/>
          <w:lang w:bidi="ar-SA"/>
        </w:rPr>
        <w:t xml:space="preserve">وواحدة وفيها أربع شياه ، ثمّ أربعمائة فصاعداً ففي كلّ مائة شاة بالغاً ما 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الزكاة في كلّ نصاب من نصب هذه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شيء فيما نقص عن النصاب ، كما أ نّه لا يجب فيما بين النصابين شيء غير ما وجب</w:t>
      </w:r>
      <w:r>
        <w:rPr>
          <w:rStyle w:val="FootnoteAnchor"/>
          <w:rtl w:val="true"/>
        </w:rPr>
        <w:footnoteReference w:id="871"/>
      </w:r>
      <w:r>
        <w:rPr>
          <w:rFonts w:ascii="Amiri" w:hAnsi="Amiri" w:eastAsia="Amiri" w:cs="Amiri"/>
          <w:color w:val="111111"/>
          <w:sz w:val="28"/>
          <w:sz w:val="28"/>
          <w:szCs w:val="28"/>
          <w:rtl w:val="true"/>
          <w:lang w:bidi="ar-SA"/>
        </w:rPr>
        <w:t xml:space="preserve">في النصاب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السنة الثانية وكذا التبيع والتبيعة ، وبنت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الثالثة وكذا المسنّة ، 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الداخلة في الرابعة ، والجذعة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الخامسة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سنّ من الإبل كبنت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عنده وكان عنده أعلى منها بسنّ كبنت اللبون دفعها وأخذ شاتين أو عشرين </w:t>
      </w:r>
      <w:bookmarkStart w:id="424" w:name="pg15003_159929"/>
    </w:p>
    <w:p>
      <w:pPr>
        <w:pStyle w:val="BookText"/>
        <w:rPr/>
      </w:pPr>
      <w:bookmarkEnd w:id="424"/>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عنده أخفض بسنّ دفعها ودفع معها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w:t>
      </w:r>
      <w:r>
        <w:rPr>
          <w:rStyle w:val="FootnoteAnchor"/>
          <w:rtl w:val="true"/>
        </w:rPr>
        <w:footnoteReference w:id="872"/>
      </w:r>
      <w:r>
        <w:rPr>
          <w:rFonts w:ascii="Amiri" w:hAnsi="Amiri" w:eastAsia="Amiri" w:cs="Amiri"/>
          <w:color w:val="111111"/>
          <w:sz w:val="28"/>
          <w:sz w:val="28"/>
          <w:szCs w:val="28"/>
          <w:rtl w:val="true"/>
          <w:lang w:bidi="ar-SA"/>
        </w:rPr>
        <w:t>ابن اللبون عن بنت المخاض اختياراً وإن كان الأحوط الاقتصار على حال عدم وجدانها عنده ، نعم إذا لم يكونا معاً عنده تخيّر</w:t>
      </w:r>
      <w:r>
        <w:rPr>
          <w:rStyle w:val="FootnoteAnchor"/>
          <w:rtl w:val="true"/>
        </w:rPr>
        <w:footnoteReference w:id="873"/>
      </w:r>
      <w:r>
        <w:rPr>
          <w:rFonts w:ascii="Amiri" w:hAnsi="Amiri" w:eastAsia="Amiri" w:cs="Amiri"/>
          <w:color w:val="111111"/>
          <w:sz w:val="28"/>
          <w:sz w:val="28"/>
          <w:szCs w:val="28"/>
          <w:rtl w:val="true"/>
          <w:lang w:bidi="ar-SA"/>
        </w:rPr>
        <w:t xml:space="preserve">في شراء أيّهما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يضمّ مال إنسان إلى غيره وإن كان مشتركاً أو مختلطاً متّحد المسرح والمراح والمشرب والفحل والحالب والمحلب ، بل يعتبر في مال كلّ واحد منهما بلوغ النصاب ولو بتلفيق الكسور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بين مالي المالك الواحد ولو تباعد مكانهما </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87879_3406789950"/>
      <w:bookmarkStart w:id="426" w:name="_Toc154"/>
      <w:bookmarkEnd w:id="425"/>
      <w:r>
        <w:rPr>
          <w:rtl w:val="true"/>
        </w:rPr>
        <w:t xml:space="preserve">القول </w:t>
      </w:r>
      <w:r>
        <w:rPr>
          <w:rtl w:val="true"/>
        </w:rPr>
        <w:t xml:space="preserve">: </w:t>
      </w:r>
      <w:r>
        <w:rPr>
          <w:rtl w:val="true"/>
        </w:rPr>
        <w:t>في السوم ؛ أي الرعي</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السوم تمام الحول فلو علفت في أثنائه بما يخرجها عن اسم السائمة في الحول عرفاً فلا زكاة ، نعم لا عبرة باللحظة ونحوها ممّا لا يخرج به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قدح اليوم أو اليومين في الصدق العرفي إشكال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سقوط الزكاة في المعلوفة بين أن يكون العَلْفُ بنفسها أو علّفها مالكها أو غيره ؛ من ماله أو من مال المالك ، بإذنه أو غير إذنه ، كما أ نّه لا فرق بين أن يكون بالاختيار أو لأجل الاضطرار أو لوجود مانع عن السوم من ثلج ونحوه ، وكذا لا فرق بين أن يعلفها بالعلف المجزوز أو يرسلها لترعى بنفسها في الزرع المملوك فإنّها تخرج عن السوم بذلك كلّه ، نعم الظاهر عدم خروجها </w:t>
      </w:r>
      <w:bookmarkStart w:id="427" w:name="pg15003_159930"/>
    </w:p>
    <w:p>
      <w:pPr>
        <w:pStyle w:val="BookText"/>
        <w:rPr/>
      </w:pPr>
      <w:bookmarkEnd w:id="427"/>
      <w:r>
        <w:rPr>
          <w:rFonts w:ascii="Amiri" w:hAnsi="Amiri" w:eastAsia="Amiri" w:cs="Amiri"/>
          <w:color w:val="111111"/>
          <w:sz w:val="28"/>
          <w:sz w:val="28"/>
          <w:szCs w:val="28"/>
          <w:rtl w:val="true"/>
          <w:lang w:bidi="ar-SA"/>
        </w:rPr>
        <w:t>عن صدق السوم باستئجار المرعى أو بشرائه إذا لم يكن مزروعاً</w:t>
      </w:r>
      <w:r>
        <w:rPr>
          <w:rStyle w:val="FootnoteAnchor"/>
          <w:rtl w:val="true"/>
        </w:rPr>
        <w:footnoteReference w:id="875"/>
      </w:r>
      <w:r>
        <w:rPr>
          <w:rFonts w:ascii="Amiri" w:hAnsi="Amiri" w:eastAsia="Amiri" w:cs="Amiri"/>
          <w:color w:val="111111"/>
          <w:sz w:val="28"/>
          <w:sz w:val="28"/>
          <w:szCs w:val="28"/>
          <w:rtl w:val="true"/>
          <w:lang w:bidi="ar-SA"/>
        </w:rPr>
        <w:t xml:space="preserve">، كما أ نّه لا تخرج عنه بما يدفع إلى الظالم على الرعي في الأرض المباحة </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487881_3406789950"/>
      <w:bookmarkStart w:id="429" w:name="_Toc155"/>
      <w:bookmarkEnd w:id="428"/>
      <w:r>
        <w:rPr>
          <w:rtl w:val="true"/>
        </w:rPr>
        <w:t xml:space="preserve">القول </w:t>
      </w:r>
      <w:r>
        <w:rPr>
          <w:rtl w:val="true"/>
        </w:rPr>
        <w:t xml:space="preserve">: </w:t>
      </w:r>
      <w:r>
        <w:rPr>
          <w:rtl w:val="true"/>
        </w:rPr>
        <w:t>في الحول</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الحول بتمام الأحد عشر شهراً ، لكن لا يستقرّ</w:t>
      </w:r>
      <w:r>
        <w:rPr>
          <w:rStyle w:val="FootnoteAnchor"/>
          <w:rtl w:val="true"/>
        </w:rPr>
        <w:footnoteReference w:id="876"/>
      </w:r>
      <w:r>
        <w:rPr>
          <w:rFonts w:ascii="Amiri" w:hAnsi="Amiri" w:eastAsia="Amiri" w:cs="Amiri"/>
          <w:color w:val="111111"/>
          <w:sz w:val="28"/>
          <w:sz w:val="28"/>
          <w:szCs w:val="28"/>
          <w:rtl w:val="true"/>
          <w:lang w:bidi="ar-SA"/>
        </w:rPr>
        <w:t xml:space="preserve">الوجوب به على الأقوى وإن كان الأحوط البناء على الاستقرار به ، وكيف كان فالأقوى احتساب الثاني عشر من الحول الأوّل 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اختلّ أحد شروط وجوبها في أثناء أحد عشر لا بعده بطل الحول ، كما لو نقصت عن النصاب أو لم يتمكّن من التصرّف فيها أو عاوضها بغير جنسها وإن كان زكوياً أو بجنسها كغنم سائمة ستّة أشهر بغنم كذلك أو بمثلها كالضأن بالضأن أو غير ذلك ، بل الظاهر بطلان الحول بذلك وإن فعله فراراً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 أحدها في الشهر الثاني عشر فعلى ما قوّيناه من عدم الاستقرار يبطل الحول ، وعلى القول الآخر لم يبطل وهو الأحوط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مالكاً للنصاب لا أزيد فحال عليه أحوال فإن أخرج في </w:t>
      </w:r>
    </w:p>
    <w:p>
      <w:pPr>
        <w:pStyle w:val="BookText"/>
        <w:rPr/>
      </w:pPr>
      <w:r>
        <w:rPr>
          <w:rFonts w:ascii="Amiri" w:hAnsi="Amiri" w:eastAsia="Amiri" w:cs="Amiri"/>
          <w:color w:val="111111"/>
          <w:sz w:val="28"/>
          <w:sz w:val="28"/>
          <w:szCs w:val="28"/>
          <w:rtl w:val="true"/>
          <w:lang w:bidi="ar-SA"/>
        </w:rPr>
        <w:t xml:space="preserve">كلّ سنة زكاته من غيره تكرّرت لبقاء النصاب حينئذٍ وعدم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أخّر إخراج الزكاة عن آخر الحول ولو بزمان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يتأخّر مبدأ الحول اللاحق عن تمام الحول السابق وبذلك المقدار ، فلا يجري النصاب في الحول الجديد إلاّ بعد إخراج زكاته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أخرج زكاته منه أو لم يخرج أصلاً ليس عليه إلاّ زكاة سنة واحدة لعدم بقاء النصاب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مالكاً لما زاد على النصاب ومضى عليه أحوال ولم يؤدّ زكاته يجب عليه زكاة ما مضى من السنين بما زاد على تلك الزيادة بواحد ، فلو كان عنده واحدة وأربعون من الغنم ومضى عليه أحوال ولم يؤدّ زكاتها يجب عليه زكاة سنتين ، ولو كان عنده اثنتان وأربعون يجب عليه زكاة ثلاث سنين ولو كان ثلاث وأربعون يجب عليه زكاة أربع سنين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فيما زاد لنقصانه عن النصاب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النصاب إذا حصل له في أثناء الحول ملك جديد بالنتاج أو بالإرث أو الشراء ونحوها فإن كان بمقدار العفو ولم يكن نصاباً مستقلاًّ ولا مكمّلاً لنصاب آخر فلا شيء عليه ، كما إذا كانت عنده أربعون من الغنم فولدت أربعين أو كان عنده خمس من الإبل فولدت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نصاباً مستقلاًّ كخمس من الإبل قد ولدت خمساً أو مكمّلاً لنصاب آخر ؛ بأن كان بمقدار لو انضمّ إلى الأصل بعد إخراج الفريضة خرج من ذلك النصاب ودخل في نصاب آخر ، كما لو ولدت أحد وثلاثون من البقر عشراً ، أو ثلاثون منه أحد عشر ، ففي الأوّل يعتبر لكلّ من القديم والجديد حول بانفراده ، فإذا ولدت خمس من الإبل خمساً بعد ستّة أشهر من حولها يخرج شاة بعد تمام حول الأصل وشاة </w:t>
      </w:r>
      <w:bookmarkStart w:id="430" w:name="pg15003_159932"/>
    </w:p>
    <w:p>
      <w:pPr>
        <w:pStyle w:val="BookText"/>
        <w:rPr/>
      </w:pPr>
      <w:bookmarkEnd w:id="430"/>
      <w:r>
        <w:rPr>
          <w:rFonts w:ascii="Amiri" w:hAnsi="Amiri" w:eastAsia="Amiri" w:cs="Amiri"/>
          <w:color w:val="111111"/>
          <w:sz w:val="28"/>
          <w:sz w:val="28"/>
          <w:szCs w:val="28"/>
          <w:rtl w:val="true"/>
          <w:lang w:bidi="ar-SA"/>
        </w:rPr>
        <w:t>اُخرى</w:t>
      </w:r>
      <w:r>
        <w:rPr>
          <w:rStyle w:val="FootnoteAnchor"/>
          <w:rtl w:val="true"/>
        </w:rPr>
        <w:footnoteReference w:id="877"/>
      </w:r>
      <w:r>
        <w:rPr>
          <w:rFonts w:ascii="Amiri" w:hAnsi="Amiri" w:eastAsia="Amiri" w:cs="Amiri"/>
          <w:color w:val="111111"/>
          <w:sz w:val="28"/>
          <w:sz w:val="28"/>
          <w:szCs w:val="28"/>
          <w:rtl w:val="true"/>
          <w:lang w:bidi="ar-SA"/>
        </w:rPr>
        <w:t xml:space="preserve">بعد تمام حول الأولاد ، ويكون مبدأ حول الأولاد مع التفرّق في الولادة بعد نتاج الأخير الذي يكمل به الخمسة ، وفي الثاني يستأنف حولاً واحداً للمجموع بعد تمام حول الأصل ، ويكون مبدأ حول المجموع عند زمان انتهاء حول الأصل ، وليس مبدأ حول الأولاد حين الاستغناء بالرعي عن اللبن حتّى فيما إذا كانت اُمّها معلوفة على الأقوى </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487883_3406789950"/>
      <w:bookmarkStart w:id="432" w:name="_Toc156"/>
      <w:bookmarkEnd w:id="431"/>
      <w:r>
        <w:rPr>
          <w:rtl w:val="true"/>
        </w:rPr>
        <w:t xml:space="preserve">القول </w:t>
      </w:r>
      <w:r>
        <w:rPr>
          <w:rtl w:val="true"/>
        </w:rPr>
        <w:t xml:space="preserve">: </w:t>
      </w:r>
      <w:r>
        <w:rPr>
          <w:rtl w:val="true"/>
        </w:rPr>
        <w:t>في الشرط الرابع ؛ أي عدم كونها عوامل</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أن لا تكون عوامل في تمام الحول ، فلو كانت كذلك ولو في بعض الحول فلا زكاة فيها وإن كانت 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صدق العوامل العرف </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87885_3406789950"/>
      <w:bookmarkStart w:id="434" w:name="_Toc157"/>
      <w:bookmarkEnd w:id="433"/>
      <w:r>
        <w:rPr>
          <w:rtl w:val="true"/>
        </w:rPr>
        <w:t>بقي الكلام فيما يؤخذ في الزكاة</w:t>
      </w:r>
      <w:bookmarkEnd w:id="43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تؤخذ المريضة من نصاب السليم ، ولا الهرمة من نصاب الشابّ ، ولا ذات العوار من نصاب السليم وإن عدّت منه ، أمّا لو كان النصاب جميعه مريضاً بمرض متّحد لم يكلّف شراء صحيحة وأجزأت مريضة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بعضه صحيحاً وبعضه مريضاً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w:t>
      </w:r>
      <w:bookmarkStart w:id="435" w:name="pg15003_159933"/>
    </w:p>
    <w:p>
      <w:pPr>
        <w:pStyle w:val="BookText"/>
        <w:rPr/>
      </w:pPr>
      <w:bookmarkEnd w:id="435"/>
      <w:r>
        <w:rPr>
          <w:rFonts w:ascii="Amiri" w:hAnsi="Amiri" w:eastAsia="Amiri" w:cs="Amiri"/>
          <w:color w:val="111111"/>
          <w:sz w:val="28"/>
          <w:sz w:val="28"/>
          <w:szCs w:val="28"/>
          <w:rtl w:val="true"/>
          <w:lang w:bidi="ar-SA"/>
        </w:rPr>
        <w:t>صحيحة من أواسط الشياه من غير ملاحظة التقسيط ، وكذا لا تؤخذ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الشاة الوالدة إلى 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بذلها المالك ، إلاّ إذا كان النصاب كلّه كذلك ، وكذا لا تؤخذ الأكولة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السمينة المعدّة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فحل الضراب ، بل لا يعدّ الجميع من النصاب على الأقوى ، وإن كان الأحوط عدّها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الشاة المأخوذة في الزكاة في الغنم والإبل وفي الجبر أقلّ ما يراد منها ما كمل له سنة ودخل في الثانية إن كان من الضأن ، وما دخل في الثالثة إن كان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الذكر عن الاُنثى وبالعكس ، والمعز عن الضأن وبالعكس؛ لأ نّهما جنس واحد في الزكاة كالبقر والجاموس ، والإبل العراب والبخاتي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للمالك أموال متفرّقة في أماكن مختلفة كان له إخراج الزكاة من أيّها شاء ، ولا يتعيّن عليه أن يدفع من النصاب ولا من جنس ما تعلّقت به الزكاة بل له أن يخرج من غير جنس</w:t>
      </w:r>
      <w:r>
        <w:rPr>
          <w:rStyle w:val="FootnoteAnchor"/>
          <w:rtl w:val="true"/>
        </w:rPr>
        <w:footnoteReference w:id="878"/>
      </w:r>
      <w:r>
        <w:rPr>
          <w:rFonts w:ascii="Amiri" w:hAnsi="Amiri" w:eastAsia="Amiri" w:cs="Amiri"/>
          <w:color w:val="111111"/>
          <w:sz w:val="28"/>
          <w:sz w:val="28"/>
          <w:szCs w:val="28"/>
          <w:rtl w:val="true"/>
          <w:lang w:bidi="ar-SA"/>
        </w:rPr>
        <w:t xml:space="preserve">الفريضة بالقيمة السوقية ، ولا يتعيّن ذلك عليه دراهم ودنانير وإن كان الإخراج من العين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القيمة قيمة وقت الأداء وكذا بلده لو كانت العين تالفة ، وأمّا لو كانت موجودة فالظاهر أنّ المدار على قيمة البلد الذي هي فيه </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487887_3406789950"/>
      <w:bookmarkStart w:id="437" w:name="_Toc158"/>
      <w:bookmarkEnd w:id="436"/>
      <w:r>
        <w:rPr>
          <w:rtl w:val="true"/>
        </w:rPr>
        <w:t xml:space="preserve">الفصل الثاني </w:t>
      </w:r>
      <w:r>
        <w:rPr>
          <w:rtl w:val="true"/>
        </w:rPr>
        <w:t xml:space="preserve">: </w:t>
      </w:r>
      <w:r>
        <w:rPr>
          <w:rtl w:val="true"/>
        </w:rPr>
        <w:t>في زكاة النقدين</w:t>
      </w:r>
      <w:bookmarkEnd w:id="437"/>
    </w:p>
    <w:p>
      <w:pPr>
        <w:pStyle w:val="BookText"/>
        <w:rPr/>
      </w:pPr>
      <w:r>
        <w:rPr>
          <w:rFonts w:ascii="Amiri" w:hAnsi="Amiri" w:eastAsia="Amiri" w:cs="Amiri"/>
          <w:color w:val="111111"/>
          <w:sz w:val="28"/>
          <w:sz w:val="28"/>
          <w:szCs w:val="28"/>
          <w:rtl w:val="true"/>
          <w:lang w:bidi="ar-SA"/>
        </w:rPr>
        <w:t xml:space="preserve">ويعتبر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وهو في الذهب عشرون ديناراً وفيه عشرة قراريط عبارة </w:t>
      </w:r>
    </w:p>
    <w:p>
      <w:pPr>
        <w:pStyle w:val="BookText"/>
        <w:rPr/>
      </w:pPr>
      <w:r>
        <w:rPr>
          <w:rFonts w:ascii="Amiri" w:hAnsi="Amiri" w:eastAsia="Amiri" w:cs="Amiri"/>
          <w:color w:val="111111"/>
          <w:sz w:val="28"/>
          <w:sz w:val="28"/>
          <w:szCs w:val="28"/>
          <w:rtl w:val="true"/>
          <w:lang w:bidi="ar-SA"/>
        </w:rPr>
        <w:t xml:space="preserve">عن نصف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مثقال شرعي وهو ثلاثة أرباع الصيرفي ، فيكون العشرون ديناراً خمسة عشر مثقالاً صيرفياً ، وزكاته ربع المثقال وثمنه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فيما دون عشرين ولا فيما زاد</w:t>
      </w:r>
      <w:r>
        <w:rPr>
          <w:rStyle w:val="FootnoteAnchor"/>
          <w:rtl w:val="true"/>
        </w:rPr>
        <w:footnoteReference w:id="879"/>
      </w:r>
      <w:r>
        <w:rPr>
          <w:rFonts w:ascii="Amiri" w:hAnsi="Amiri" w:eastAsia="Amiri" w:cs="Amiri"/>
          <w:color w:val="111111"/>
          <w:sz w:val="28"/>
          <w:sz w:val="28"/>
          <w:szCs w:val="28"/>
          <w:rtl w:val="true"/>
          <w:lang w:bidi="ar-SA"/>
        </w:rPr>
        <w:t xml:space="preserve">عليها حتّى يبلغ أربعة دنانير ، وهي ثلاثة مثاقيل صيرفية ففيها قيراطان ؛ إذ كلّ دينار عشرون 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كلّما زاد أربعة وليس فيما نقص عن أربعة دنانير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ونصاب الفضّة مائتا درهم وفيها خمسة دراهم ، ثمّ كلّما زاد أربعين كان فيها درهم بالغاً ما بلغ ، وليس فيما دون المائتين ولا فيما دون الأربعين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والدرهم ستّة دوانيق عبارة عن نصف مثقال شرعي وخمسه ؛ لأنّ كلّ عشرة دراهم سبعة مثاقيل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الكلّي في تأدية زكاة النقدين أ نّهما بعد ما بلغا حدّ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عشرين ديناراً أو مائتي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من كلّ أربعين واحداً ، فقد أدّى ما وجب عليه وإن زاد على المفروض في بعض الصور بقليل ، ولا بأس به بل أحسن وزاد خيراً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منقوشين بسكّة المعاملة ولو ببعض الأزمنة من سلطان والأمكنة أو شبهه ، بسكّة إسلام وكفر ، بكتابة أو غيرها ولو صارا ممسوحين بالعارض ، وأمّا الممسوحان بالأصل فلا تجب فيهما إلاّ إذا كانا رائجين فتجب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اتّخذ المسكوك حلية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w:t>
      </w:r>
      <w:r>
        <w:rPr>
          <w:rStyle w:val="FootnoteAnchor"/>
          <w:rtl w:val="true"/>
        </w:rPr>
        <w:footnoteReference w:id="880"/>
      </w:r>
      <w:r>
        <w:rPr>
          <w:rFonts w:ascii="Amiri" w:hAnsi="Amiri" w:eastAsia="Amiri" w:cs="Amiri"/>
          <w:color w:val="111111"/>
          <w:sz w:val="28"/>
          <w:sz w:val="28"/>
          <w:szCs w:val="28"/>
          <w:rtl w:val="true"/>
          <w:lang w:bidi="ar-SA"/>
        </w:rPr>
        <w:t xml:space="preserve">الحكم زاده </w:t>
      </w:r>
    </w:p>
    <w:p>
      <w:pPr>
        <w:pStyle w:val="BookText"/>
        <w:rPr/>
      </w:pPr>
      <w:r>
        <w:rPr>
          <w:rFonts w:ascii="Amiri" w:hAnsi="Amiri" w:eastAsia="Amiri" w:cs="Amiri"/>
          <w:color w:val="111111"/>
          <w:sz w:val="28"/>
          <w:sz w:val="28"/>
          <w:szCs w:val="28"/>
          <w:rtl w:val="true"/>
          <w:lang w:bidi="ar-SA"/>
        </w:rPr>
        <w:t xml:space="preserve">الاتّخاذ أو نقّصه في القيمة ما دامت المعاملة به على وجهها ممكنة ، أمّا لو تغيّرت بالاتّخاذ بحيث لم تبق المعاملة بها فلا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 ويعتبر أن يكون النصاب موجوداً فيه أجمع ، فلو نقص عن النصاب في أثنائه أو تبدّلت أعيان النصاب بجنسه أو بغير جنسه أو بالسبك لا بقصد الفرار بل ومعه لم تجب فيه زكاة ، وإن استحبّ إخراجها إذا كان السبك بقصد الفرار بل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سبك الدراهم والدنانير بعد وجوب الزكاة بحول الحول لم تسقط الزكاة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 الدراهم والدنانير بعضها إلى بعض بالنسبة إلى تحقّق النصاب ، وإن اختلفت من حيث الاسم والسكّة ، بل ومن حيث القيمة واختلاف الرغبة ، فيضمّ القِران العجمي إلى المجيدي والروپية ، بل يضمّ الرائج الفعلي إلى المهجور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إخراج الزكاة فإن تطوّع المالك بالإخراج من الأرغب والفرد الأكمل فقد أحسن وزاد خيراً وإلاّ أخرج من كلّ بقسطه ونسبته في الأحوط</w:t>
      </w:r>
      <w:r>
        <w:rPr>
          <w:rStyle w:val="FootnoteAnchor"/>
          <w:rtl w:val="true"/>
        </w:rPr>
        <w:footnoteReference w:id="881"/>
      </w:r>
      <w:r>
        <w:rPr>
          <w:rFonts w:ascii="Amiri" w:hAnsi="Amiri" w:eastAsia="Amiri" w:cs="Amiri"/>
          <w:color w:val="111111"/>
          <w:sz w:val="28"/>
          <w:sz w:val="28"/>
          <w:szCs w:val="28"/>
          <w:rtl w:val="true"/>
          <w:lang w:bidi="ar-SA"/>
        </w:rPr>
        <w:t xml:space="preserve">، وإن كان الأقوى جواز الاجتزاء بالفرد الأدون عن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المغشوشة بما يخرجها عن اسم الفضّة الخالصة ولو الرديئة لا زكاة فيها حتّى بلغ خالصها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فيه ولم يكن طريق إلى التعرّف لم تجب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التصفية ونحوها للاختبار تأمّل وإشكال ، أحوطه ذلك</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المغشوشة زكاة عن الخالصة أو المغشوشة فإن علم </w:t>
      </w:r>
      <w:bookmarkStart w:id="438" w:name="pg15003_159936"/>
    </w:p>
    <w:p>
      <w:pPr>
        <w:pStyle w:val="BookText"/>
        <w:rPr/>
      </w:pPr>
      <w:bookmarkEnd w:id="438"/>
      <w:r>
        <w:rPr>
          <w:rFonts w:ascii="Amiri" w:hAnsi="Amiri" w:eastAsia="Amiri" w:cs="Amiri"/>
          <w:color w:val="111111"/>
          <w:sz w:val="28"/>
          <w:sz w:val="28"/>
          <w:szCs w:val="28"/>
          <w:rtl w:val="true"/>
          <w:lang w:bidi="ar-SA"/>
        </w:rPr>
        <w:t xml:space="preserve">بأنّ ما فيها من الفضّة الخالصة بمقدار الفريضة فهو وإلاّ فلا بدّ من تحصيل العلم بذلك ، ولو بإعطاء مقدار يعلم بأنّ ما فيه من الفضّة الخالصة ليس بأنقص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ملك النصاب ولم يعلم هل فيه غشّ أم لا ؟ وجبت</w:t>
      </w:r>
      <w:r>
        <w:rPr>
          <w:rStyle w:val="FootnoteAnchor"/>
          <w:rtl w:val="true"/>
        </w:rPr>
        <w:footnoteReference w:id="883"/>
      </w:r>
      <w:r>
        <w:rPr>
          <w:rFonts w:ascii="Amiri" w:hAnsi="Amiri" w:eastAsia="Amiri" w:cs="Amiri"/>
          <w:color w:val="111111"/>
          <w:sz w:val="28"/>
          <w:sz w:val="28"/>
          <w:szCs w:val="28"/>
          <w:rtl w:val="true"/>
          <w:lang w:bidi="ar-SA"/>
        </w:rPr>
        <w:t xml:space="preserve">الزكاة على الأحوط ،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اقترض النصاب وتركه بحاله عنده حتّى حال عليه الحول ، يكون زكاته عليه لا على المقرض ، بل لو شرط كونها عليه لم يلزم الشرط إذا كان المقصود وجوبها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عليه التبرّع عنه بأداء ما وجب عليه يلزم عليه على إشكال</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ولم يفِ بالشرط لم تسقط عن المقترض بل يجب عليه أداؤها من ماله </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87889_3406789950"/>
      <w:bookmarkStart w:id="440" w:name="_Toc159"/>
      <w:bookmarkEnd w:id="439"/>
      <w:r>
        <w:rPr>
          <w:rtl w:val="true"/>
        </w:rPr>
        <w:t xml:space="preserve">الفصل الثالث </w:t>
      </w:r>
      <w:r>
        <w:rPr>
          <w:rtl w:val="true"/>
        </w:rPr>
        <w:t xml:space="preserve">: </w:t>
      </w:r>
      <w:r>
        <w:rPr>
          <w:rtl w:val="true"/>
        </w:rPr>
        <w:t>في زكاة الغلاّت</w:t>
      </w:r>
      <w:bookmarkEnd w:id="440"/>
    </w:p>
    <w:p>
      <w:pPr>
        <w:pStyle w:val="Heading5"/>
        <w:numPr>
          <w:ilvl w:val="4"/>
          <w:numId w:val="1"/>
        </w:numPr>
        <w:rPr/>
      </w:pPr>
      <w:bookmarkStart w:id="441" w:name="__RefHeading___Toc487891_3406789950"/>
      <w:bookmarkStart w:id="442" w:name="_Toc160"/>
      <w:bookmarkEnd w:id="441"/>
      <w:r>
        <w:rPr>
          <w:rtl w:val="true"/>
        </w:rPr>
        <w:t>اشارة</w:t>
      </w:r>
      <w:bookmarkEnd w:id="4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 نّه لا يجب الزكاة إلاّ في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الحنطة والشعير والتمر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r>
        <w:rPr>
          <w:rStyle w:val="FootnoteAnchor"/>
          <w:rtl w:val="true"/>
        </w:rPr>
        <w:footnoteReference w:id="885"/>
      </w:r>
      <w:r>
        <w:rPr>
          <w:rFonts w:ascii="Amiri" w:hAnsi="Amiri" w:eastAsia="Amiri" w:cs="Amiri"/>
          <w:color w:val="111111"/>
          <w:sz w:val="28"/>
          <w:sz w:val="28"/>
          <w:szCs w:val="28"/>
          <w:rtl w:val="true"/>
          <w:lang w:bidi="ar-SA"/>
        </w:rPr>
        <w:t xml:space="preserve">إلحاق 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كالشعير في طبعه وكالحنطة في ملاسته وعدم 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بالشعير ، وإلحاق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بالحنطة ، بل في الثاني لا يخلو من قوّة</w:t>
      </w:r>
      <w:r>
        <w:rPr>
          <w:rStyle w:val="FootnoteAnchor"/>
          <w:rtl w:val="true"/>
        </w:rPr>
        <w:footnoteReference w:id="886"/>
      </w:r>
      <w:r>
        <w:rPr>
          <w:rFonts w:ascii="Amiri" w:hAnsi="Amiri" w:eastAsia="Amiri" w:cs="Amiri"/>
          <w:color w:val="111111"/>
          <w:sz w:val="28"/>
          <w:sz w:val="28"/>
          <w:szCs w:val="28"/>
          <w:rtl w:val="true"/>
          <w:lang w:bidi="ar-SA"/>
        </w:rPr>
        <w:t xml:space="preserve">؛ لقوّة احتمال كونه نوعاً من </w:t>
      </w:r>
      <w:bookmarkStart w:id="443" w:name="pg15003_159937"/>
    </w:p>
    <w:p>
      <w:pPr>
        <w:pStyle w:val="BookText"/>
        <w:rPr/>
      </w:pPr>
      <w:bookmarkEnd w:id="443"/>
      <w:r>
        <w:rPr>
          <w:rFonts w:ascii="Amiri" w:hAnsi="Amiri" w:eastAsia="Amiri" w:cs="Amiri"/>
          <w:color w:val="111111"/>
          <w:sz w:val="28"/>
          <w:sz w:val="28"/>
          <w:szCs w:val="28"/>
          <w:rtl w:val="true"/>
          <w:lang w:bidi="ar-SA"/>
        </w:rPr>
        <w:t>الحنطة في كلّ قشر حبّتان ، ولا تجب الزكاة في غيرها وإن استحبّت</w:t>
      </w:r>
      <w:r>
        <w:rPr>
          <w:rStyle w:val="FootnoteAnchor"/>
          <w:rtl w:val="true"/>
        </w:rPr>
        <w:footnoteReference w:id="887"/>
      </w:r>
      <w:r>
        <w:rPr>
          <w:rFonts w:ascii="Amiri" w:hAnsi="Amiri" w:eastAsia="Amiri" w:cs="Amiri"/>
          <w:color w:val="111111"/>
          <w:sz w:val="28"/>
          <w:sz w:val="28"/>
          <w:szCs w:val="28"/>
          <w:rtl w:val="true"/>
          <w:lang w:bidi="ar-SA"/>
        </w:rPr>
        <w:t xml:space="preserve">في كلّ ما تنبت الأرض ممّا يكال أو يوزن من الحبوب كالأرز والماش والذرة ونحو ذلك لا الخضر والبقول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ما يستحبّ فيه الزكاة حكم ما تجب فيه ؛ من اعتبار بلوغ النصاب وقدره ومقدار ما يخرج منه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زكاة الغلاّت في مطالب </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87893_3406789950"/>
      <w:bookmarkStart w:id="445" w:name="_Toc161"/>
      <w:bookmarkEnd w:id="444"/>
      <w:r>
        <w:rPr>
          <w:rtl w:val="true"/>
        </w:rPr>
        <w:t>المطلب الأوّل</w:t>
      </w:r>
      <w:bookmarkEnd w:id="445"/>
    </w:p>
    <w:p>
      <w:pPr>
        <w:pStyle w:val="BookText"/>
        <w:rPr/>
      </w:pPr>
      <w:r>
        <w:rPr>
          <w:rFonts w:ascii="Amiri" w:hAnsi="Amiri" w:eastAsia="Amiri" w:cs="Amiri"/>
          <w:color w:val="111111"/>
          <w:sz w:val="28"/>
          <w:sz w:val="28"/>
          <w:szCs w:val="28"/>
          <w:rtl w:val="true"/>
          <w:lang w:bidi="ar-SA"/>
        </w:rPr>
        <w:t xml:space="preserve">يعتبر في الزكاة أمران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 وهو خمسة أوسق ، والوسق ستّون صاعاً ، فهو ثلاثمائة صاع ، والصاع تسعة أرطال بالعراقي وستّة بالمدني ؛ لأ نّه أربعة أمداد ، والمدّ رطلان وربع بالعراقي ورطل ونصف بالمدني ، فيكون النصاب ألفين وسبعمائة رطل بالعراقي وألفاً وثمانمائة رطل بالمدني ، والرطل العراقي مائة وثلاثون درهماً عبارة عن إحدى وتسعين مثقالاً شرعياً وثمانية وستّين مثقالاً وربع مثقال صيرفي ؛ لأنّ المثقال الشرعي ثلاثة أرباع المثقال الصيرفي وبحسب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تسعمائة وثلاثة وثلاثين مثقالاً صيرفياً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وزنات وخمس حقق ونصف إلاّ ثمانية وخمسين مثقالاً وثلث مثقال ، وبعيار الإسلامبول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وعشرون وزنة وعشر حقق وخمسة وثلاثون مثقالاً ، وبالمنّ الشاه المتداول في بعض بلاد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ألف ومأتي مثقال وثمانين مثقالاً صيرفياً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وأربعة وأربعون منّاً إلاّ خمسة وأربعون مثقالاً صيرفياً ، وبالمنّ التبريزي المتداول في </w:t>
      </w:r>
    </w:p>
    <w:p>
      <w:pPr>
        <w:pStyle w:val="BookText"/>
        <w:rPr/>
      </w:pPr>
      <w:r>
        <w:rPr>
          <w:rFonts w:ascii="Amiri" w:hAnsi="Amiri" w:eastAsia="Amiri" w:cs="Amiri"/>
          <w:color w:val="111111"/>
          <w:sz w:val="28"/>
          <w:sz w:val="28"/>
          <w:szCs w:val="28"/>
          <w:rtl w:val="true"/>
          <w:lang w:bidi="ar-SA"/>
        </w:rPr>
        <w:t xml:space="preserve">غالب بلاد إيران مائتان وثمانية وثمانون منّاً إلاّ خمسة وأربعين مثقالاً صيرفياً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زكاة في الناقص عن النصاب ولو يسيراً ، كما أ نّه يجب الزكاة في النصاب وما زاد عليه ولو يسيراً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بلوغ النصاب ملاحظة حال الجفاف وإن كان زمان التعلّق قبل ذلك ، فلو كان عنده خمسة أوسق من الرطب لكن ينقص عنها حال الجفاف فلا زكاة ، حتّى أنّ مثل البربن وشبهه ممّا يؤكل رطباً إنّما تجب الزكاة فيه إذا بلغ النصاب تمراً وإن قلّ التمر منه ، ولو فرض عدم صدق التمر على يابسه لم تجب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نخيل أو كروم أو زروع في بلاد متباعدة يدرك بعضها قبل بعض ولو بشهر أو شهرين أو أكثر يضمّ بعضها إلى بعض بعد أن كان الثمرتان لعام واحد ، وحينئذٍ إن بلغ النصاب ما أدرك منه تعلّق الوجوب ووجب ما هو فريضة المدرك ، وما لم يدرك إنّما يجب ما هو فريضته عند إدراكه قلّ أو كثر ، وإن لم يبلغ النصاب ما سبق إدراكه تربّص في الزكاة حتّى يدرك ما يكمل النصاب ، ولو كان له نخل يُطلع أو كرم يُثمر في عام مرّتين ضمّ الثاني إلى الأوّل على إشكال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بالزراعة إن كان ممّا يزرع ، أو انتقال الزرع أو الثمرة مع الشجرة أو منفردة إلى ملكه قبل تعلّق</w:t>
      </w:r>
      <w:r>
        <w:rPr>
          <w:rStyle w:val="FootnoteAnchor"/>
          <w:rtl w:val="true"/>
        </w:rPr>
        <w:footnoteReference w:id="888"/>
      </w:r>
      <w:r>
        <w:rPr>
          <w:rFonts w:ascii="Amiri" w:hAnsi="Amiri" w:eastAsia="Amiri" w:cs="Amiri"/>
          <w:color w:val="111111"/>
          <w:sz w:val="28"/>
          <w:sz w:val="28"/>
          <w:szCs w:val="28"/>
          <w:rtl w:val="true"/>
          <w:lang w:bidi="ar-SA"/>
        </w:rPr>
        <w:t xml:space="preserve">الزكاة ، فتجب عليه الزكاة حينئذٍ وإن لم يكن زارعاً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w:t>
      </w:r>
      <w:r>
        <w:rPr>
          <w:rStyle w:val="FootnoteAnchor"/>
          <w:rtl w:val="true"/>
        </w:rPr>
        <w:footnoteReference w:id="889"/>
      </w:r>
      <w:r>
        <w:rPr>
          <w:rFonts w:ascii="Amiri" w:hAnsi="Amiri" w:eastAsia="Amiri" w:cs="Amiri"/>
          <w:color w:val="111111"/>
          <w:sz w:val="28"/>
          <w:sz w:val="28"/>
          <w:szCs w:val="28"/>
          <w:rtl w:val="true"/>
          <w:lang w:bidi="ar-SA"/>
        </w:rPr>
        <w:t xml:space="preserve">أنّ وقت تعلّق الزكاة عند اشتداد الحبّ في الزرع ، وحين 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حين الاصفرار أو الاحمرار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النخل ، وحين انعقاد الحصرم في ثمرة الكرم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التسمية حنطة أو شعيراً أو تمراً أو عنباً ، والقول الأوّل لا يخلو عن رجحان</w:t>
      </w:r>
      <w:r>
        <w:rPr>
          <w:rStyle w:val="FootnoteAnchor"/>
          <w:rtl w:val="true"/>
        </w:rPr>
        <w:footnoteReference w:id="890"/>
      </w:r>
      <w:r>
        <w:rPr>
          <w:rFonts w:ascii="Amiri" w:hAnsi="Amiri" w:eastAsia="Amiri" w:cs="Amiri"/>
          <w:color w:val="111111"/>
          <w:sz w:val="28"/>
          <w:sz w:val="28"/>
          <w:szCs w:val="28"/>
          <w:rtl w:val="true"/>
          <w:lang w:bidi="ar-SA"/>
        </w:rPr>
        <w:t xml:space="preserve">لكن لا يخلو عن إشكال ، فلا يترك مراعاة الاحتياط في الثمرة المترتّبة على القولين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وجوب الإخراج حين تصفية الغلّة واجتذاذ التمر واقتطاف الزبيب ، وهذا هو الوقت الذي لو أخّرها عنه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للساعي مطالبة المالك فيه ويلزمه القبول ، ولو طالبه قبله لم يجب عليه القبول وإن جاز له</w:t>
      </w:r>
      <w:r>
        <w:rPr>
          <w:rStyle w:val="FootnoteAnchor"/>
          <w:rtl w:val="true"/>
        </w:rPr>
        <w:footnoteReference w:id="891"/>
      </w:r>
      <w:r>
        <w:rPr>
          <w:rFonts w:ascii="Amiri" w:hAnsi="Amiri" w:eastAsia="Amiri" w:cs="Amiri"/>
          <w:color w:val="111111"/>
          <w:sz w:val="28"/>
          <w:sz w:val="28"/>
          <w:szCs w:val="28"/>
          <w:rtl w:val="true"/>
          <w:lang w:bidi="ar-SA"/>
        </w:rPr>
        <w:t xml:space="preserve">الإخراج بعد زمان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الساعي القبول فوقت وجوب الأداء غير وقت التعلّق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أراد المالك الاقتطاف حصرماً أو عنباً أو بسراً أو رطباً جاز ووجب</w:t>
      </w:r>
      <w:r>
        <w:rPr>
          <w:rStyle w:val="FootnoteAnchor"/>
          <w:rtl w:val="true"/>
        </w:rPr>
        <w:footnoteReference w:id="892"/>
      </w:r>
      <w:r>
        <w:rPr>
          <w:rFonts w:ascii="Amiri" w:hAnsi="Amiri" w:eastAsia="Amiri" w:cs="Amiri"/>
          <w:color w:val="111111"/>
          <w:sz w:val="28"/>
          <w:sz w:val="28"/>
          <w:szCs w:val="28"/>
          <w:rtl w:val="true"/>
          <w:lang w:bidi="ar-SA"/>
        </w:rPr>
        <w:t xml:space="preserve">أداء الزكاة حينئذٍ من العين أو القيمة ، بعد فرض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تمرها وزبيبها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دفع الزكاة والثمر على الشجر</w:t>
      </w:r>
      <w:r>
        <w:rPr>
          <w:rStyle w:val="FootnoteAnchor"/>
          <w:rtl w:val="true"/>
        </w:rPr>
        <w:footnoteReference w:id="893"/>
      </w:r>
      <w:r>
        <w:rPr>
          <w:rFonts w:ascii="Amiri" w:hAnsi="Amiri" w:eastAsia="Amiri" w:cs="Amiri"/>
          <w:color w:val="111111"/>
          <w:sz w:val="28"/>
          <w:sz w:val="28"/>
          <w:szCs w:val="28"/>
          <w:rtl w:val="true"/>
          <w:lang w:bidi="ar-SA"/>
        </w:rPr>
        <w:t xml:space="preserve">قبل الجذاذ منه أو من قيمته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ملك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يبدو</w:t>
      </w:r>
      <w:r>
        <w:rPr>
          <w:rStyle w:val="FootnoteAnchor"/>
          <w:rtl w:val="true"/>
        </w:rPr>
        <w:footnoteReference w:id="894"/>
      </w:r>
      <w:r>
        <w:rPr>
          <w:rFonts w:ascii="Amiri" w:hAnsi="Amiri" w:eastAsia="Amiri" w:cs="Amiri"/>
          <w:color w:val="111111"/>
          <w:sz w:val="28"/>
          <w:sz w:val="28"/>
          <w:szCs w:val="28"/>
          <w:rtl w:val="true"/>
          <w:lang w:bidi="ar-SA"/>
        </w:rPr>
        <w:t xml:space="preserve">صلاح ثمرته أو ثمراً قبل أن يبدو صلاحه أو زرعاً قبل اشتداد حبّه فالزكاة عليه بعد زمان التعلّق مع اجتماع الشرائط ، بخلاف ما إذا ملك بعد زمان التعلّق فإنّ الزكاة على من انتقل عنه ممّن كان مالكاً حال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أداء ما عليه صحّ</w:t>
      </w:r>
      <w:r>
        <w:rPr>
          <w:rStyle w:val="FootnoteAnchor"/>
          <w:rtl w:val="true"/>
        </w:rPr>
        <w:footnoteReference w:id="895"/>
      </w:r>
      <w:r>
        <w:rPr>
          <w:rFonts w:ascii="Amiri" w:hAnsi="Amiri" w:eastAsia="Amiri" w:cs="Amiri"/>
          <w:color w:val="111111"/>
          <w:sz w:val="28"/>
          <w:sz w:val="28"/>
          <w:szCs w:val="28"/>
          <w:rtl w:val="true"/>
          <w:lang w:bidi="ar-SA"/>
        </w:rPr>
        <w:t xml:space="preserve">على الأصحّ ، وحينئذٍ فإن علم المشتري بأدائه أو احتمله ليس عليه شيء وإن علم بعدم أدائه يجب عليه أداؤه ويرجع بها على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الزرع أو الثمر وشكّ في أنّ البيع كان بعد زمان التعلّق حتّى تكون الزكاة عليه أو قبله حتّى تكون على المشتري لم يكن عليه شيء ، إلاّ إذا علم زمان التعلّق وجهل زمان البيع ، فيجب عليه حينئذٍ إخراجها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المشتري في ذلك فإن كان قاطعاً بأنّ البائع لم يؤدّ 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الشراء بعد زمان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إخراجها مطلقاً</w:t>
      </w:r>
      <w:r>
        <w:rPr>
          <w:rStyle w:val="FootnoteAnchor"/>
          <w:rtl w:val="true"/>
        </w:rPr>
        <w:footnoteReference w:id="896"/>
      </w:r>
      <w:r>
        <w:rPr>
          <w:rFonts w:ascii="Amiri" w:hAnsi="Amiri" w:eastAsia="Amiri" w:cs="Amiri"/>
          <w:color w:val="111111"/>
          <w:sz w:val="28"/>
          <w:sz w:val="28"/>
          <w:szCs w:val="28"/>
          <w:rtl w:val="true"/>
          <w:lang w:bidi="ar-SA"/>
        </w:rPr>
        <w:t xml:space="preserve">، وإن لم يكن قاطعاً بذلك بل كان قاطعاً بأدائها على ذلك التقدير أو احتمله ليس عليه شيء مطلقاً حتّى فيما إذا علم زمان البيع وشكّ في تقدّم التعلّق وتأخّره على الأقوى ، وإن كان الأحوط في هذه الصورة إخراجها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المالك بعد تعلّق الزكاة وقبل إخراجها تخرج من </w:t>
      </w:r>
    </w:p>
    <w:p>
      <w:pPr>
        <w:pStyle w:val="BookText"/>
        <w:rPr/>
      </w:pPr>
      <w:r>
        <w:rPr>
          <w:rFonts w:ascii="Amiri" w:hAnsi="Amiri" w:eastAsia="Amiri" w:cs="Amiri"/>
          <w:color w:val="111111"/>
          <w:sz w:val="28"/>
          <w:sz w:val="28"/>
          <w:szCs w:val="28"/>
          <w:rtl w:val="true"/>
          <w:lang w:bidi="ar-SA"/>
        </w:rPr>
        <w:t>تركته</w:t>
      </w:r>
      <w:r>
        <w:rPr>
          <w:rStyle w:val="FootnoteAnchor"/>
          <w:rtl w:val="true"/>
        </w:rPr>
        <w:footnoteReference w:id="897"/>
      </w:r>
      <w:r>
        <w:rPr>
          <w:rFonts w:ascii="IRNazanin" w:hAnsi="IRNazanin" w:eastAsia="IRNazanin"/>
          <w:color w:val="111111"/>
          <w:sz w:val="28"/>
          <w:sz w:val="28"/>
          <w:szCs w:val="28"/>
          <w:rtl w:val="true"/>
          <w:lang w:bidi="fa-IR"/>
        </w:rPr>
        <w:t>وإذا مات قبله وجب</w:t>
      </w:r>
      <w:r>
        <w:rPr>
          <w:rStyle w:val="FootnoteAnchor"/>
          <w:rtl w:val="true"/>
        </w:rPr>
        <w:footnoteReference w:id="898"/>
      </w:r>
      <w:r>
        <w:rPr>
          <w:rFonts w:ascii="Amiri" w:hAnsi="Amiri" w:eastAsia="Amiri" w:cs="Amiri"/>
          <w:color w:val="111111"/>
          <w:sz w:val="28"/>
          <w:sz w:val="28"/>
          <w:szCs w:val="28"/>
          <w:rtl w:val="true"/>
          <w:lang w:bidi="ar-SA"/>
        </w:rPr>
        <w:t xml:space="preserve">على من بلغ سهمه النصاب من الورثة مع اجتماع سائر الشرائط فإذا لم يبلغ سهم واحد منهم النصاب فلا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أنّ الموت كان قبل زمان التعلّق أو بعده فمن بلغ سهمه النصاب يجب عليه إخراج زكاة حصّته ؛ للعلم</w:t>
      </w:r>
      <w:r>
        <w:rPr>
          <w:rStyle w:val="FootnoteAnchor"/>
          <w:rtl w:val="true"/>
        </w:rPr>
        <w:footnoteReference w:id="899"/>
      </w:r>
      <w:r>
        <w:rPr>
          <w:rFonts w:ascii="Amiri" w:hAnsi="Amiri" w:eastAsia="Amiri" w:cs="Amiri"/>
          <w:color w:val="111111"/>
          <w:sz w:val="28"/>
          <w:sz w:val="28"/>
          <w:szCs w:val="28"/>
          <w:rtl w:val="true"/>
          <w:lang w:bidi="ar-SA"/>
        </w:rPr>
        <w:t>بكونها متعلّقة للحقّ الزكاتي على أيّ حال وإن لم يعلم بأنّ التعلّق كان في زمان حياة مورّثه أو بعده ، ومن لم يبلغ نصيبه حدّ النصاب لا يجب عليه شيء إلاّ إذا علم زمان التعلّق وشكّ في زمان الموت ، فيجب عليه إخراجها على الأحوط</w:t>
      </w:r>
      <w:r>
        <w:rPr>
          <w:rStyle w:val="FootnoteAnchor"/>
          <w:rtl w:val="true"/>
        </w:rPr>
        <w:footnoteReference w:id="900"/>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الزارع أو مالك النخل أو الكرم وكان عليه دين ، فإن كان موته بعد تعلّق الوجوب وجب إخراج الزكاة كما مرّ ، حتّى فيما إذا كان الدين مستوعباً للتركة ، ولا يتحاصّ الغرماء مع أرباب الزكاة إلاّ إذا صارت في ذمّته في زمان حياته بسبب إتلافه أو التلف مع التفريط فيقع التحاصّ بينهم كسائر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موته قبل تعلّق الوجوب ، فإن كان قبل ظهور</w:t>
      </w:r>
      <w:r>
        <w:rPr>
          <w:rStyle w:val="FootnoteAnchor"/>
          <w:rtl w:val="true"/>
        </w:rPr>
        <w:footnoteReference w:id="901"/>
      </w:r>
      <w:r>
        <w:rPr>
          <w:rFonts w:ascii="Amiri" w:hAnsi="Amiri" w:eastAsia="Amiri" w:cs="Amiri"/>
          <w:color w:val="111111"/>
          <w:sz w:val="28"/>
          <w:sz w:val="28"/>
          <w:szCs w:val="28"/>
          <w:rtl w:val="true"/>
          <w:lang w:bidi="ar-SA"/>
        </w:rPr>
        <w:t xml:space="preserve">الحبّ </w:t>
      </w:r>
    </w:p>
    <w:p>
      <w:pPr>
        <w:pStyle w:val="BookText"/>
        <w:rPr/>
      </w:pPr>
      <w:r>
        <w:rPr>
          <w:rFonts w:ascii="Amiri" w:hAnsi="Amiri" w:eastAsia="Amiri" w:cs="Amiri"/>
          <w:color w:val="111111"/>
          <w:sz w:val="28"/>
          <w:sz w:val="28"/>
          <w:szCs w:val="28"/>
          <w:rtl w:val="true"/>
          <w:lang w:bidi="ar-SA"/>
        </w:rPr>
        <w:t xml:space="preserve">والثمر وجب الزكاة على من بلغ نصيبه حدّ النصاب من الورثة مع اجتماع الشرائط كما مرّ ، ولا يمنع دين الميّت عن تعلّق الزكاة بالنماء الحاصل في ملك الورثة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بعد ظهوره فإن كان الورثة قد أدّوا الدين أو ضمنوه برضا الديّان قبل تعلّق الوجوب وجبت الزكاة على من بلغ سهمه النصاب ، وإلاّ فالظاهر عدم وجوبها فيما إذا كان الدين مستوعباً ، وفيما قابل الدين إذا كان غير مستوعب وإن كان الأحوط الإخراج مع الغرامة للديّان أو استرضائهم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المزارعة والمساقاة الصحيحتين حيث إنّ الحاصل مشترك بين المالك والعامل يجب على كلّ منهما الزكاة في حصّته مع اجتماع الشرائط بالنسبة إليه ، بخلاف الأرض المستأجرة للزراعة فإنّ الزكاة على المستأجر مع اجتماع الشرائط وليس على المؤجر شيء وإن كانت الاُجرة من جنس الحنطة والشعير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المزارعة الفاسدة يكون الزكاة على صاحب البذر ويكون اُجرة الأرض والعامل من المؤن ، فبناءً على كون الزكاة بعد إخراجها تخرج قبل إخراجها ، وأمّا في المساقات الفاسدة يكون الزكاة على صاحب الاُصول وتحسب اُجرة مثل عمل المساقي من المؤن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أنواع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كالزاهدي والخستاوي والقنطار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بعضها إلى بعض بالنسبة إلى بلوغ النصاب ، والأحوط الأخذ من كلّ نوع بحصّته وإن كان الأقوى جواز الاجتزاء بمطلق الجيّد عن الكلّ وإن اشتمل على الأجود ، ولا يجوز دفع الرديء عن الجيّد على الأحوط ، وهكذا الحال في أنواع العنب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902"/>
      </w:r>
      <w:r>
        <w:rPr>
          <w:rFonts w:ascii="Amiri" w:hAnsi="Amiri" w:eastAsia="Amiri" w:cs="Amiri"/>
          <w:color w:val="111111"/>
          <w:sz w:val="28"/>
          <w:sz w:val="28"/>
          <w:szCs w:val="28"/>
          <w:rtl w:val="true"/>
          <w:lang w:bidi="ar-SA"/>
        </w:rPr>
        <w:t xml:space="preserve">تعيين مقدار ثمر النخل والكرم وتقدير ما يجيء منهما تمراً أو زبيباً بخَرص أهل الخبرة ، ويتبعه تعيين النصاب وتعيين مقدار الزكاة به ، ووقته بعد بدوّ الصلاح الذي هو زمن التعلّق ، وفائدته جواز تصرّف المالك في الثمر كيف شاء بعده من دون احتياج إلى الضبط 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والخارص هو الساعي بنفسه أو بغيره ، بل يقوى جوازه من المالك بنفسه إذا كان عارفاً أو بعارف آخر إذا كان عدلاً ، مع احتمال جواز الاكتفاء بأمانته ووثاقته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الصيغة بل يكتفى بعمل الخرص وبيانه ثمّ إن زاد ما في يد المالك عمّا عيّن بالخرص كان له وإن نقص كان عليه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تلفت الثمرة أو بعضها بآفة سماوية أو أرضية أو ظلم ظالم لم يضمن </w:t>
      </w:r>
      <w:r>
        <w:rPr>
          <w:rFonts w:eastAsia="Amiri" w:cs="Amiri" w:ascii="Amiri" w:hAnsi="Amiri"/>
          <w:color w:val="111111"/>
          <w:sz w:val="28"/>
          <w:szCs w:val="28"/>
          <w:rtl w:val="true"/>
          <w:lang w:bidi="ar-SA"/>
        </w:rPr>
        <w:t xml:space="preserve">. </w:t>
      </w:r>
      <w:bookmarkStart w:id="446" w:name="pg15003_159944"/>
    </w:p>
    <w:p>
      <w:pPr>
        <w:pStyle w:val="Heading5"/>
        <w:numPr>
          <w:ilvl w:val="4"/>
          <w:numId w:val="1"/>
        </w:numPr>
        <w:rPr/>
      </w:pPr>
      <w:bookmarkStart w:id="447" w:name="__RefHeading___Toc487895_3406789950"/>
      <w:bookmarkStart w:id="448" w:name="_Toc162"/>
      <w:bookmarkEnd w:id="446"/>
      <w:bookmarkEnd w:id="447"/>
      <w:r>
        <w:rPr>
          <w:rtl w:val="true"/>
        </w:rPr>
        <w:t>المطلب الثاني</w:t>
      </w:r>
      <w:bookmarkEnd w:id="448"/>
    </w:p>
    <w:p>
      <w:pPr>
        <w:pStyle w:val="BookText"/>
        <w:rPr/>
      </w:pPr>
      <w:r>
        <w:rPr>
          <w:rFonts w:ascii="Amiri" w:hAnsi="Amiri" w:eastAsia="Amiri" w:cs="Amiri"/>
          <w:color w:val="111111"/>
          <w:sz w:val="28"/>
          <w:sz w:val="28"/>
          <w:szCs w:val="28"/>
          <w:rtl w:val="true"/>
          <w:lang w:bidi="ar-SA"/>
        </w:rPr>
        <w:t>إنّما تجب الزكاة بعد إخراج ما يأخذه السلطان من عين الحاصل بعنوان المقاسمة ، بل وما يأخذه نقداً باسم الخراج</w:t>
      </w:r>
      <w:r>
        <w:rPr>
          <w:rStyle w:val="FootnoteAnchor"/>
          <w:rtl w:val="true"/>
        </w:rPr>
        <w:footnoteReference w:id="903"/>
      </w:r>
      <w:r>
        <w:rPr>
          <w:rFonts w:ascii="Amiri" w:hAnsi="Amiri" w:eastAsia="Amiri" w:cs="Amiri"/>
          <w:color w:val="111111"/>
          <w:sz w:val="28"/>
          <w:sz w:val="28"/>
          <w:szCs w:val="28"/>
          <w:rtl w:val="true"/>
          <w:lang w:bidi="ar-SA"/>
        </w:rPr>
        <w:t xml:space="preserve">أيضاً على الأصحّ ، وأمّا ما يأخذه العمّال زائداً على ما قرّره السلطان ظلماً ، فإن كانوا يأخذونه من نفس الغلّة قهراً فالظلم وارد على الكلّ ولا يضمن المالك حصّة الفقراء ويكون بحكم الخراج في أنّ اعتبار الزكاة بعد إخراجه ، وإن كانوا يأخذونه من غيرها فالأحوط الضمان ، خصوصاً إذا كان الظلم شخصياً بل هو حينئذٍ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يعتبر إخراج الخراج بالنسبة إلى اعتبار الزكاة فيخرج من الوسط ثمّ يؤدّى العشر أو نصف العشر ممّا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اعتبار النصاب فإن كان ما ضرب على الأرض بعنوان المقاسمة فلا إشكال في اعتباره بعده ؛ بمعنى أ نّه يلاحظ بلوغ النصاب في حصّته لا في المجموع منها ومن حصّة السلطان ، وأمّا إن كان بغير عنوان المقاسمة ففيه إشكال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قبله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اختصاص حكم الخراج بما يأخذه السلطان المخالف المدّعي للخلافة والولاية على المسلمين بغير استحقاق ، بل يعمّ سلاطين الشيعة الذين لا يدّعون ذلك ، بل لا يبعد شموله لكلّ مستول على جباية الخراج حتّى فيما إذا لم يكن سلطان كبعض الحكومات المتشكّلة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تعميم الحكم لغير الأراضي الخراجية مثل ما يأخذه الجائر من أراضي الصلح ، أو التي كانت مواتاً فتملّكت بالإحياء وجه ، بل لا يخلو من قوّة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اعتبار خروج المؤن جميعها من غير فرق بين السابقة على زمان التعلّق واللاحقة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النصاب قبل إخراجها ، فإذا بلغ الحاصل حدّ النصاب تعلّق به الزكاة مع اجتماع سائر الشرائط ، لكنّه تخرج المؤن من الوسط ثمّ يخرج العشر أو نصف العشر من الباقي قلّ أو كثر ، نعم لو استوعبت المؤونة تمام الحاصل فلا زكاة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يغرمه المالك في نفقة هذه الثمرة ويصرفه من الأموال في تنميتها أو حفظها كالبذر ، وثمن الماء المشترى لسقيها ، واُجرة الفلاّح والحارث والحارس والساقي والحصّاد والجذّاذ ، واُجرة العوامل التي يستأجرها للزرع ، واُجرة الأرض ولو كانت غصباً ولم ينو إعطاء اُجرتها لمالكها ، وما يصرفه في تجفيف الثمرة وإصلاح موضع الشمس وإصلاح النخل بتكريب ونحوه ، وما يصرفه في تسطيح الأرض وتنقية النهر ، بل وفي إحداثه لو كان هذا الزرع أو النخل أو الكرم محتاجاً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ليس منها ما يصرفه مالك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 بئر أو نهر أو بناء دولاب أو ناعور أو حائط أو طوف ونحو ذلك ممّا يعدّ من مؤونة تعمير البستان لا من مؤونة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صرف ذلك ضامن النخيل والكرم ومشتري الثمرة لأجل الثمر الذي اشتراه يكون من مؤونته ، ولا يحسب منها اُجرة المالك إذا كان هو العامل ولا اُجرة ولده أو زوجته أو الأجنبيّ المتبرّعين بالعمل ، وكذا اُجرة الأرض والعوامل إذا كانت مملوكة له ، بل الأحوط عدم احتساب ثمن العوامل والآلات والأدوات التي يشتريها للزرع والسقي ممّا يبقى عينها بعد استيفاء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احتساب ما يرد عليها من النقص بسبب استعمالها في الزرع والسقي وجه ، لكن </w:t>
      </w:r>
      <w:bookmarkStart w:id="449" w:name="pg15003_159946"/>
    </w:p>
    <w:p>
      <w:pPr>
        <w:pStyle w:val="BookText"/>
        <w:rPr/>
      </w:pPr>
      <w:bookmarkEnd w:id="449"/>
      <w:r>
        <w:rPr>
          <w:rFonts w:ascii="Amiri" w:hAnsi="Amiri" w:eastAsia="Amiri" w:cs="Amiri"/>
          <w:color w:val="111111"/>
          <w:sz w:val="28"/>
          <w:sz w:val="28"/>
          <w:szCs w:val="28"/>
          <w:rtl w:val="true"/>
          <w:lang w:bidi="ar-SA"/>
        </w:rPr>
        <w:t>الأحوط خلافه ، وفي احتساب ثمن الزرع والثمر من المؤن إشكال</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يلاحظ في البذر قيمته يوم الزرع لا مثله ؛ سواء كان من ماله أو اشتراه ، فلو كان بعضه من ماله الغير المزكّى تعلّق 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العشر أو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بذمّته</w:t>
      </w:r>
      <w:r>
        <w:rPr>
          <w:rStyle w:val="FootnoteAnchor"/>
          <w:rtl w:val="true"/>
        </w:rPr>
        <w:footnoteReference w:id="905"/>
      </w:r>
      <w:r>
        <w:rPr>
          <w:rFonts w:ascii="Amiri" w:hAnsi="Amiri" w:eastAsia="Amiri" w:cs="Amiri"/>
          <w:color w:val="111111"/>
          <w:sz w:val="28"/>
          <w:sz w:val="28"/>
          <w:szCs w:val="28"/>
          <w:rtl w:val="true"/>
          <w:lang w:bidi="ar-SA"/>
        </w:rPr>
        <w:t xml:space="preserve">ويحسب قيمة البقيّة من مؤونة هذا الزرع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مع الزكوي غيره وزّعت المؤونة عليهما ، وكذا الخراج</w:t>
      </w:r>
      <w:r>
        <w:rPr>
          <w:rStyle w:val="FootnoteAnchor"/>
          <w:rtl w:val="true"/>
        </w:rPr>
        <w:footnoteReference w:id="906"/>
      </w:r>
      <w:r>
        <w:rPr>
          <w:rFonts w:ascii="Amiri" w:hAnsi="Amiri" w:eastAsia="Amiri" w:cs="Amiri"/>
          <w:color w:val="111111"/>
          <w:sz w:val="28"/>
          <w:sz w:val="28"/>
          <w:szCs w:val="28"/>
          <w:rtl w:val="true"/>
          <w:lang w:bidi="ar-SA"/>
        </w:rPr>
        <w:t xml:space="preserve">الذي يأخذه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توزيعها على التبن والحبّ وجه ، إلاّ أنّ الأوجه خلافه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للعمل مدخلية في ثمر سنين عديدة يجوز احتسابه</w:t>
      </w:r>
      <w:r>
        <w:rPr>
          <w:rStyle w:val="FootnoteAnchor"/>
          <w:rtl w:val="true"/>
        </w:rPr>
        <w:footnoteReference w:id="908"/>
      </w:r>
      <w:r>
        <w:rPr>
          <w:rFonts w:ascii="Amiri" w:hAnsi="Amiri" w:eastAsia="Amiri" w:cs="Amiri"/>
          <w:color w:val="111111"/>
          <w:sz w:val="28"/>
          <w:sz w:val="28"/>
          <w:szCs w:val="28"/>
          <w:rtl w:val="true"/>
          <w:lang w:bidi="ar-SA"/>
        </w:rPr>
        <w:t xml:space="preserve">من مؤونة السنة الاُولى ، فيكون غيرها بلا مؤونة ، كما أ نّه يجوز التوزيع على السنين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كون شيء من المؤن أو لا ، لم يحسب منها </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87897_3406789950"/>
      <w:bookmarkStart w:id="451" w:name="_Toc163"/>
      <w:bookmarkEnd w:id="450"/>
      <w:r>
        <w:rPr>
          <w:rtl w:val="true"/>
        </w:rPr>
        <w:t>المطلب الثالث</w:t>
      </w:r>
      <w:bookmarkEnd w:id="451"/>
    </w:p>
    <w:p>
      <w:pPr>
        <w:pStyle w:val="Heading6"/>
        <w:numPr>
          <w:ilvl w:val="5"/>
          <w:numId w:val="1"/>
        </w:numPr>
        <w:rPr/>
      </w:pPr>
      <w:bookmarkStart w:id="452" w:name="__RefHeading___Toc487899_3406789950"/>
      <w:bookmarkStart w:id="453" w:name="_Toc164"/>
      <w:bookmarkEnd w:id="452"/>
      <w:r>
        <w:rPr>
          <w:rtl w:val="true"/>
        </w:rPr>
        <w:t>اشارة</w:t>
      </w:r>
      <w:bookmarkEnd w:id="45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سقي 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بحفر نهر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يشرب بعروقه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يسقى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العشر، وما يسقى بالعلاج بالدلو والدوالي </w:t>
      </w:r>
      <w:bookmarkStart w:id="454" w:name="pg15003_159947"/>
    </w:p>
    <w:p>
      <w:pPr>
        <w:pStyle w:val="BookText"/>
        <w:rPr/>
      </w:pPr>
      <w:bookmarkEnd w:id="454"/>
      <w:r>
        <w:rPr>
          <w:rFonts w:ascii="Amiri" w:hAnsi="Amiri" w:eastAsia="Amiri" w:cs="Amiri"/>
          <w:color w:val="111111"/>
          <w:sz w:val="28"/>
          <w:sz w:val="28"/>
          <w:szCs w:val="28"/>
          <w:rtl w:val="true"/>
          <w:lang w:bidi="ar-SA"/>
        </w:rPr>
        <w:t>والنواضح ونحوها من العلاجات ففيه نصف العشر ، وإن سقي بهما فالحكم للأكثر</w:t>
      </w:r>
      <w:r>
        <w:rPr>
          <w:rStyle w:val="FootnoteAnchor"/>
          <w:rtl w:val="true"/>
        </w:rPr>
        <w:footnoteReference w:id="909"/>
      </w:r>
      <w:r>
        <w:rPr>
          <w:rFonts w:ascii="Amiri" w:hAnsi="Amiri" w:eastAsia="Amiri" w:cs="Amiri"/>
          <w:color w:val="111111"/>
          <w:sz w:val="28"/>
          <w:sz w:val="28"/>
          <w:szCs w:val="28"/>
          <w:rtl w:val="true"/>
          <w:lang w:bidi="ar-SA"/>
        </w:rPr>
        <w:t>الذي يسند السقي إليه عرفاً ، وإن تساويا بحيث لم يتحقّق الإسناد المزبور بل يصدق أ نّه سقي بهما ، ففي نصفه العشر وفي نصفه الآخر نصف العشر ، ومع الشكّ فالواجب الأقلّ</w:t>
      </w:r>
      <w:r>
        <w:rPr>
          <w:rStyle w:val="FootnoteAnchor"/>
          <w:rtl w:val="true"/>
        </w:rPr>
        <w:footnoteReference w:id="910"/>
      </w:r>
      <w:r>
        <w:rPr>
          <w:rFonts w:ascii="Amiri" w:hAnsi="Amiri" w:eastAsia="Amiri" w:cs="Amiri"/>
          <w:color w:val="111111"/>
          <w:sz w:val="28"/>
          <w:sz w:val="28"/>
          <w:szCs w:val="28"/>
          <w:rtl w:val="true"/>
          <w:lang w:bidi="ar-SA"/>
        </w:rPr>
        <w:t xml:space="preserve">والأحوط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الأمطار العادية في أيّام السنة لا تخرج ما يسقى بالدوالي عن حكمه ، إلاّ إذا استغنى بها عن الدوالي أو صار مشتركاً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شخص الماء بالدوالي على أرض مباحة مثلاً عبثاً أو لغرض ، فزرعها آخر وشرب الزرع بعروقه يجب العشر على الأقوى ، وكذا إذا أخرجه هو بنفسه لغرض آخر غير الزرع ثمّ بدا له أن يزرع زرعاً يشرب بعروقه ، بل وكذا إذا أخرجه لزرع فزاد وجرى على أرض اُخرى فبدا له أن يزرع فيها زرعاً يشرب بعروقه </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87901_3406789950"/>
      <w:bookmarkStart w:id="456" w:name="_Toc165"/>
      <w:bookmarkEnd w:id="455"/>
      <w:r>
        <w:rPr>
          <w:rtl w:val="true"/>
        </w:rPr>
        <w:t xml:space="preserve">القول </w:t>
      </w:r>
      <w:r>
        <w:rPr>
          <w:rtl w:val="true"/>
        </w:rPr>
        <w:t xml:space="preserve">: </w:t>
      </w:r>
      <w:r>
        <w:rPr>
          <w:rtl w:val="true"/>
        </w:rPr>
        <w:t>فيما يستحبّ فيه الزكاة</w:t>
      </w:r>
      <w:bookmarkEnd w:id="45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w:t>
      </w:r>
      <w:r>
        <w:rPr>
          <w:rStyle w:val="FootnoteAnchor"/>
          <w:rtl w:val="true"/>
        </w:rPr>
        <w:footnoteReference w:id="911"/>
      </w:r>
      <w:r>
        <w:rPr>
          <w:rFonts w:ascii="Amiri" w:hAnsi="Amiri" w:eastAsia="Amiri" w:cs="Amiri"/>
          <w:color w:val="111111"/>
          <w:sz w:val="28"/>
          <w:sz w:val="28"/>
          <w:szCs w:val="28"/>
          <w:rtl w:val="true"/>
          <w:lang w:bidi="ar-SA"/>
        </w:rPr>
        <w:t xml:space="preserve">على الأصحّ ، وهو المال الذي وقع مورداً للتجارة والاكتساب ؛ بأن عووض بمال آخر وقصد به الاسترباح ؛ سواء كان تملّكه لذلك </w:t>
      </w:r>
    </w:p>
    <w:p>
      <w:pPr>
        <w:pStyle w:val="BookText"/>
        <w:rPr/>
      </w:pPr>
      <w:r>
        <w:rPr>
          <w:rFonts w:ascii="Amiri" w:hAnsi="Amiri" w:eastAsia="Amiri" w:cs="Amiri"/>
          <w:color w:val="111111"/>
          <w:sz w:val="28"/>
          <w:sz w:val="28"/>
          <w:szCs w:val="28"/>
          <w:rtl w:val="true"/>
          <w:lang w:bidi="ar-SA"/>
        </w:rPr>
        <w:t xml:space="preserve">المال بعقد المعاوضة أو بمثل الهبة والصلح المجّاني أو الإرث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في الدخول في هذا العنوان إعداد المال للتجارة وإن لم يقع فعلاً مورداً لها ولم يتّجر به أم لا ؟ فيه إشكال ، أقواهما الثاني ، وإن كان الأحوط هو الأوّل ، فلو ملك مالاً بالمعاوضة أو غيرها قاصداً به الاقتناء أو الصرف في مؤونته ثمّ بدا له أن يكتسب به ونوى الاتّجار به لم يكن من مال التجارة ما لم يشتغل بالاكتساب به ببيعه أو جعله ثمناً لشيء ، نعم لو كان مورداً للاتّجار عند المنتقل عنه كما إذا ورث ابن التاجر أموال تجارة أبيه ونوى الاتّجار بها ، ففي الاكتفاء بذلك وجه إلاّ أنّ الأوجه خلافه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حدّ النصاب ؛ وهو نصاب أحد النقدين ، فلا زكاة فيما لم يبلغ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من حين دورانه في التجارة على ما قوّيناه ومن حين قصدها على 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إبقاؤه</w:t>
      </w:r>
      <w:r>
        <w:rPr>
          <w:rStyle w:val="FootnoteAnchor"/>
          <w:rtl w:val="true"/>
        </w:rPr>
        <w:footnoteReference w:id="912"/>
      </w:r>
      <w:r>
        <w:rPr>
          <w:rFonts w:ascii="Amiri" w:hAnsi="Amiri" w:eastAsia="Amiri" w:cs="Amiri"/>
          <w:color w:val="111111"/>
          <w:sz w:val="28"/>
          <w:sz w:val="28"/>
          <w:szCs w:val="28"/>
          <w:rtl w:val="true"/>
          <w:lang w:bidi="ar-SA"/>
        </w:rPr>
        <w:t xml:space="preserve">طول الحول لأجل تحصيل رأس المال أو الزيادة ، فلو كان رأس ماله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يطلب في أثناء السنة بنقيصة ولو بمقدار قيراط يوماً من الأيّام سقطت الزكاة ، وكذا لو نوى به القنية كذلك ، وقدر الزكاة فيه ربع العشر كما في النقدين ، وإذا كان المتاع عروضاً يكفي بلوغ قيمته حدّ النصاب بأحد النقدين وإن لم يبلغ حدّه بحسب النقد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الزكاة مسائل وفروع لم نتعرّضها لقلّة الابتلاء بها </w:t>
      </w:r>
      <w:r>
        <w:rPr>
          <w:rFonts w:eastAsia="Amiri" w:cs="Amiri" w:ascii="Amiri" w:hAnsi="Amiri"/>
          <w:color w:val="111111"/>
          <w:sz w:val="28"/>
          <w:szCs w:val="28"/>
          <w:rtl w:val="true"/>
          <w:lang w:bidi="ar-SA"/>
        </w:rPr>
        <w:t xml:space="preserve">. </w:t>
      </w:r>
      <w:bookmarkStart w:id="457" w:name="pg15003_159949"/>
    </w:p>
    <w:p>
      <w:pPr>
        <w:pStyle w:val="BookText"/>
        <w:rPr/>
      </w:pPr>
      <w:bookmarkEnd w:id="457"/>
      <w:r>
        <w:rPr>
          <w:rFonts w:ascii="Amiri" w:hAnsi="Amiri" w:eastAsia="Amiri" w:cs="Amiri"/>
          <w:color w:val="111111"/>
          <w:sz w:val="28"/>
          <w:sz w:val="28"/>
          <w:szCs w:val="28"/>
          <w:rtl w:val="true"/>
          <w:lang w:bidi="ar-SA"/>
        </w:rPr>
        <w:t xml:space="preserve">الثاني ممّا تستحبّ فيه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يكال</w:t>
      </w:r>
      <w:r>
        <w:rPr>
          <w:rStyle w:val="FootnoteAnchor"/>
          <w:rtl w:val="true"/>
        </w:rPr>
        <w:footnoteReference w:id="913"/>
      </w:r>
      <w:r>
        <w:rPr>
          <w:rFonts w:ascii="Amiri" w:hAnsi="Amiri" w:eastAsia="Amiri" w:cs="Amiri"/>
          <w:color w:val="111111"/>
          <w:sz w:val="28"/>
          <w:sz w:val="28"/>
          <w:szCs w:val="28"/>
          <w:rtl w:val="true"/>
          <w:lang w:bidi="ar-SA"/>
        </w:rPr>
        <w:t xml:space="preserve">أو يوزن غير الغلاّت الأربع عدا الخضر ، كالبقل والفواكه والباذنجان والخيار والبطّيخ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حكم الغلاّت الأربع في قدر النصاب وقدر ما يخرج منها من العشر أو نصف العشر وإخراج الخراج والمؤن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Style w:val="FootnoteAnchor"/>
          <w:rtl w:val="true"/>
        </w:rPr>
        <w:footnoteReference w:id="914"/>
      </w:r>
      <w:r>
        <w:rPr>
          <w:rFonts w:ascii="Amiri" w:hAnsi="Amiri" w:eastAsia="Amiri" w:cs="Amiri"/>
          <w:color w:val="111111"/>
          <w:sz w:val="28"/>
          <w:sz w:val="28"/>
          <w:szCs w:val="28"/>
          <w:rtl w:val="true"/>
          <w:lang w:bidi="ar-SA"/>
        </w:rPr>
        <w:t xml:space="preserve">الإناث بشرط كونها سائمة وحال عليها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العتاق منها وهي التي تولّدت من عربيين عن كلّ فرس منها في كلّ سنة ديناران ، وفي البرذون في كلّ سنة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ثبوتها حتّى مع الاشتراك ، فلو اشترك جماعة في فرس تثبت الزكاة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w:t>
      </w:r>
      <w:r>
        <w:rPr>
          <w:rStyle w:val="FootnoteAnchor"/>
          <w:rtl w:val="true"/>
        </w:rPr>
        <w:footnoteReference w:id="915"/>
      </w:r>
      <w:r>
        <w:rPr>
          <w:rFonts w:ascii="Amiri" w:hAnsi="Amiri" w:eastAsia="Amiri" w:cs="Amiri"/>
          <w:color w:val="111111"/>
          <w:sz w:val="28"/>
          <w:sz w:val="28"/>
          <w:szCs w:val="28"/>
          <w:rtl w:val="true"/>
          <w:lang w:bidi="ar-SA"/>
        </w:rPr>
        <w:t xml:space="preserve">المتّخذة للنماء من الدكاكين والمساكن والحمّامات والخانات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اعتبار نصاب</w:t>
      </w:r>
      <w:r>
        <w:rPr>
          <w:rStyle w:val="FootnoteAnchor"/>
          <w:rtl w:val="true"/>
        </w:rPr>
        <w:footnoteReference w:id="916"/>
      </w:r>
      <w:r>
        <w:rPr>
          <w:rFonts w:ascii="Amiri" w:hAnsi="Amiri" w:eastAsia="Amiri" w:cs="Amiri"/>
          <w:color w:val="111111"/>
          <w:sz w:val="28"/>
          <w:sz w:val="28"/>
          <w:szCs w:val="28"/>
          <w:rtl w:val="true"/>
          <w:lang w:bidi="ar-SA"/>
        </w:rPr>
        <w:t xml:space="preserve">النقدين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المخرج ربع العشر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فإنّ زكاته إعارته </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487903_3406789950"/>
      <w:bookmarkStart w:id="459" w:name="_Toc166"/>
      <w:bookmarkEnd w:id="458"/>
      <w:r>
        <w:rPr>
          <w:rtl w:val="true"/>
        </w:rPr>
        <w:t xml:space="preserve">القول </w:t>
      </w:r>
      <w:r>
        <w:rPr>
          <w:rtl w:val="true"/>
        </w:rPr>
        <w:t xml:space="preserve">: </w:t>
      </w:r>
      <w:r>
        <w:rPr>
          <w:rtl w:val="true"/>
        </w:rPr>
        <w:t>في أصناف المستحقّين للزكاة ومصارفها</w:t>
      </w:r>
      <w:bookmarkEnd w:id="459"/>
    </w:p>
    <w:p>
      <w:pPr>
        <w:pStyle w:val="BookText"/>
        <w:rPr/>
      </w:pPr>
      <w:r>
        <w:rPr>
          <w:rFonts w:ascii="Amiri" w:hAnsi="Amiri" w:eastAsia="Amiri" w:cs="Amiri"/>
          <w:color w:val="111111"/>
          <w:sz w:val="28"/>
          <w:sz w:val="28"/>
          <w:szCs w:val="28"/>
          <w:rtl w:val="true"/>
          <w:lang w:bidi="ar-SA"/>
        </w:rPr>
        <w:t xml:space="preserve">وهي ثمانية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 والثاني أسوأ حالاً من الأوّل ، وهم الذين لا يملكون مؤونة سنتهم اللائقة بحالهم لهم ولمن يقومون به لا فعلاً ولا قوّة ، </w:t>
      </w:r>
    </w:p>
    <w:p>
      <w:pPr>
        <w:pStyle w:val="BookText"/>
        <w:rPr/>
      </w:pPr>
      <w:r>
        <w:rPr>
          <w:rFonts w:ascii="Amiri" w:hAnsi="Amiri" w:eastAsia="Amiri" w:cs="Amiri"/>
          <w:color w:val="111111"/>
          <w:sz w:val="28"/>
          <w:sz w:val="28"/>
          <w:szCs w:val="28"/>
          <w:rtl w:val="true"/>
          <w:lang w:bidi="ar-SA"/>
        </w:rPr>
        <w:t xml:space="preserve">فمن كان ذا اكتساب يمون به نفسه وعياله على وجه يليق بحاله ليس من الفقراء والمساكين ولا يحلّ له الزكاة ، وكذا صاحب الصنعة والضيعة وغيرهما ممّا يحصل به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القادر على الاكتساب ولكن لم يفعل تكاسلاً فلا يترك</w:t>
      </w:r>
      <w:r>
        <w:rPr>
          <w:rStyle w:val="FootnoteAnchor"/>
          <w:rtl w:val="true"/>
        </w:rPr>
        <w:footnoteReference w:id="917"/>
      </w:r>
      <w:r>
        <w:rPr>
          <w:rFonts w:ascii="Amiri" w:hAnsi="Amiri" w:eastAsia="Amiri" w:cs="Amiri"/>
          <w:color w:val="111111"/>
          <w:sz w:val="28"/>
          <w:sz w:val="28"/>
          <w:szCs w:val="28"/>
          <w:rtl w:val="true"/>
          <w:lang w:bidi="ar-SA"/>
        </w:rPr>
        <w:t xml:space="preserve">الاحتياط في اجتنابه عن أخذ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السنة التي تدور صفتا الفقر والغنى مدار مالكية مؤونتها وعدمها هو زمان إعطاء الزكاة ، فيلاحظ كفايته وعدمها في ذلك الزمان ، فكلّ زمان كان مالكاً لمقدار كفاية سنته كان غنيّاً ، فإذا نقص عن ذلك بعد صرف بعضه يصير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تتبدّل صفتا الفقر والغنى لشخص في يوم واحد مرّات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رأس مال يكفي لمؤونة سنته لكن لم يكفه ربحه ، أو ضيعة تقوم قيمتها بمؤونة سنة أو سنوات ولكن لا تكفيه عائداتها لا يكون غنيّاً ، فيجوز له أن يبقيها ويأخذ من الزكاة بقيّة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w:t>
      </w:r>
      <w:r>
        <w:rPr>
          <w:rStyle w:val="FootnoteAnchor"/>
          <w:rtl w:val="true"/>
        </w:rPr>
        <w:footnoteReference w:id="918"/>
      </w:r>
      <w:r>
        <w:rPr>
          <w:rFonts w:ascii="Amiri" w:hAnsi="Amiri" w:eastAsia="Amiri" w:cs="Amiri"/>
          <w:color w:val="111111"/>
          <w:sz w:val="28"/>
          <w:sz w:val="28"/>
          <w:szCs w:val="28"/>
          <w:rtl w:val="true"/>
          <w:lang w:bidi="ar-SA"/>
        </w:rPr>
        <w:t xml:space="preserve">الفقير أزيد من مقدار مؤونة سنته ، بل يجوز دفع ما يكفيه لسنين لكن دفعة لا تدريجاً ، نعم في المكتسب الذي لا يفي كسبه وصاحب الضيعة التي لا يفي حاصلها والتاجر الذي لا يكفي ربحه ، الأحوط الاقتصار على إعطاء التتمّة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السكنى والخادم وفرس الركوب المحتاج إليها بحسب حاله ولو لعزّه وشرفه والثياب والألبسة الصيفية والشتوية والسفرية والحضرية ولو </w:t>
      </w:r>
    </w:p>
    <w:p>
      <w:pPr>
        <w:pStyle w:val="BookText"/>
        <w:rPr/>
      </w:pPr>
      <w:r>
        <w:rPr>
          <w:rFonts w:ascii="Amiri" w:hAnsi="Amiri" w:eastAsia="Amiri" w:cs="Amiri"/>
          <w:color w:val="111111"/>
          <w:sz w:val="28"/>
          <w:sz w:val="28"/>
          <w:szCs w:val="28"/>
          <w:rtl w:val="true"/>
          <w:lang w:bidi="ar-SA"/>
        </w:rPr>
        <w:t xml:space="preserve">كانت للتجمّل والفروش والظروف وغير ذلك لا يمنع من إعطاء الزكاة ، نعم لو كان عنده أزيد من مقدار حاجته المتعارفة بحسب حاله بحيث لو صرفها تكفي لمؤونة سنته لا يجوز له أخذ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قادراً على التكسّب ولو بالاحتطاب والاحتشاش لكن ينافي شأنه أو يشقّ عليه مشقّة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لكبر أو مرض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أخذ الزكاة ، وكذا إذا كان صاحب صنعة أو حرفة لا يمكنه الاشتغال بها لفقد الأسباب أو عدم الطالب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له حرفة وصنعة لائقة بشأنه فعلاً ولكن يقدر على تعلّمها بغير مشقّة شديدة ، ففي جواز تركه التعلّم وأخذه الزكاة إشكال ، فلا يترك الاحتياط ، نعم لا إشكال في جواز أخذها فيما إذا اشتغل بالتعلّم ما دام مشتغلاً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لطالب العلم القادر على التكسّب اللائق بشأنه أخذ الزكاة</w:t>
      </w:r>
      <w:r>
        <w:rPr>
          <w:rStyle w:val="FootnoteAnchor"/>
          <w:rtl w:val="true"/>
        </w:rPr>
        <w:footnoteReference w:id="919"/>
      </w:r>
      <w:r>
        <w:rPr>
          <w:rFonts w:ascii="Amiri" w:hAnsi="Amiri" w:eastAsia="Amiri" w:cs="Amiri"/>
          <w:color w:val="111111"/>
          <w:sz w:val="28"/>
          <w:sz w:val="28"/>
          <w:szCs w:val="28"/>
          <w:rtl w:val="true"/>
          <w:lang w:bidi="ar-SA"/>
        </w:rPr>
        <w:t xml:space="preserve">إذا كان التكسّب مانعاً عن الاشتغال أو موجباً للفتور فيه ؛ سواء كان ممّا يجب تعلّمه عيناً أو كفاية أم يستحبّ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أنّ ما في يده كافٍ لمؤونة سنته لا يجوز له أخذ الزكاة ، إلاّ إذا كان مسبوقاً بعدم وجود ما به الكفاية ثمّ وجد ما يشكّ في كفايته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دين على الفقير جاز احتسابه زكاة ولو كان ميّتاً ، بشرط أن لا يكون له تركة تفي بدينه ، وإلاّ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له تركة لكن </w:t>
      </w:r>
    </w:p>
    <w:p>
      <w:pPr>
        <w:pStyle w:val="BookText"/>
        <w:rPr/>
      </w:pPr>
      <w:r>
        <w:rPr>
          <w:rFonts w:ascii="Amiri" w:hAnsi="Amiri" w:eastAsia="Amiri" w:cs="Amiri"/>
          <w:color w:val="111111"/>
          <w:sz w:val="28"/>
          <w:sz w:val="28"/>
          <w:szCs w:val="28"/>
          <w:rtl w:val="true"/>
          <w:lang w:bidi="ar-SA"/>
        </w:rPr>
        <w:t xml:space="preserve">لا يمكن استيفاء الدين منها من جهة امتناع الورثة أو غيره فالظاهر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الفقر فإن عرف صدقه أو كذبه عومل به ، ولو جهل حاله اُعطي من غير يمين مع سبق فقره ، وإلاّ فالأحوط اعتبار الظنّ بصدقه الناشئ من ظهور حاله ، خصوصاً مع سبق غناه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إعلام الفقير أنّ المدفوع إليه زكاة ، بل يستحبّ صرفها إليه على وجه الصلة ظاهراً والزكاة واقعاً إذا كان ممّن يترفّع ويدخله الحياء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الزكاة إلى شخص على أ نّه فقير فبان غنيّاً ارتجعت منه مع بقاء العين ، بل ومع تلفها أيضاً مع علم القابض بكونها زكاة وإن كان جاهلاً بحرمتها على الغنيّ ، بخلاف ما إذا كان جاهلاً بكونها زكاة فإنّه لا ضمان</w:t>
      </w:r>
      <w:r>
        <w:rPr>
          <w:rStyle w:val="FootnoteAnchor"/>
          <w:rtl w:val="true"/>
        </w:rPr>
        <w:footnoteReference w:id="92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الزكاة المعزولة وغيرها ، وكذا الحال فيما لو دفعها إلى غنيّ جاهلاً بحرمتها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ارتجاعها في الصورتين أو تلفت بلا ضمان أو معه وتعذّر أخذ العوض منه كان ضامناً</w:t>
      </w:r>
      <w:r>
        <w:rPr>
          <w:rStyle w:val="FootnoteAnchor"/>
          <w:rtl w:val="true"/>
        </w:rPr>
        <w:footnoteReference w:id="921"/>
      </w:r>
      <w:r>
        <w:rPr>
          <w:rFonts w:ascii="Amiri" w:hAnsi="Amiri" w:eastAsia="Amiri" w:cs="Amiri"/>
          <w:color w:val="111111"/>
          <w:sz w:val="28"/>
          <w:sz w:val="28"/>
          <w:szCs w:val="28"/>
          <w:rtl w:val="true"/>
          <w:lang w:bidi="ar-SA"/>
        </w:rPr>
        <w:t xml:space="preserve">وعليه الزكاة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الدافع هو المجتهد أو وكيله لا ضمان عليه ، بل ولا على المالك أيضاً إذا كان دفعه إلى المجتهد بعنوان أ نّه وليّ عامّ على الفقراء ، وأمّا إذا كان بعنوان الوكالة عن المالك فالظاهر ضمانه فيجب عليه أداء الزكاة ثانياً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عليها ، وهم الساعون في جبايتها المنصوبون من قبل الإمام علیه السلام أو نائبه لأخذها وضبطها وحسابها فإنّ لهم من الزكاة سهماً لأجل </w:t>
      </w:r>
    </w:p>
    <w:p>
      <w:pPr>
        <w:pStyle w:val="BookText"/>
        <w:rPr/>
      </w:pPr>
      <w:r>
        <w:rPr>
          <w:rFonts w:ascii="Amiri" w:hAnsi="Amiri" w:eastAsia="Amiri" w:cs="Amiri"/>
          <w:color w:val="111111"/>
          <w:sz w:val="28"/>
          <w:sz w:val="28"/>
          <w:szCs w:val="28"/>
          <w:rtl w:val="true"/>
          <w:lang w:bidi="ar-SA"/>
        </w:rPr>
        <w:t xml:space="preserve">عملهم وإن كانوا أغنياء ، والإمام أو نائبه مخيّر بين أن يقدّر لهم جعالة مقدّرة أو اُجرة عن مدّة مقرّرة وبين أن لا يجعل لهم جعلاً فيعطيهم 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سقوط هذا الصنف في زمان الغيبة ولو مع بسط يد نائبها في بعض الأقطار تأمّل</w:t>
      </w:r>
      <w:r>
        <w:rPr>
          <w:rStyle w:val="FootnoteAnchor"/>
          <w:rtl w:val="true"/>
        </w:rPr>
        <w:footnoteReference w:id="922"/>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 وهم الكفّار الذين يراد اُلفتهم إلى الجهاد أو للإسلام والمسلمون الذين عقائدهم ضعيفة ، والظاهر عدم سقوطه في هذا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 ، وهم المكاتبون العاجزون عن أداء مال الكتابة ، والعبيد تحت الشدّة بل مطلق عتق العبد ، لكن مع عدم</w:t>
      </w:r>
      <w:r>
        <w:rPr>
          <w:rStyle w:val="FootnoteAnchor"/>
          <w:rtl w:val="true"/>
        </w:rPr>
        <w:footnoteReference w:id="923"/>
      </w:r>
      <w:r>
        <w:rPr>
          <w:rFonts w:ascii="Amiri" w:hAnsi="Amiri" w:eastAsia="Amiri" w:cs="Amiri"/>
          <w:color w:val="111111"/>
          <w:sz w:val="28"/>
          <w:sz w:val="28"/>
          <w:szCs w:val="28"/>
          <w:rtl w:val="true"/>
          <w:lang w:bidi="ar-SA"/>
        </w:rPr>
        <w:t xml:space="preserve">وجود المستحقّ للزكاة بخلاف الأوّل فإنّه يشترى ويعتق وإن وجد المستحقّ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 وهم الذين علتهم الديون في غير معصية ولا إسراف ولم يتمكّنوا من وفائِها ولو ملكوا قوت سنتهم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بالدين كلّ ما اشتغلت به الذمّة ، ولو كان مهراً لزوجته أو غرامة لما أتلفه أو تلف عنده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الحلول فيه تأمّل وإشكال ، أحوطه اعتباره وأقواه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المديون كسوباً يتمكّن من قضاء الدين تدريجاً فإن لم يرض بذلك الديّان ويطلبون منه التعجيل فلا إشكال في جواز إعطائه من هذا السهم ، وإن رضوا بذلك ولم يطالبوه فالأحوط عدم إعطائه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المديون ممّن تجب نفقته على من عليه الزكاة جاز له </w:t>
      </w:r>
    </w:p>
    <w:p>
      <w:pPr>
        <w:pStyle w:val="BookText"/>
        <w:rPr/>
      </w:pPr>
      <w:r>
        <w:rPr>
          <w:rFonts w:ascii="Amiri" w:hAnsi="Amiri" w:eastAsia="Amiri" w:cs="Amiri"/>
          <w:color w:val="111111"/>
          <w:sz w:val="28"/>
          <w:sz w:val="28"/>
          <w:szCs w:val="28"/>
          <w:rtl w:val="true"/>
          <w:lang w:bidi="ar-SA"/>
        </w:rPr>
        <w:t xml:space="preserve">إعطاؤه لوفاء دينه وإن لم يجز إعطاؤه لنفقته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صرف الزكاة في هذا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بدفعها إلى المديون ليوفي دينه ، وإمّا بالدفع إلى الدائن وفاءً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الغريم مديوناً لمن عليه الزكاة جاز له احتساب ما في ذمّته زكاة ، كما جاز له أن يحتسب ما عنده من الزكاة وفاء للدين الذي على الغريم ، يبرأ بذلك ذمّته وإن لم يقبض الزكاة ولم يوكّل المالك في قبضها بل ولم يكن له اطّلاع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لمن عليه الزكاة دين على شخص ، وكان لذلك الشخص دين على فقير جاز له احتساب ما على ذلك الشخص زكاة ثمّ احتسابه له وفاء عمّا له على ذلك الفقير ، كما جاز أن يحيله ذلك الشخص على ذلك الفقير ، فيبرأ بذلك ذمّة ذلك الشخص عن دين من عليه الزكاة وذمّة الفقير عن دين ذلك الشخص ، ويشتغل لمن عليه الزكاة ، فيحسب ما في ذمّته زكاة كما في المسألة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اعتبار كون الدين في غير معصية ، والمدار على صرفه فيها لا على كون الاستدانة لأجلها ، فلو استدان لا للمعصية فصرفه فيها لم يعط من هذا السهم بخلاف العكس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 وهو جميع</w:t>
      </w:r>
      <w:r>
        <w:rPr>
          <w:rStyle w:val="FootnoteAnchor"/>
          <w:rtl w:val="true"/>
        </w:rPr>
        <w:footnoteReference w:id="924"/>
      </w:r>
      <w:r>
        <w:rPr>
          <w:rFonts w:ascii="Amiri" w:hAnsi="Amiri" w:eastAsia="Amiri" w:cs="Amiri"/>
          <w:color w:val="111111"/>
          <w:sz w:val="28"/>
          <w:sz w:val="28"/>
          <w:szCs w:val="28"/>
          <w:rtl w:val="true"/>
          <w:lang w:bidi="ar-SA"/>
        </w:rPr>
        <w:t xml:space="preserve">سبل الخير ، كبناء القناطر والمدارس </w:t>
      </w:r>
    </w:p>
    <w:p>
      <w:pPr>
        <w:pStyle w:val="BookText"/>
        <w:rPr/>
      </w:pPr>
      <w:r>
        <w:rPr>
          <w:rFonts w:ascii="Amiri" w:hAnsi="Amiri" w:eastAsia="Amiri" w:cs="Amiri"/>
          <w:color w:val="111111"/>
          <w:sz w:val="28"/>
          <w:sz w:val="28"/>
          <w:szCs w:val="28"/>
          <w:rtl w:val="true"/>
          <w:lang w:bidi="ar-SA"/>
        </w:rPr>
        <w:t xml:space="preserve">والخانات وبناء المساجد ، وإعانة الحاجّ والزائرين ، وإكرام العلماء والمشتغلين ، وتخليص الشيعة من يد الظالمين ، ونحو ذلك ، نعم الأحوط اعتبار الفقر في الزائر والحاجّ ونحوهما ، إلاّ أنّ الأقوى خلافه ، لكن مع عدم التمكّن من الزيارة والحجّ ونحوهما من مالهم ، بل يجوز دفع هذا السهم في كلّ قربة وإن تمكّن المدفوع إليه من فعلها بغير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 وهو المنقطع به في الغربة وإن كان غنيّاً في بلده إذا كان سفره مباحاً ، فلو كان في معصية لم يعط ، وكذا لو تمكّن من الاقتراض أو غيره فيدفع إليه من الزكاة مقدار ما يوصله إلى بلده على وجه يليق بحاله وشأنه أو إلى محلّ يمكنه تحصيل النفقة ولو بالاستدانة ، ولو وصل إلى بلده وفضل ممّا اُعطي شيء ولو بسبب التقتير على نفسه أعاده على الأقوى ، حتّى في مثل الدابّة والثياب ونحوها ، فيدفعه إلى الحاكم</w:t>
      </w:r>
      <w:r>
        <w:rPr>
          <w:rStyle w:val="FootnoteAnchor"/>
          <w:rtl w:val="true"/>
        </w:rPr>
        <w:footnoteReference w:id="925"/>
      </w:r>
      <w:r>
        <w:rPr>
          <w:rFonts w:ascii="Amiri" w:hAnsi="Amiri" w:eastAsia="Amiri" w:cs="Amiri"/>
          <w:color w:val="111111"/>
          <w:sz w:val="28"/>
          <w:sz w:val="28"/>
          <w:szCs w:val="28"/>
          <w:rtl w:val="true"/>
          <w:lang w:bidi="ar-SA"/>
        </w:rPr>
        <w:t xml:space="preserve">ويعلمه بأ نّه من الزكاة ليصرفه في مصرفها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التزم بنذر أو شبهه أن يعطي زكاته فقيراً معيّناً يتعيّن ووجب عليه اختياره وتعيينه ، لكن لو سها وأعطى غيره أجزأ ، ولا يجوز استرداده منه حتّى مع بقاء العين ؛ لأ نّه قد ملكها بالقبض ، بل الظاهر أنّ الحكم كذلك فيما لو أعطاه مع الالتفات والعمد ، وإن أثم حينئذٍ بسبب مخالفة النذر مثلاً وتجب عليه الكفّارة </w:t>
      </w:r>
      <w:r>
        <w:rPr>
          <w:rFonts w:eastAsia="Amiri" w:cs="Amiri" w:ascii="Amiri" w:hAnsi="Amiri"/>
          <w:color w:val="111111"/>
          <w:sz w:val="28"/>
          <w:szCs w:val="28"/>
          <w:rtl w:val="true"/>
          <w:lang w:bidi="ar-SA"/>
        </w:rPr>
        <w:t xml:space="preserve">. </w:t>
      </w:r>
      <w:bookmarkStart w:id="460" w:name="pg15003_159956"/>
    </w:p>
    <w:p>
      <w:pPr>
        <w:pStyle w:val="Heading6"/>
        <w:numPr>
          <w:ilvl w:val="5"/>
          <w:numId w:val="1"/>
        </w:numPr>
        <w:rPr/>
      </w:pPr>
      <w:bookmarkStart w:id="461" w:name="__RefHeading___Toc487905_3406789950"/>
      <w:bookmarkStart w:id="462" w:name="_Toc167"/>
      <w:bookmarkEnd w:id="460"/>
      <w:bookmarkEnd w:id="461"/>
      <w:r>
        <w:rPr>
          <w:rtl w:val="true"/>
        </w:rPr>
        <w:t xml:space="preserve">القول </w:t>
      </w:r>
      <w:r>
        <w:rPr>
          <w:rtl w:val="true"/>
        </w:rPr>
        <w:t xml:space="preserve">: </w:t>
      </w:r>
      <w:r>
        <w:rPr>
          <w:rtl w:val="true"/>
        </w:rPr>
        <w:t>في أوصاف المستحقّين للزكاة</w:t>
      </w:r>
      <w:bookmarkEnd w:id="46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فلا يعطى الكافر ولا المخالف للحقّ وإن كان من فرق الشيعة ، بل ولا المستضعف من فرق المخالفين إلاّ من سهم المؤلّفة قلوبهم كما مرّ ، نعم يعطى</w:t>
      </w:r>
      <w:r>
        <w:rPr>
          <w:rStyle w:val="FootnoteAnchor"/>
          <w:rtl w:val="true"/>
        </w:rPr>
        <w:footnoteReference w:id="926"/>
      </w:r>
      <w:r>
        <w:rPr>
          <w:rFonts w:ascii="Amiri" w:hAnsi="Amiri" w:eastAsia="Amiri" w:cs="Amiri"/>
          <w:color w:val="111111"/>
          <w:sz w:val="28"/>
          <w:sz w:val="28"/>
          <w:szCs w:val="28"/>
          <w:rtl w:val="true"/>
          <w:lang w:bidi="ar-SA"/>
        </w:rPr>
        <w:t xml:space="preserve">المستضعف من زكاة الفطرة مع عدم وجود المؤمنين في ذلك البلد ، ولا يعطى ابن الزنا من المؤمنين في حال صغره فضلاً عمّن كان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أطفال الفرقة الحقّة من غير فرق بين الذكر والاُنثى ولا بين المميّز وغيره ، بل لو تولّد بين المؤمن</w:t>
      </w:r>
      <w:r>
        <w:rPr>
          <w:rStyle w:val="FootnoteAnchor"/>
          <w:rtl w:val="true"/>
        </w:rPr>
        <w:footnoteReference w:id="927"/>
      </w:r>
      <w:r>
        <w:rPr>
          <w:rFonts w:ascii="Amiri" w:hAnsi="Amiri" w:eastAsia="Amiri" w:cs="Amiri"/>
          <w:color w:val="111111"/>
          <w:sz w:val="28"/>
          <w:sz w:val="28"/>
          <w:szCs w:val="28"/>
          <w:rtl w:val="true"/>
          <w:lang w:bidi="ar-SA"/>
        </w:rPr>
        <w:t xml:space="preserve">وغيره اُعطي منها أيضاً خصوصاً إذا كان الأب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تعطى بيد الطفل بل يدفع إلى وليّه أو يصرفها عليه بنفسه أو بواسطة أمين ، والمجنون كالطفل ، أمّا السفيه فيجوز الدفع إليه وإن تعلّق الحجر به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على الأحوط ، فلا يعطى غير العدل سيّما المتجاهر</w:t>
      </w:r>
      <w:r>
        <w:rPr>
          <w:rStyle w:val="FootnoteAnchor"/>
          <w:rtl w:val="true"/>
        </w:rPr>
        <w:footnoteReference w:id="928"/>
      </w:r>
      <w:r>
        <w:rPr>
          <w:rFonts w:ascii="Amiri" w:hAnsi="Amiri" w:eastAsia="Amiri" w:cs="Amiri"/>
          <w:color w:val="111111"/>
          <w:sz w:val="28"/>
          <w:sz w:val="28"/>
          <w:szCs w:val="28"/>
          <w:rtl w:val="true"/>
          <w:lang w:bidi="ar-SA"/>
        </w:rPr>
        <w:t xml:space="preserve">بارتكاب الكبائر ، وإن كان الأقوى الاكتفاء بالإيمان ، وإن تفاوتت في الأفراد مراتب الرجحان ، نعم يقوى عدم الجواز إذا كان في الدفع إعانة على الإثم أو إغراء بالقبيح ، وفي المنع ردع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اعتبارها في العامل</w:t>
      </w:r>
      <w:r>
        <w:rPr>
          <w:rStyle w:val="FootnoteAnchor"/>
          <w:rtl w:val="true"/>
        </w:rPr>
        <w:footnoteReference w:id="929"/>
      </w:r>
      <w:r>
        <w:rPr>
          <w:rFonts w:ascii="Amiri" w:hAnsi="Amiri" w:eastAsia="Amiri" w:cs="Amiri"/>
          <w:color w:val="111111"/>
          <w:sz w:val="28"/>
          <w:sz w:val="28"/>
          <w:szCs w:val="28"/>
          <w:rtl w:val="true"/>
          <w:lang w:bidi="ar-SA"/>
        </w:rPr>
        <w:t xml:space="preserve">، أمّا في الغارم وابن السبيل والرقاب فغير معتبرة ، فضلاً عن المؤلّفة وفي سبيل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تجب نفقته على المالك كالأبوين وإن علوا ، والأولاد وإن سفلوا ، والزوجة الدائمة التي لم يسقط عنه وجوب نفقتها بشرط أو غيره من الأسباب الشرعية ، والمملوك سواء كان آبقاً أو مطيعاً ، فلا يجوز دفعها إليهم للإنفاق وإن سقط عنه وجوبه لعجزه ، من غير فرق بين إعطاء تمام الإنفاق من الزكاة أو إتمام ما يجب عليه بها ، كما لو كان قادراً على إطعامهم وعجز عن إكسائهم فأراد إعطاء إكسائهم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جوازه للتوسعة عليهم وإن 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دفعها لهم لأجل إنفاقهم على من تجب نفقته عليهم دونه كالزوجة للوالد أو الولد ، والمملوك لهما مثلاً ، كما أ نّه يجوز دفع الغير لهم ولو للإنفاق ، نعم لو كان من يجب عليه باذلاً فالأحوط</w:t>
      </w:r>
      <w:r>
        <w:rPr>
          <w:rStyle w:val="FootnoteAnchor"/>
          <w:rtl w:val="true"/>
        </w:rPr>
        <w:footnoteReference w:id="930"/>
      </w:r>
      <w:r>
        <w:rPr>
          <w:rFonts w:ascii="Amiri" w:hAnsi="Amiri" w:eastAsia="Amiri" w:cs="Amiri"/>
          <w:color w:val="111111"/>
          <w:sz w:val="28"/>
          <w:sz w:val="28"/>
          <w:szCs w:val="28"/>
          <w:rtl w:val="true"/>
          <w:lang w:bidi="ar-SA"/>
        </w:rPr>
        <w:t xml:space="preserve">عدم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عال بأحد تبرّعاً جاز له دفع زكاته له فضلاً عن غيره للإنفاق فضلاً عن التوسعة ، من غير فرق بين كون المعال به المزبور قريباً أو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بدفع الزوجة زكاتها للزوج وإن أنفقها عليها ، وكذا غيرها ممّن تجب نفقته عليه بسبب من الأسباب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الممنوع إعطاؤه لواجبي النفقة هو ما كان من سهم الفقراء ولأجل فقرهم ، وأمّا من غيره كسهم الغارمين والمؤلّفة قلوبهم وسبيل اللّه والرقاب وابن السبيل</w:t>
      </w:r>
      <w:r>
        <w:rPr>
          <w:rStyle w:val="FootnoteAnchor"/>
          <w:rtl w:val="true"/>
        </w:rPr>
        <w:footnoteReference w:id="931"/>
      </w:r>
      <w:r>
        <w:rPr>
          <w:rFonts w:ascii="Amiri" w:hAnsi="Amiri" w:eastAsia="Amiri" w:cs="Amiri"/>
          <w:color w:val="111111"/>
          <w:sz w:val="28"/>
          <w:sz w:val="28"/>
          <w:szCs w:val="28"/>
          <w:rtl w:val="true"/>
          <w:lang w:bidi="ar-SA"/>
        </w:rPr>
        <w:t xml:space="preserve">إذا كانوا من مصاديقها فلا مانع منه على إشكال في الأخير ، فيجوز للوالد إعطاء الزكاة إلى ولده المشتغل لتحصيل الكتب العلمية أو غيره ممّا يحتاج إليه الطلبة من سهم سبيل اللّه ، بل يجوز له إعطاؤها له للصرف في مؤونة </w:t>
      </w:r>
      <w:bookmarkStart w:id="463" w:name="pg15003_159958"/>
    </w:p>
    <w:p>
      <w:pPr>
        <w:pStyle w:val="BookText"/>
        <w:rPr/>
      </w:pPr>
      <w:bookmarkEnd w:id="463"/>
      <w:r>
        <w:rPr>
          <w:rFonts w:ascii="Amiri" w:hAnsi="Amiri" w:eastAsia="Amiri" w:cs="Amiri"/>
          <w:color w:val="111111"/>
          <w:sz w:val="28"/>
          <w:sz w:val="28"/>
          <w:szCs w:val="28"/>
          <w:rtl w:val="true"/>
          <w:lang w:bidi="ar-SA"/>
        </w:rPr>
        <w:t>التزويج</w:t>
      </w:r>
      <w:r>
        <w:rPr>
          <w:rStyle w:val="FootnoteAnchor"/>
          <w:rtl w:val="true"/>
        </w:rPr>
        <w:footnoteReference w:id="932"/>
      </w:r>
      <w:r>
        <w:rPr>
          <w:rFonts w:ascii="Amiri" w:hAnsi="Amiri" w:eastAsia="Amiri" w:cs="Amiri"/>
          <w:color w:val="111111"/>
          <w:sz w:val="28"/>
          <w:sz w:val="28"/>
          <w:szCs w:val="28"/>
          <w:rtl w:val="true"/>
          <w:lang w:bidi="ar-SA"/>
        </w:rPr>
        <w:t xml:space="preserve">أو إعانة له في المسير إلى الحجّ أو الزيارة من السهم المزبور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دفع الزكاة إلى الزوجة الدائمة التي سقط وجوب نفقتها بالشرط ونحوه ، نعم فيما إذا كان سقوط نفقتها لأجل النشوز يشكل جواز الدفع إليها لتمكّنها من تحصيلها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دفعها إلى المتمتّع بها حتّى من زوجها ، نعم لو وجبت على الزوج نفقتها من جهة الشرط أو نحوه لا يجوز له أن يدفع إليها بل لغيره أيضاً مع يساره وكونه باذلاً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إذا كانت الزكاة من غيره ، أمّا زكاة الهاشمي فلا بأس بتناولها منه ، كما أ نّه لا بأس بتناولها من غيره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قدر الضرورة يوماً فيوماً ، كما أنّ الأحوط اجتناب مطلق الصدقة الواجبة ولو بالعارض وإن كان الأقوى خلافه ، نعم لا بأس بدفع الصدقة المندوبة إليهم ولو زكاة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كونه هاشمياً ولم يكن بيّنة أو شياع بحكم غيره فيعطى من الزكاة ، نعم لو ادّعى كونه هاشمياً لا يدفع إليه الزكاة من جهة إقراره بعدم الاستحقاق لا من جهة ثبوت مدّعاه بمجرّد دعواه ؛ ولذا لا يعطى من الخمس أيضاً بذلك ما لم يثبت صحّة دعواه من الخارج </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487907_3406789950"/>
      <w:bookmarkStart w:id="465" w:name="_Toc168"/>
      <w:bookmarkEnd w:id="464"/>
      <w:r>
        <w:rPr>
          <w:rtl w:val="true"/>
        </w:rPr>
        <w:t xml:space="preserve">القول </w:t>
      </w:r>
      <w:r>
        <w:rPr>
          <w:rtl w:val="true"/>
        </w:rPr>
        <w:t xml:space="preserve">: </w:t>
      </w:r>
      <w:r>
        <w:rPr>
          <w:rtl w:val="true"/>
        </w:rPr>
        <w:t>في بقيّة أحكام الزكاة</w:t>
      </w:r>
      <w:bookmarkEnd w:id="4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بسط الزكاة على الأصناف الثمانية وإن استحبّ مع سعتها ووجودهم ، فيجوز التخصيص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في كلّ صنف البسط على أفراده وإن تعدّدت ، فيجوز التخصيص ببعضهم </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النيّة في الزكاة ، ولا تجب فيها أزيد من القربة والتعيين ، دون الوجوب والندب وإن كان هو الأحوط ، فلو كان عليه زكاة وكفّارة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تعيين أحدهما حين الدفع ، بل الأحوط</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بالنسبة إلى زكاة المال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تعيين الجنس الذي تخرج منه الزكاة أ نّه من الأنعام أو النقدين أو الغلاّت ، فيكفي</w:t>
      </w:r>
      <w:r>
        <w:rPr>
          <w:rStyle w:val="FootnoteAnchor"/>
          <w:rtl w:val="true"/>
        </w:rPr>
        <w:footnoteReference w:id="934"/>
      </w:r>
      <w:r>
        <w:rPr>
          <w:rFonts w:ascii="Amiri" w:hAnsi="Amiri" w:eastAsia="Amiri" w:cs="Amiri"/>
          <w:color w:val="111111"/>
          <w:sz w:val="28"/>
          <w:sz w:val="28"/>
          <w:szCs w:val="28"/>
          <w:rtl w:val="true"/>
          <w:lang w:bidi="ar-SA"/>
        </w:rPr>
        <w:t xml:space="preserve">مجرّد قصد كونه زكاة ، من غير فرق بين أن يكون محلّ الوجوب متّحداً أو متعدّداً ، بل ومن غير فرق بين اتّحاد نوع الحقّ ، كما لو كان عنده أربعون من الغنم وخمس من الإبل وتعدّده كنصاب من النقدين وواحد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عيّن تعيّن ويتولاّها الحاكم عن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 أحداً في أداء زكاته يتولّى الوكيل النيّة إذا كان المال الذي يزكّيه عند الوكيل وكان مخرجاً للزكاة ، وأمّا إذا أخرج زكاته ودفع إلى شخص ليوصله إلى محلّه كان هو المباشر للنيّة حين دفعها إلى ذلك الشخص</w:t>
      </w:r>
      <w:r>
        <w:rPr>
          <w:rStyle w:val="FootnoteAnchor"/>
          <w:rtl w:val="true"/>
        </w:rPr>
        <w:footnoteReference w:id="935"/>
      </w:r>
      <w:r>
        <w:rPr>
          <w:rFonts w:ascii="Amiri" w:hAnsi="Amiri" w:eastAsia="Amiri" w:cs="Amiri"/>
          <w:color w:val="111111"/>
          <w:sz w:val="28"/>
          <w:sz w:val="28"/>
          <w:szCs w:val="28"/>
          <w:rtl w:val="true"/>
          <w:lang w:bidi="ar-SA"/>
        </w:rPr>
        <w:t xml:space="preserve">، ولا يحتاج إلى نيّة اُخرى من الوكيل حين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دفع المال إلى الفقير بلا نيّة فله تجديد النيّة ولو بعد زمان طويل مع بقاء العين ، وأمّا لو </w:t>
      </w:r>
    </w:p>
    <w:p>
      <w:pPr>
        <w:pStyle w:val="BookText"/>
        <w:rPr/>
      </w:pPr>
      <w:r>
        <w:rPr>
          <w:rFonts w:ascii="Amiri" w:hAnsi="Amiri" w:eastAsia="Amiri" w:cs="Amiri"/>
          <w:color w:val="111111"/>
          <w:sz w:val="28"/>
          <w:sz w:val="28"/>
          <w:szCs w:val="28"/>
          <w:rtl w:val="true"/>
          <w:lang w:bidi="ar-SA"/>
        </w:rPr>
        <w:t>كانت تالفة فإن كان مضموناً</w:t>
      </w:r>
      <w:r>
        <w:rPr>
          <w:rStyle w:val="FootnoteAnchor"/>
          <w:rtl w:val="true"/>
        </w:rPr>
        <w:footnoteReference w:id="936"/>
      </w:r>
      <w:r>
        <w:rPr>
          <w:rFonts w:ascii="Amiri" w:hAnsi="Amiri" w:eastAsia="Amiri" w:cs="Amiri"/>
          <w:color w:val="111111"/>
          <w:sz w:val="28"/>
          <w:sz w:val="28"/>
          <w:szCs w:val="28"/>
          <w:rtl w:val="true"/>
          <w:lang w:bidi="ar-SA"/>
        </w:rPr>
        <w:t xml:space="preserve">واشتغلت ذمّة الآخذ به له أن يحسبها زكاة كسائر الديون ، وأمّا مع تلفها بلا ضمان فلا محلّ لما ينويها 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مال غائب ودفع إلى الفقير مقدار زكاته ونوى أ نّه إن كان باقياً فهذا زكاته وإن كان تالفاً فهذا صدقة مستحبّة أو من طرف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وأجزأ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تأخير إخراج الزكاة ولو بالعزل مع الإمكان عن وقت وجوبه الذي يتّحد</w:t>
      </w:r>
      <w:r>
        <w:rPr>
          <w:rStyle w:val="FootnoteAnchor"/>
          <w:rtl w:val="true"/>
        </w:rPr>
        <w:footnoteReference w:id="937"/>
      </w:r>
      <w:r>
        <w:rPr>
          <w:rFonts w:ascii="Amiri" w:hAnsi="Amiri" w:eastAsia="Amiri" w:cs="Amiri"/>
          <w:color w:val="111111"/>
          <w:sz w:val="28"/>
          <w:sz w:val="28"/>
          <w:szCs w:val="28"/>
          <w:rtl w:val="true"/>
          <w:lang w:bidi="ar-SA"/>
        </w:rPr>
        <w:t>مع وقت التعلّق فيما يعتبر فيه الحول كالنقدين ويغايره في غيره كالغلاّت ، بل الأحوط عدم تأخير الدفع والإيصال أيضاً مع وجود المستحقّ وإن كان الأقوى الجواز إلى شهر أو شهرين</w:t>
      </w:r>
      <w:r>
        <w:rPr>
          <w:rStyle w:val="FootnoteAnchor"/>
          <w:rtl w:val="true"/>
        </w:rPr>
        <w:footnoteReference w:id="938"/>
      </w:r>
      <w:r>
        <w:rPr>
          <w:rFonts w:ascii="Amiri" w:hAnsi="Amiri" w:eastAsia="Amiri" w:cs="Amiri"/>
          <w:color w:val="111111"/>
          <w:sz w:val="28"/>
          <w:sz w:val="28"/>
          <w:szCs w:val="28"/>
          <w:rtl w:val="true"/>
          <w:lang w:bidi="ar-SA"/>
        </w:rPr>
        <w:t xml:space="preserve">، خصوصاً مع انتظار مستحقّ معيّن أو الأفضل ، ويضمنها لو تلفت بالتأخير لغير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تقديمها قبل وقت الوجوب إلاّ على جهة القرض على المستحقّ ، فإذا جاء الوقت احتسبها عليه زكاة مع بقاء القابض على صفة الاستحقاق والدافع والمال على صفة الوجوب ، وله أن يستعيد منه ويدفع إلى غيره إلاّ أنّ الأولى والأحوط الاحتساب حينئذٍ لا الاستعادة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بل الأحوط دفع الزكاة إلى الفقيه في زمن الغيبة ، سيّما إذا طلبه ؛ لأ نّه أعرف بمواقعها ، وإن كان الأقوى عدم وجوبه إلاّ إذا طلبها </w:t>
      </w:r>
    </w:p>
    <w:p>
      <w:pPr>
        <w:pStyle w:val="BookText"/>
        <w:rPr/>
      </w:pPr>
      <w:r>
        <w:rPr>
          <w:rFonts w:ascii="Amiri" w:hAnsi="Amiri" w:eastAsia="Amiri" w:cs="Amiri"/>
          <w:color w:val="111111"/>
          <w:sz w:val="28"/>
          <w:sz w:val="28"/>
          <w:szCs w:val="28"/>
          <w:rtl w:val="true"/>
          <w:lang w:bidi="ar-SA"/>
        </w:rPr>
        <w:t>بنحو الحكم والإيجاب لأداء نظره إلى مصلحة موجبة وكان المالك مقلّداً</w:t>
      </w:r>
      <w:r>
        <w:rPr>
          <w:rStyle w:val="FootnoteAnchor"/>
          <w:rtl w:val="true"/>
        </w:rPr>
        <w:footnoteReference w:id="939"/>
      </w:r>
      <w:r>
        <w:rPr>
          <w:rFonts w:ascii="Amiri" w:hAnsi="Amiri" w:eastAsia="Amiri" w:cs="Amiri"/>
          <w:color w:val="111111"/>
          <w:sz w:val="28"/>
          <w:sz w:val="28"/>
          <w:szCs w:val="28"/>
          <w:rtl w:val="true"/>
          <w:lang w:bidi="ar-SA"/>
        </w:rPr>
        <w:t xml:space="preserve">له فيجب عليه اتّباعه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ترجيح الأقارب على الأجانب ، وأهل الفضل والفقه والعقل على غيرهم ، ومن لا يسأل من الفقراء على أهل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عزل الزكاة وتعيينها في مال مخصوص وإن كان من غير الجنس</w:t>
      </w:r>
      <w:r>
        <w:rPr>
          <w:rStyle w:val="FootnoteAnchor"/>
          <w:rtl w:val="true"/>
        </w:rPr>
        <w:footnoteReference w:id="940"/>
      </w:r>
      <w:r>
        <w:rPr>
          <w:rFonts w:ascii="Amiri" w:hAnsi="Amiri" w:eastAsia="Amiri" w:cs="Amiri"/>
          <w:color w:val="111111"/>
          <w:sz w:val="28"/>
          <w:sz w:val="28"/>
          <w:szCs w:val="28"/>
          <w:rtl w:val="true"/>
          <w:lang w:bidi="ar-SA"/>
        </w:rPr>
        <w:t>حتّى مع وجود المستحقّ ، وحينئذٍ تكون أمانة في يده لا يضمنها إلاّ بالتعدّي أو التفريط</w:t>
      </w:r>
      <w:r>
        <w:rPr>
          <w:rStyle w:val="FootnoteAnchor"/>
          <w:rtl w:val="true"/>
        </w:rPr>
        <w:footnoteReference w:id="941"/>
      </w:r>
      <w:r>
        <w:rPr>
          <w:rFonts w:ascii="Amiri" w:hAnsi="Amiri" w:eastAsia="Amiri" w:cs="Amiri"/>
          <w:color w:val="111111"/>
          <w:sz w:val="28"/>
          <w:sz w:val="28"/>
          <w:szCs w:val="28"/>
          <w:rtl w:val="true"/>
          <w:lang w:bidi="ar-SA"/>
        </w:rPr>
        <w:t xml:space="preserve">، وليس له تبديلها بعد العزل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أتلف الزكاة المعزولة متلف ، فإن كان مع عدم التأخير الموجب للضمان يكون الضمان على المتلف دون المالك ، وإن كان مع التأخير المزبور يكون الضمان عليهما وإن كان قرار الضمان على المتلف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اتّجر بما عزله يكون الخسارة عليه والربح للفقير</w:t>
      </w:r>
      <w:r>
        <w:rPr>
          <w:rStyle w:val="FootnoteAnchor"/>
          <w:rtl w:val="true"/>
        </w:rPr>
        <w:footnoteReference w:id="942"/>
      </w:r>
      <w:r>
        <w:rPr>
          <w:rFonts w:ascii="Amiri" w:hAnsi="Amiri" w:eastAsia="Amiri" w:cs="Amiri"/>
          <w:color w:val="111111"/>
          <w:sz w:val="28"/>
          <w:sz w:val="28"/>
          <w:szCs w:val="28"/>
          <w:rtl w:val="true"/>
          <w:lang w:bidi="ar-SA"/>
        </w:rPr>
        <w:t xml:space="preserve">، وكذا إذا اتّجر بالنصاب قبل إخراج الزكاة على الأحوط ، فيوزّع الربح على الفقير والمالك </w:t>
      </w:r>
    </w:p>
    <w:p>
      <w:pPr>
        <w:pStyle w:val="BookText"/>
        <w:rPr/>
      </w:pPr>
      <w:r>
        <w:rPr>
          <w:rFonts w:ascii="Amiri" w:hAnsi="Amiri" w:eastAsia="Amiri" w:cs="Amiri"/>
          <w:color w:val="111111"/>
          <w:sz w:val="28"/>
          <w:sz w:val="28"/>
          <w:szCs w:val="28"/>
          <w:rtl w:val="true"/>
          <w:lang w:bidi="ar-SA"/>
        </w:rPr>
        <w:t xml:space="preserve">بالنسبة وإن كان الأقوى اختصاص الربح بالمالك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نقل الزكاة من بلده ؛ سواء وجد المستحقّ في البلد أو لم يوجد ، ولو تلفت يضمن في الأوّل دون الثاني ، كما أنّ مؤونة النقل عليه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 الفقيه الزكاة بعنوان الولاية على الفقير برئت ذمّة المالك ، وإن تلفت عنده بتفريط أو غيره أو أعطى لغير المستحقّ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قبضها بعنوان الوكالة عن المالك لم تبرأ ذمّته إلاّ إذا أعطى للمستحقّ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احتاجت الزكاة إلى كيل أو وزن كانت اُجرة الكيّال والوزّان على المالك لا على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عليه الزكاة وأدركته الوفاة يجب عليه الإيصاء بإخراجها من تركته ، وكذا سائر الحقوق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الوارث أو الوصيّ مستحقّاً جاز احتسابه</w:t>
      </w:r>
      <w:r>
        <w:rPr>
          <w:rStyle w:val="FootnoteAnchor"/>
          <w:rtl w:val="true"/>
        </w:rPr>
        <w:footnoteReference w:id="943"/>
      </w:r>
      <w:r>
        <w:rPr>
          <w:rFonts w:ascii="Amiri" w:hAnsi="Amiri" w:eastAsia="Amiri" w:cs="Amiri"/>
          <w:color w:val="111111"/>
          <w:sz w:val="28"/>
          <w:sz w:val="28"/>
          <w:szCs w:val="28"/>
          <w:rtl w:val="true"/>
          <w:lang w:bidi="ar-SA"/>
        </w:rPr>
        <w:t>عليه ، لكن يستحبّ</w:t>
      </w:r>
      <w:r>
        <w:rPr>
          <w:rStyle w:val="FootnoteAnchor"/>
          <w:rtl w:val="true"/>
        </w:rPr>
        <w:footnoteReference w:id="944"/>
      </w:r>
      <w:r>
        <w:rPr>
          <w:rFonts w:ascii="Amiri" w:hAnsi="Amiri" w:eastAsia="Amiri" w:cs="Amiri"/>
          <w:color w:val="111111"/>
          <w:sz w:val="28"/>
          <w:sz w:val="28"/>
          <w:szCs w:val="28"/>
          <w:rtl w:val="true"/>
          <w:lang w:bidi="ar-SA"/>
        </w:rPr>
        <w:t xml:space="preserve">دفع شيء منه إلى غيرهما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لربّ المال أن يطلب من الفقير تملّك ما دفعه إليه صدقة ولو مندوبة ؛ سواء كان التملّك مجّاناً أو بالعوض ، نعم لو أراد الفقير بيعه بعد تقويمه عند من أراد كان المالك أحقّ به</w:t>
      </w:r>
      <w:r>
        <w:rPr>
          <w:rStyle w:val="FootnoteAnchor"/>
          <w:rtl w:val="true"/>
        </w:rPr>
        <w:footnoteReference w:id="945"/>
      </w:r>
      <w:r>
        <w:rPr>
          <w:rFonts w:ascii="Amiri" w:hAnsi="Amiri" w:eastAsia="Amiri" w:cs="Amiri"/>
          <w:color w:val="111111"/>
          <w:sz w:val="28"/>
          <w:sz w:val="28"/>
          <w:szCs w:val="28"/>
          <w:rtl w:val="true"/>
          <w:lang w:bidi="ar-SA"/>
        </w:rPr>
        <w:t xml:space="preserve">من غيره من دون كراهة ، وكذا لو </w:t>
      </w:r>
      <w:bookmarkStart w:id="466" w:name="pg15003_159963"/>
    </w:p>
    <w:p>
      <w:pPr>
        <w:pStyle w:val="BookText"/>
        <w:rPr/>
      </w:pPr>
      <w:bookmarkEnd w:id="466"/>
      <w:r>
        <w:rPr>
          <w:rFonts w:ascii="Amiri" w:hAnsi="Amiri" w:eastAsia="Amiri" w:cs="Amiri"/>
          <w:color w:val="111111"/>
          <w:sz w:val="28"/>
          <w:sz w:val="28"/>
          <w:szCs w:val="28"/>
          <w:rtl w:val="true"/>
          <w:lang w:bidi="ar-SA"/>
        </w:rPr>
        <w:t xml:space="preserve">كانت جزء حيوان لا يتمكّن الفقير من الانتفاع به ولا يشتريه غير المالك أو يحصل للمالك ضرر بشراء غيره جاز شراؤه من دون كراهة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487909_3406789950"/>
      <w:bookmarkStart w:id="468" w:name="_Toc169"/>
      <w:bookmarkEnd w:id="467"/>
      <w:r>
        <w:rPr>
          <w:rtl w:val="true"/>
        </w:rPr>
        <w:t xml:space="preserve">المقصد الثاني </w:t>
      </w:r>
      <w:r>
        <w:rPr>
          <w:rtl w:val="true"/>
        </w:rPr>
        <w:t xml:space="preserve">: </w:t>
      </w:r>
      <w:r>
        <w:rPr>
          <w:rtl w:val="true"/>
        </w:rPr>
        <w:t>في زكاة الأبدان</w:t>
      </w:r>
      <w:bookmarkEnd w:id="468"/>
    </w:p>
    <w:p>
      <w:pPr>
        <w:pStyle w:val="Heading4"/>
        <w:numPr>
          <w:ilvl w:val="3"/>
          <w:numId w:val="1"/>
        </w:numPr>
        <w:rPr/>
      </w:pPr>
      <w:bookmarkStart w:id="469" w:name="__RefHeading___Toc487911_3406789950"/>
      <w:bookmarkStart w:id="470" w:name="_Toc170"/>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 xml:space="preserve">المسمّاة بزكاة الفطرة ، التي يتخوّف الموت على من لم تدفع عنه ، وهي من تمام الصوم كما أنّ الصلاة على النبي صلی الله علیه و آله وسلم من تمام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فيمن تجب عليه وفي جنسها وفي قدرها وفي وقتها وفي مصرفها </w:t>
      </w:r>
      <w:r>
        <w:rPr>
          <w:rFonts w:eastAsia="IRNazanin" w:cs="IRNazanin"/>
          <w:color w:val="111111"/>
          <w:sz w:val="28"/>
          <w:szCs w:val="28"/>
          <w:rtl w:val="true"/>
          <w:lang w:bidi="fa-IR"/>
        </w:rPr>
        <w:t>.</w:t>
      </w:r>
    </w:p>
    <w:p>
      <w:pPr>
        <w:pStyle w:val="Heading4"/>
        <w:numPr>
          <w:ilvl w:val="3"/>
          <w:numId w:val="1"/>
        </w:numPr>
        <w:rPr/>
      </w:pPr>
      <w:bookmarkStart w:id="471" w:name="__RefHeading___Toc487913_3406789950"/>
      <w:bookmarkStart w:id="472" w:name="_Toc171"/>
      <w:bookmarkEnd w:id="471"/>
      <w:r>
        <w:rPr>
          <w:rtl w:val="true"/>
        </w:rPr>
        <w:t xml:space="preserve">القول </w:t>
      </w:r>
      <w:r>
        <w:rPr>
          <w:rtl w:val="true"/>
        </w:rPr>
        <w:t xml:space="preserve">: </w:t>
      </w:r>
      <w:r>
        <w:rPr>
          <w:rtl w:val="true"/>
        </w:rPr>
        <w:t>فيمن تجب عليه</w:t>
      </w:r>
      <w:bookmarkEnd w:id="47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زكاة الفطرة على المكلّف الحرّ الغنيّ فعلاً أو قوّةً ، فلا تجب على الصبيّ والمجنون ولو كان أدوارياً</w:t>
      </w:r>
      <w:r>
        <w:rPr>
          <w:rStyle w:val="FootnoteAnchor"/>
          <w:rtl w:val="true"/>
        </w:rPr>
        <w:footnoteReference w:id="946"/>
      </w:r>
      <w:r>
        <w:rPr>
          <w:rFonts w:ascii="Amiri" w:hAnsi="Amiri" w:eastAsia="Amiri" w:cs="Amiri"/>
          <w:color w:val="111111"/>
          <w:sz w:val="28"/>
          <w:sz w:val="28"/>
          <w:szCs w:val="28"/>
          <w:rtl w:val="true"/>
          <w:lang w:bidi="ar-SA"/>
        </w:rPr>
        <w:t>، ولا يجب على وليّهما أن يؤدّي عنهما من مالهما ، بل يقوى سقوطها عنهما بالنسبة إلى من يعولان به أيضاً ، ولا على من أهلّ شوّال عليه وهو مغمى عليه مثلاً ، ولا على المملوك ، ولا على الفقير الذي لا يملك مؤونة سنته له ولعياله زائداً على ما يقابل الدين</w:t>
      </w:r>
      <w:r>
        <w:rPr>
          <w:rStyle w:val="FootnoteAnchor"/>
          <w:rtl w:val="true"/>
        </w:rPr>
        <w:footnoteReference w:id="947"/>
      </w:r>
      <w:r>
        <w:rPr>
          <w:rFonts w:ascii="Amiri" w:hAnsi="Amiri" w:eastAsia="Amiri" w:cs="Amiri"/>
          <w:color w:val="111111"/>
          <w:sz w:val="28"/>
          <w:sz w:val="28"/>
          <w:szCs w:val="28"/>
          <w:rtl w:val="true"/>
          <w:lang w:bidi="ar-SA"/>
        </w:rPr>
        <w:t xml:space="preserve">ومستثنياته لا فعلاً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لمن زاد على مؤونة يومه وليلته صاع إخراجها ، بل يستحبّ للفقير مطلقاً إخراجها ولو بأن يدير صاعاً على عياله ثمّ يتصدّق به</w:t>
      </w:r>
      <w:r>
        <w:rPr>
          <w:rStyle w:val="FootnoteAnchor"/>
          <w:rtl w:val="true"/>
        </w:rPr>
        <w:footnoteReference w:id="948"/>
      </w:r>
      <w:r>
        <w:rPr>
          <w:rFonts w:ascii="Amiri" w:hAnsi="Amiri" w:eastAsia="Amiri" w:cs="Amiri"/>
          <w:color w:val="111111"/>
          <w:sz w:val="28"/>
          <w:sz w:val="28"/>
          <w:szCs w:val="28"/>
          <w:rtl w:val="true"/>
          <w:lang w:bidi="ar-SA"/>
        </w:rPr>
        <w:t xml:space="preserve">على الأجنبيّ بعد أن ينتهي الدور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يعتبر وجود الشرائط المزبورة عند دخول</w:t>
      </w:r>
      <w:r>
        <w:rPr>
          <w:rStyle w:val="FootnoteAnchor"/>
          <w:rtl w:val="true"/>
        </w:rPr>
        <w:footnoteReference w:id="949"/>
      </w:r>
      <w:r>
        <w:rPr>
          <w:rFonts w:ascii="Amiri" w:hAnsi="Amiri" w:eastAsia="Amiri" w:cs="Amiri"/>
          <w:color w:val="111111"/>
          <w:sz w:val="28"/>
          <w:sz w:val="28"/>
          <w:szCs w:val="28"/>
          <w:rtl w:val="true"/>
          <w:lang w:bidi="ar-SA"/>
        </w:rPr>
        <w:t xml:space="preserve">ليلة العيد ، فلا يكفي وجودها قبله إذا زال عنده ، ولا بعده لو لم تكن عنده ، فلو اجتمعت الشرائط عند الغروب بعد فقدها تجب الفطرة كما لو بلغ الصبيّ أو زال جنونه أو أفاق من الإغماء أو ملك ما به صار غنيّاً أو تحرّر ، بخلاف ما إذا فقدت عنده بعد ما كان موجوداً قبله كما لو جنّ أو اُغمي عليه أو صار فقيراً قبل الغروب ولو بلحظة أو مقارناً له ، فإنّه لا تجب عليهم ، وكذا لو حصلت بعده كما لو بلغ أو زال جنونه مثلاً بعد الغروب ، نعم يستحبّ إذا كان ذلك قبل الزوال من يوم العيد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من استكمل الشرائط المزبورة إخراجها عن نفسه وعمّن يعول به ؛ من مسلم وكافر وحرّ وعبد وصغير وكبير حتّى المولود الذي يولد قبل هلال شوّال ولو بلحظة ، وكذا كلّ من يدخل في عيلولته قبل الهلال حتّى الضيف على الأحوط</w:t>
      </w:r>
      <w:r>
        <w:rPr>
          <w:rStyle w:val="FootnoteAnchor"/>
          <w:rtl w:val="true"/>
        </w:rPr>
        <w:footnoteReference w:id="950"/>
      </w:r>
      <w:r>
        <w:rPr>
          <w:rFonts w:ascii="Amiri" w:hAnsi="Amiri" w:eastAsia="Amiri" w:cs="Amiri"/>
          <w:color w:val="111111"/>
          <w:sz w:val="28"/>
          <w:sz w:val="28"/>
          <w:szCs w:val="28"/>
          <w:rtl w:val="true"/>
          <w:lang w:bidi="ar-SA"/>
        </w:rPr>
        <w:t xml:space="preserve">وإن لم يتحقّق منه الأكل ، بخلاف المولود بعد الهلال ، وكذا كلّ من دخل في عيلولته كذلك فإنّه لا يجب عليه فطرتهم ، نعم هو مستحبّ إذا كان قبل الزوال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وجبت فطرته على غيره لضيافة أو عيلولة سقطت عنه ولو كان غنيّاً جامعاً لشرائط الوجوب لو انفرد ، نعم يقوى</w:t>
      </w:r>
      <w:r>
        <w:rPr>
          <w:rStyle w:val="FootnoteAnchor"/>
          <w:rtl w:val="true"/>
        </w:rPr>
        <w:footnoteReference w:id="951"/>
      </w:r>
      <w:r>
        <w:rPr>
          <w:rFonts w:ascii="Amiri" w:hAnsi="Amiri" w:eastAsia="Amiri" w:cs="Amiri"/>
          <w:color w:val="111111"/>
          <w:sz w:val="28"/>
          <w:sz w:val="28"/>
          <w:szCs w:val="28"/>
          <w:rtl w:val="true"/>
          <w:lang w:bidi="ar-SA"/>
        </w:rPr>
        <w:t>وجوبها عليه لو كان غنيّاً والمضيف أو المعيل فقيراً ، بل الأحوط إخراجه</w:t>
      </w:r>
      <w:r>
        <w:rPr>
          <w:rStyle w:val="FootnoteAnchor"/>
          <w:rtl w:val="true"/>
        </w:rPr>
        <w:footnoteReference w:id="952"/>
      </w:r>
      <w:r>
        <w:rPr>
          <w:rFonts w:ascii="IRNazanin" w:hAnsi="IRNazanin" w:eastAsia="IRNazanin"/>
          <w:color w:val="111111"/>
          <w:sz w:val="28"/>
          <w:sz w:val="28"/>
          <w:szCs w:val="28"/>
          <w:rtl w:val="true"/>
          <w:lang w:bidi="fa-IR"/>
        </w:rPr>
        <w:t xml:space="preserve">عن نفسه لو علم بعدم </w:t>
      </w:r>
    </w:p>
    <w:p>
      <w:pPr>
        <w:pStyle w:val="BookText"/>
        <w:rPr/>
      </w:pPr>
      <w:r>
        <w:rPr>
          <w:rFonts w:ascii="Amiri" w:hAnsi="Amiri" w:eastAsia="Amiri" w:cs="Amiri"/>
          <w:color w:val="111111"/>
          <w:sz w:val="28"/>
          <w:sz w:val="28"/>
          <w:szCs w:val="28"/>
          <w:rtl w:val="true"/>
          <w:lang w:bidi="ar-SA"/>
        </w:rPr>
        <w:t>إخراج الغير الذي قد خوطب بها نسياناً أو عصياناً ، بل الأحوط في الضيف الذي وجبت عليه لو انفرد إخراجها ولو مع إخراج المضيف أيضاً إذا لم يعدّ من عياله</w:t>
      </w:r>
      <w:r>
        <w:rPr>
          <w:rStyle w:val="FootnoteAnchor"/>
          <w:rtl w:val="true"/>
        </w:rPr>
        <w:footnoteReference w:id="953"/>
      </w:r>
      <w:r>
        <w:rPr>
          <w:rFonts w:ascii="Amiri" w:hAnsi="Amiri" w:eastAsia="Amiri" w:cs="Amiri"/>
          <w:color w:val="111111"/>
          <w:sz w:val="28"/>
          <w:sz w:val="28"/>
          <w:szCs w:val="28"/>
          <w:rtl w:val="true"/>
          <w:lang w:bidi="ar-SA"/>
        </w:rPr>
        <w:t xml:space="preserve">عرفاً لطول مقامه والبناء على البقاء عنده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الأحوط في هذه الصورة إخراجهما</w:t>
      </w:r>
      <w:r>
        <w:rPr>
          <w:rStyle w:val="FootnoteAnchor"/>
          <w:rtl w:val="true"/>
        </w:rPr>
        <w:footnoteReference w:id="954"/>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الغائب عن عيالاته يجب عليه أن يخرجها عنهم إلاّ إذا وكّلهم</w:t>
      </w:r>
      <w:r>
        <w:rPr>
          <w:rStyle w:val="FootnoteAnchor"/>
          <w:rtl w:val="true"/>
        </w:rPr>
        <w:footnoteReference w:id="955"/>
      </w:r>
      <w:r>
        <w:rPr>
          <w:rFonts w:ascii="Amiri" w:hAnsi="Amiri" w:eastAsia="Amiri" w:cs="Amiri"/>
          <w:color w:val="111111"/>
          <w:sz w:val="28"/>
          <w:sz w:val="28"/>
          <w:szCs w:val="28"/>
          <w:rtl w:val="true"/>
          <w:lang w:bidi="ar-SA"/>
        </w:rPr>
        <w:t xml:space="preserve">في أن يخرجوا فطرتهم من ماله الذي تركه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المدار في العيال على العيلولة الفعلية لا على وجوب النفقة وإن كان الأحوط مراعاة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له زوجة دائمة فإن كانت في عيلولته وجبت فطرتها عليه وإن لم تجب نفقتها عليه لنشوز وغيره ، وأمّا مع عدم العيلولة لا تجب فطرتها عليه وإن وجبت نفقتها عليه ، وحينئذٍ إن عالها غير الزوج يجب على ذلك الغير وإن لم يعلها أحد وكانت غنيّة ففطرتها على نفسها وإن كانت فقيرة لم تجب فطرتها على أحد ، وكذلك الحال في المملوك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شخص في عيال اثنين يجب فطرته عليهما مع يسارهما ، ومع يسار أحدهما يجب</w:t>
      </w:r>
      <w:r>
        <w:rPr>
          <w:rStyle w:val="FootnoteAnchor"/>
          <w:rtl w:val="true"/>
        </w:rPr>
        <w:footnoteReference w:id="956"/>
      </w:r>
      <w:r>
        <w:rPr>
          <w:rFonts w:ascii="Amiri" w:hAnsi="Amiri" w:eastAsia="Amiri" w:cs="Amiri"/>
          <w:color w:val="111111"/>
          <w:sz w:val="28"/>
          <w:sz w:val="28"/>
          <w:szCs w:val="28"/>
          <w:rtl w:val="true"/>
          <w:lang w:bidi="ar-SA"/>
        </w:rPr>
        <w:t xml:space="preserve">عليه حصّته دون الآخر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فطرة غير الهاشمي على الهاشمي ، والمدار على المعيل لا العيال والأحوط مراعاة كليهما </w:t>
      </w:r>
      <w:r>
        <w:rPr>
          <w:rFonts w:eastAsia="Amiri" w:cs="Amiri" w:ascii="Amiri" w:hAnsi="Amiri"/>
          <w:color w:val="111111"/>
          <w:sz w:val="28"/>
          <w:szCs w:val="28"/>
          <w:rtl w:val="true"/>
          <w:lang w:bidi="ar-SA"/>
        </w:rPr>
        <w:t xml:space="preserve">. </w:t>
      </w:r>
      <w:bookmarkStart w:id="473" w:name="pg15003_159966"/>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فيها النيّة كغيرها من العبادات ، ويجوز أن يتولّى إخراجها من خوطب بها بنفسه أو بتوكيل غيره ، ويتولّى الوكيل النيّة وإن كان قصد التقرّب من الموكّل بتوكيله له</w:t>
      </w:r>
      <w:r>
        <w:rPr>
          <w:rStyle w:val="FootnoteAnchor"/>
          <w:rtl w:val="true"/>
        </w:rPr>
        <w:footnoteReference w:id="957"/>
      </w:r>
      <w:r>
        <w:rPr>
          <w:rFonts w:ascii="Amiri" w:hAnsi="Amiri" w:eastAsia="Amiri" w:cs="Amiri"/>
          <w:color w:val="111111"/>
          <w:sz w:val="28"/>
          <w:sz w:val="28"/>
          <w:szCs w:val="28"/>
          <w:rtl w:val="true"/>
          <w:lang w:bidi="ar-SA"/>
        </w:rPr>
        <w:t xml:space="preserve">، نعم لو كان الغير وكيلاً في الإيصال دون الإخراج يكون المتولّي للنيّة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يوكّل غيره في الدفع من ماله والرجوع إليه ، فيكون بمنزلة التوكيل في دفعه من مال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التوكيل في دفعه من ماله بدون الرجوع إليه فهو توكيل في التبرّع عنه ، وهو لا يخلو عن إشكال</w:t>
      </w:r>
      <w:r>
        <w:rPr>
          <w:rStyle w:val="FootnoteAnchor"/>
          <w:rtl w:val="true"/>
        </w:rPr>
        <w:footnoteReference w:id="958"/>
      </w:r>
      <w:r>
        <w:rPr>
          <w:rFonts w:ascii="Amiri" w:hAnsi="Amiri" w:eastAsia="Amiri" w:cs="Amiri"/>
          <w:color w:val="111111"/>
          <w:sz w:val="28"/>
          <w:sz w:val="28"/>
          <w:szCs w:val="28"/>
          <w:rtl w:val="true"/>
          <w:lang w:bidi="ar-SA"/>
        </w:rPr>
        <w:t xml:space="preserve">كأصل التبرّع بها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87915_3406789950"/>
      <w:bookmarkStart w:id="475" w:name="_Toc172"/>
      <w:bookmarkEnd w:id="474"/>
      <w:r>
        <w:rPr>
          <w:rtl w:val="true"/>
        </w:rPr>
        <w:t xml:space="preserve">القول </w:t>
      </w:r>
      <w:r>
        <w:rPr>
          <w:rtl w:val="true"/>
        </w:rPr>
        <w:t xml:space="preserve">: </w:t>
      </w:r>
      <w:r>
        <w:rPr>
          <w:rtl w:val="true"/>
        </w:rPr>
        <w:t>في جنسها</w:t>
      </w:r>
      <w:bookmarkEnd w:id="47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الضابط في جنسها ما غلب في القوت لغالب</w:t>
      </w:r>
      <w:r>
        <w:rPr>
          <w:rStyle w:val="FootnoteAnchor"/>
          <w:rtl w:val="true"/>
        </w:rPr>
        <w:footnoteReference w:id="959"/>
      </w:r>
      <w:r>
        <w:rPr>
          <w:rFonts w:ascii="Amiri" w:hAnsi="Amiri" w:eastAsia="Amiri" w:cs="Amiri"/>
          <w:color w:val="111111"/>
          <w:sz w:val="28"/>
          <w:sz w:val="28"/>
          <w:szCs w:val="28"/>
          <w:rtl w:val="true"/>
          <w:lang w:bidi="ar-SA"/>
        </w:rPr>
        <w:t>الناس كالحنطة والشعير والتمر والزبيب والأرز والاُقط واللبن ، والأحوط الاقتصار عليها وإن أجزأ غيرها</w:t>
      </w:r>
      <w:r>
        <w:rPr>
          <w:rStyle w:val="FootnoteAnchor"/>
          <w:rtl w:val="true"/>
        </w:rPr>
        <w:footnoteReference w:id="960"/>
      </w:r>
      <w:r>
        <w:rPr>
          <w:rFonts w:ascii="Amiri" w:hAnsi="Amiri" w:eastAsia="Amiri" w:cs="Amiri"/>
          <w:color w:val="111111"/>
          <w:sz w:val="28"/>
          <w:sz w:val="28"/>
          <w:szCs w:val="28"/>
          <w:rtl w:val="true"/>
          <w:lang w:bidi="ar-SA"/>
        </w:rPr>
        <w:t xml:space="preserve">كالذرة ونحوها ، إلاّ أنّ الأحوط دفع غيرها </w:t>
      </w:r>
      <w:bookmarkStart w:id="476" w:name="pg15003_159967"/>
    </w:p>
    <w:p>
      <w:pPr>
        <w:pStyle w:val="BookText"/>
        <w:rPr/>
      </w:pPr>
      <w:bookmarkEnd w:id="476"/>
      <w:r>
        <w:rPr>
          <w:rFonts w:ascii="Amiri" w:hAnsi="Amiri" w:eastAsia="Amiri" w:cs="Amiri"/>
          <w:color w:val="111111"/>
          <w:sz w:val="28"/>
          <w:sz w:val="28"/>
          <w:szCs w:val="28"/>
          <w:rtl w:val="true"/>
          <w:lang w:bidi="ar-SA"/>
        </w:rPr>
        <w:t>قيمة</w:t>
      </w:r>
      <w:r>
        <w:rPr>
          <w:rStyle w:val="FootnoteAnchor"/>
          <w:rtl w:val="true"/>
        </w:rPr>
        <w:footnoteReference w:id="961"/>
      </w:r>
      <w:r>
        <w:rPr>
          <w:rFonts w:ascii="Amiri" w:hAnsi="Amiri" w:eastAsia="Amiri" w:cs="Amiri"/>
          <w:color w:val="111111"/>
          <w:sz w:val="28"/>
          <w:sz w:val="28"/>
          <w:szCs w:val="28"/>
          <w:rtl w:val="true"/>
          <w:lang w:bidi="ar-SA"/>
        </w:rPr>
        <w:t xml:space="preserve">، وأحوط منه الاقتصار على الأربعة الاُوَل مع اللبن ، وأحوط منه الأربعة ودفع ما عداها قيمة ، بل الأحوط دفع الدقيق والخبز قيمة فضلاً عن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المدفوع فطرة أن يكون صحيحاً ، فلا يجزي المعيب ، كما لا يجزي الممزوج بما لا يتسامح فيه إلاّ على جهة القيمة ؛ لأنّ الأقوى</w:t>
      </w:r>
      <w:r>
        <w:rPr>
          <w:rStyle w:val="FootnoteAnchor"/>
          <w:rtl w:val="true"/>
        </w:rPr>
        <w:footnoteReference w:id="962"/>
      </w:r>
      <w:r>
        <w:rPr>
          <w:rFonts w:ascii="Amiri" w:hAnsi="Amiri" w:eastAsia="Amiri" w:cs="Amiri"/>
          <w:color w:val="111111"/>
          <w:sz w:val="28"/>
          <w:sz w:val="28"/>
          <w:szCs w:val="28"/>
          <w:rtl w:val="true"/>
          <w:lang w:bidi="ar-SA"/>
        </w:rPr>
        <w:t xml:space="preserve">الاجتزاء بالقيمة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بحسب حال وقت الإخراج وبلده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الأفضل إخراج التمر ثمّ الزبيب ثمّ غالب</w:t>
      </w:r>
      <w:r>
        <w:rPr>
          <w:rStyle w:val="FootnoteAnchor"/>
          <w:rtl w:val="true"/>
        </w:rPr>
        <w:footnoteReference w:id="963"/>
      </w:r>
      <w:r>
        <w:rPr>
          <w:rFonts w:ascii="Amiri" w:hAnsi="Amiri" w:eastAsia="Amiri" w:cs="Amiri"/>
          <w:color w:val="111111"/>
          <w:sz w:val="28"/>
          <w:sz w:val="28"/>
          <w:szCs w:val="28"/>
          <w:rtl w:val="true"/>
          <w:lang w:bidi="ar-SA"/>
        </w:rPr>
        <w:t xml:space="preserve">قوت البلد ، وقد يترجّح الأنفع بملاحظة المرجّحات الخارجية ، كما يرجّح لمن يكون قوته من البرّ الأعلى الدفع منه لا من البرّ الأدون ولا من الشعير </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487917_3406789950"/>
      <w:bookmarkStart w:id="478" w:name="_Toc173"/>
      <w:bookmarkEnd w:id="477"/>
      <w:r>
        <w:rPr>
          <w:rtl w:val="true"/>
        </w:rPr>
        <w:t xml:space="preserve">القول </w:t>
      </w:r>
      <w:r>
        <w:rPr>
          <w:rtl w:val="true"/>
        </w:rPr>
        <w:t xml:space="preserve">: </w:t>
      </w:r>
      <w:r>
        <w:rPr>
          <w:rtl w:val="true"/>
        </w:rPr>
        <w:t>في قدرها</w:t>
      </w:r>
      <w:bookmarkEnd w:id="47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صاع من جميع الأقوات حتّى اللبن ، والصاع أربعة أمداد وهي تسعة أرطال بالعراقي وستّة بالمدني ، وهي عبارة عن ستّمائة وأربعة عشر مثقالاً صيرفياً وربع مثقال ، فيكون بحسب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تسعمائة مثقال وثلاثة وثلاثون مثقالاً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حقّة ونصف وقيّة وأحد وثلاثون مثقالاً إلاّ مقدار حمّصتين ، وبحسب حقّة 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وثلاثة أرباع الوقيّة ومثقال وثلاثة أرباع المثقال ، وبحسب </w:t>
      </w:r>
      <w:bookmarkStart w:id="479" w:name="pg15003_159968"/>
    </w:p>
    <w:p>
      <w:pPr>
        <w:pStyle w:val="BookText"/>
        <w:rPr/>
      </w:pPr>
      <w:bookmarkEnd w:id="479"/>
      <w:r>
        <w:rPr>
          <w:rFonts w:ascii="Amiri" w:hAnsi="Amiri" w:eastAsia="Amiri" w:cs="Amiri"/>
          <w:color w:val="111111"/>
          <w:sz w:val="28"/>
          <w:sz w:val="28"/>
          <w:szCs w:val="28"/>
          <w:rtl w:val="true"/>
          <w:lang w:bidi="ar-SA"/>
        </w:rPr>
        <w:t xml:space="preserve">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منّ إلاّ خمسة وعشرون مثقالاً وثلاثة أرباع المثقال </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87919_3406789950"/>
      <w:bookmarkStart w:id="481" w:name="_Toc174"/>
      <w:bookmarkEnd w:id="480"/>
      <w:r>
        <w:rPr>
          <w:rtl w:val="true"/>
        </w:rPr>
        <w:t xml:space="preserve">القول </w:t>
      </w:r>
      <w:r>
        <w:rPr>
          <w:rtl w:val="true"/>
        </w:rPr>
        <w:t xml:space="preserve">: </w:t>
      </w:r>
      <w:r>
        <w:rPr>
          <w:rtl w:val="true"/>
        </w:rPr>
        <w:t>في وقت وجوبها</w:t>
      </w:r>
      <w:bookmarkEnd w:id="481"/>
    </w:p>
    <w:p>
      <w:pPr>
        <w:pStyle w:val="BookText"/>
        <w:rPr/>
      </w:pPr>
      <w:r>
        <w:rPr>
          <w:rFonts w:ascii="Amiri" w:hAnsi="Amiri" w:eastAsia="Amiri" w:cs="Amiri"/>
          <w:color w:val="111111"/>
          <w:sz w:val="28"/>
          <w:sz w:val="28"/>
          <w:szCs w:val="28"/>
          <w:rtl w:val="true"/>
          <w:lang w:bidi="ar-SA"/>
        </w:rPr>
        <w:t xml:space="preserve">وهو دخول ليلة العيد ، ويستمرّ وقت دفع الفطرة من حين وجوبها إلى وقت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w:t>
      </w:r>
      <w:r>
        <w:rPr>
          <w:rStyle w:val="FootnoteAnchor"/>
          <w:rtl w:val="true"/>
        </w:rPr>
        <w:footnoteReference w:id="964"/>
      </w:r>
      <w:r>
        <w:rPr>
          <w:rFonts w:ascii="Amiri" w:hAnsi="Amiri" w:eastAsia="Amiri" w:cs="Amiri"/>
          <w:color w:val="111111"/>
          <w:sz w:val="28"/>
          <w:sz w:val="28"/>
          <w:szCs w:val="28"/>
          <w:rtl w:val="true"/>
          <w:lang w:bidi="ar-SA"/>
        </w:rPr>
        <w:t>النهار قبل صلاة العيد ، بل لا يترك الاحتياط بالنسبة إلى قبلية الصلاة لو صلّى ؛ فإن خرج وقت الفطرة وكان قد عزلها دفعها لمستحقّها ، وإن لم يكن قد عزلها فالأحوط الأقوى</w:t>
      </w:r>
      <w:r>
        <w:rPr>
          <w:rStyle w:val="FootnoteAnchor"/>
          <w:rtl w:val="true"/>
        </w:rPr>
        <w:footnoteReference w:id="965"/>
      </w:r>
      <w:r>
        <w:rPr>
          <w:rFonts w:ascii="Amiri" w:hAnsi="Amiri" w:eastAsia="Amiri" w:cs="Amiri"/>
          <w:color w:val="111111"/>
          <w:sz w:val="28"/>
          <w:sz w:val="28"/>
          <w:szCs w:val="28"/>
          <w:rtl w:val="true"/>
          <w:lang w:bidi="ar-SA"/>
        </w:rPr>
        <w:t xml:space="preserve">عدم سقوطها ، بل يؤدّيها ناوياً بها القربة من غير تعرّض للأداء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تقديمها على وقتها في غير شهر رمضان ، بل فيه أيضاً على الأحوط ، نعم لا بأس بإعطاء الفقير قرضاً ثمّ احتسابه عليه فطرة عند مجيء وقتها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عزل الفطرة وتعيينها في مال مخصوص من الأجناس أو غيرها</w:t>
      </w:r>
      <w:r>
        <w:rPr>
          <w:rStyle w:val="FootnoteAnchor"/>
          <w:rtl w:val="true"/>
        </w:rPr>
        <w:footnoteReference w:id="966"/>
      </w:r>
      <w:r>
        <w:rPr>
          <w:rFonts w:ascii="Amiri" w:hAnsi="Amiri" w:eastAsia="Amiri" w:cs="Amiri"/>
          <w:color w:val="111111"/>
          <w:sz w:val="28"/>
          <w:sz w:val="28"/>
          <w:szCs w:val="28"/>
          <w:rtl w:val="true"/>
          <w:lang w:bidi="ar-SA"/>
        </w:rPr>
        <w:t xml:space="preserve">بقيمتها ، ولو عزل أقلّ منها اختصّ الحكم به وبقي البقيّة غير معزولة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عزلها في الأزيد ففي انعزالها بذلك حتّى يكون المعزول مشتركاً بينه وبين الزكاة إشكال ، نعم لو عيّنها في مال مشترك بينه وبين غيره مشاعاً فالأظهر انعزالها بذلك إذا كان حصّته بقدرها أو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إن </w:t>
      </w:r>
      <w:bookmarkStart w:id="482" w:name="pg15003_159969"/>
    </w:p>
    <w:p>
      <w:pPr>
        <w:pStyle w:val="BookText"/>
        <w:rPr/>
      </w:pPr>
      <w:bookmarkEnd w:id="482"/>
      <w:r>
        <w:rPr>
          <w:rFonts w:ascii="Amiri" w:hAnsi="Amiri" w:eastAsia="Amiri" w:cs="Amiri"/>
          <w:color w:val="111111"/>
          <w:sz w:val="28"/>
          <w:sz w:val="28"/>
          <w:szCs w:val="28"/>
          <w:rtl w:val="true"/>
          <w:lang w:bidi="ar-SA"/>
        </w:rPr>
        <w:t xml:space="preserve">خرج الوقت وقد عزلها في الوقت جاز تأخير دفعها إلى المستحقّ خصوصاً مع ملاحظة بعض المرجّحات ؛ وإن كان يضمنه مع التمكّن ووجود المستحقّ لو تلف ، بخلافه فيما إذا لم يتمكّن ، فإنّه لا يضمن إلاّ مع التعدّي والتفريط في حفظه كسائر الأمانات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967"/>
      </w:r>
      <w:r>
        <w:rPr>
          <w:rFonts w:ascii="Amiri" w:hAnsi="Amiri" w:eastAsia="Amiri" w:cs="Amiri"/>
          <w:color w:val="111111"/>
          <w:sz w:val="28"/>
          <w:sz w:val="28"/>
          <w:szCs w:val="28"/>
          <w:rtl w:val="true"/>
          <w:lang w:bidi="ar-SA"/>
        </w:rPr>
        <w:t xml:space="preserve">عدم نقلها بعد العزل إلى بلد آخر مع وجود المستحقّ وعدم تأخيرها كذلك ، وإن كان الأقوى الجواز مع الضمان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87921_3406789950"/>
      <w:bookmarkStart w:id="484" w:name="_Toc175"/>
      <w:bookmarkEnd w:id="483"/>
      <w:r>
        <w:rPr>
          <w:rtl w:val="true"/>
        </w:rPr>
        <w:t xml:space="preserve">القول </w:t>
      </w:r>
      <w:r>
        <w:rPr>
          <w:rtl w:val="true"/>
        </w:rPr>
        <w:t xml:space="preserve">: </w:t>
      </w:r>
      <w:r>
        <w:rPr>
          <w:rtl w:val="true"/>
        </w:rPr>
        <w:t>في مصرفها</w:t>
      </w:r>
      <w:bookmarkEnd w:id="48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الاقتصار</w:t>
      </w:r>
      <w:r>
        <w:rPr>
          <w:rStyle w:val="FootnoteAnchor"/>
          <w:rtl w:val="true"/>
        </w:rPr>
        <w:footnoteReference w:id="968"/>
      </w:r>
      <w:r>
        <w:rPr>
          <w:rFonts w:ascii="Amiri" w:hAnsi="Amiri" w:eastAsia="Amiri" w:cs="Amiri"/>
          <w:color w:val="111111"/>
          <w:sz w:val="28"/>
          <w:sz w:val="28"/>
          <w:szCs w:val="28"/>
          <w:rtl w:val="true"/>
          <w:lang w:bidi="ar-SA"/>
        </w:rPr>
        <w:t xml:space="preserve">على دفعها للفقراء المؤمنين وأطفالهم ، بل المساكين منهم وإن لم يكونوا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إعطاؤها للمستضعفين من المخالفين عند عدم وجود المؤمنين وإن لم نقل به في زكاة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لا يدفع للفقير أقلّ من صاع أو قيمته وإن اجتمع جماعة لا تسعهم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يعطى الواحد أصواعاً بل ما يغنيه</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اختصاص ذوي الأرحام والجيران وأهل الهجرة في الدين والعفّة والعقل وغيرهم ممّن يكون فيه أحد المرجّحات ، ولا يشترط العدالة فيمن يدفع إليه ، نعم الأحوط</w:t>
      </w:r>
      <w:r>
        <w:rPr>
          <w:rStyle w:val="FootnoteAnchor"/>
          <w:rtl w:val="true"/>
        </w:rPr>
        <w:footnoteReference w:id="970"/>
      </w:r>
      <w:r>
        <w:rPr>
          <w:rFonts w:ascii="Amiri" w:hAnsi="Amiri" w:eastAsia="Amiri" w:cs="Amiri"/>
          <w:color w:val="111111"/>
          <w:sz w:val="28"/>
          <w:sz w:val="28"/>
          <w:szCs w:val="28"/>
          <w:rtl w:val="true"/>
          <w:lang w:bidi="ar-SA"/>
        </w:rPr>
        <w:t xml:space="preserve">أن لا يدفع إلى شارب الخمر والمتجاهر بالمعصية والهاتك لجلباب الحياء ، كما أ نّه لا يجوز أن يدفع إلى من يصرفها في المعصية </w:t>
      </w:r>
      <w:r>
        <w:rPr>
          <w:rFonts w:eastAsia="Amiri" w:cs="Amiri" w:ascii="Amiri" w:hAnsi="Amiri"/>
          <w:color w:val="111111"/>
          <w:sz w:val="28"/>
          <w:szCs w:val="28"/>
          <w:rtl w:val="true"/>
          <w:lang w:bidi="ar-SA"/>
        </w:rPr>
        <w:t xml:space="preserve">. </w:t>
      </w:r>
      <w:bookmarkStart w:id="485" w:name="pg15003_159970"/>
    </w:p>
    <w:p>
      <w:pPr>
        <w:pStyle w:val="Heading2"/>
        <w:numPr>
          <w:ilvl w:val="1"/>
          <w:numId w:val="1"/>
        </w:numPr>
        <w:rPr/>
      </w:pPr>
      <w:bookmarkStart w:id="486" w:name="__RefHeading___Toc487923_3406789950"/>
      <w:bookmarkStart w:id="487" w:name="_Toc176"/>
      <w:bookmarkEnd w:id="485"/>
      <w:bookmarkEnd w:id="486"/>
      <w:r>
        <w:rPr>
          <w:rtl w:val="true"/>
        </w:rPr>
        <w:t>كتاب الخمس</w:t>
      </w:r>
      <w:bookmarkEnd w:id="487"/>
    </w:p>
    <w:p>
      <w:pPr>
        <w:pStyle w:val="Heading3"/>
        <w:numPr>
          <w:ilvl w:val="2"/>
          <w:numId w:val="1"/>
        </w:numPr>
        <w:rPr/>
      </w:pPr>
      <w:bookmarkStart w:id="488" w:name="__RefHeading___Toc487925_3406789950"/>
      <w:bookmarkStart w:id="489" w:name="_Toc177"/>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 xml:space="preserve">الذي جعله اللّه تعالى لمحمّد صلی الله علیه و آله وسلم وذرّيته عوضاً عن الزكاة التي هي من أوساخ أيدي الناس إكراماً لهم ، ومن منع منه درهماً كان من الظالمين لهم والغاصبين لحقّهم ،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حيث حرّم علينا الصدقة أبدلنا بها الخمس ، فالصدقة علينا حرام ، والخمس لنا فريضة ، والكرامة لنا حلال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يعذر عبد اشترى من الخمس شيئاً أن يقول يا ربّ اشتريته بمالي حتّى يأذن له أهل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مولانا أبي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يشتري من الخمس شيئاً حتّى يصل إلينا حقّنا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ما يدخل به العبد النار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مال اليتيم درهماً ونحن اليتيم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والكلام فيما يجب فيه الخمس وفي مستحقّيه وكيفية قسمته بينهم وفي الأنفال </w:t>
      </w:r>
      <w:r>
        <w:rPr>
          <w:rFonts w:eastAsia="IRNazanin" w:cs="IRNazanin"/>
          <w:color w:val="111111"/>
          <w:sz w:val="28"/>
          <w:szCs w:val="28"/>
          <w:rtl w:val="true"/>
          <w:lang w:bidi="fa-IR"/>
        </w:rPr>
        <w:t>.</w:t>
      </w:r>
    </w:p>
    <w:p>
      <w:pPr>
        <w:pStyle w:val="Heading3"/>
        <w:numPr>
          <w:ilvl w:val="2"/>
          <w:numId w:val="1"/>
        </w:numPr>
        <w:rPr/>
      </w:pPr>
      <w:bookmarkStart w:id="490" w:name="__RefHeading___Toc487927_3406789950"/>
      <w:bookmarkStart w:id="491" w:name="_Toc178"/>
      <w:bookmarkEnd w:id="490"/>
      <w:r>
        <w:rPr>
          <w:rtl w:val="true"/>
        </w:rPr>
        <w:t xml:space="preserve">القول </w:t>
      </w:r>
      <w:r>
        <w:rPr>
          <w:rtl w:val="true"/>
        </w:rPr>
        <w:t xml:space="preserve">: </w:t>
      </w:r>
      <w:r>
        <w:rPr>
          <w:rtl w:val="true"/>
        </w:rPr>
        <w:t>فيما يجب فيه الخمس</w:t>
      </w:r>
      <w:bookmarkEnd w:id="491"/>
    </w:p>
    <w:p>
      <w:pPr>
        <w:pStyle w:val="BookText"/>
        <w:rPr/>
      </w:pPr>
      <w:r>
        <w:rPr>
          <w:rFonts w:ascii="Amiri" w:hAnsi="Amiri" w:eastAsia="Amiri" w:cs="Amiri"/>
          <w:color w:val="111111"/>
          <w:sz w:val="28"/>
          <w:sz w:val="28"/>
          <w:szCs w:val="28"/>
          <w:rtl w:val="true"/>
          <w:lang w:bidi="ar-SA"/>
        </w:rPr>
        <w:t xml:space="preserve">يجب الخمس في سبعة أشياء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يغتنم قهراً</w:t>
      </w:r>
      <w:r>
        <w:rPr>
          <w:rStyle w:val="FootnoteAnchor"/>
          <w:rtl w:val="true"/>
        </w:rPr>
        <w:footnoteReference w:id="971"/>
      </w:r>
      <w:r>
        <w:rPr>
          <w:rFonts w:ascii="Amiri" w:hAnsi="Amiri" w:eastAsia="Amiri" w:cs="Amiri"/>
          <w:color w:val="111111"/>
          <w:sz w:val="28"/>
          <w:sz w:val="28"/>
          <w:szCs w:val="28"/>
          <w:rtl w:val="true"/>
          <w:lang w:bidi="ar-SA"/>
        </w:rPr>
        <w:t xml:space="preserve">من أهل الحرب ، الذين يستحلّ دماؤهم وأموالهم </w:t>
      </w:r>
    </w:p>
    <w:p>
      <w:pPr>
        <w:pStyle w:val="BookText"/>
        <w:rPr/>
      </w:pPr>
      <w:r>
        <w:rPr>
          <w:rFonts w:ascii="IRNazanin" w:hAnsi="IRNazanin" w:eastAsia="IRNazanin"/>
          <w:color w:val="111111"/>
          <w:sz w:val="28"/>
          <w:sz w:val="28"/>
          <w:szCs w:val="28"/>
          <w:rtl w:val="true"/>
          <w:lang w:bidi="fa-IR"/>
        </w:rPr>
        <w:t xml:space="preserve">وسبي نسائهم وأطفالهم إذا كان الغزو معهم بإذن الإمام علیه السلام ؛ من غير فرق بين ما حواه العسكر وما لم يحوه كالأرض ونحوها على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اغتنم بالغزو من غير إذنه فإن كان في حال الحضور والتمكّن من الاستئذان من الإمام فهو من الأنفال وسيأتي أ نّها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كان في حال الغيبة وعدم التمكّن من الاستئذان منه فالأحوط بل الأقوى وجوب الخمس فيه ، سيّما إذا كان للدعاء إلى الإسلام ، وكذا ما اغتنم منهم عند الدفاع معهم إذا هجموا على المسلمين في أماكنهم ولو في 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اغتنم منهم بالسرقة</w:t>
      </w:r>
      <w:r>
        <w:rPr>
          <w:rStyle w:val="FootnoteAnchor"/>
          <w:rtl w:val="true"/>
        </w:rPr>
        <w:footnoteReference w:id="972"/>
      </w:r>
      <w:r>
        <w:rPr>
          <w:rFonts w:ascii="Amiri" w:hAnsi="Amiri" w:eastAsia="Amiri" w:cs="Amiri"/>
          <w:color w:val="111111"/>
          <w:sz w:val="28"/>
          <w:sz w:val="28"/>
          <w:szCs w:val="28"/>
          <w:rtl w:val="true"/>
          <w:lang w:bidi="ar-SA"/>
        </w:rPr>
        <w:t xml:space="preserve">والغيلة وبالربا والدعوى الباطلة ونحوها وإن كان الأحوط إخراج الخمس منها من حيث كونه غنيمة لا فائدة فلا يحتاج إلى مراعاة مؤونة السنة وغيرها لكن الأقوى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وجوب الخمس في الغنيمة بلوغها عشرين ديناراً على الأصحّ ، نعم يعتبر فيه أن لا يكون غصباً من مسلم أو ذمّي أو معاهد ونحوهم من محترمي المال ، بخلاف ما كان في أيديهم من أهل الحرب وإن لم يكن الحرب معهم في تلك الغزوة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إلحاق الناصب بأهل الحرب في إباحة ما اغتنم منهم وتعلّق الخمس به ، بل الظاهر جواز أخذ ماله أين ما وجد وبأيّ نحو كان ووجوب إخراج خمسه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عقلاء العرف ، ومنه الذهب والفضّة والرصاص والحديد والصفر والزئبق والياقوت والزبرجد والفيروزج والعقيق والقير والنفط والكبريت والسبخ والكحل والزرنيخ والملح بل والجصّ والمغرة وطين الغسل والأرمني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 في أ نّه منه لا خمس فيه </w:t>
      </w:r>
    </w:p>
    <w:p>
      <w:pPr>
        <w:pStyle w:val="BookText"/>
        <w:rPr/>
      </w:pP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بعد إخراج مؤونة الإخراج والتصفية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عشرين ديناراً</w:t>
      </w:r>
      <w:r>
        <w:rPr>
          <w:rStyle w:val="FootnoteAnchor"/>
          <w:rtl w:val="true"/>
        </w:rPr>
        <w:footnoteReference w:id="973"/>
      </w:r>
      <w:r>
        <w:rPr>
          <w:rFonts w:ascii="Amiri" w:hAnsi="Amiri" w:eastAsia="Amiri" w:cs="Amiri"/>
          <w:color w:val="111111"/>
          <w:sz w:val="28"/>
          <w:sz w:val="28"/>
          <w:szCs w:val="28"/>
          <w:rtl w:val="true"/>
          <w:lang w:bidi="ar-SA"/>
        </w:rPr>
        <w:t>أو ما يكون قيمته ذلك حال الإخراج ، وإن كان الأحوط إخراجه من المعدن البالغ ديناراً بل مطلقاً</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الإخراج دفعة على الأقوى فلو أخرج دفعات وكان المجموع نصاباً وجب خمس المجموع حتّى فيما لو أخرج أقلّ من النصاب وأعرض ثمّ عاد فأكمله 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جماعة في استخراج المعدن فهل يعتبر بلوغ نصيب كلّ واحد منهم النصاب أو يكفي بلوغ المجموع نصاباً ؟ الأحوط الثاني وإن كان الأوّل لا يخلو من قوّة</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معدن واحد على جنسين أو أزيد كفى بلوغ قيمة المجموع نصاباً على الأحوط لو لم يكن</w:t>
      </w:r>
      <w:r>
        <w:rPr>
          <w:rStyle w:val="FootnoteAnchor"/>
          <w:rtl w:val="true"/>
        </w:rPr>
        <w:footnoteReference w:id="976"/>
      </w:r>
      <w:r>
        <w:rPr>
          <w:rFonts w:ascii="Amiri" w:hAnsi="Amiri" w:eastAsia="Amiri" w:cs="Amiri"/>
          <w:color w:val="111111"/>
          <w:sz w:val="28"/>
          <w:sz w:val="28"/>
          <w:szCs w:val="28"/>
          <w:rtl w:val="true"/>
          <w:lang w:bidi="ar-SA"/>
        </w:rPr>
        <w:t>الأقوى ، وأمّا لو كانت معادن متعدّدة ، فإن كانت من جنس واحد يضمّ بعضها</w:t>
      </w:r>
      <w:r>
        <w:rPr>
          <w:rStyle w:val="FootnoteAnchor"/>
          <w:rtl w:val="true"/>
        </w:rPr>
        <w:footnoteReference w:id="977"/>
      </w:r>
      <w:r>
        <w:rPr>
          <w:rFonts w:ascii="Amiri" w:hAnsi="Amiri" w:eastAsia="Amiri" w:cs="Amiri"/>
          <w:color w:val="111111"/>
          <w:sz w:val="28"/>
          <w:sz w:val="28"/>
          <w:szCs w:val="28"/>
          <w:rtl w:val="true"/>
          <w:lang w:bidi="ar-SA"/>
        </w:rPr>
        <w:t xml:space="preserve">إلى بعض على الأقوى خصوصاً إذا كانت متقاربة ، وأمّا لو كانت أجناساً مختلفة اعتبر في الخارج من كلّ منها النصاب دون المجموع على الأقوى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إخراج خمس المعدن بين كونه في أرض مباحة أو مملوكة ، وإن كان الأوّل لمن استنبطه والثاني اختصّ بصاحب الأرض وإن أخرجه غيره ، وحينئذٍ فإن كان بأمر من مالكها يكون الخمس بعد استثناء </w:t>
      </w:r>
    </w:p>
    <w:p>
      <w:pPr>
        <w:pStyle w:val="BookText"/>
        <w:rPr/>
      </w:pPr>
      <w:r>
        <w:rPr>
          <w:rFonts w:ascii="Amiri" w:hAnsi="Amiri" w:eastAsia="Amiri" w:cs="Amiri"/>
          <w:color w:val="111111"/>
          <w:sz w:val="28"/>
          <w:sz w:val="28"/>
          <w:szCs w:val="28"/>
          <w:rtl w:val="true"/>
          <w:lang w:bidi="ar-SA"/>
        </w:rPr>
        <w:t xml:space="preserve">المؤونة ؛ ومنها اُجرة المخرج إذا لم يكن متبرّعاً ، وإن كان لا بأمر منه يكون له المخرج وعليه الخمس من دون استثناء المؤونة ؛ لأ نّه لم يصرف عليه مؤونة ، وليس عليه ما صرفه المخرج ؛ لأ نّه لم يكن بأمره ، ولو كان المعدن في الأرض المفتوحة عنوة فإن كان في معمورها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أحد المسلمين ملكه</w:t>
      </w:r>
      <w:r>
        <w:rPr>
          <w:rStyle w:val="FootnoteAnchor"/>
          <w:rtl w:val="true"/>
        </w:rPr>
        <w:footnoteReference w:id="978"/>
      </w:r>
      <w:r>
        <w:rPr>
          <w:rFonts w:ascii="Amiri" w:hAnsi="Amiri" w:eastAsia="Amiri" w:cs="Amiri"/>
          <w:color w:val="111111"/>
          <w:sz w:val="28"/>
          <w:sz w:val="28"/>
          <w:szCs w:val="28"/>
          <w:rtl w:val="true"/>
          <w:lang w:bidi="ar-SA"/>
        </w:rPr>
        <w:t xml:space="preserve">وعليه الخمس ، وإن أخرجه غير المسلم ففي تملّكه إشكال ، وإن كان في مواتها حال الفتح يملكها المخرج وعليه الخمس ولو كان كافراً كسائر الأراضي المباحة ، ولو استنبط المعدن صبيّ أو مجنون تعلّق الخمس به في الأقوى وإن وجب على الوليّ الإخراج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عرفت أ نّه لا فرق في تعلّق الخمس بما خرج من المعدن بين كون المخرج مسلماً أو كافراً إذا كان في أراضي مملوكة أو مباحة ، فالمعادن التي بيد الكفّار من الذهب والفضّة والحديد والنفط وغيرها حتّى ما يستخرجون من الفحم الحجري يتعلّق بها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القاعدة عدم حلّ ما تشترى منهم علينا قبل إخراج خمسها ووجوب تخميسها علينا ، إلاّ أ نّه قد اُبيح لنا ذلك فإنّ الأئمّة علیهم السلام قد أباحوا لشيعتهم خمس الأموال الغير المخمّسة المنتقلة إليهم ممّن لا يعتقد وجوب الخمس كافراً كان أو غيره</w:t>
      </w:r>
      <w:r>
        <w:rPr>
          <w:rStyle w:val="FootnoteAnchor"/>
          <w:rtl w:val="true"/>
        </w:rPr>
        <w:footnoteReference w:id="979"/>
      </w:r>
      <w:r>
        <w:rPr>
          <w:rFonts w:ascii="Amiri" w:hAnsi="Amiri" w:eastAsia="Amiri" w:cs="Amiri"/>
          <w:color w:val="111111"/>
          <w:sz w:val="28"/>
          <w:sz w:val="28"/>
          <w:szCs w:val="28"/>
          <w:rtl w:val="true"/>
          <w:lang w:bidi="ar-SA"/>
        </w:rPr>
        <w:t>، وسواء كان من ربح تجارة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 الذي يرجع في مسمّاه إلى العرف إذا لم يعرف صاحبه ؛ سواء كان في بلاد الكفّار أو في الأرض الموات أو الخربة من بلاد الإسلام ؛ سواء كان عليه أثر الإسلام أم لا ، ففي جميع هذه الصور يكون ملكاً لواجده وعليه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وجده في أرض مملوكة للواجد بابتياع ونحوه عرّفه المالك قبله مع احتمال كونه له ، فإن عرفه يعطي له ، وإن لم يعرفه عرّفه السابق إلى أن ينتهي إلى من لا يعرفه</w:t>
      </w:r>
      <w:r>
        <w:rPr>
          <w:rStyle w:val="FootnoteAnchor"/>
          <w:rtl w:val="true"/>
        </w:rPr>
        <w:footnoteReference w:id="980"/>
      </w:r>
      <w:r>
        <w:rPr>
          <w:rFonts w:ascii="Amiri" w:hAnsi="Amiri" w:eastAsia="Amiri" w:cs="Amiri"/>
          <w:color w:val="111111"/>
          <w:sz w:val="28"/>
          <w:sz w:val="28"/>
          <w:szCs w:val="28"/>
          <w:rtl w:val="true"/>
          <w:lang w:bidi="ar-SA"/>
        </w:rPr>
        <w:t xml:space="preserve">، فيكون للواجد وعليه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فيه الخمس حتّى يبلغ عشرين ديناراً في الذهب ومائتي درهم في الفضّة وبأيّهما كان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بالكنز في الأحوط ما يوجد في جوف الدابّة المشتراة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 الخمس بعد عدم معرفة البائع ، ولا يعتبر فيه بلوغ النصاب ، بل يلحق به أيضاً في الأحوط ما يوجد في جوف السمكة ، بل لا تعريف فيه للبائع إلاّ في فرض نادر ، بل الأحوط أيضاً إلحاق غير السمكة والدابّة من الحيوان بهما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 فكلّ ما يخرج به من الجواهر مثل اللؤلؤ والمرجان وغيرهما</w:t>
      </w:r>
      <w:r>
        <w:rPr>
          <w:rStyle w:val="FootnoteAnchor"/>
          <w:rtl w:val="true"/>
        </w:rPr>
        <w:footnoteReference w:id="981"/>
      </w:r>
      <w:r>
        <w:rPr>
          <w:rFonts w:ascii="Amiri" w:hAnsi="Amiri" w:eastAsia="Amiri" w:cs="Amiri"/>
          <w:color w:val="111111"/>
          <w:sz w:val="28"/>
          <w:sz w:val="28"/>
          <w:szCs w:val="28"/>
          <w:rtl w:val="true"/>
          <w:lang w:bidi="ar-SA"/>
        </w:rPr>
        <w:t xml:space="preserve">يجب فيه الخمس بشرط أن يبلغ قيمته ديناراً فصاعداً ، فلا خمس فيما ينقص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اتّحاد النوع وعدمه وبين الدفعة والدفعات ، فيضمّ بعضها إلى بعض ، فلو بلغ قيمة المجموع ديناراً وجب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اشترك جماعة في الإخراج فهو كما اشترك جماعة في استخراج المعدن وقد تقدّم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أخرج الجواهر من البحر ببعض الآلات من دون غوص يكون بحكم الغوص على الأحوط ، نعم لو خرج بنفسه على الساحل أو على وجه الماء فأخذه من غير غوص لم يجب فيه الخمس من هذه الجهة بل يدخل في أرباح المكاسب</w:t>
      </w:r>
      <w:r>
        <w:rPr>
          <w:rStyle w:val="FootnoteAnchor"/>
          <w:rtl w:val="true"/>
        </w:rPr>
        <w:footnoteReference w:id="982"/>
      </w:r>
      <w:r>
        <w:rPr>
          <w:rFonts w:ascii="Amiri" w:hAnsi="Amiri" w:eastAsia="Amiri" w:cs="Amiri"/>
          <w:color w:val="111111"/>
          <w:sz w:val="28"/>
          <w:sz w:val="28"/>
          <w:szCs w:val="28"/>
          <w:rtl w:val="true"/>
          <w:lang w:bidi="ar-SA"/>
        </w:rPr>
        <w:t xml:space="preserve">، فيعتبر فيه إخراج مؤونة السنة ولا يعتبر فيه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ما يخرج من البحر بالغوص وبين ما يخرج من الأنهار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كدجلة والنيل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تكوّن الجوهر فيها كالبحر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غرق شيء في البحر وأعرض عنه مالكه فأخرجه الغوّاص ملكه ، وهل يلحق به حكم الغوص ؟ الأحوط اجراء حكمه</w:t>
      </w:r>
      <w:r>
        <w:rPr>
          <w:rStyle w:val="FootnoteAnchor"/>
          <w:rtl w:val="true"/>
        </w:rPr>
        <w:footnoteReference w:id="983"/>
      </w:r>
      <w:r>
        <w:rPr>
          <w:rFonts w:ascii="Amiri" w:hAnsi="Amiri" w:eastAsia="Amiri" w:cs="Amiri"/>
          <w:color w:val="111111"/>
          <w:sz w:val="28"/>
          <w:sz w:val="28"/>
          <w:szCs w:val="28"/>
          <w:rtl w:val="true"/>
          <w:lang w:bidi="ar-SA"/>
        </w:rPr>
        <w:t xml:space="preserve">عليه ، خصوصاً إذا كان مثل اللؤلؤ والمرجان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العنبر إذا اُخرج بالغوص جرى عليه حكمه ، وإن اُخذ على وجه الماء أو الساحل ففي إجراء حكمه عليه إشكال</w:t>
      </w:r>
      <w:r>
        <w:rPr>
          <w:rStyle w:val="FootnoteAnchor"/>
          <w:rtl w:val="true"/>
        </w:rPr>
        <w:footnoteReference w:id="984"/>
      </w:r>
      <w:r>
        <w:rPr>
          <w:rFonts w:ascii="Amiri" w:hAnsi="Amiri" w:eastAsia="Amiri" w:cs="Amiri"/>
          <w:color w:val="111111"/>
          <w:sz w:val="28"/>
          <w:sz w:val="28"/>
          <w:szCs w:val="28"/>
          <w:rtl w:val="true"/>
          <w:lang w:bidi="ar-SA"/>
        </w:rPr>
        <w:t xml:space="preserve">، أحوطه ذلك ، بل الأحوط عدم اعتبار النصاب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الخمس في الغوص والمعدن والكنز بعد إخراج ما يغرمه على الحفر والسبك والغوص والآلات ونحو ذلك ، بل يقوى اعتبار النصاب بعد الإخراج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مؤونته له ولعياله من الصناعات والزراعات وأرباح التجارات ، بل وسائر التكسّبات ولو بحيازة مباحات أو استنماءات أو استنتاج أو ارتفاع قيمة أو غير ذلك ممّا يدخل تحت مسمّى التكسّب ، والأحوط تعلّقه بكلّ فائدة</w:t>
      </w:r>
      <w:r>
        <w:rPr>
          <w:rStyle w:val="FootnoteAnchor"/>
          <w:rtl w:val="true"/>
        </w:rPr>
        <w:footnoteReference w:id="985"/>
      </w:r>
      <w:r>
        <w:rPr>
          <w:rFonts w:ascii="Amiri" w:hAnsi="Amiri" w:eastAsia="Amiri" w:cs="Amiri"/>
          <w:color w:val="111111"/>
          <w:sz w:val="28"/>
          <w:sz w:val="28"/>
          <w:szCs w:val="28"/>
          <w:rtl w:val="true"/>
          <w:lang w:bidi="ar-SA"/>
        </w:rPr>
        <w:t>وإن لم يدخل تحت مسمّى التكسّب ، وعلى هذا فالأحوط تعلّقه بنحو الهبات والهدايا والجوائز والميراث الذي لم يحتسب ، بل الأحوط تعلّقه بمطلق الميراث والمهر وعوض الخلع ، وإن كان الأقوى عدم تعلّقه بهذه الثلاثة ، كما أ نّه لا خمس فيما ملك بالخمس أو الزكاة وإن زاد عن مؤونة السنة ، نعم يجب الخمس في نمائها</w:t>
      </w:r>
      <w:r>
        <w:rPr>
          <w:rStyle w:val="FootnoteAnchor"/>
          <w:rtl w:val="true"/>
        </w:rPr>
        <w:footnoteReference w:id="986"/>
      </w:r>
      <w:r>
        <w:rPr>
          <w:rFonts w:ascii="Amiri" w:hAnsi="Amiri" w:eastAsia="Amiri" w:cs="Amiri"/>
          <w:color w:val="111111"/>
          <w:sz w:val="28"/>
          <w:sz w:val="28"/>
          <w:szCs w:val="28"/>
          <w:rtl w:val="true"/>
          <w:lang w:bidi="ar-SA"/>
        </w:rPr>
        <w:t xml:space="preserve">إذا نمت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ملك بالصدقة المندوبة فالأحوط إعطاء خمسها إذا زادت عن مؤونة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من الأعيان التي لم يتعلّق بها الخمس أو أدّى خمسها وارتفعت قيمتها السوقية لم يجب عليه خمس تلك الزيادة إذا لم تكن العين من مال التجارة ورأس مالها ، كما إذا كان المقصود من شرائها وإبقائها اقتناؤها والانتفاع بمنافعها ونمائها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المقصود الاتّجار بها فالظاهر وجوب خمس ارتفاع قيمتها بعد تمام السنة إذا أمكن بيعها وأخذ قيمتها ، وإذا لم يمكن بيعها إلاّ في السنة التالية تكون الزيادة من أرباح تلك السنة لا السنة الماضية على الأظهر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بعض الأموال التي يتّجر بها وارتفعت قيمتها موجودة </w:t>
      </w:r>
    </w:p>
    <w:p>
      <w:pPr>
        <w:pStyle w:val="BookText"/>
        <w:rPr/>
      </w:pPr>
      <w:r>
        <w:rPr>
          <w:rFonts w:ascii="Amiri" w:hAnsi="Amiri" w:eastAsia="Amiri" w:cs="Amiri"/>
          <w:color w:val="111111"/>
          <w:sz w:val="28"/>
          <w:sz w:val="28"/>
          <w:szCs w:val="28"/>
          <w:rtl w:val="true"/>
          <w:lang w:bidi="ar-SA"/>
        </w:rPr>
        <w:t xml:space="preserve">عنده في آخر السنة وبعضها ديناً على الناس فإن باع الموجودة أو أمكن بيعها وأخذ قيمتها يجب عليه خمس ربحها وزيادة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على الناس فإن كان يطمئنّ باستحصالها بحيث يكون ما في ذمّتهم كالموجود عنده يخمّس المقدار الزائد على رأس ماله ، وأمّا ما لا يطمئنّ باستحصالها يصبر إلى زمان تحصيلها فإذا حصّلها في السنة التالية أو بعدها تكون الزيادة من أرباح تلك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في هذا القسم بعد إخراج الغرامات والمصارف التي تصرف في تحصيل النماء والربح ، وإنّما يتعلّق بالفاضل عن مؤونة السنة ، أوّلها حال الشروع في التكسّب فيمن عمله التكسّب واستفادة الفوائد تدريجياً يوماً فيوماً أو في يوم دون يوم مثلاً ، وفي غيره من حين حصول الربح والفائدة ، فالزارع يجعل مبدأ سنته حين حصول فائدة الزرع ووصولها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تصفية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عنده النخيل والأشجار المثمرة يكون مبدأ سنته وقت اجتذاذ التمر واقتطاف الثمرة ، نعم لو باع الزرع أو الثمار قبل ذلك يكون زمان استفادته وقت البيع وتملّك الثمن</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بالمؤونة ما ينفقه على نفسه وعياله الواجبي النفقة وغيرهم ، ومنها ما يصرفه في زياراته وصدقاته وجوائزه وهداياه وأضيافه ومصانعاته والحقوق اللازمة له بنذر أو كفّارة ونحو ذلك ، وما يحتاج إليه من دابّة أو جارية أو عبد أو دار أو فرش أو كتب ، بل وما يحتاج إليه لتزويج أولاده واختتانهم ، وما يحتاج إليه في المرض وفي موت أحد عياله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يعتبر فيه الاقتصار على اللائق بحاله دون ما يعدّ سفهاً وسرفاً ، فلو زاد على ذلك لا يحسب منها ، بل الأحوط</w:t>
      </w:r>
      <w:r>
        <w:rPr>
          <w:rStyle w:val="FootnoteAnchor"/>
          <w:rtl w:val="true"/>
        </w:rPr>
        <w:footnoteReference w:id="988"/>
      </w:r>
      <w:r>
        <w:rPr>
          <w:rFonts w:ascii="Amiri" w:hAnsi="Amiri" w:eastAsia="Amiri" w:cs="Amiri"/>
          <w:color w:val="111111"/>
          <w:sz w:val="28"/>
          <w:sz w:val="28"/>
          <w:szCs w:val="28"/>
          <w:rtl w:val="true"/>
          <w:lang w:bidi="ar-SA"/>
        </w:rPr>
        <w:t xml:space="preserve">مراعاة الوسط من المؤونة دون الفرد العالي منها الغير اللائق بحاله وإن لم يعدّ سرفاً بل سعة ، وإن كان الأقوى عدم وجوب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في المؤونة ما يصرف فعلاً لا مقدارها ، فلو قتّر على نفسه أو تبرّع بها متبرّع لم يحسب له ، بل لو وجب عليه في أثناء السنة صرف المال في شيء كالمشي إلى الحجّ أو أداء دين أو كفّارة ونحو ذلك ولم يصرف فيه عصياناً لم يحسب مقداره منها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أنواع من الاستفادات ؛ من التجارة والزرع وعمل اليد وغير ذلك ، يلاحظ في آخر السنة مجموع ما استفاده من الجميع ، فيخمّس الفاضل عن مؤونة سنته ، ولا يلزم أن يلاحظ لكلّ فائدة سنته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بل الأقوى عدم احتساب</w:t>
      </w:r>
      <w:r>
        <w:rPr>
          <w:rStyle w:val="FootnoteAnchor"/>
          <w:rtl w:val="true"/>
        </w:rPr>
        <w:footnoteReference w:id="989"/>
      </w:r>
      <w:r>
        <w:rPr>
          <w:rFonts w:ascii="Amiri" w:hAnsi="Amiri" w:eastAsia="Amiri" w:cs="Amiri"/>
          <w:color w:val="111111"/>
          <w:sz w:val="28"/>
          <w:sz w:val="28"/>
          <w:szCs w:val="28"/>
          <w:rtl w:val="true"/>
          <w:lang w:bidi="ar-SA"/>
        </w:rPr>
        <w:t xml:space="preserve">رأس المال مع الحاجة إليه من المؤونة ، فيجب عليه خمسه إذا كان من أرباح مكاسبه ، فإذا لم يكن له مال فاستفاد بإجارة أو غيرها مقداراً وأراد أن يجعله رأس المال للتجارة ويتّجر به يجب عليه إخراج خمس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الملك الذي يشتريه من الأرباح ليستفيد من عائداته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أعيان من بستان أو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يتعلّق بها </w:t>
      </w:r>
    </w:p>
    <w:p>
      <w:pPr>
        <w:pStyle w:val="BookText"/>
        <w:rPr/>
      </w:pPr>
      <w:r>
        <w:rPr>
          <w:rFonts w:ascii="Amiri" w:hAnsi="Amiri" w:eastAsia="Amiri" w:cs="Amiri"/>
          <w:color w:val="111111"/>
          <w:sz w:val="28"/>
          <w:sz w:val="28"/>
          <w:szCs w:val="28"/>
          <w:rtl w:val="true"/>
          <w:lang w:bidi="ar-SA"/>
        </w:rPr>
        <w:t xml:space="preserve">الخمس كما إذا انتقل إليه بالإرث أو تعلّق بها لكن أدّاه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يبقيها للتكسّب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كالأشجار الغير المثمرة التي لا ينتفع إلاّ بخشبها وما يقطع من أغصانها فأبقاها للتكسّب بخشبها وأغصانها ، وكالغنم الذكر الذي يبقيه ليكبر ويسمن فيكتسب بلحمه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للتكسّب بنمائها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كالأشجار المثمرة التي يكون المقصود الانتفاع بثمرها ، وكالأغنام الاُنثى التي ينتفع بنتاجها ولبنها وصوفها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للتعيّش بنمائها ؛ بأن كان لأكل عياله وأضيافه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الاُولى فيتعلّق الخمس بنمائها المتّصل فضلاً عن المنفصل كالصوف والشعر والوبر ، وفي الثانية لا يتعلّق الخمس بنمائها المتّصل وإنّما يتعلّق بنمائها المنفصل ، كما أنّ في الثالثة يتعلّق بما زاد على ما صرف في أمر معيشتها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اتّجر برأس ماله في السنة في نوع واحد من التجارة فباع واشترى مراراً فخسر في بعضها وربح في بعض آخر يجبر الخسران بالربح ، فإذا تساويا فلا ربح وإذا زاد الربح فقد ربح في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اتّجر به أنواعاً من التجارة فالأحوط</w:t>
      </w:r>
      <w:r>
        <w:rPr>
          <w:rStyle w:val="FootnoteAnchor"/>
          <w:rtl w:val="true"/>
        </w:rPr>
        <w:footnoteReference w:id="990"/>
      </w:r>
      <w:r>
        <w:rPr>
          <w:rFonts w:ascii="Amiri" w:hAnsi="Amiri" w:eastAsia="Amiri" w:cs="Amiri"/>
          <w:color w:val="111111"/>
          <w:sz w:val="28"/>
          <w:sz w:val="28"/>
          <w:szCs w:val="28"/>
          <w:rtl w:val="true"/>
          <w:lang w:bidi="ar-SA"/>
        </w:rPr>
        <w:t xml:space="preserve">عدم جبران خسارة بعضها بربح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بعدم الجبران فيما لو كان له تجارة وزراعة فخسر في إحداهما وربح في اُخرى ، بل عدم الجبر هاهنا هو الأقوى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لمؤونة سنته من أرباحه 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والشعير والدهن والفحم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منها مقدار في آخر السنة ، يجب إخراج خمسه قليلاً كان أو كثيراً ، وأمّا إذا اشترى فرشاً أو فرساً أو ظرفاً ونحوها ممّا ينتفع بها مع بقاء عينها فالظاهر عدم وجوب الخمس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احتاج إلى دار لسكناه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شراؤها إلاّ بإبقاء فضلة سنين متعدّدة ، أو احتاج إلى جمع صوف غنمه من سنين متعدّدة لأجل فراشه أو لباسه المحتاج إليها ، فالمقدار الذي يكمل به ثمن الدار في السنة التي يشتريها ، والمقدار من الصوف الذي يكمل به الفراش أو اللباس في السنة الأخيرة ، لا إشكال في كونه من المؤونة فلا يجب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أحرزه في السنين السابقة ففي عدّه من المؤونة إشكال</w:t>
      </w:r>
      <w:r>
        <w:rPr>
          <w:rStyle w:val="FootnoteAnchor"/>
          <w:rtl w:val="true"/>
        </w:rPr>
        <w:footnoteReference w:id="991"/>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في أثناء حول الربح سقط اعتبار إخراج مؤونة بقيّة السنة على فرض حياته ، ويخرج خمس ما فضل عن مؤونته إلى زمان الموت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مال آخر لا خمس فيه ، فالأقوى جواز إخراج المؤونة من الربح دون المخمّس خاصّة ودون الإخراج منهما على التوزيع وإن كان هو الأحوط سيّما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قام بمؤونته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أو 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تحسب المؤونة ووجب الخمس من الأصل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استقرض من ابتداء سنته لمؤونته ، أو اشترى لها بعض الأشياء في الذمّة ، أو صرف بعض رأس المال فيها قبل حصول الربح ، يجوز له وضع مقداره من الربح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الحاصل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قيم المتلفات واُروش الجنايات ويلحق بها النذور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أداؤه في كلّ سنة من مؤونة تلك السنة ، فيوضع من فوائدها وأرباحها كسائر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الحاصل بالاستقراض والنسيئة وغير ذلك ، فإن كان لأجل مؤونة سنة الربح فيوضع منها أيضاً ، بل لو لم يؤدّه أيضاً يجوز له وضع مقداره منها كما عرفت في المسألة السابقة ، وأمّا إن كان لأجل مؤونة السنوات السابقة فأدّاه في السنة اللاحقة فكون أدائه من مؤونة تلك السنة حتّى يوضع من فوائدها وأرباحها محلّ تأمّل</w:t>
      </w:r>
      <w:r>
        <w:rPr>
          <w:rStyle w:val="FootnoteAnchor"/>
          <w:rtl w:val="true"/>
        </w:rPr>
        <w:footnoteReference w:id="992"/>
      </w:r>
      <w:r>
        <w:rPr>
          <w:rFonts w:ascii="Amiri" w:hAnsi="Amiri" w:eastAsia="Amiri" w:cs="Amiri"/>
          <w:color w:val="111111"/>
          <w:sz w:val="28"/>
          <w:sz w:val="28"/>
          <w:szCs w:val="28"/>
          <w:rtl w:val="true"/>
          <w:lang w:bidi="ar-SA"/>
        </w:rPr>
        <w:t xml:space="preserve">وإشكال فلا يترك الاحتياط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استطاع في عام الربح فإذا مشى إلى الحجّ في تلك السنة يكون مصارفه من المؤونة فلا يتعلّق بها الخمس ، وإذا أخّر الحجّ لعذر أو عصياناً يجب إخراج 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حصلت الاستطاعة من أرباح سنين متعدّدة وجب الخمس فيما سبق على عام الاستطاعة ، وأمّا المقدار المتمّم لها في تلك السنة فلا يجب خمسه إذا صرفه في المشي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ما مرّ فيما سبق من أ نّه إذا كان عنده مال مخمّس أو مال لا خمس فيه لا يتعيّن إخراج المؤونة من ذلك المال ولا التوزيع ، بل يجوز إخراج المؤونة من الربح ، فله أن يخرج جميع مصارف الحجّ من أرباح السنة الأخيرة ؛ مثلاً إذا كان مصارف الحجّ مائة </w:t>
      </w:r>
    </w:p>
    <w:p>
      <w:pPr>
        <w:pStyle w:val="BookText"/>
        <w:rPr/>
      </w:pPr>
      <w:r>
        <w:rPr>
          <w:rFonts w:ascii="Amiri" w:hAnsi="Amiri" w:eastAsia="Amiri" w:cs="Amiri"/>
          <w:color w:val="111111"/>
          <w:sz w:val="28"/>
          <w:sz w:val="28"/>
          <w:szCs w:val="28"/>
          <w:rtl w:val="true"/>
          <w:lang w:bidi="ar-SA"/>
        </w:rPr>
        <w:t xml:space="preserve">وقد حصل عنده من فضلة السنين السابقة ثمانون واستفاد في السنة الأخيرة مائة ، يجوز له أن يصرف جميع ما استفاده في السنة الأخيرة في الحجّ ، ولا يخرج خمسها ولا يتعيّن عليه ضمّ العشرين منه إلى الثمانين الحاصلة له من فضلة السنين السابقة وإخراج خمس الباقي وهو الثمانون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متعلّق بالعين ، وإن تخيّر</w:t>
      </w:r>
      <w:r>
        <w:rPr>
          <w:rStyle w:val="FootnoteAnchor"/>
          <w:rtl w:val="true"/>
        </w:rPr>
        <w:footnoteReference w:id="993"/>
      </w:r>
      <w:r>
        <w:rPr>
          <w:rFonts w:ascii="Amiri" w:hAnsi="Amiri" w:eastAsia="Amiri" w:cs="Amiri"/>
          <w:color w:val="111111"/>
          <w:sz w:val="28"/>
          <w:sz w:val="28"/>
          <w:szCs w:val="28"/>
          <w:rtl w:val="true"/>
          <w:lang w:bidi="ar-SA"/>
        </w:rPr>
        <w:t xml:space="preserve">المالك بين دفعه من العين أو من مال آخر ، وليس له أن ينقل الخمس إلى ذمّته ثمّ التصرّف في المال الذي 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ذلك بالمصالحة مع الحاكم الشرعي أو وكيله فيجوز حينئذٍ التصرّف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الحول في وجوب الخمس في الأرباح وغيرها وإن جاز التأخير إليه في الأرباح احتياطاً للمكتسب، ولو أراد التعجيل جاز له، وليس له الرجوع بعد ذلك لو بان عدم الخمس مع تلف العين وعدم العلم</w:t>
      </w:r>
      <w:r>
        <w:rPr>
          <w:rStyle w:val="FootnoteAnchor"/>
          <w:rtl w:val="true"/>
        </w:rPr>
        <w:footnoteReference w:id="994"/>
      </w:r>
      <w:r>
        <w:rPr>
          <w:rFonts w:ascii="IRNazanin" w:hAnsi="IRNazanin" w:eastAsia="IRNazanin"/>
          <w:color w:val="111111"/>
          <w:sz w:val="28"/>
          <w:sz w:val="28"/>
          <w:szCs w:val="28"/>
          <w:rtl w:val="true"/>
          <w:lang w:bidi="fa-IR"/>
        </w:rPr>
        <w:t xml:space="preserve">بالحال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مسلم فإنّه يجب على الذمّي خمسها ، ويؤخذ منه قهراً إن لم يدفعه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كونها أرض مزرع وكونها أرض بستان أو دار أو حمّام أو دكّان أو خان أو غيرها ، لكن إذا تعلّق البيع والشراء بأرضها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تعلّق بها تبعاً بأن كان المبيع الدار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تعلّق الخمس بأرضها تأمّل</w:t>
      </w:r>
      <w:r>
        <w:rPr>
          <w:rStyle w:val="FootnoteAnchor"/>
          <w:rtl w:val="true"/>
        </w:rPr>
        <w:footnoteReference w:id="995"/>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وجوب </w:t>
      </w:r>
    </w:p>
    <w:p>
      <w:pPr>
        <w:pStyle w:val="BookText"/>
        <w:rPr/>
      </w:pPr>
      <w:r>
        <w:rPr>
          <w:rFonts w:ascii="Amiri" w:hAnsi="Amiri" w:eastAsia="Amiri" w:cs="Amiri"/>
          <w:color w:val="111111"/>
          <w:sz w:val="28"/>
          <w:sz w:val="28"/>
          <w:szCs w:val="28"/>
          <w:rtl w:val="true"/>
          <w:lang w:bidi="ar-SA"/>
        </w:rPr>
        <w:t xml:space="preserve">الخمس بما إذا انتقلت إليه بالشراء أو يعمّ سائر المعاوضات ؟ فيه تردّد ، والأحوط اشتراط أداء الخمس عليه في عقد المعاوضة ، فإنّه لا بأس باشتراط أدائه إلى أهله في مورد 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يصحّ اشتراط سقوطه في مورد ثبوته ، فلو اشترط الذمّي في ضمن عقد المبايعة مع المسلم عدم الخمس لم يصحّ ، وكذا لو اشترط كونه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أن يعطي مقداره عنه صحّ على إشكال</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باعها من ذمّي آخر أو مسلم ولو الأصلي ، بل ولو ردّها إلى البائع المسلم بإقالة أو خيار</w:t>
      </w:r>
      <w:r>
        <w:rPr>
          <w:rStyle w:val="FootnoteAnchor"/>
          <w:rtl w:val="true"/>
        </w:rPr>
        <w:footnoteReference w:id="997"/>
      </w:r>
      <w:r>
        <w:rPr>
          <w:rFonts w:ascii="Amiri" w:hAnsi="Amiri" w:eastAsia="Amiri" w:cs="Amiri"/>
          <w:color w:val="111111"/>
          <w:sz w:val="28"/>
          <w:sz w:val="28"/>
          <w:szCs w:val="28"/>
          <w:rtl w:val="true"/>
          <w:lang w:bidi="ar-SA"/>
        </w:rPr>
        <w:t xml:space="preserve">لم يسقط عنه الخمس بذلك ، كما أ نّه لا يسقط عنه لو أسلم بعد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 هذا الخمس مصرف غيره على الأصحّ ، نعم لا نصاب له ولا نيّة حتّى على الحاكم لا حين الأخذ ولا حين الدفع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يتعلّق الخمس برقبة الأرض ، ويتخيّر الذمّي بين دفع الخمس من عينها أو قيمتها</w:t>
      </w:r>
      <w:r>
        <w:rPr>
          <w:rStyle w:val="FootnoteAnchor"/>
          <w:rtl w:val="true"/>
        </w:rPr>
        <w:footnoteReference w:id="998"/>
      </w:r>
      <w:r>
        <w:rPr>
          <w:rFonts w:ascii="Amiri" w:hAnsi="Amiri" w:eastAsia="Amiri" w:cs="Amiri"/>
          <w:color w:val="111111"/>
          <w:sz w:val="28"/>
          <w:sz w:val="28"/>
          <w:szCs w:val="28"/>
          <w:rtl w:val="true"/>
          <w:lang w:bidi="ar-SA"/>
        </w:rPr>
        <w:t xml:space="preserve">، ولو كانت مشغولة بالغرس أو البناء ليس لوليّ الخمس قلعه وإن كان عليه اُجرة مقدار الخمس لو لم يدفع القيمة وبقيت الأرض متعلّقة للخمس ، ولو أراد دفع القيمة في الأرض المشغولة بالزرع أو الغرس أو البناء تقوّم بوصف كونها مشغولة بها مع الاُجرة فيؤخذ خمسها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الذمّي الأرض المفتوحة عنوة ، فإن بيعت بنفسها في مقام صحّ بيعها كذلك ، كما لو باعها وليّ المسلمين في مصالحهم ، أو باعها أهل الخمس من سهمهم الذي وصل إليهم ، فلا إشكال في وجوب الخمس عليه ، وأمّا </w:t>
      </w:r>
    </w:p>
    <w:p>
      <w:pPr>
        <w:pStyle w:val="BookText"/>
        <w:rPr/>
      </w:pPr>
      <w:r>
        <w:rPr>
          <w:rFonts w:ascii="Amiri" w:hAnsi="Amiri" w:eastAsia="Amiri" w:cs="Amiri"/>
          <w:color w:val="111111"/>
          <w:sz w:val="28"/>
          <w:sz w:val="28"/>
          <w:szCs w:val="28"/>
          <w:rtl w:val="true"/>
          <w:lang w:bidi="ar-SA"/>
        </w:rPr>
        <w:t>إذا بيعت تبعاً للآثار فيما كانت فيها آثار من غرس أو بناء ففيه إشكال ، وأشكل منه فيما إذا انتقلت إليه الأرض الزراعية بالشراء من المسلم المتقبّل من الحكومة الذي مرجعه إلى تملّك حقّ الاختصاص الذي كان للمتقبّل ، والأحوط في الصورتين</w:t>
      </w:r>
      <w:r>
        <w:rPr>
          <w:rStyle w:val="FootnoteAnchor"/>
          <w:rtl w:val="true"/>
        </w:rPr>
        <w:footnoteReference w:id="999"/>
      </w:r>
      <w:r>
        <w:rPr>
          <w:rFonts w:ascii="Amiri" w:hAnsi="Amiri" w:eastAsia="Amiri" w:cs="Amiri"/>
          <w:color w:val="111111"/>
          <w:sz w:val="28"/>
          <w:sz w:val="28"/>
          <w:szCs w:val="28"/>
          <w:rtl w:val="true"/>
          <w:lang w:bidi="ar-SA"/>
        </w:rPr>
        <w:t xml:space="preserve">اشتراط دفع الخمس إلى أهله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الذمّي من وليّ الخمس ، الخمس الذي وجب عليه</w:t>
      </w:r>
      <w:r>
        <w:rPr>
          <w:rStyle w:val="FootnoteAnchor"/>
          <w:rtl w:val="true"/>
        </w:rPr>
        <w:footnoteReference w:id="1000"/>
      </w:r>
      <w:r>
        <w:rPr>
          <w:rFonts w:ascii="Amiri" w:hAnsi="Amiri" w:eastAsia="Amiri" w:cs="Amiri"/>
          <w:color w:val="111111"/>
          <w:sz w:val="28"/>
          <w:sz w:val="28"/>
          <w:szCs w:val="28"/>
          <w:rtl w:val="true"/>
          <w:lang w:bidi="ar-SA"/>
        </w:rPr>
        <w:t xml:space="preserve">بالشراء ، وجب عليه خمس ذلك الخمس الذي اشتراه وهكذا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مع عدم تميّز صاحبه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عدد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العلم بقدره كذلك أيضاً ، فإنّه يخرج منه الخمس حينئذٍ ، أمّا لو علم قدر المال فإن علم صاحبه أيضاً دفعه إليه ولا خمس ، بل لو علمه في عدد محصور فالأحوط التخلّص منهم جميعهم ، فإن لم يمكن ؛ ففي استخراج المالك بالقرعة ، أو توزيع المال عليهم بالسويّة ، أو الرجوع إلى حكم مجهول المالك وجوه ؛ خيرها أوسطها</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صاحبه أو كان في عدد غير محصور تصدّق بالمال على من شاء</w:t>
      </w:r>
      <w:r>
        <w:rPr>
          <w:rStyle w:val="FootnoteAnchor"/>
          <w:rtl w:val="true"/>
        </w:rPr>
        <w:footnoteReference w:id="1002"/>
      </w:r>
      <w:r>
        <w:rPr>
          <w:rFonts w:ascii="Amiri" w:hAnsi="Amiri" w:eastAsia="Amiri" w:cs="Amiri"/>
          <w:color w:val="111111"/>
          <w:sz w:val="28"/>
          <w:sz w:val="28"/>
          <w:szCs w:val="28"/>
          <w:rtl w:val="true"/>
          <w:lang w:bidi="ar-SA"/>
        </w:rPr>
        <w:t xml:space="preserve">ما لم يظنّه بالخصوص ، وإلاّ فلا يترك الاحتياط حينئذٍ بالتصدّق به عليه إذا كان محلاًّ لذلك ، نعم لا يجدي ظنّه بالخصوص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المالك وجهل المقدار تخلّص منه بالصلح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ومصرف هذا الخمس كمصرف غيره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أنّ مقدار الحرام أزيد من الخمس وإن لم يعلم مقداره ، فالظاهر كفاية إخراج الخمس في تحليل المال وتطهيره ، إلاّ أنّ الأحوط</w:t>
      </w:r>
      <w:r>
        <w:rPr>
          <w:rStyle w:val="FootnoteAnchor"/>
          <w:rtl w:val="true"/>
        </w:rPr>
        <w:footnoteReference w:id="1003"/>
      </w:r>
      <w:r>
        <w:rPr>
          <w:rFonts w:ascii="Amiri" w:hAnsi="Amiri" w:eastAsia="Amiri" w:cs="Amiri"/>
          <w:color w:val="111111"/>
          <w:sz w:val="28"/>
          <w:sz w:val="28"/>
          <w:szCs w:val="28"/>
          <w:rtl w:val="true"/>
          <w:lang w:bidi="ar-SA"/>
        </w:rPr>
        <w:t xml:space="preserve">مع إخراج الخمس المصالحة عن الحرام مع الحاكم الشرعي بما يرتفع به اليقين بالاشتغال وإجراء حكم مجهول المالك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حقّ الغير في ذمّته لا في عين ماله لا محلّ للخمس ، بل حينئذٍ إذا علم مقداره ولم يعلم صاحبه حتّى في عدد محصور تصدّق بذلك المقدار عن صاحبه بإذن الحاكم الشرعي أو 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صاحبه في عدد محصور ففيه الوجوه السابقة ؛ من القرعة أو التوزيع أو إجراء حكم مجهول المالك عليه ، وخيرها أوسطها كما مرّ</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يعلم مقداره وتردّد بين الأقلّ والأكثر أخذ بالأقلّ ودفعه إلى مالكه لو كان معلوماً بعينه ، وإن كان مردّداً بين محصور فحكمه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مجهولاً أو معلوماً في غير المحصور تصدّق به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حينئذٍ المصالحة مع الحاكم بمقدار متوسّط بين الأقلّ والأكثر فيعامل مع ذلك المقدار معاملة معلوم المقدار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الحرام المختلط بالحلال من الخمس أو الزكاة أو الوقف الخاصّ أو العامّ ، فهو كمعلوم المالك ، فلا يجزيه إخراج الخمس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الحلال الذي في المختلط ممّا تعلّق به الخمس وجب </w:t>
      </w:r>
    </w:p>
    <w:p>
      <w:pPr>
        <w:pStyle w:val="BookText"/>
        <w:rPr/>
      </w:pPr>
      <w:r>
        <w:rPr>
          <w:rFonts w:ascii="Amiri" w:hAnsi="Amiri" w:eastAsia="Amiri" w:cs="Amiri"/>
          <w:color w:val="111111"/>
          <w:sz w:val="28"/>
          <w:sz w:val="28"/>
          <w:szCs w:val="28"/>
          <w:rtl w:val="true"/>
          <w:lang w:bidi="ar-SA"/>
        </w:rPr>
        <w:t>عليه بعد تخميس التحليل خمس آخر</w:t>
      </w:r>
      <w:r>
        <w:rPr>
          <w:rStyle w:val="FootnoteAnchor"/>
          <w:rtl w:val="true"/>
        </w:rPr>
        <w:footnoteReference w:id="1005"/>
      </w:r>
      <w:r>
        <w:rPr>
          <w:rFonts w:ascii="Amiri" w:hAnsi="Amiri" w:eastAsia="Amiri" w:cs="Amiri"/>
          <w:color w:val="111111"/>
          <w:sz w:val="28"/>
          <w:sz w:val="28"/>
          <w:szCs w:val="28"/>
          <w:rtl w:val="true"/>
          <w:lang w:bidi="ar-SA"/>
        </w:rPr>
        <w:t xml:space="preserve">للمال الحلال الذي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تبيّن المالك بعد إخراج الخمس ضمنه ، فعليه غرامته له على الأحوط لو لم يكن الأقوى</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بعد إخراج الخمس أنّ الحرام أقلّ منه لا يستردّ الزائد ، وأمّا لو علم أ نّه أزيد منه فالأحوط</w:t>
      </w:r>
      <w:r>
        <w:rPr>
          <w:rStyle w:val="FootnoteAnchor"/>
          <w:rtl w:val="true"/>
        </w:rPr>
        <w:footnoteReference w:id="1007"/>
      </w:r>
      <w:r>
        <w:rPr>
          <w:rFonts w:ascii="IRNazanin" w:hAnsi="IRNazanin" w:eastAsia="IRNazanin"/>
          <w:color w:val="111111"/>
          <w:sz w:val="28"/>
          <w:sz w:val="28"/>
          <w:szCs w:val="28"/>
          <w:rtl w:val="true"/>
          <w:lang w:bidi="fa-IR"/>
        </w:rPr>
        <w:t xml:space="preserve">التصدّق بالزائد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تصرّف في المال المختلط بالحرام بالإتلاف قبل إخراج الخمس صار الحرام في ذمّته ، والظاهر سقوط الخمس ، فيجري عليه حكم ردّ المظالم ؛ وهو وجوب التصدّق</w:t>
      </w:r>
      <w:r>
        <w:rPr>
          <w:rStyle w:val="FootnoteAnchor"/>
          <w:rtl w:val="true"/>
        </w:rPr>
        <w:footnoteReference w:id="1008"/>
      </w:r>
      <w:r>
        <w:rPr>
          <w:rFonts w:ascii="Amiri" w:hAnsi="Amiri" w:eastAsia="Amiri" w:cs="Amiri"/>
          <w:color w:val="111111"/>
          <w:sz w:val="28"/>
          <w:sz w:val="28"/>
          <w:szCs w:val="28"/>
          <w:rtl w:val="true"/>
          <w:lang w:bidi="ar-SA"/>
        </w:rPr>
        <w:t xml:space="preserve">، والأحوط دفع مقدار الخمس إلى الهاشمي بقصد ما في الذمّة بإذن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تصرّف فيه بمثل البيع يكون فضولياً بالنسبة إلى الحرام المجهول المقدار ، فإن أمضاه الحاكم يصير العوض إن كان مقبوضاً متعلّقاً للخمس ؛ لصيرورته من المختلط بالحرام الذي لا يعلم مقداره ولم يعرف صاحبه ، ويكون المعوّض بتمامه ملكاً للمشتري ، وإن لم يمضه يكون العوض من المختلط بالحرام الذي جهل مقداره وعلم صاحبه فيجري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المعوّض فهو باقٍ على حكمه السابق فيجب تخميسه ، ولوليّ الخمس الرجوع إلى البائع كما له الرجوع إلى المشتري ، فإن كان البائع أدّى </w:t>
      </w:r>
      <w:bookmarkStart w:id="492" w:name="pg15003_159987"/>
    </w:p>
    <w:p>
      <w:pPr>
        <w:pStyle w:val="BookText"/>
        <w:rPr/>
      </w:pPr>
      <w:bookmarkEnd w:id="492"/>
      <w:r>
        <w:rPr>
          <w:rFonts w:ascii="Amiri" w:hAnsi="Amiri" w:eastAsia="Amiri" w:cs="Amiri"/>
          <w:color w:val="111111"/>
          <w:sz w:val="28"/>
          <w:sz w:val="28"/>
          <w:szCs w:val="28"/>
          <w:rtl w:val="true"/>
          <w:lang w:bidi="ar-SA"/>
        </w:rPr>
        <w:t>خمسه صحّ البيع</w:t>
      </w:r>
      <w:r>
        <w:rPr>
          <w:rStyle w:val="FootnoteAnchor"/>
          <w:rtl w:val="true"/>
        </w:rPr>
        <w:footnoteReference w:id="1009"/>
      </w:r>
      <w:r>
        <w:rPr>
          <w:rFonts w:ascii="Amiri" w:hAnsi="Amiri" w:eastAsia="Amiri" w:cs="Amiri"/>
          <w:color w:val="111111"/>
          <w:sz w:val="28"/>
          <w:sz w:val="28"/>
          <w:szCs w:val="28"/>
          <w:rtl w:val="true"/>
          <w:lang w:bidi="ar-SA"/>
        </w:rPr>
        <w:t xml:space="preserve">وكان تمام الثمن له وتمام المبيع للمشتري ، وكذا إن أدّاه المشتري من الخارج ، لكنّه حينئذٍ يرجع إلى البائع بالخمس الذي أدّاه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أدّى من العين فالظاهر بقاء الأربعة أخماس من المبيع له ، ويرجع إلى البائع بخمس الثمن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487929_3406789950"/>
      <w:bookmarkStart w:id="494" w:name="_Toc179"/>
      <w:bookmarkEnd w:id="493"/>
      <w:r>
        <w:rPr>
          <w:rtl w:val="true"/>
        </w:rPr>
        <w:t xml:space="preserve">القول </w:t>
      </w:r>
      <w:r>
        <w:rPr>
          <w:rtl w:val="true"/>
        </w:rPr>
        <w:t xml:space="preserve">: </w:t>
      </w:r>
      <w:r>
        <w:rPr>
          <w:rtl w:val="true"/>
        </w:rPr>
        <w:t>في قسمته ومستحقّه</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يقسّم الخمس ستّة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للنبي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وسهم للإمام علیه السلام ، وهذه الثلاثة الآن لصاحب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وعجّل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للأيتام والمساكين وأبناء السبيل ممّن انتسب بالأب إلى عبد المطّلب ، فلو انتسب إليه بالاُمّ لم يحلّ له الخمس وحلّت له الصدقة على الأصحّ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الإيمان أو ما في حكمه في جميع مستحقّي الخمس ، ولا تعتبر العدالة على الأصحّ ، وإن كان الأولى ملاحظة الرجحان في الأفراد ، سيّما المتجاهر</w:t>
      </w:r>
      <w:r>
        <w:rPr>
          <w:rStyle w:val="FootnoteAnchor"/>
          <w:rtl w:val="true"/>
        </w:rPr>
        <w:footnoteReference w:id="1010"/>
      </w:r>
      <w:r>
        <w:rPr>
          <w:rFonts w:ascii="Amiri" w:hAnsi="Amiri" w:eastAsia="Amiri" w:cs="Amiri"/>
          <w:color w:val="111111"/>
          <w:sz w:val="28"/>
          <w:sz w:val="28"/>
          <w:szCs w:val="28"/>
          <w:rtl w:val="true"/>
          <w:lang w:bidi="ar-SA"/>
        </w:rPr>
        <w:t xml:space="preserve">بارتكاب الكبائر فإنّه لا ينبغي الدفع إليه منه ، بل يقوى عدم الجواز إذا كان في الدفع إعانة على الإثم والعدوان وإغراء بالقبيح وفي المنع ردع عنه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اعتبار الفقر في اليتامى ، أمّا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 سفر </w:t>
      </w:r>
    </w:p>
    <w:p>
      <w:pPr>
        <w:pStyle w:val="BookText"/>
        <w:rPr/>
      </w:pPr>
      <w:r>
        <w:rPr>
          <w:rFonts w:ascii="Amiri" w:hAnsi="Amiri" w:eastAsia="Amiri" w:cs="Amiri"/>
          <w:color w:val="111111"/>
          <w:sz w:val="28"/>
          <w:sz w:val="28"/>
          <w:szCs w:val="28"/>
          <w:rtl w:val="true"/>
          <w:lang w:bidi="ar-SA"/>
        </w:rPr>
        <w:t xml:space="preserve">طاعة أو غير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فيه الفقر في بلده ، نعم يعتبر الحاجة في بلد التسليم وإن كان غنيّاً في بلده ، كما عرفته في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دفع من عليه الخمس لمن تجب نفقته عليه سيّما لزوجته إذا كان للنفقة ، أمّا دفعه إليهم لغير ذلك ممّا يحتاجون إليه ولم يكن واجباً عليه كالدواء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ونفقة من يعولون به فلا بأس ، كما لا بأس بدفع خمس غيره إليهم ولو للإنفاق ، حتّى الزوجة المعسر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مدّعي السيادة بمجرّد دعواه ، نعم يكفي في ثبوتها كونه معروفاً ومشتهراً بها في بلده من دون نكير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الاحتيال في الدفع إلى المجهول الحال بعد إحراز عدالته بالدفع إليه بعنوان التوكيل في الإيصال إلى مستحقّه أيّ شخص كان حتّى الآخذ ، ولكن الأولى عدم إعمال هذا الاحتيال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دفع الخمس إلى المستحقّ أزيد من مؤونة سنة ولو دفعة ، كما أنّ الأحوط للمستحقّ عدم أخذه وإن جاز ذلك في الزكاة دفعة كما مرّ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من الخمس الذي للأصناف الثلاثة أمره بيد المالك فيجوز له دفعه إليهم بنفسه من دون مراجعة المجتهد ، وإن كان الأولى بل الأحوط</w:t>
      </w:r>
      <w:r>
        <w:rPr>
          <w:rStyle w:val="FootnoteAnchor"/>
          <w:rtl w:val="true"/>
        </w:rPr>
        <w:footnoteReference w:id="1012"/>
      </w:r>
      <w:r>
        <w:rPr>
          <w:rFonts w:ascii="IRNazanin" w:hAnsi="IRNazanin" w:eastAsia="IRNazanin"/>
          <w:color w:val="111111"/>
          <w:sz w:val="28"/>
          <w:sz w:val="28"/>
          <w:szCs w:val="28"/>
          <w:rtl w:val="true"/>
          <w:lang w:bidi="fa-IR"/>
        </w:rPr>
        <w:t xml:space="preserve">إيصاله إليه أو الصرف بإذنه ، وأمّا النصف الذي للإمام علیه السلام فأمره راجع إلى </w:t>
      </w:r>
    </w:p>
    <w:p>
      <w:pPr>
        <w:pStyle w:val="BookText"/>
        <w:rPr/>
      </w:pPr>
      <w:r>
        <w:rPr>
          <w:rFonts w:ascii="Amiri" w:hAnsi="Amiri" w:eastAsia="Amiri" w:cs="Amiri"/>
          <w:color w:val="111111"/>
          <w:sz w:val="28"/>
          <w:sz w:val="28"/>
          <w:szCs w:val="28"/>
          <w:rtl w:val="true"/>
          <w:lang w:bidi="ar-SA"/>
        </w:rPr>
        <w:t xml:space="preserve">المجتهد الجامع للشرائط، فلا بدّ من الإيصال إليه حتّى يصرفه فيما يكون مصرفه بحسب فتواه ، أو الصرف بإذنه فيما عيّن له من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دفعه إلى غير من يقلّده إلاّ إذا كان المصرف عنده هو المصرف</w:t>
      </w:r>
      <w:r>
        <w:rPr>
          <w:rStyle w:val="FootnoteAnchor"/>
          <w:rtl w:val="true"/>
        </w:rPr>
        <w:footnoteReference w:id="1013"/>
      </w:r>
      <w:r>
        <w:rPr>
          <w:rFonts w:ascii="Amiri" w:hAnsi="Amiri" w:eastAsia="Amiri" w:cs="Amiri"/>
          <w:color w:val="111111"/>
          <w:sz w:val="28"/>
          <w:sz w:val="28"/>
          <w:szCs w:val="28"/>
          <w:rtl w:val="true"/>
          <w:lang w:bidi="ar-SA"/>
        </w:rPr>
        <w:t xml:space="preserve">عند مجتهده كمّاً وكيفاً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نقل الخمس إلى بلد آخر ، بل ربّما يترجّح عند وجود بعض المرجّحات حتّى مع وجود المستحقّ في البلد ، وإن ضمن له حينئذٍ لو تلف في الطريق ، بخلاف ما إذا لم يوجد فيه المستحقّ فإنّه لا ضمان عليه ، وكذا لو كان النقل بإذن المجتهد وأمره فإنّه لا ضمان عليه حتّى مع وجود المستحقّ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وجب النقل لو لم يوجد المستحقّ فعلاً ولم يتوقّع وجوده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النقل لو كان له مال في بلد آخر فدفعه إلى المستحقّ عوضاً عمّا عليه في بلده أو كان له دين على من في بلد آخر فاحتسبه ، بل وكذا لو نقل قدر الخمس من ماله إلى بلد آخر فدفعه عوضاً</w:t>
      </w:r>
      <w:r>
        <w:rPr>
          <w:rStyle w:val="FootnoteAnchor"/>
          <w:rtl w:val="true"/>
        </w:rPr>
        <w:footnoteReference w:id="1014"/>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المجتهد الجامع للشرائط في غير بلده يتعيّن نقل حصّة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أو الاستئذان منه في صرفها في بلده ، بل الأقوى جواز ذلك لو وجد المجتهد في بلده أيضاً</w:t>
      </w:r>
      <w:r>
        <w:rPr>
          <w:rStyle w:val="FootnoteAnchor"/>
          <w:rtl w:val="true"/>
        </w:rPr>
        <w:footnoteReference w:id="1015"/>
      </w:r>
      <w:r>
        <w:rPr>
          <w:rFonts w:ascii="Amiri" w:hAnsi="Amiri" w:eastAsia="Amiri" w:cs="Amiri"/>
          <w:color w:val="111111"/>
          <w:sz w:val="28"/>
          <w:sz w:val="28"/>
          <w:szCs w:val="28"/>
          <w:rtl w:val="true"/>
          <w:lang w:bidi="ar-SA"/>
        </w:rPr>
        <w:t xml:space="preserve">، بل الأولى والأحوط النقل إذا كان من في بلد آخر أفضل أو كان هناك بعض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المجتهد الذي في بلد آخر من يقلّده يتعيّن</w:t>
      </w:r>
      <w:r>
        <w:rPr>
          <w:rStyle w:val="FootnoteAnchor"/>
          <w:rtl w:val="true"/>
        </w:rPr>
        <w:footnoteReference w:id="1016"/>
      </w:r>
      <w:r>
        <w:rPr>
          <w:rFonts w:ascii="Amiri" w:hAnsi="Amiri" w:eastAsia="Amiri" w:cs="Amiri"/>
          <w:color w:val="111111"/>
          <w:sz w:val="28"/>
          <w:sz w:val="28"/>
          <w:szCs w:val="28"/>
          <w:rtl w:val="true"/>
          <w:lang w:bidi="ar-SA"/>
        </w:rPr>
        <w:t xml:space="preserve">النقل إليه إلاّ إذا أذن في صرفه في البلد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أن يدفع الخمس من مال آخر وإن كان عروضاً ، ولا يعتبر</w:t>
      </w:r>
      <w:r>
        <w:rPr>
          <w:rStyle w:val="FootnoteAnchor"/>
          <w:rtl w:val="true"/>
        </w:rPr>
        <w:footnoteReference w:id="1017"/>
      </w:r>
      <w:r>
        <w:rPr>
          <w:rFonts w:ascii="IRNazanin" w:hAnsi="IRNazanin" w:eastAsia="IRNazanin"/>
          <w:color w:val="111111"/>
          <w:sz w:val="28"/>
          <w:sz w:val="28"/>
          <w:szCs w:val="28"/>
          <w:rtl w:val="true"/>
          <w:lang w:bidi="fa-IR"/>
        </w:rPr>
        <w:t xml:space="preserve">رضا المستحقّ أو المجتهد بالنسبة إلى حقّ الإمام علیه السلام ، لكن يجب أن يكون بقيمته الواقعية ، فلو حسب العروض بأزيد من قيمتها لم تبرأ ذمّته وإن رضي به المستحقّ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في ذمّة المستحقّ دين جاز</w:t>
      </w:r>
      <w:r>
        <w:rPr>
          <w:rStyle w:val="FootnoteAnchor"/>
          <w:rtl w:val="true"/>
        </w:rPr>
        <w:footnoteReference w:id="1018"/>
      </w:r>
      <w:r>
        <w:rPr>
          <w:rFonts w:ascii="IRNazanin" w:hAnsi="IRNazanin" w:eastAsia="IRNazanin"/>
          <w:color w:val="111111"/>
          <w:sz w:val="28"/>
          <w:sz w:val="28"/>
          <w:szCs w:val="28"/>
          <w:rtl w:val="true"/>
          <w:lang w:bidi="fa-IR"/>
        </w:rPr>
        <w:t xml:space="preserve">له احتسابه خمساً ، وفي حقّ الإمام علیه السلام موكول إلى نظر المجتهد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للمستحقّ أن يأخذ من باب الخمس ويردّه على المالك إلاّ في بعض الأحوال ، كما إذا كان عليه مبلغ كثير ولم يقدر على أدائه بأن صار معسراً</w:t>
      </w:r>
      <w:r>
        <w:rPr>
          <w:rStyle w:val="FootnoteAnchor"/>
          <w:rtl w:val="true"/>
        </w:rPr>
        <w:footnoteReference w:id="1019"/>
      </w:r>
      <w:r>
        <w:rPr>
          <w:rFonts w:ascii="Amiri" w:hAnsi="Amiri" w:eastAsia="Amiri" w:cs="Amiri"/>
          <w:color w:val="111111"/>
          <w:sz w:val="28"/>
          <w:sz w:val="28"/>
          <w:szCs w:val="28"/>
          <w:rtl w:val="true"/>
          <w:lang w:bidi="ar-SA"/>
        </w:rPr>
        <w:t xml:space="preserve">وأراد تفريغ الذمّة فحينئذٍ لا مانع من أن يحتال بذلك لتفريغ ذمّته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انتقل إلى شخص مال فيه الخمس ممّن لا يعتقد وجوبه كالكفّار والمخالفين ، لم يجب عليه إخراجه ويحلّ له الجميع ، فإنّ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أباحوا لشيعتهم ذلك ؛ سواء كان من ربح تجارة أو معدن أو غير ذلك ، وسواء كان من المناكح والمساكن والمتاجر أو غيرها ، كما أ نّهم أباحوا للشيعة في أزمنة عدم بسط أيديهم تقبّل الأراضي الخراجية من يد الجائر والمقاسمة معه وعطاياه</w:t>
      </w:r>
      <w:r>
        <w:rPr>
          <w:rStyle w:val="FootnoteAnchor"/>
          <w:rtl w:val="true"/>
        </w:rPr>
        <w:footnoteReference w:id="1020"/>
      </w:r>
      <w:r>
        <w:rPr>
          <w:rFonts w:ascii="Amiri" w:hAnsi="Amiri" w:eastAsia="Amiri" w:cs="Amiri"/>
          <w:color w:val="111111"/>
          <w:sz w:val="28"/>
          <w:sz w:val="28"/>
          <w:szCs w:val="28"/>
          <w:rtl w:val="true"/>
          <w:lang w:bidi="ar-SA"/>
        </w:rPr>
        <w:t xml:space="preserve">وأخذ الخراج منه وغير ذلك ممّا يصل إليهم منه ومن </w:t>
      </w:r>
      <w:bookmarkStart w:id="495" w:name="pg15003_159991"/>
    </w:p>
    <w:p>
      <w:pPr>
        <w:pStyle w:val="BookText"/>
        <w:rPr/>
      </w:pPr>
      <w:bookmarkEnd w:id="495"/>
      <w:r>
        <w:rPr>
          <w:rFonts w:ascii="Amiri" w:hAnsi="Amiri" w:eastAsia="Amiri" w:cs="Amiri"/>
          <w:color w:val="111111"/>
          <w:sz w:val="28"/>
          <w:sz w:val="28"/>
          <w:szCs w:val="28"/>
          <w:rtl w:val="true"/>
          <w:lang w:bidi="ar-SA"/>
        </w:rPr>
        <w:t xml:space="preserve">أتباعه ، وبالجملة نزّلوا الجائر منزلتهم وأمضوا أفعالهم بالنسبة إلى ما يكون محلّ الابتلاء للشيعة صوناً لهم عن الوقوع في الحرام والعسر والحرج </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87931_3406789950"/>
      <w:bookmarkStart w:id="497" w:name="_Toc180"/>
      <w:bookmarkEnd w:id="496"/>
      <w:r>
        <w:rPr>
          <w:rtl w:val="true"/>
        </w:rPr>
        <w:t xml:space="preserve">القول </w:t>
      </w:r>
      <w:r>
        <w:rPr>
          <w:rtl w:val="true"/>
        </w:rPr>
        <w:t xml:space="preserve">: </w:t>
      </w:r>
      <w:r>
        <w:rPr>
          <w:rtl w:val="true"/>
        </w:rPr>
        <w:t>في الأنفال</w:t>
      </w:r>
      <w:bookmarkEnd w:id="497"/>
    </w:p>
    <w:p>
      <w:pPr>
        <w:pStyle w:val="BookText"/>
        <w:rPr/>
      </w:pPr>
      <w:r>
        <w:rPr>
          <w:rFonts w:ascii="IRNazanin" w:hAnsi="IRNazanin" w:eastAsia="IRNazanin"/>
          <w:color w:val="111111"/>
          <w:sz w:val="28"/>
          <w:sz w:val="28"/>
          <w:szCs w:val="28"/>
          <w:rtl w:val="true"/>
          <w:lang w:bidi="fa-IR"/>
        </w:rPr>
        <w:t xml:space="preserve">وهي ما يستحقّه الإمام علیه السلام على جهة الخصوص لمنصب إمامته كما كان للنبي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لمنصب نبوّته ورياسته الإلهية ، وهي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w:t>
      </w:r>
      <w:r>
        <w:rPr>
          <w:rStyle w:val="FootnoteAnchor"/>
          <w:rtl w:val="true"/>
        </w:rPr>
        <w:footnoteReference w:id="1021"/>
      </w:r>
      <w:r>
        <w:rPr>
          <w:rFonts w:ascii="Amiri" w:hAnsi="Amiri" w:eastAsia="Amiri" w:cs="Amiri"/>
          <w:color w:val="111111"/>
          <w:sz w:val="28"/>
          <w:sz w:val="28"/>
          <w:szCs w:val="28"/>
          <w:rtl w:val="true"/>
          <w:lang w:bidi="ar-SA"/>
        </w:rPr>
        <w:t xml:space="preserve">لم يوجف عليها بخيل ولا ركاب ؛ سواء انجلى عنها أهلها أو أسلموها للمسلمين 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التي لا ينتفع بها إلاّ بتعميرها وإصلاحها لاستيجامها أو لانقطاع الماء عنها ، أو لاستيلائه عليها أو لغير ذلك ؛ سواء لم يجر عليها ملك لأحد كالمفاوز أو جرى ولكن قد باد ولم يعلم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القرى التي قد جلا أهلها فخربت كبابل والكوفة ونحوهما ، فهي من الأنفال بأرضها وآثارها وآجرها وأحجارها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والموات الواقعة في الأرض المفتوحة عنوة كغيرها على الأقوى ، نعم ما علم أ نّها كانت معمورة حال الفتح فعرض لها الموتان بعد ذلك ، ففي كونها من الأنفال أو باقية على ملك المسلمين كالمعمورة فعلاً تردّد وإشكال ، لا يخلو ثانيهما عن رجحان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البحار وشطوط الأنهار ، بل كلّ أرض لا ربّ لها</w:t>
      </w:r>
      <w:r>
        <w:rPr>
          <w:rStyle w:val="FootnoteAnchor"/>
          <w:rtl w:val="true"/>
        </w:rPr>
        <w:footnoteReference w:id="1022"/>
      </w:r>
      <w:r>
        <w:rPr>
          <w:rFonts w:ascii="Amiri" w:hAnsi="Amiri" w:eastAsia="Amiri" w:cs="Amiri"/>
          <w:color w:val="111111"/>
          <w:sz w:val="28"/>
          <w:sz w:val="28"/>
          <w:szCs w:val="28"/>
          <w:rtl w:val="true"/>
          <w:lang w:bidi="ar-SA"/>
        </w:rPr>
        <w:t xml:space="preserve">، وإن لم تكن مواتاً بل كانت قابلة للانتفاع بها من غير كلفة كالجزيرة التي تخرج في دجلة والفرات ونحوهما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الجبال وما يكون بها من النبات والأشجار والأحجار ونحوها ، وبطون الأودية ، والآجام ؛ وهي الأراضي الملتفّة بالقصب أو المملوءة من سائر الأشجار ، من غير فرق في هذه الثلاثة بين ما كان في أرض الإمام علیه السلام أو الأرض المفتوحة عنوة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كان ملكاً لأحد ثمّ صار أجمة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باقٍ على ما 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للملوك من قطائع وصفايا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الغنيمة كفرس جواد ، وثوب مرتفع ، وجارية حسناء ، وسيف قاطع ، ودرع فاخر ، ونحو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التي ليست بإذن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من لا وارث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التي لم تكن لمالك خاصّ تبعاً للأرض أو بالإحياء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إباحة جميع الأنفال للشيعة في زمن الغيبة على وجه يجري عليها حكم الملك ؛ من غير فرق بين الغنيّ منهم والفقير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w:t>
      </w:r>
      <w:r>
        <w:rPr>
          <w:rStyle w:val="FootnoteAnchor"/>
          <w:rtl w:val="true"/>
        </w:rPr>
        <w:footnoteReference w:id="1023"/>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الفقر في إرث من لا وارث له ، بل الأحوط تقسيمه في فقراء بلده ، وأحوط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إيصاله إلى نائب الغيبة ، كما أنّ الأقوى حصول الملك لغير الشيعي أيضاً بحيازة ما في الأنفال من العشب والحشيش والحطب وغيرها بل وحصول الملك لهم أيضاً للموات بسبب الإحياء كالشيعي </w:t>
      </w:r>
      <w:r>
        <w:rPr>
          <w:rFonts w:eastAsia="Amiri" w:cs="Amiri" w:ascii="Amiri" w:hAnsi="Amiri"/>
          <w:color w:val="111111"/>
          <w:sz w:val="28"/>
          <w:szCs w:val="28"/>
          <w:rtl w:val="true"/>
          <w:lang w:bidi="ar-SA"/>
        </w:rPr>
        <w:t xml:space="preserve">. </w:t>
      </w:r>
      <w:bookmarkStart w:id="498" w:name="pg15003_159993"/>
    </w:p>
    <w:p>
      <w:pPr>
        <w:pStyle w:val="Heading2"/>
        <w:numPr>
          <w:ilvl w:val="1"/>
          <w:numId w:val="1"/>
        </w:numPr>
        <w:rPr/>
      </w:pPr>
      <w:bookmarkStart w:id="499" w:name="__RefHeading___Toc487933_3406789950"/>
      <w:bookmarkStart w:id="500" w:name="_Toc181"/>
      <w:bookmarkEnd w:id="498"/>
      <w:bookmarkEnd w:id="499"/>
      <w:r>
        <w:rPr>
          <w:rtl w:val="true"/>
        </w:rPr>
        <w:t>كتاب المكاسب والمتاجر</w:t>
      </w:r>
      <w:bookmarkEnd w:id="500"/>
    </w:p>
    <w:p>
      <w:pPr>
        <w:pStyle w:val="Heading3"/>
        <w:numPr>
          <w:ilvl w:val="2"/>
          <w:numId w:val="1"/>
        </w:numPr>
        <w:rPr/>
      </w:pPr>
      <w:bookmarkStart w:id="501" w:name="__RefHeading___Toc487935_3406789950"/>
      <w:bookmarkStart w:id="502" w:name="_Toc182"/>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وهي أنواع نذكرها ونذكر المسائل المتعلّقة بها في طيّ كتب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487937_3406789950"/>
      <w:bookmarkStart w:id="504" w:name="_Toc183"/>
      <w:bookmarkEnd w:id="503"/>
      <w:r>
        <w:rPr>
          <w:rtl w:val="true"/>
        </w:rPr>
        <w:t xml:space="preserve">مقدّمة تشتمل على مسائل </w:t>
      </w:r>
      <w:r>
        <w:rPr>
          <w:rtl w:val="true"/>
        </w:rPr>
        <w:t>:</w:t>
      </w:r>
      <w:bookmarkEnd w:id="50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التكسّب بالأعيان النجسة بجميع أنواعها</w:t>
      </w:r>
      <w:r>
        <w:rPr>
          <w:rStyle w:val="FootnoteAnchor"/>
          <w:rtl w:val="true"/>
        </w:rPr>
        <w:footnoteReference w:id="1024"/>
      </w:r>
      <w:r>
        <w:rPr>
          <w:rFonts w:ascii="Amiri" w:hAnsi="Amiri" w:eastAsia="Amiri" w:cs="Amiri"/>
          <w:color w:val="111111"/>
          <w:sz w:val="28"/>
          <w:sz w:val="28"/>
          <w:szCs w:val="28"/>
          <w:rtl w:val="true"/>
          <w:lang w:bidi="ar-SA"/>
        </w:rPr>
        <w:t xml:space="preserve">بالبيع والشراء ، وجعلها ثمناً في البيع ، واُجرةً في الإجارة ، وعوضاً للعمل في الجعالة ، بل مطلق المعاوضة عليها ولو بجعلها مهراً ، أو عوضاً في الخلع ، ونحو ذلك ، بل يقوى عدم جواز هبتها والصلح عنها بلا عوض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يدور حرمة بيعها والتكسّب بها مدار عدم المنفعة ، بل يحرم ذلك ولو كانت لها منفعة محلّلة مقصودة كالتسميد في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العصير المغليّ قبل ذهاب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بجميع أقسامه حتّى المرتدّ عن فطرة على الأقوى ، وكلب الصيد ، وربّما يلحق</w:t>
      </w:r>
      <w:r>
        <w:rPr>
          <w:rStyle w:val="FootnoteAnchor"/>
          <w:rtl w:val="true"/>
        </w:rPr>
        <w:footnoteReference w:id="1025"/>
      </w:r>
      <w:r>
        <w:rPr>
          <w:rFonts w:ascii="Amiri" w:hAnsi="Amiri" w:eastAsia="Amiri" w:cs="Amiri"/>
          <w:color w:val="111111"/>
          <w:sz w:val="28"/>
          <w:sz w:val="28"/>
          <w:szCs w:val="28"/>
          <w:rtl w:val="true"/>
          <w:lang w:bidi="ar-SA"/>
        </w:rPr>
        <w:t xml:space="preserve">به كلب الماشية والزرع والبستان والدور أيضاً وفيه تأمّل وإشكال ، نعم لا إشكال في إجارتها وإعارتها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يعامل معها شرعاً معاملة الأموال فلا يجوز الاكتساب بها ، ولا يصحّ جعلها عوضاً أو معوّضاً في المعاوضات ، بل ولا هبتها والصلح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لمن كانت هي في يده وتحت استيلائه حقّ اختصاص متعلّق بها ، ناشئ إمّا من حيازتها ، أو من كون أصلها مالاً له كما إذا مات حيوان له فصار ميتة أو صار عنبه خمراً ، وهذا الحقّ قابل للانتقال إلى الغير بالإرث وغيره ، فيصحّ أن يصالح عنه بلا عوض ، بل بالعوض أيضاً لو جعل مقابلاً لذلك الحقّ لا عوضاً لنفس العين ، لكنّه لا يخلو من إشكال ، بل لا يبعد دخوله في الاكتساب المحظور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بذل له مالاً ليرفع يده ويعرض عنها فيحوزها الباذل سلم من الإشكال ، نظير بذل المال لمن سبق إلى مكان من الأمكنة المشتركة كالمسجد والمدرسة ليرفع يده عنه فيسكنه الباذل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بيع ما لا تحلّه الحياة من أجزاء الميتة ممّا كانت له منفعة محلّلة مقصودة كشعرها وصوفها ، بل ولبنها أيضاً إذا قلنا بطهارته كما مرّ في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بيع الميتة الطاهرة كالسمك الطافي إذا كانت له منفعة ولو من دهنه إشكال ، لا يبعد الجواز ، بل لا يخلو من قوّة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بيع الأرواث الطاهرة إذا كانت لها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الطاهر من الأبوال ، فأمّا بول الإبل فيجوز بيعه بلا إشكال ، وأمّا غيره ففيه إشكال لا يبعد الجواز فيما كان له منفعة محلّلة مقصودة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بيع المتنجّس الذي يقبل التطهير ، وكذا ما لا يقبله ولكن يمكن الانتفاع به مع وصف نجاسته في حال الاختيار ؛ بأن لا تكون منفعته المحلّلة المقصودة في حال الضرورة متوقّفة على طهارته كالدهن المتنجّس الذي يمكن الانتفاع به بالإسراج وطلي السفن والصبغ والطين المتنجّسين والصابون الذي لا يمكن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يقبل التطهير وكان الانتفاع به متوقّفاً على طهارته كالسكنجبين النجس ونحوه فلا يجوز بيعه والمعاوضة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ببيع الترياق المشتمل على لحوم الأفاعي</w:t>
      </w:r>
      <w:r>
        <w:rPr>
          <w:rStyle w:val="FootnoteAnchor"/>
          <w:rtl w:val="true"/>
        </w:rPr>
        <w:footnoteReference w:id="1027"/>
      </w:r>
      <w:r>
        <w:rPr>
          <w:rFonts w:ascii="Amiri" w:hAnsi="Amiri" w:eastAsia="Amiri" w:cs="Amiri"/>
          <w:color w:val="111111"/>
          <w:sz w:val="28"/>
          <w:sz w:val="28"/>
          <w:szCs w:val="28"/>
          <w:rtl w:val="true"/>
          <w:lang w:bidi="ar-SA"/>
        </w:rPr>
        <w:t xml:space="preserve">مع استهلاكها فيه كما هو الغالب ، بل المتعارف ، فجاز استعماله وينتفع به منفعة محلّلة معتدّاً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المشتمل على الخمر فلا يجوز بيعه ؛ لعدم قابليته للتطهير مع عدم حلّية الانتفاع به مع وصف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التداوي به عند الاضطرار ليس عليه المدار ، بل المدار على حلّية الانتفاع بالشيء في حال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الهرّة ويحلّ ثمنها بلا إشكال ، وأمّا غيرها من أنواع السباع فالظاهر جواز بيع ما كان منها ذا منفعة محلّلة مقصودة عند العقلاء ، وكذا الحشرات ، بل المسوخ أيضاً إذا كانت كذلك ، فهذا هو المدار في جميع الأنواع ، فلا إشكال في بيع العلق الذي يمصّ الدم الفاسد ودود القزّ ونحل العسل وإن كانت من الحشرات ، وكذا الفيل الذي ينتفع بظهره وعظمه وإن كان من المسوخ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كلّ ما كان آلةً للحرام بحيث كانت منفعته المقصودة </w:t>
      </w:r>
    </w:p>
    <w:p>
      <w:pPr>
        <w:pStyle w:val="BookText"/>
        <w:rPr/>
      </w:pPr>
      <w:r>
        <w:rPr>
          <w:rFonts w:ascii="Amiri" w:hAnsi="Amiri" w:eastAsia="Amiri" w:cs="Amiri"/>
          <w:color w:val="111111"/>
          <w:sz w:val="28"/>
          <w:sz w:val="28"/>
          <w:szCs w:val="28"/>
          <w:rtl w:val="true"/>
          <w:lang w:bidi="ar-SA"/>
        </w:rPr>
        <w:t xml:space="preserve">منحصرة فيه ؛ مثل آلات اللهو كالعيدان والمزامير والبرابط ونحوها وآلات القمار كالنرد والشطرنج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بيعها وشراؤها يحرم صنعتها والاُجرة عليها ، بل يجب كسرها وتغيير هيئتها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بيع مادّتها من الخشب والصفر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الكسر ، بل قبله أيضاً إذا اشترط</w:t>
      </w:r>
      <w:r>
        <w:rPr>
          <w:rStyle w:val="FootnoteAnchor"/>
          <w:rtl w:val="true"/>
        </w:rPr>
        <w:footnoteReference w:id="1028"/>
      </w:r>
      <w:r>
        <w:rPr>
          <w:rFonts w:ascii="Amiri" w:hAnsi="Amiri" w:eastAsia="Amiri" w:cs="Amiri"/>
          <w:color w:val="111111"/>
          <w:sz w:val="28"/>
          <w:sz w:val="28"/>
          <w:szCs w:val="28"/>
          <w:rtl w:val="true"/>
          <w:lang w:bidi="ar-SA"/>
        </w:rPr>
        <w:t xml:space="preserve">على المشتري كسرها ، وأمّا مع عدم الاشتراط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أواني الذهب والفضّة فحرمة بيعها وعدمها مبنيّان على حرمة اقتنائها والتزيّن بها باقية على صورتها وهيئتها وعدمها ، فعلى الأوّل يحرم بيعها وشراؤها ، بل وصياغتها وأخذ الاُجرة عليها بخلافه على الثاني ، وقد مرّ في أحكام الأواني أنّ أحوطهما الأوّل وأظهرهما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الخارجة والمغشوشة المعمولة لأجل غشّ الناس تحرم المعاملة بها وجعلها عوضاً أو معوّضاً في المعاملات مع جهل من تدفع إليه ، بل مع علمه</w:t>
      </w:r>
      <w:r>
        <w:rPr>
          <w:rStyle w:val="FootnoteAnchor"/>
          <w:rtl w:val="true"/>
        </w:rPr>
        <w:footnoteReference w:id="1029"/>
      </w:r>
      <w:r>
        <w:rPr>
          <w:rFonts w:ascii="Amiri" w:hAnsi="Amiri" w:eastAsia="Amiri" w:cs="Amiri"/>
          <w:color w:val="111111"/>
          <w:sz w:val="28"/>
          <w:sz w:val="28"/>
          <w:szCs w:val="28"/>
          <w:rtl w:val="true"/>
          <w:lang w:bidi="ar-SA"/>
        </w:rPr>
        <w:t xml:space="preserve">واطّلاعه أيضاً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وجوب إتلافها ولو بكسرها دفعاً لمادّة الفساد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العنب أو التمر ليعمل خمراً أو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صنماً أو آلة للّهو أو القمار ونحو ذلك ، وذلك إمّا بذكر صرفه في المحرّم والالتزام به في العقد أو تواطئهما على ذلك ، ولو بأن يقول المشتري لصاحب العنب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منّاً من العنب لأعمله خمراً ، فباعه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تحرم إجارة المساكن ليباع ، أو يحرز فيها الخمر ، أو ليعمل فيها بعض الاُمور المحرّمة وإجارة السفن أو </w:t>
      </w:r>
    </w:p>
    <w:p>
      <w:pPr>
        <w:pStyle w:val="BookText"/>
        <w:rPr/>
      </w:pPr>
      <w:r>
        <w:rPr>
          <w:rFonts w:ascii="Amiri" w:hAnsi="Amiri" w:eastAsia="Amiri" w:cs="Amiri"/>
          <w:color w:val="111111"/>
          <w:sz w:val="28"/>
          <w:sz w:val="28"/>
          <w:szCs w:val="28"/>
          <w:rtl w:val="true"/>
          <w:lang w:bidi="ar-SA"/>
        </w:rPr>
        <w:t xml:space="preserve">الحمولة لحمل الخمر وشبهها بأحد 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البيع والإجارة فيما ذكر يفسدان أيضاً ، فلا يحلّ له الثمن والاُجرة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 العنب أو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يعلم أ نّه يعمله خمراً من دون أن يبيعه له وإجارة المسكن لمن يعلم أ نّه يجعله محرزاً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 الإجارة له ، فالظاهر جوازه</w:t>
      </w:r>
      <w:r>
        <w:rPr>
          <w:rStyle w:val="FootnoteAnchor"/>
          <w:rtl w:val="true"/>
        </w:rPr>
        <w:footnoteReference w:id="1030"/>
      </w:r>
      <w:r>
        <w:rPr>
          <w:rFonts w:ascii="Amiri" w:hAnsi="Amiri" w:eastAsia="Amiri" w:cs="Amiri"/>
          <w:color w:val="111111"/>
          <w:sz w:val="28"/>
          <w:sz w:val="28"/>
          <w:szCs w:val="28"/>
          <w:rtl w:val="true"/>
          <w:lang w:bidi="ar-SA"/>
        </w:rPr>
        <w:t xml:space="preserve">وإن كان الأحوط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السلاح لأعداء الدين حال مقاتلتهم مع المسلمين ، بل حال مباينتهم معهم ؛ بحيث يخاف منهم عليهم ويكون ذلك تقوية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الهدنة</w:t>
      </w:r>
      <w:r>
        <w:rPr>
          <w:rStyle w:val="FootnoteAnchor"/>
          <w:rtl w:val="true"/>
        </w:rPr>
        <w:footnoteReference w:id="1031"/>
      </w:r>
      <w:r>
        <w:rPr>
          <w:rFonts w:ascii="Amiri" w:hAnsi="Amiri" w:eastAsia="Amiri" w:cs="Amiri"/>
          <w:color w:val="111111"/>
          <w:sz w:val="28"/>
          <w:sz w:val="28"/>
          <w:szCs w:val="28"/>
          <w:rtl w:val="true"/>
          <w:lang w:bidi="ar-SA"/>
        </w:rPr>
        <w:t xml:space="preserve">معهم أو في زمان وقوع الحرب بين أنفسهم ومقاتلة بعضهم مع بعض لا بأس ببيعه لهم ، خصوصاً إذا كان في ذلك تقوية لمن لا يعادي المسلمين على من يعاديهم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بالكفّار من يعادي الفرقة الحقّة من سائر الفرق المسلمة ويخشى عليهم إذا بيع السلاح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التعدّي إلى قطّاع الطريق وأشباههم ، بل لا يبعد التعدّي من بيع السلاح لأعداء الدين إلى بيع غيره لهم ممّا يكون سبباً لتقويتهم على أهل الحقّ كالزاد والراحلة والحمولة ونحوها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تصوير ذوات الأرواح من الإنسان والحيوان إذا كانت الصورة مجسّمة ، كالمعمولة من الشمع أو الخشب أو الفلزّات أو غيرها ، وكذا مع عدم التجسيم أيضاً على الأحوط</w:t>
      </w:r>
      <w:r>
        <w:rPr>
          <w:rStyle w:val="FootnoteAnchor"/>
          <w:rtl w:val="true"/>
        </w:rPr>
        <w:footnoteReference w:id="1032"/>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تصوير غير ذوات </w:t>
      </w:r>
    </w:p>
    <w:p>
      <w:pPr>
        <w:pStyle w:val="BookText"/>
        <w:rPr/>
      </w:pPr>
      <w:r>
        <w:rPr>
          <w:rFonts w:ascii="Amiri" w:hAnsi="Amiri" w:eastAsia="Amiri" w:cs="Amiri"/>
          <w:color w:val="111111"/>
          <w:sz w:val="28"/>
          <w:sz w:val="28"/>
          <w:szCs w:val="28"/>
          <w:rtl w:val="true"/>
          <w:lang w:bidi="ar-SA"/>
        </w:rPr>
        <w:t xml:space="preserve">الأرواح كالأشجار والأوراد ونحوها فلا بأس به ولو مع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أنحاء إيجاد الصورة من النقش والتخطيط والتطريز والحكّ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ليس من التصوير العكس المتداول في زماننا ، فلا بأس به إذا لم يترتّب عليه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عمل التصوير من ذوات الأرواح يحرم التكسّب به وأخذ الاُجرة عليه ؛ فإنّ اللّه تعالى إذا حرّم شيئاً حرّم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عمل الصور ، وأمّا بيعها واقتناؤها واستعمالها والنظر إليها ، فالأقوى جواز ذلك كلّه خصوصاً في غير المجسّمة ، وليست هي كآلات اللهو وشبهها ممّا يحرم اقتناؤها وإبقاؤها ويجب كسرها وإتلافها ، نعم يكره اقتناؤها وإمساكها في البيت ، ولا سيّما المجسّمة منها ؛ فإنّ الكراهة بيعاً واقتناءً فيها أشدّ</w:t>
      </w:r>
      <w:r>
        <w:rPr>
          <w:rStyle w:val="FootnoteAnchor"/>
          <w:rtl w:val="true"/>
        </w:rPr>
        <w:footnoteReference w:id="1033"/>
      </w:r>
      <w:r>
        <w:rPr>
          <w:rFonts w:ascii="Amiri" w:hAnsi="Amiri" w:eastAsia="Amiri" w:cs="Amiri"/>
          <w:color w:val="111111"/>
          <w:sz w:val="28"/>
          <w:sz w:val="28"/>
          <w:szCs w:val="28"/>
          <w:rtl w:val="true"/>
          <w:lang w:bidi="ar-SA"/>
        </w:rPr>
        <w:t xml:space="preserve">وآكد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حرام فعله وسماعه والتكسّب به ، وليس هو مجرّد تحسين الصوت ، بل هو مدّ الصوت وترجيعه بكيفية خاصّة مطربة تناسب مجالس اللهو ومحافل الاستئناس والطرب ، ويوالم مع آلات الملاهي واللعب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استعماله في كلام حقّ ؛ من قراءة أو دعاء أو مرثية وغيره من شعر أو نثر ، بل يتضاعف عقابه لو استعمله فيما يطاع به اللّه تعالى كقراءة القرآن ونحوها ، نعم قد يستثنى غناء المغنّيات في الأعراس</w:t>
      </w:r>
      <w:r>
        <w:rPr>
          <w:rStyle w:val="FootnoteAnchor"/>
          <w:rtl w:val="true"/>
        </w:rPr>
        <w:footnoteReference w:id="1034"/>
      </w:r>
      <w:r>
        <w:rPr>
          <w:rFonts w:ascii="Amiri" w:hAnsi="Amiri" w:eastAsia="Amiri" w:cs="Amiri"/>
          <w:color w:val="111111"/>
          <w:sz w:val="28"/>
          <w:sz w:val="28"/>
          <w:szCs w:val="28"/>
          <w:rtl w:val="true"/>
          <w:lang w:bidi="ar-SA"/>
        </w:rPr>
        <w:t xml:space="preserve">وليس ببعيد وإن كان الأحوط تركه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معونة الظالمين في ظلمهم ، بل في كلّ محرّم حرام بلا إشكال ، </w:t>
      </w:r>
    </w:p>
    <w:p>
      <w:pPr>
        <w:pStyle w:val="BookText"/>
        <w:rPr/>
      </w:pPr>
      <w:r>
        <w:rPr>
          <w:rFonts w:ascii="IRNazanin" w:hAnsi="IRNazanin" w:eastAsia="IRNazanin"/>
          <w:color w:val="111111"/>
          <w:sz w:val="28"/>
          <w:sz w:val="28"/>
          <w:szCs w:val="28"/>
          <w:rtl w:val="true"/>
          <w:lang w:bidi="fa-IR"/>
        </w:rPr>
        <w:t xml:space="preserve">بل ورد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ظالم ليعينه وهو يعلم أ نّه ظالم فقد خرج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ينادي منادٍ أين الظلمة أين أعوان الظلمة أين أشباه الظلمة ، حتّى من برى لهم قلماً أو لاق لهم دواة فيجتمعون في تابوت من حديد ثمّ يرمى بهم في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معونتهم في غير المحرّمات فالظاهر جوازه ما لم يعدّ من أعوانهم وحواشيهم والمنسوبين إليهم ، ولم يكن اسمه مقيّداً في دفترهم وديوانهم</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حفظ كتب الضلال ونسخها وقراءتها والنظر فيها ودرسها وتدريسها إذا لم يكن غرض صحيح في ذلك ، كأن يكون قاصداً لنقضها وإبطالها وكان أهلاً لذلك وكان مأموناً من الضلال ، وأمّا مجرّد الاطّلاع على مطالبها فليس من الأغراض الصحيحة المجوّزة لحفظها لغالب الناس من العوامّ الذين يخشى عليهم الضلال والزلل ، فاللازم على أمثالهم التجنّب عن الكتب المشتملة على ما يخالف عقائد المسلمين ، خصوصاً ما اشتمل منها على شبهات ومغالطات عجزوا عن حلّها ودفعها ، ولا يجوز لهم شراؤها وإمساكها وحفظها ، بل يجب عليهم إتلافها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السحر وتعليمه وتعلّمه والتكسّب به حرام ، حتّى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 قليلاً أو كثيراً فقد كفر وكان آخر عهده بربّه إلاّ أن يتوب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بالسحر ما يعمل من كتابة أو تكلّم أو دخنة أو تصوير أو نفث أو عقد يؤثّر في بدن المسحور أو قلبه أو عقله ، فيؤثّر في إحضاره أو إنامته أو إغمائه أو تحبيبه أو تبغيضه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ويلحق به استخدام الملائكة وإحضار الجنّ وتسخيرهم وإحضار الأرواح وتسخيرها وأمثال ذلك ، بل ويلحق به ، أو يكون منه الشعبذة ؛ وهي إراءة غير الواقع واقعاً بسبب الحركة السريعة ، نظير ما يرى من إدارة النار بالحركة السريعة دائرة متّصلة مع أ نّها بحسب الواقع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الكهانة ؛ وهي تعاطي الأخبار عن الكائنات في مستقبل الزمان بزعم أ نّه يلقي إليه الأخبار عنها بعض الجانّ ، أو بزعم أ نّه يعرف الاُمور بمقدّمات وأسباب يستدلّ بها على مواقعها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والقيافة ؛ وهي الاستناد إلى علامات خاصّة في إلحاق بعض الناس ببعض وسلب بعض عن بعض على خلاف ما جعل في الشرع ميزاناً للإلحاق وعدمه من الفراش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والتنجيم ؛ وهو الإخبار على البتّ والجزم عن حوادث الكون من الرخص والغلاء والجدب والخصب وكثرة الأمطار وقلّتها وغير ذلك من الخير والشرّ والنفع والضرر مستنداً إلى الحركات الفلكية والنظرات والاتّصالات الكوكبية معتقداً تأثيرها</w:t>
      </w:r>
      <w:r>
        <w:rPr>
          <w:rStyle w:val="FootnoteAnchor"/>
          <w:rtl w:val="true"/>
        </w:rPr>
        <w:footnoteReference w:id="1036"/>
      </w:r>
      <w:r>
        <w:rPr>
          <w:rFonts w:ascii="Amiri" w:hAnsi="Amiri" w:eastAsia="Amiri" w:cs="Amiri"/>
          <w:color w:val="111111"/>
          <w:sz w:val="28"/>
          <w:sz w:val="28"/>
          <w:szCs w:val="28"/>
          <w:rtl w:val="true"/>
          <w:lang w:bidi="ar-SA"/>
        </w:rPr>
        <w:t xml:space="preserve">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الإخبار عن الخسوف والكسوف والأهلّة واقتران الكواكب وانفصالها ؛ لأنّ أمثال ذلك بسبب الحساب بعد ضبط الحركات ومقاديرها وتعيين مدارات الكواكب وأوضاعها ولها اُصول وقواعد سديدة عندهم ، والخطأ الواقع أحياناً منهم في ذلك ناشئ من الخطأ في الحساب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الغشّ بما يخفى في البيع والشراء ، كشوب اللبن بالماء ، وخلط الطعام الجيّد بالرديء ، ومزج الدهن بالشحم ، ونحو ذلك من دون إعلام ، </w:t>
      </w:r>
    </w:p>
    <w:p>
      <w:pPr>
        <w:pStyle w:val="BookText"/>
        <w:rPr/>
      </w:pPr>
      <w:r>
        <w:rPr>
          <w:rFonts w:ascii="IRNazanin" w:hAnsi="IRNazanin" w:eastAsia="IRNazanin"/>
          <w:color w:val="111111"/>
          <w:sz w:val="28"/>
          <w:sz w:val="28"/>
          <w:szCs w:val="28"/>
          <w:rtl w:val="true"/>
          <w:lang w:bidi="fa-IR"/>
        </w:rPr>
        <w:t xml:space="preserve">ففي النبوي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مسلماً أو ضرّه أو ماكره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النبوي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مسلماً في بيع أو شراء فليس منّا ويحشر مع اليهود يوم القيامة ؛ لأ نّه من غشّ الناس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غشّنا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غشّ أخاه المسلم نزع اللّه بركةَ رزقه وسدّ عليه معيشته ووكّله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مولانا الصادق علیه السلام لرجل يبيع الدقيق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والغشّ فإنّ من غشّ غُشّ في ماله فإن لم يكن له مال غشّ في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يفسد أصل المعاملة بوقوع الغشّ وإن حرم فعله وأوجب الخيار للمغشوش بعد الاطّلاع ، نعم لو كان الغشّ بإظهار الشيء على خلاف جنسه كبيع المموّه على أ نّه ذهب أو فضّة ونحو ذلك فسد أصل المعاملة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أخذ الاُجرة على ما يجب عليه فعله ولو كفائياً</w:t>
      </w:r>
      <w:r>
        <w:rPr>
          <w:rStyle w:val="FootnoteAnchor"/>
          <w:rtl w:val="true"/>
        </w:rPr>
        <w:footnoteReference w:id="1037"/>
      </w:r>
      <w:r>
        <w:rPr>
          <w:rFonts w:ascii="Amiri" w:hAnsi="Amiri" w:eastAsia="Amiri" w:cs="Amiri"/>
          <w:color w:val="111111"/>
          <w:sz w:val="28"/>
          <w:sz w:val="28"/>
          <w:szCs w:val="28"/>
          <w:rtl w:val="true"/>
          <w:lang w:bidi="ar-SA"/>
        </w:rPr>
        <w:t xml:space="preserve">كتغسيل الموتى وتكفينهم ودفنهم ، نعم لو كان الواجب توصّلياً كالدفن ولم يبذل المال لأجل أصل العمل ، بل لأجل اختيار عمل خاصّ لا بأس به ، فالمحرّم أخذ الاُجرة لأصل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اختار الوليّ مكاناً خاصّاً وقبراً مخصوصاً وأعطى المال للحفّار لحفر ذلك المكان الخاصّ ، فالظاهر أ نّه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بأس بأخذ الطبيب الاُجرة للحضور عند المريض ، وإن أشكل أخذها لأجل أصل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الواجب توصّلياً لا يشترط فيه قصد القربة كالدفن ، وأمّا لو كان تعبّدياً يشترط فيه التقرّب كالتغسيل فلا يجوز أخذ الاُجرة عليه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بأخذها على بعض الاُمور الغير الواجبة كما تقدّم في غسل الميّت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يجب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مسائل الحلال والحرام فلا يجوز أخذ الاُجرة عليه ، وأمّا تعليم الأطفال للقرآن فضلاً عن غيره من الكتابة وقراءة الخطّ وغير ذلك فلا بأس بأخذ الاُجرة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بأخذ الاُجرة على الواجبات أخذها على ما وجب على نفس الأجير ، وأمّا ما وجب على غيره ولا يعتبر فيه المباشرة فلا بأس بأخذ الاُجرة عليه حتّى في العبادات التي يشرع فيها النيابة ؛ حيث إنّ الاُجرة تكون في قبال النيابة عنه ، فلا بأس بالاستئجار للأموات في العبادات كالحجّ والصوم والصلاة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في الشرع معاملات ومكاسب محرّمة يجب الاجتناب عنها كذلك مكاسب مكروهة ينبغي التنزّه عنها ، 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بيع الصرف ، فإنّه لا يسلم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الأكفان ، فإنّه لا يسلم من أن يسرّه الوباء وكثرة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الطعام ، فإنّه لا يسلم من الاحتكار وحبّ الغلاء ونزعت منه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الرقيق ، فإنّ شرّ الناس من باع الناس ، وإنّما تكره البيوع المزبورة فيما إذا جعلها حرفة له ؛ على وجه يكون صيرفياً وبيّاع أكفان وحنّاطاً ونخّاساً ، لا بمجرّد صدورها منه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الذبح والنحر صنعة ، فإنّ صاحبها يقسو قلبه ويسلب منه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الحياكة ، فإنّ اللّه تعالى قد سلب عن الحوكة عقولهم ،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عقل أربعين معلّماً عقل حائك وعقل حائك عقل امرئة والمرأة لا عقل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ولد الحائك لا ينجب إلى سبعة أبطن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الحجامة وكسبها ، خصوصاً إذا كان يشترط الاُجرة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التكسّب بضراب الفحل ، بأن يؤاجره لذلك مع ضبطه بالمرّة أو المرّات المعيّنة أو بالمدّة أو بغير الإجارة ، نعم الظاهر أ نّه لا كراهة فيما يعطى له بعنوان الإهداء والإكرام عوضاً عن ذلك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لاريب أنّ التكسّب وتحصيل المعيشة بالكدّ والتعب محبوب عند الربّ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جزءاً ، أفضلها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المحترف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الدنيا استعفافاً عن الناس وسعياً على أهله وتعطّفاً على جاره لقى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ووجهه مثل القمر ليلة البدر</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وأفضل</w:t>
      </w:r>
      <w:r>
        <w:rPr>
          <w:rStyle w:val="FootnoteAnchor"/>
          <w:rtl w:val="true"/>
        </w:rPr>
        <w:footnoteReference w:id="1038"/>
      </w:r>
      <w:r>
        <w:rPr>
          <w:rFonts w:ascii="IRNazanin" w:hAnsi="IRNazanin" w:eastAsia="IRNazanin"/>
          <w:color w:val="111111"/>
          <w:sz w:val="28"/>
          <w:sz w:val="28"/>
          <w:szCs w:val="28"/>
          <w:rtl w:val="true"/>
          <w:lang w:bidi="fa-IR"/>
        </w:rPr>
        <w:t xml:space="preserve">المكاسب التجارة ، فعن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اتّجروا بارك اللّه لكم ، فإنّي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 تسعة أجزاء في التجارة وواحد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الرزق في التجارة والجزء الباقي في السابيا ؛ يعني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الزرع والغرس ، وأفضله النخل ، فعن مولانا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الأعمال الحرث تزرع فيأكل منه البرّ والفاجر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ويأكل منه البهائم والطير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ازرعوا واغرسوا فلا واللّه ما عمل الناس عملاً أحلّ وأطيب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الزارعون كنوز الأنام يزرعون طيّباً أخرجه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يوم القيامة أحسن الناس مقاماً وأقربهم منزلة ، يدعون المباركين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الكيميا الأكبر الزراعة ثمّ اقتناء الأغنام للاستفادة ؛ فإنّ فيها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اتّخذ أهل بيت شاة آتاهم اللّه برزقها وزاد في أرزاقهم وارتحل عنهم الفقر مرحلة ، فإن اتّخذوا شاتين آتاهم اللّه بأرزاقهما وزاد في أرزاقهم وارتحل عنهم الفقر مرحلتين ، وإن اتّخذوا ثلاثة آتاهم اللّه بأرزاقها وارتحل عنهم الفقر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أهل بيت تروح عليهم ثلاثون شاة إلاّ لم تزل </w:t>
      </w:r>
    </w:p>
    <w:p>
      <w:pPr>
        <w:pStyle w:val="BookText"/>
        <w:rPr/>
      </w:pPr>
      <w:r>
        <w:rPr>
          <w:rFonts w:ascii="IRNazanin" w:hAnsi="IRNazanin" w:eastAsia="IRNazanin"/>
          <w:color w:val="111111"/>
          <w:sz w:val="28"/>
          <w:sz w:val="28"/>
          <w:szCs w:val="28"/>
          <w:rtl w:val="true"/>
          <w:lang w:bidi="fa-IR"/>
        </w:rPr>
        <w:t>الملائكة تحرسهم حتّى يصبحوا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اقتناء البقر فإنّها تغدو بخير وتروح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الإبل فقد نهي عن إكثارها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فيها الشقاء والجفاء والعناء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على كلّ من يباشر التجارة وسائر أنواع التكسّب تعلّم أحكامها والمسائل المتعلّقة بها ، ليعرف صحيحها عن فاسدها ويسلم من الربا ، فعن مولانا أمير المؤمنين علیه السلام كان على المنبر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الفقه ثمّ المتجر ، الفقه ثمّ المتجر ، الفقه ثمّ المتجر ، واللّه للربا في هذه الاُمّة أخفى من دبيب النمل على الصفا ، شوبوا إيمانكم بالصدق ، التاجر فاجر والفاجر في النار إلاّ من أخذ الحقّ وأعطى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ارتطم في الربا ثمّ 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يقعدنّ في السوق إلاّ من يعقل الشراء والبيع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 ومن لم يتفقّه في دينه ثمّ اتّجر تورّط في الشبهات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والقدر اللازم أن يكون عالماً ولو عن تقليد بحكم التجارة والمعاملة التي يوقعها حين إيقاعها ، بل ولو بعد إيقاعها بأن يوقع معاملة مشكوكة في صحّتها وفسادها ثمّ يسأل عن حكمها ، فإذا تبيّن كونها صحيحة رتّب عليها الأثر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فيما اشتبه حكمه من جهة الحرمة والحلّية لا من جهة مجرّد الفساد والصحّة كموارد الشكّ في كون المعاملة ربوية</w:t>
      </w:r>
      <w:r>
        <w:rPr>
          <w:rStyle w:val="FootnoteAnchor"/>
          <w:rtl w:val="true"/>
        </w:rPr>
        <w:footnoteReference w:id="1039"/>
      </w:r>
      <w:r>
        <w:rPr>
          <w:rFonts w:ascii="Amiri" w:hAnsi="Amiri" w:eastAsia="Amiri" w:cs="Amiri"/>
          <w:color w:val="111111"/>
          <w:sz w:val="28"/>
          <w:sz w:val="28"/>
          <w:szCs w:val="28"/>
          <w:rtl w:val="true"/>
          <w:lang w:bidi="ar-SA"/>
        </w:rPr>
        <w:t xml:space="preserve">يجب على الجاهل الاجتناب حتّى يسأل عن حكمه ويتعلّمه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للتجارة والتكسّب آداب مستحبّة ومكروهة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فأهمّها الإجمال في الطلب والاقتصاد فيه ،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طلبك المعيشة فوق كسب المضيّع ودون طلب 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الروح الأمين نفث في روعي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تموت نفس حتّى تستكمل رزقها ، 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وأجملوا في الطلب ولا يحملنّكم استبطاء شيء من الرزق أن تطلبوه بشيء من معصية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تبارك وتعالى قسّم الأرزاق بين خلقه حلالاً ولم يقسّمها حراماً ، فمن اتّقى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آتاه اللّه برزقه من حلّه ، ومن هتك حجاب الستر وعجّل فأخذه من غير حلّه قصّ به من رزقه الحلال وحوسب عليه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إقالة النادم في البيع والشراء لو استقاله ، فأيّما عبد أقال مسلماً في بيع أقاله اللّه عثرته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التسوية بين المبتاعين في السعر ، فلا يفرّق بين المماكس وغيره ، بأن يقلّل الثمن للأوّل ويزيده للثاني ، نعم لو فرّق بينهم بسبب الفضل والدين ونحو ذلك فالظاهر أ نّه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يقبض لنفسه ناقصاً ويعطي راجحاً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المكروهة فاُمور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مدح البائع لما يبيعه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المشتري لما يشتريه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صادقاً على البيع والشراء ، ففي النبوي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كنّ فيه طاب مكسبه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لم يعب ، وإذا باع لم يمدح ، ولا يدلّس ، وفيما بين ذلك لا يحلف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في موضع يستتر فيه العيب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على المؤمن وعلى من وعده بالإحسان إلاّ مع الضرورة ، أو كون الشراء</w:t>
      </w:r>
      <w:r>
        <w:rPr>
          <w:rStyle w:val="FootnoteAnchor"/>
          <w:rtl w:val="true"/>
        </w:rPr>
        <w:footnoteReference w:id="1040"/>
      </w:r>
      <w:r>
        <w:rPr>
          <w:rFonts w:ascii="Amiri" w:hAnsi="Amiri" w:eastAsia="Amiri" w:cs="Amiri"/>
          <w:color w:val="111111"/>
          <w:sz w:val="28"/>
          <w:sz w:val="28"/>
          <w:szCs w:val="28"/>
          <w:rtl w:val="true"/>
          <w:lang w:bidi="ar-SA"/>
        </w:rPr>
        <w:t xml:space="preserve">للتجارة </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ما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إلى السوق أوّلاً والخروج منه أخيراً ، بل ينبغي أن يكون آخر داخل وأوّل خارج ؛ عكس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الأدنين الذين لا يبالون بما قالوا وما قيل لهم ولا يسرّهم الإحسان ولا تسوؤهم الإساءة والذين يحاسبون على الشيء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ذوي العاهات والأكراد والمحارف ومن لم ينشأ في الخير كمستحدثي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للكيل أو الوزن أو العدّ أو المساحة إذا لم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الاستحطاط من الثمن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سوم المؤمن على الأظهر وقيل بالحرمة ، والمراد به الزيادة في الثمن ، أو بذل مبيع غير ما بذله البائع الأوّل ليكون الشراء أو البيع له بعد تراضي الأوّلين ، والإشراف على إيقاع العقد في البين ، فلا يكون منه الزيادة فيما إذا كان المبيع في المزايدة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يتوكّل حاضر عارف بسعر البلد لبادٍ غريب جاهل غافل ؛ بأن يصير وكيلاً عنه في البيع والشراء ، ففي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 حاضر لباد ، دعوا الناس يرزق اللّه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النبوي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الناس على غفلاتها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الركبان والقوافل واستقبالهم للبيع عليهم أو الشراء منهم قبل وصولهم إلى البلد ، وقيل يحرم وإن صحّ البيع والشراء لو تلقّى وباع أو اشترى ، وهو الأحوط وإن كان الأظهر الكراهة ، وإنّما يكره أو يحرم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الخروج بقصد ذلك ، فلو خرج لا لذلك فاتّفق الركب لم يثبت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مسمّى الخروج من البلد ، فلو تلقّى الركب في أوّل وصوله إلى البلد لم يثبت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دون الأربعة فراسخ ، فلو تلقّى في الأربعة فصاعداً لم يثبت الحكم بل يكون سفر تجارة ، وفي اعتبار كون الركب جاهلاً بسعر البلد فيما يبيعه أو يشتريه </w:t>
      </w:r>
    </w:p>
    <w:p>
      <w:pPr>
        <w:pStyle w:val="BookText"/>
        <w:rPr/>
      </w:pPr>
      <w:r>
        <w:rPr>
          <w:rFonts w:ascii="IRNazanin" w:hAnsi="IRNazanin" w:eastAsia="IRNazanin"/>
          <w:color w:val="111111"/>
          <w:sz w:val="28"/>
          <w:sz w:val="28"/>
          <w:szCs w:val="28"/>
          <w:rtl w:val="true"/>
          <w:lang w:bidi="fa-IR"/>
        </w:rPr>
        <w:t>وجه</w:t>
      </w:r>
      <w:r>
        <w:rPr>
          <w:rStyle w:val="FootnoteAnchor"/>
          <w:rtl w:val="true"/>
        </w:rPr>
        <w:footnoteReference w:id="1041"/>
      </w:r>
      <w:r>
        <w:rPr>
          <w:rFonts w:ascii="Amiri" w:hAnsi="Amiri" w:eastAsia="Amiri" w:cs="Amiri"/>
          <w:color w:val="111111"/>
          <w:sz w:val="28"/>
          <w:sz w:val="28"/>
          <w:szCs w:val="28"/>
          <w:rtl w:val="true"/>
          <w:lang w:bidi="ar-SA"/>
        </w:rPr>
        <w:t xml:space="preserve">وإن كان الأحوط التعميم ، وهل يعمّ الحكم غير البيع والشراء كالإجارة ونحوها ؟ وجهان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حبس الطعام وجمعه يتربّص به الغلاء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مع ضرورة المسلمين وحاجتهم وعدم وجود من يبذلهم قدر كفايتهم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 طائفة من بني إسرائيل ليلاً عذاب وأصبحوا وقد فقدوا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الطبّالين والمغنّين والمحتكرين للطعام والصيارفة ؛ أكلة الربا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يحتكر الطعام إلاّ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عن جبرئيل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اطّلعت في النار فرأيت وادياً في جهنّم يغلي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لمن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المحتكرين والمدمنين للخمر والقوّادين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مجرّد حبس الطعام انتظاراً لعلوّ السعر مع عدم ضرورة الناس ووجود الباذل ليس بحرام وإن كان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يحبسه للبيع في زمان الغلاء ، بل كان لصرفه في محاويجه لا حرمة ولا 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يتحقّق الاحتكار بحبس الحنطة والشعير والتمر والزبيب والدهن ، وكذا الزيت والملح على الأحوط لو لم يكن أقوى</w:t>
      </w:r>
      <w:r>
        <w:rPr>
          <w:rStyle w:val="FootnoteAnchor"/>
          <w:rtl w:val="true"/>
        </w:rPr>
        <w:footnoteReference w:id="1042"/>
      </w:r>
      <w:r>
        <w:rPr>
          <w:rFonts w:ascii="Amiri" w:hAnsi="Amiri" w:eastAsia="Amiri" w:cs="Amiri"/>
          <w:color w:val="111111"/>
          <w:sz w:val="28"/>
          <w:sz w:val="28"/>
          <w:szCs w:val="28"/>
          <w:rtl w:val="true"/>
          <w:lang w:bidi="ar-SA"/>
        </w:rPr>
        <w:t xml:space="preserve">، بل لا يبعد تحقّقه في كلّ ما يحتاج إليه عامّة أهالي البلد من الأطعمة ، كالأرز والذرة بالنسبة إلى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المحتكر على البيع ولا يعيّن</w:t>
      </w:r>
      <w:r>
        <w:rPr>
          <w:rStyle w:val="FootnoteAnchor"/>
          <w:rtl w:val="true"/>
        </w:rPr>
        <w:footnoteReference w:id="1043"/>
      </w:r>
      <w:r>
        <w:rPr>
          <w:rFonts w:ascii="Amiri" w:hAnsi="Amiri" w:eastAsia="Amiri" w:cs="Amiri"/>
          <w:color w:val="111111"/>
          <w:sz w:val="28"/>
          <w:sz w:val="28"/>
          <w:szCs w:val="28"/>
          <w:rtl w:val="true"/>
          <w:lang w:bidi="ar-SA"/>
        </w:rPr>
        <w:t>عليه السعر ، بل له أن يبيع بما شاء إلاّ إذا أجحف فيجبر على النزول</w:t>
      </w:r>
      <w:r>
        <w:rPr>
          <w:rStyle w:val="FootnoteAnchor"/>
          <w:rtl w:val="true"/>
        </w:rPr>
        <w:footnoteReference w:id="1044"/>
      </w:r>
      <w:r>
        <w:rPr>
          <w:rFonts w:ascii="Amiri" w:hAnsi="Amiri" w:eastAsia="Amiri" w:cs="Amiri"/>
          <w:color w:val="111111"/>
          <w:sz w:val="28"/>
          <w:sz w:val="28"/>
          <w:szCs w:val="28"/>
          <w:rtl w:val="true"/>
          <w:lang w:bidi="ar-SA"/>
        </w:rPr>
        <w:t xml:space="preserve">من دون تسعير عليه </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مع الاختيار الدخول في الولايات والمناصب والأشغال من قبل الجائر ، وإن كان أصل الشغل مشروعاً مع قطع النظر عن كونه متولّياً من قبل الجائر ، كجباية الخراج وجمع الزكاة وتولّي المناصب الجندية والأمنية وحكومة البلاد ونحو ذلك ، فضلاً عمّا كان غير مشروع في نفسه كأخذ العشور والقمرك وغير ذلك من أنواع الظلم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يسوّغ كلّ ذلك مع الجبر والإكراه بإلزام من يخشى من التخلّف عن إلزامه على نفسه أو عرضه أو ماله</w:t>
      </w:r>
      <w:r>
        <w:rPr>
          <w:rStyle w:val="FootnoteAnchor"/>
          <w:rtl w:val="true"/>
        </w:rPr>
        <w:footnoteReference w:id="1045"/>
      </w:r>
      <w:r>
        <w:rPr>
          <w:rFonts w:ascii="IRNazanin" w:hAnsi="IRNazanin" w:eastAsia="IRNazanin"/>
          <w:color w:val="111111"/>
          <w:sz w:val="28"/>
          <w:sz w:val="28"/>
          <w:szCs w:val="28"/>
          <w:rtl w:val="true"/>
          <w:lang w:bidi="fa-IR"/>
        </w:rPr>
        <w:t xml:space="preserve">، إلاّ في الدماء المحترمة ، فإنّه لا تقيّة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 نّه يسوّغ خصوص القسم الأوّل وهو الدخول في الولاية على أمر مشروع في نفسه للقيام بمصالح المسلمين وإخوانه في الدين ،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قضاء حوائج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زياد بن أبي سلمة قال دخلت على أبي الحسن موسى علیه السلام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إنّك لتعمل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لي مروءة وعليَّ عيال وليس وراء ظهري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لأن أسقط من حالق فاُتقطّع قطعة قطعة أحبّ إليّ من أن أتولّى لهم عملاً أو أطأ بساط رجل منهم إلاّ ،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جعلت فداك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لتفريج كربة عن مؤمن أو فكّ أسره أو قضاء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زياد فإن ولّيت شيئاً من أعمالهم فأحسن إلى إخوانك فواحدة بواحدة ، واللّه من وراء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الفضل بن عبدالرحمان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أستأذنه في أعمال السلطان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به ما لم تغيّر حكماً </w:t>
      </w:r>
    </w:p>
    <w:p>
      <w:pPr>
        <w:pStyle w:val="BookText"/>
        <w:rPr/>
      </w:pPr>
      <w:r>
        <w:rPr>
          <w:rFonts w:ascii="Amiri" w:hAnsi="Amiri" w:eastAsia="Amiri" w:cs="Amiri"/>
          <w:color w:val="111111"/>
          <w:sz w:val="28"/>
          <w:sz w:val="28"/>
          <w:szCs w:val="28"/>
          <w:rtl w:val="true"/>
          <w:lang w:bidi="ar-SA"/>
        </w:rPr>
        <w:t>ولم تبطل حدّاً ، وكفّارته قضاء حوائج إخوانكم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لو كان دخوله فيها بقصد الإحسان إلى المؤمنين ودفع الضرر عنهم كان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أئمّتنا علیهم السلام الحثّ عليه والترغيب فيه ، فقد روى الصدوق عن مولانا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وتعالى مع السلطان أولياء يدفع بهم عن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عتقاء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محمّد 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 بأبواب الظالمين من نوّر اللّه به البرهان ، ومكّن له في البلاد ليدفع بهم عن أوليائه ، ويصلح اللّه بهم اُمور المسلمين ، إليهم يلجأ المؤمن من الضرّ ، وإليهم يفزع ذو الحاجة من شيعتنا ، وبهم يؤمّن اللّه روعة المؤمن في دار الظلم ، اُولئك هم المؤمنون حقّاً اُولئك اُمناء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خلقوا واللّه للجنّة وخلقت لهم ، فهنيئاً لهم، ما على أحدكم أن لو شاء لنال 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جعلني اللّه فداك؟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معهم فيسرّنا بإدخال السرور على المؤمنين من شيعتنا ، فكن منهم يا محمّد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والأخبار في هذا المعنى كثيرة ، بل ربّما بلغ الدخول في بعض المناصب والأشغال لبعض الأشخاص أحياناً إلى حدّ الوجوب ، كما إذا تمكّن شخص بسببه على دفع مفسدة دينية ، أو المنع عن بعض المنكرات الشرعية مثلاً ، ومع ذلك فيها خطرات كثيرة إلاّ لمن عصمه اللّه تعالى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تأخذه الحكومة من الضريبة على الأراضي</w:t>
      </w:r>
      <w:r>
        <w:rPr>
          <w:rStyle w:val="FootnoteAnchor"/>
          <w:rtl w:val="true"/>
        </w:rPr>
        <w:footnoteReference w:id="1046"/>
      </w:r>
      <w:r>
        <w:rPr>
          <w:rFonts w:ascii="Amiri" w:hAnsi="Amiri" w:eastAsia="Amiri" w:cs="Amiri"/>
          <w:color w:val="111111"/>
          <w:sz w:val="28"/>
          <w:sz w:val="28"/>
          <w:szCs w:val="28"/>
          <w:rtl w:val="true"/>
          <w:lang w:bidi="ar-SA"/>
        </w:rPr>
        <w:t xml:space="preserve">جنساً أو نقداً وعلى النخيل والأشجار يعامل معه معاملة ما يأخذه السلطان العادل ، فتبرأ ذمّة الدافع عمّا كان عليه من الخراج الذي هو اُجرة الأرض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لكلّ </w:t>
      </w:r>
    </w:p>
    <w:p>
      <w:pPr>
        <w:pStyle w:val="BookText"/>
        <w:rPr/>
      </w:pPr>
      <w:r>
        <w:rPr>
          <w:rFonts w:ascii="Amiri" w:hAnsi="Amiri" w:eastAsia="Amiri" w:cs="Amiri"/>
          <w:color w:val="111111"/>
          <w:sz w:val="28"/>
          <w:sz w:val="28"/>
          <w:szCs w:val="28"/>
          <w:rtl w:val="true"/>
          <w:lang w:bidi="ar-SA"/>
        </w:rPr>
        <w:t xml:space="preserve">أحد شراؤه وأخذه مجّاناً وبالعوض والتصرّف فيه بأنواع التصرّف، بل لو لم تأخذه الحكومة وحوّل شخصاً على من عليه الخراج بمقدار فدفعه إلى المحتال يحلّ له وتبرأ ذمّة المحوّل عليه عمّا عليه، لكن الأحوط خصوصاً في مثل هذه الأزمنة ، رجوع من ينتفع بهذه الأراضي ويتصرّف فيها في أمر خراجها وكذلك من يصل إليه من هذه الأموال شيء ، إلى حاكم الشرع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حكم السلطان المؤالف كالمخالف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بالرجوع إلى حاكم الشرع في الأوّل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أحد أن يتقبّل الأراضي الخراجية ، ويضمنها من الحكومة بشيء ، وينتفع بها بنفسه بزرع أو غرس وغيره ، أو يقبّلها ويضمنها لغيره ولو بالزيادة</w:t>
      </w:r>
      <w:r>
        <w:rPr>
          <w:rStyle w:val="FootnoteAnchor"/>
          <w:rtl w:val="true"/>
        </w:rPr>
        <w:footnoteReference w:id="1047"/>
      </w:r>
      <w:r>
        <w:rPr>
          <w:rFonts w:ascii="Amiri" w:hAnsi="Amiri" w:eastAsia="Amiri" w:cs="Amiri"/>
          <w:color w:val="111111"/>
          <w:sz w:val="28"/>
          <w:sz w:val="28"/>
          <w:szCs w:val="28"/>
          <w:rtl w:val="true"/>
          <w:lang w:bidi="ar-SA"/>
        </w:rPr>
        <w:t xml:space="preserve">، كما يصنعه بعض الشيوخ والزعماء ؛ حيث يتقبّلون بعض الأراضي من الحكومة بضريبة مقرّرة ، ثمّ يقبّلونها قطعاً قطعاً لأشخاص بتلك الضريبة ، أو بأزيد منها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إنسان مالاً إلى أحد ليصرفه في طائفة وكان المدفوع إليه بصفتهم</w:t>
      </w:r>
      <w:r>
        <w:rPr>
          <w:rStyle w:val="FootnoteAnchor"/>
          <w:rtl w:val="true"/>
        </w:rPr>
        <w:footnoteReference w:id="1048"/>
      </w:r>
      <w:r>
        <w:rPr>
          <w:rFonts w:ascii="Amiri" w:hAnsi="Amiri" w:eastAsia="Amiri" w:cs="Amiri"/>
          <w:color w:val="111111"/>
          <w:sz w:val="28"/>
          <w:sz w:val="28"/>
          <w:szCs w:val="28"/>
          <w:rtl w:val="true"/>
          <w:lang w:bidi="ar-SA"/>
        </w:rPr>
        <w:t xml:space="preserve">، كما إذا دفع إلى فقير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ليصرفه في الفقراء ، أو إلى شخص هاشمي ؛ خمساً أو غيره ليصرفه في السادة ولم يعيّن شخصاً معيّناً جاز له أن يأخذ مثل أحدهم من غير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له أن يصرفه في عياله خصوصاً إذا أعطاه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للفقراء ، أو مصرفه الفقراء أو السادة مثلاً ، وإن كان الأحوط عدم أخذه منه شيئاً إلاّ بإذن صريح </w:t>
      </w:r>
      <w:r>
        <w:rPr>
          <w:rFonts w:eastAsia="Amiri" w:cs="Amiri" w:ascii="Amiri" w:hAnsi="Amiri"/>
          <w:color w:val="111111"/>
          <w:sz w:val="28"/>
          <w:szCs w:val="28"/>
          <w:rtl w:val="true"/>
          <w:lang w:bidi="ar-SA"/>
        </w:rPr>
        <w:t xml:space="preserve">. </w:t>
      </w:r>
      <w:bookmarkStart w:id="505" w:name="pg15003_160011"/>
    </w:p>
    <w:p>
      <w:pPr>
        <w:pStyle w:val="Heading2"/>
        <w:numPr>
          <w:ilvl w:val="1"/>
          <w:numId w:val="1"/>
        </w:numPr>
        <w:rPr/>
      </w:pPr>
      <w:bookmarkStart w:id="506" w:name="__RefHeading___Toc487939_3406789950"/>
      <w:bookmarkStart w:id="507" w:name="_Toc184"/>
      <w:bookmarkEnd w:id="505"/>
      <w:bookmarkEnd w:id="506"/>
      <w:r>
        <w:rPr>
          <w:rtl w:val="true"/>
        </w:rPr>
        <w:t>كتاب البيع</w:t>
      </w:r>
      <w:bookmarkEnd w:id="507"/>
    </w:p>
    <w:p>
      <w:pPr>
        <w:pStyle w:val="Heading3"/>
        <w:numPr>
          <w:ilvl w:val="2"/>
          <w:numId w:val="1"/>
        </w:numPr>
        <w:rPr/>
      </w:pPr>
      <w:bookmarkStart w:id="508" w:name="__RefHeading___Toc487941_3406789950"/>
      <w:bookmarkStart w:id="509" w:name="_Toc185"/>
      <w:bookmarkEnd w:id="508"/>
      <w:r>
        <w:rPr>
          <w:rtl w:val="true"/>
        </w:rPr>
        <w:t>اشارة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البيع يحتاج إلى إيجاب وقبول ، والأقوى عدم اعتبار العربية ، بل يقع بكلّ لغة ولو مع إمكان العربي ، كما أ نّه لا يعتبر فيه الصراحة ، بل يقع بكلّ لفظ دالّ على المقصود عند أهل المحاورة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الإيجاب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القبول ، كما أنّ الظاهر عدم اعتبار الماضوية فيجوز بالمضارع وإن كان المشهور اعتبارها ، ولاريب أ نّه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فيه عدم اللحن من حيث المادّة والهيئة والإعراب لو أوقعه بالعربي ؟ الظاهر العدم إذا كان دالاًّ على المقصود عند أبناء المحاورة وعدّ ملحوناً من الكلام لا كلاماً آخر ذكر في هذا المقام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وسكون التاء ، وأولى بذلك اللغات المحرّفة كالمتداولة بين أهل السواد ومن ضاهاهم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تقديم القبول على الإيجاب إذا كان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كان بنحو الأمر </w:t>
      </w:r>
    </w:p>
    <w:p>
      <w:pPr>
        <w:pStyle w:val="BookText"/>
        <w:rPr/>
      </w:pPr>
      <w:r>
        <w:rPr>
          <w:rFonts w:ascii="Amiri" w:hAnsi="Amiri" w:eastAsia="Amiri" w:cs="Amiri"/>
          <w:color w:val="111111"/>
          <w:sz w:val="28"/>
          <w:sz w:val="28"/>
          <w:szCs w:val="28"/>
          <w:rtl w:val="true"/>
          <w:lang w:bidi="ar-SA"/>
        </w:rPr>
        <w:t xml:space="preserve">والاستيجاب كما إذا قال من يريد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الشيء الفلاني بكذا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 بكذا ، ففي صحّته وتمامية العقد به إشكال لا يبعد الصحّة ، وإن كان الأحوط</w:t>
      </w:r>
      <w:r>
        <w:rPr>
          <w:rStyle w:val="FootnoteAnchor"/>
          <w:rtl w:val="true"/>
        </w:rPr>
        <w:footnoteReference w:id="1050"/>
      </w:r>
      <w:r>
        <w:rPr>
          <w:rFonts w:ascii="Amiri" w:hAnsi="Amiri" w:eastAsia="Amiri" w:cs="Amiri"/>
          <w:color w:val="111111"/>
          <w:sz w:val="28"/>
          <w:sz w:val="28"/>
          <w:szCs w:val="28"/>
          <w:rtl w:val="true"/>
          <w:lang w:bidi="ar-SA"/>
        </w:rPr>
        <w:t xml:space="preserve">إعادة المشتري 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الموالاة بين الإيجاب والقبول ؛ بمعنى عدم الفصل الطويل بينهما بما يخرجهما عن عنوان العقد والمعاقدة ، ولا يضرّ القليل بحيث يصدق معه أنّ هذا قبول لذلك الإيجاب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التطابق بين الإيجاب والقبول ، فلو اختلفا ، بأن أوجب البائع البيع على وجه خاصّ من حيث المشتري أو المبيع أو الثمن أو توابع العقد من الشروط ، وقبل المشتري على وجه آخر لم ينعقد ، فلو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من موكّلك بكذا ، فقال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لنفسي ،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من موكّلك ، فقال الموكّل الحاضر الغير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لم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لموكّلي ، فإن كان الموجب قاصداً وقوع البيع للمخاطب بما هو هو وبنفسه لم ينعقد ، وأمّا إذا كان قاصداً له أعمّ من كونه أصيلاً أو كونه نائباً ووكيلاً صحّ وانعقد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نصفه بألف أوبخمسمائة ،لم‌ينعقد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كلّ نصف</w:t>
      </w:r>
      <w:r>
        <w:rPr>
          <w:rStyle w:val="FootnoteAnchor"/>
          <w:rtl w:val="true"/>
        </w:rPr>
        <w:footnoteReference w:id="1051"/>
      </w:r>
      <w:r>
        <w:rPr>
          <w:rFonts w:ascii="Amiri" w:hAnsi="Amiri" w:eastAsia="Amiri" w:cs="Amiri"/>
          <w:color w:val="111111"/>
          <w:sz w:val="28"/>
          <w:sz w:val="28"/>
          <w:szCs w:val="28"/>
          <w:rtl w:val="true"/>
          <w:lang w:bidi="ar-SA"/>
        </w:rPr>
        <w:t xml:space="preserve">منه بخمسمائة ،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هذا بألف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نصفه بخمسمائة ، لم ينعقد ، وأمّا لو قال كلّ منهما ذلك لا يبعد الصحّة ، لكنّه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بهذا على أن يكون لي </w:t>
      </w:r>
    </w:p>
    <w:p>
      <w:pPr>
        <w:pStyle w:val="BookText"/>
        <w:rPr/>
      </w:pPr>
      <w:r>
        <w:rPr>
          <w:rFonts w:ascii="Amiri" w:hAnsi="Amiri" w:eastAsia="Amiri" w:cs="Amiri"/>
          <w:color w:val="111111"/>
          <w:sz w:val="28"/>
          <w:sz w:val="28"/>
          <w:szCs w:val="28"/>
          <w:rtl w:val="true"/>
          <w:lang w:bidi="ar-SA"/>
        </w:rPr>
        <w:t xml:space="preserve">الخيار ثلاثة أيّام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 فإن فهم ولو من ظاهر الحال والمقام أ نّه قصد شراءه على الشرط الذي ذكره البائع صحّ وانعقد ، وإن قصده مطلقاً وبلا شرط لم ينعقد ، وأمّا لو انعكس بأن أوجب البائع بلا شرط وقبل المشتري معه ، فلا ينعقد مشروطاً قطعاً ، وهل ينعقد مطلقاً وبلا شرط ؟ 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مقام اللفظ مع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المفهمة ولو مع التمكّن من التوكيل على الأقوى ، كما أ نّه يقوم مقامه الكتابة</w:t>
      </w:r>
      <w:r>
        <w:rPr>
          <w:rStyle w:val="FootnoteAnchor"/>
          <w:rtl w:val="true"/>
        </w:rPr>
        <w:footnoteReference w:id="1052"/>
      </w:r>
      <w:r>
        <w:rPr>
          <w:rFonts w:ascii="Amiri" w:hAnsi="Amiri" w:eastAsia="Amiri" w:cs="Amiri"/>
          <w:color w:val="111111"/>
          <w:sz w:val="28"/>
          <w:sz w:val="28"/>
          <w:szCs w:val="28"/>
          <w:rtl w:val="true"/>
          <w:lang w:bidi="ar-SA"/>
        </w:rPr>
        <w:t xml:space="preserve">مع العجز عنه وعن الإشارة ، وأمّا مع القدرة عليها فالظاهر تقدّمها على الكتابة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وقوع البيع بالمعاطاة ؛ سواء كان في الحقير أو الخطير ؛ وهي عبارة عن تسليم العين بقصد كونها ملكاً للغير بالعوض وتسليم عين اُخرى من آخر بعنوان العوضية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تحقّقها بمجرّد تسليم المبيع بقصد التمليك بالعوض مع قصد المشتري في أخذه التملّك بالعوض ، فيجوز جعل الثمن كلّياً في ذمّة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تحقّقها بتسليم العوض فقط من المشتري إشكال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 نّه يعتبر في المعاطاة جميع ما اعتبر في البيع العقدي ما عدا الصيغة من الشروط الآتية ، فلا تصحّ مع فقد واحد منها ؛ سواء كان ممّا اعتبر في المتبايعين أو في العوضين ، كما أنّ الأقوى ثبوت الخيارات الآتية فيها ولو بعد</w:t>
      </w:r>
      <w:r>
        <w:rPr>
          <w:rStyle w:val="FootnoteAnchor"/>
          <w:rtl w:val="true"/>
        </w:rPr>
        <w:footnoteReference w:id="1054"/>
      </w:r>
      <w:r>
        <w:rPr>
          <w:rFonts w:ascii="Amiri" w:hAnsi="Amiri" w:eastAsia="Amiri" w:cs="Amiri"/>
          <w:color w:val="111111"/>
          <w:sz w:val="28"/>
          <w:sz w:val="28"/>
          <w:szCs w:val="28"/>
          <w:rtl w:val="true"/>
          <w:lang w:bidi="ar-SA"/>
        </w:rPr>
        <w:t xml:space="preserve">لزومها بأحد الملزمات الآتية إلاّ إذا كان وجود الملزم منافياً لثبوت الخيار وموجباً لسقوطه ، كما إذا كان المأخوذ بالمعاطاة معيباً ولم يكن قائماً بعينه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العقدي لازم من الطرفين إلاّ مع وجود أحد الخيارات الآتية ، نعم يجوز فسخه بالإقالة ؛ وهي الفسخ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المعاطاة فالأقوى أ نّها مفيدة للملك لكنّها جائزة</w:t>
      </w:r>
      <w:r>
        <w:rPr>
          <w:rStyle w:val="FootnoteAnchor"/>
          <w:rtl w:val="true"/>
        </w:rPr>
        <w:footnoteReference w:id="1055"/>
      </w:r>
      <w:r>
        <w:rPr>
          <w:rFonts w:ascii="Amiri" w:hAnsi="Amiri" w:eastAsia="Amiri" w:cs="Amiri"/>
          <w:color w:val="111111"/>
          <w:sz w:val="28"/>
          <w:sz w:val="28"/>
          <w:szCs w:val="28"/>
          <w:rtl w:val="true"/>
          <w:lang w:bidi="ar-SA"/>
        </w:rPr>
        <w:t xml:space="preserve">من الطرفين ، ولا تلزم إلاّ بتلف أحد العوضين ، أو التصرّف المغيّر أو الناقل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أحدهما لم يكن لوارثه الرجوع ، ولكن لو جنّ فالظاهر قيام وليّه مقامه في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 المعاطاتي ليس قابلاً للشروط ، فلو اُريد ثبوت خيار بالشرط أو سقوطه به أو شرط آخر حتّى جعل مدّة وأجل لأحد العوضين يلزم</w:t>
      </w:r>
      <w:r>
        <w:rPr>
          <w:rStyle w:val="FootnoteAnchor"/>
          <w:rtl w:val="true"/>
        </w:rPr>
        <w:footnoteReference w:id="1056"/>
      </w:r>
      <w:r>
        <w:rPr>
          <w:rFonts w:ascii="Amiri" w:hAnsi="Amiri" w:eastAsia="Amiri" w:cs="Amiri"/>
          <w:color w:val="111111"/>
          <w:sz w:val="28"/>
          <w:sz w:val="28"/>
          <w:szCs w:val="28"/>
          <w:rtl w:val="true"/>
          <w:lang w:bidi="ar-SA"/>
        </w:rPr>
        <w:t xml:space="preserve">إجراء صيغة البيع وإدراج ذلك الشرط في ضمنها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تجري المعاطاة في غير البيع من سائر المعاملات ، أو لا تجري فيها ، أو تجري في بعضها دون بعض ؟ لعلّ الظاهر هو الأخير ، ونحن فيما بعد نشير في كلّ باب إلى جريانها فيه وعدمه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يقع البيع والشراء بمباشرة المالك يقع بالتوكيل أو الولاية من طرف واحد أو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لشخص واحد تولّي طرفي العقد أصالة من طرف ووكالة أو ولاية من آخر ، أو وكالة من الطرفين ، أو ولاية منهما ، أو وكالة من طرف وولاية من آخر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057"/>
      </w:r>
      <w:r>
        <w:rPr>
          <w:rFonts w:ascii="Amiri" w:hAnsi="Amiri" w:eastAsia="Amiri" w:cs="Amiri"/>
          <w:color w:val="111111"/>
          <w:sz w:val="28"/>
          <w:sz w:val="28"/>
          <w:szCs w:val="28"/>
          <w:rtl w:val="true"/>
          <w:lang w:bidi="ar-SA"/>
        </w:rPr>
        <w:t xml:space="preserve">تعليق البيع على شيء غير حاصل حين العقد ؛ سواء </w:t>
      </w:r>
      <w:bookmarkStart w:id="510" w:name="pg15003_160015"/>
    </w:p>
    <w:p>
      <w:pPr>
        <w:pStyle w:val="BookText"/>
        <w:rPr/>
      </w:pPr>
      <w:bookmarkEnd w:id="510"/>
      <w:r>
        <w:rPr>
          <w:rFonts w:ascii="Amiri" w:hAnsi="Amiri" w:eastAsia="Amiri" w:cs="Amiri"/>
          <w:color w:val="111111"/>
          <w:sz w:val="28"/>
          <w:sz w:val="28"/>
          <w:szCs w:val="28"/>
          <w:rtl w:val="true"/>
          <w:lang w:bidi="ar-SA"/>
        </w:rPr>
        <w:t xml:space="preserve">علم حصوله فيما بعد أم لا ، ولا على شيء مجهول الحصول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تعليقه على معلوم الحصول حينه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إن كان اليوم يوم السبت ، مع العلم به ، ففيه إشكال ، لا يبعد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قبض المشتري ما ابتاعه بالعقد الفاسد لم يملكه وكان مضموناً عليه ؛ بمعنى أ نّه يجب عليه أن يردّه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ولو بآفة سماوية يجب عليه ردّ عوضه من المثل أو القيمة ، نعم لو كان كلّ من البائع والمشتري راضياً بتصرّف الآخر فيما قبضه ولو على تقدير فساده يباح لكلّ منهما التصرّف والانتفاع بما قبضه ولو بإتلافه ، ولا ضمان عليه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487943_3406789950"/>
      <w:bookmarkStart w:id="512" w:name="_Toc186"/>
      <w:bookmarkEnd w:id="511"/>
      <w:r>
        <w:rPr>
          <w:rtl w:val="true"/>
        </w:rPr>
        <w:t xml:space="preserve">القول </w:t>
      </w:r>
      <w:r>
        <w:rPr>
          <w:rtl w:val="true"/>
        </w:rPr>
        <w:t xml:space="preserve">: </w:t>
      </w:r>
      <w:r>
        <w:rPr>
          <w:rtl w:val="true"/>
        </w:rPr>
        <w:t>في شروط البيع</w:t>
      </w:r>
      <w:bookmarkEnd w:id="512"/>
    </w:p>
    <w:p>
      <w:pPr>
        <w:pStyle w:val="BookText"/>
        <w:rPr/>
      </w:pPr>
      <w:r>
        <w:rPr>
          <w:rFonts w:ascii="Amiri" w:hAnsi="Amiri" w:eastAsia="Amiri" w:cs="Amiri"/>
          <w:color w:val="111111"/>
          <w:sz w:val="28"/>
          <w:sz w:val="28"/>
          <w:szCs w:val="28"/>
          <w:rtl w:val="true"/>
          <w:lang w:bidi="ar-SA"/>
        </w:rPr>
        <w:t xml:space="preserve">وهي إمّا في المتعاقدين وإمّا في العوضين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487945_3406789950"/>
      <w:bookmarkStart w:id="514" w:name="_Toc187"/>
      <w:bookmarkEnd w:id="513"/>
      <w:r>
        <w:rPr>
          <w:rtl w:val="true"/>
        </w:rPr>
        <w:t xml:space="preserve">القول </w:t>
      </w:r>
      <w:r>
        <w:rPr>
          <w:rtl w:val="true"/>
        </w:rPr>
        <w:t xml:space="preserve">: </w:t>
      </w:r>
      <w:r>
        <w:rPr>
          <w:rtl w:val="true"/>
        </w:rPr>
        <w:t>في شرائط المتعاقدين</w:t>
      </w:r>
      <w:bookmarkEnd w:id="51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يصحّ بيع الصغير ولو كان مميّزاً وكان بإذن الوليّ إذا كان مستقلاًّ</w:t>
      </w:r>
      <w:r>
        <w:rPr>
          <w:rStyle w:val="FootnoteAnchor"/>
          <w:rtl w:val="true"/>
        </w:rPr>
        <w:footnoteReference w:id="1058"/>
      </w:r>
      <w:r>
        <w:rPr>
          <w:rFonts w:ascii="Amiri" w:hAnsi="Amiri" w:eastAsia="Amiri" w:cs="Amiri"/>
          <w:color w:val="111111"/>
          <w:sz w:val="28"/>
          <w:sz w:val="28"/>
          <w:szCs w:val="28"/>
          <w:rtl w:val="true"/>
          <w:lang w:bidi="ar-SA"/>
        </w:rPr>
        <w:t xml:space="preserve">في إيقاع المعاملة ، نعم لو كان بمنزلة الآلة ؛ بحيث يكون حقيقة المعاملة بين البالغين ، لا بأس به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المشهور</w:t>
      </w:r>
      <w:r>
        <w:rPr>
          <w:rStyle w:val="FootnoteAnchor"/>
          <w:rtl w:val="true"/>
        </w:rPr>
        <w:footnoteReference w:id="1059"/>
      </w:r>
      <w:r>
        <w:rPr>
          <w:rFonts w:ascii="Amiri" w:hAnsi="Amiri" w:eastAsia="Amiri" w:cs="Amiri"/>
          <w:color w:val="111111"/>
          <w:sz w:val="28"/>
          <w:sz w:val="28"/>
          <w:szCs w:val="28"/>
          <w:rtl w:val="true"/>
          <w:lang w:bidi="ar-SA"/>
        </w:rPr>
        <w:t xml:space="preserve">أ نّه كما لا تصحّ معاملة الصبيّ لنفسه كذلك لا </w:t>
      </w:r>
    </w:p>
    <w:p>
      <w:pPr>
        <w:pStyle w:val="BookText"/>
        <w:rPr/>
      </w:pPr>
      <w:r>
        <w:rPr>
          <w:rFonts w:ascii="Amiri" w:hAnsi="Amiri" w:eastAsia="Amiri" w:cs="Amiri"/>
          <w:color w:val="111111"/>
          <w:sz w:val="28"/>
          <w:sz w:val="28"/>
          <w:szCs w:val="28"/>
          <w:rtl w:val="true"/>
          <w:lang w:bidi="ar-SA"/>
        </w:rPr>
        <w:t xml:space="preserve">تصحّ لغيره أيضاً إذا كان وكيلاً عنه ، حتّى فيما لو أذن له الوليّ في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منه مجرّد إجراء الصيغة ولو كان أصل المعاملة بين البالغين ، فهو مسلوب العبارة وكان عقده كعقد الهازل والغافل ، وهذا التعميم عندي محلّ نظر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بيع المجنون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فلا يصحّ بيع غير القاصد كالهازل والغالط والساهي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 فلا يقع البيع من المكرَه ، والمراد به الخائف على ترك البيع من جهة توعيد الغير عليه بإيقاع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بصحّة البيع الاضطرار الموجب للإلجاء وإن كان حاصلاً من إلزام الغير بشيء ، كما إذا ألزمه ظالم على دفع مال فالتجأ إلى بيع ماله لدفع ذلك المال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الضرر المتوعّد به بين أن يكون متعلّقاً بنفس المكره نفساً أو عرضاً أو مالاً ، أو بمن يكون متعلّقاً به كولده وعياله ممّن يكون إيقاع محذور عليه بمنزلة إيقاعه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رضي المكره بالبيع بعد زوال الإكراه صحّ ولزم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لا يعتبر في صدق الإكراه عدم إمكان التفصّي بالتورية</w:t>
      </w:r>
      <w:r>
        <w:rPr>
          <w:rStyle w:val="FootnoteAnchor"/>
          <w:rtl w:val="true"/>
        </w:rPr>
        <w:footnoteReference w:id="1060"/>
      </w:r>
      <w:r>
        <w:rPr>
          <w:rFonts w:ascii="Amiri" w:hAnsi="Amiri" w:eastAsia="Amiri" w:cs="Amiri"/>
          <w:color w:val="111111"/>
          <w:sz w:val="28"/>
          <w:sz w:val="28"/>
          <w:szCs w:val="28"/>
          <w:rtl w:val="true"/>
          <w:lang w:bidi="ar-SA"/>
        </w:rPr>
        <w:t xml:space="preserve">، فلو اُلزم بالبيع واُوعد على تركه بإيقاع ضرر عليه فباع قاصداً للمعنى مع إمكان أن لا يقصد أصلاً أو يقصد معنى آخر غير البيع يكون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متمكّناً من التفصّي بغيرها ؛ بأن يخلّص نفسه من المكرِه ومن الضرر المتوعّد به مع عدم إيقاع البيع بما لم يكن ضرراً عليه ؛ مثل أن يستعين بمن ليس ضرر وحرج في استعانته ، ومع ذلك لم يفعل وأوقع البيع لم يكن مكرَهاً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بيع داره أو عمل آخر ، فباع داره ، فإن كان في العمل الآخر محذور ديني أو دنيوي يتحرّز منه وقع البيع مكرهاً عليه ، وإلاّ وقع مختاراً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أكرهه على بيع أحد الشيئين على التخيير فكلّ ما وقع منه يقع مكرَهاً عليه ، وأمّا لو أوقعهما معاً ، فإن كان تدريجاً فالظاهر وقوع الأوّل</w:t>
      </w:r>
      <w:r>
        <w:rPr>
          <w:rStyle w:val="FootnoteAnchor"/>
          <w:rtl w:val="true"/>
        </w:rPr>
        <w:footnoteReference w:id="1061"/>
      </w:r>
      <w:r>
        <w:rPr>
          <w:rFonts w:ascii="Amiri" w:hAnsi="Amiri" w:eastAsia="Amiri" w:cs="Amiri"/>
          <w:color w:val="111111"/>
          <w:sz w:val="28"/>
          <w:sz w:val="28"/>
          <w:szCs w:val="28"/>
          <w:rtl w:val="true"/>
          <w:lang w:bidi="ar-SA"/>
        </w:rPr>
        <w:t xml:space="preserve">مكرَهاً عليه دون الثاني ، وأمّا لو أوقعهما دفعة ففي صحّة البيع بالنسبة إلى كليهما أو فساده كذلك أو صحّة أحدهما والتعيين بالقرعة وجوه ، لا يخلو أوّلها من رجحان ، وأمّا لو أكرهه على بيع معيّن فضمّ إليه غيره وباعهما دفعة ، فالظاهر البطلان فيما اُكره عليه والصحّة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مالكين للتصرّف ، فلا تقع المعاملة من غير المالك إذا لم يكن وكيلاً عنه أو وليّاً عليه كالأب والجدّ للأب والوصيّ عنهما والحاكم ، ولا من المحجور عليه ، لسفه أو فلس أو غير ذلك من أسباب 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عدم الوقوع من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المسمّى بالفضولي أو المحجور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والنفوذ ، لا كونه لغواً ، فلو أجاز المالك العقد الواقع من غير المالك أو الوليّ العقد الواقع من السفيه ، أو الغرماء العقد الواقع من المفلّس صحّ ولزم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صحّة البيع الصادر من غير المالك مع إجازة المالك بين ما إذا قصد وقوعه للمالك ، وما إذا قصد وقوعه لنفسه ، كما في بيع الغاصب </w:t>
      </w:r>
    </w:p>
    <w:p>
      <w:pPr>
        <w:pStyle w:val="BookText"/>
        <w:rPr/>
      </w:pPr>
      <w:r>
        <w:rPr>
          <w:rFonts w:ascii="Amiri" w:hAnsi="Amiri" w:eastAsia="Amiri" w:cs="Amiri"/>
          <w:color w:val="111111"/>
          <w:sz w:val="28"/>
          <w:sz w:val="28"/>
          <w:szCs w:val="28"/>
          <w:rtl w:val="true"/>
          <w:lang w:bidi="ar-SA"/>
        </w:rPr>
        <w:t xml:space="preserve">ومن اعتقد أ نّه مالك وليس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فرق على الأوّل بين ما إذا سبقه منع المالك عن البيع وما لم يسبقه المنع على إشكال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تأثير الإجازة عدم مسبوقيتها بردّ المالك بعد العقد ، فلو باع فضولاً وبعد ما عرض على المالك قد ردّه ثمّ أجازه لغت الإجازة</w:t>
      </w:r>
      <w:r>
        <w:rPr>
          <w:rStyle w:val="FootnoteAnchor"/>
          <w:rtl w:val="true"/>
        </w:rPr>
        <w:footnoteReference w:id="1062"/>
      </w:r>
      <w:r>
        <w:rPr>
          <w:rFonts w:ascii="Amiri" w:hAnsi="Amiri" w:eastAsia="Amiri" w:cs="Amiri"/>
          <w:color w:val="111111"/>
          <w:sz w:val="28"/>
          <w:sz w:val="28"/>
          <w:szCs w:val="28"/>
          <w:rtl w:val="true"/>
          <w:lang w:bidi="ar-SA"/>
        </w:rPr>
        <w:t xml:space="preserve">، كما أ نّه لو ردّ بعد الإجازة لغا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من المالك كما تقع باللفظ الدالّ على الرضا بالبيع بحسب متفاهم العرف ولو بالكناية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أمضيت وأجزت وأنفذت ورضيت وشبه ذلك ، وكقوله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فيه ، وشبه ذلك من الكنايات ، كذلك تقع بالفعل الكاشف عرفاً عن الرضا بالعقد كما إذا تصرّف في الثمن ، ومن ذلك ما إذا أجاز البيع الواقع عليه ؛ لأ نّه مستلزم لإجازة البيع الواقع على المثمن ، وكما إذا مكّنت الزوجة من نفسها إذا زوّجت فضولاً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الإجازة كاشفة عن صحّة العقد الصادر من الفضولي من حين وقوعه فتكشف عن أنّ المبيع كان ملكاً للمشتري والثمن ملكاً للبائع من زمان وقوع العقد أو ناقلة ؛ بمعنى كونها شرطاً لتأثير العقد من حين وقوعها ؟ الظاهر هو الثاني</w:t>
      </w:r>
      <w:r>
        <w:rPr>
          <w:rStyle w:val="FootnoteAnchor"/>
          <w:rtl w:val="true"/>
        </w:rPr>
        <w:footnoteReference w:id="1063"/>
      </w:r>
      <w:r>
        <w:rPr>
          <w:rFonts w:ascii="Amiri" w:hAnsi="Amiri" w:eastAsia="Amiri" w:cs="Amiri"/>
          <w:color w:val="111111"/>
          <w:sz w:val="28"/>
          <w:sz w:val="28"/>
          <w:szCs w:val="28"/>
          <w:rtl w:val="true"/>
          <w:lang w:bidi="ar-SA"/>
        </w:rPr>
        <w:t xml:space="preserve">، وتظهر الثمرة في النماء المتخلّل بين العقد والإجازة ، فعلى الأوّل نماء المبيع للمشتري ونماء الثمن للبائع ، وعلى الثاني بالعكس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المالك راضياً بالبيع باطناً ، لكن لم يصدر منه إذن وتوكيل للغير في البيع أو الشراء ، فالظاهر أ نّه لا يكفي في الخروج عن الفضولية ، </w:t>
      </w:r>
    </w:p>
    <w:p>
      <w:pPr>
        <w:pStyle w:val="BookText"/>
        <w:rPr/>
      </w:pPr>
      <w:r>
        <w:rPr>
          <w:rFonts w:ascii="Amiri" w:hAnsi="Amiri" w:eastAsia="Amiri" w:cs="Amiri"/>
          <w:color w:val="111111"/>
          <w:sz w:val="28"/>
          <w:sz w:val="28"/>
          <w:szCs w:val="28"/>
          <w:rtl w:val="true"/>
          <w:lang w:bidi="ar-SA"/>
        </w:rPr>
        <w:t xml:space="preserve">فيحتاج في نفوذه إلى الإجازة ، سيّما إذا لم يلتفت حين العقد إلى وقوعه ، لكن كان بحيث لو كان ملتفتاً كان راضياً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الفضولي قصد الفضولية ، فلو تخيّل كونه وليّاً أو وكيلاً فتبيّن خلافه يكون من الفضولي ويصحّ بالإجازة ، وأمّا العكس بأن تخيّل كونه غير جائز التصرّف فتبيّن كونه وكيلاً أو وليّاً ، فالظاهر صحّته وعدم احتياجه إلى الإجازة على إشكال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 تخيّل كونه غير مالك فتبيّن كونه مالكاً ، لكن عدم الصحّة والاحتياج إلى الإجازة فيه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شيئاً فضولاً ثمّ ملكه إمّا باختياره كالشراء أو بغير اختياره كالإرث صحّ بإجازته بعد ما ملكه على الأقوى</w:t>
      </w:r>
      <w:r>
        <w:rPr>
          <w:rStyle w:val="FootnoteAnchor"/>
          <w:rtl w:val="true"/>
        </w:rPr>
        <w:footnoteReference w:id="1064"/>
      </w:r>
      <w:r>
        <w:rPr>
          <w:rFonts w:ascii="Amiri" w:hAnsi="Amiri" w:eastAsia="Amiri" w:cs="Amiri"/>
          <w:color w:val="111111"/>
          <w:sz w:val="28"/>
          <w:sz w:val="28"/>
          <w:szCs w:val="28"/>
          <w:rtl w:val="true"/>
          <w:lang w:bidi="ar-SA"/>
        </w:rPr>
        <w:t xml:space="preserve">، وليس باطلاً بحيث لا تجدي الإجازة أصلاً ، ولا صحيحاً بحيث لا حاجة إليها ؛ كما قال بكلّ منهما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المجيز أن يكون مالكاً حين العقد ، فيجوز أن يكون المالك حين العقد غير المالك حين الإجازة ، كما إذا مات المالك حين العقد قبل الإجازة فيصحّ بإجازة الوارث ، وأولى بذلك ما إذا كان المالك حين العقد غير جائز التصرّف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 أو سفه أو جنون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المانع ، فإنّه يصحّ بإجازته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بيوع متعدّدة على مال الغير ، فإمّا أن تقع على نفس مال الغير ، أو على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 فإمّا أن تقع تلك البيوع من فضولي </w:t>
      </w:r>
    </w:p>
    <w:p>
      <w:pPr>
        <w:pStyle w:val="BookText"/>
        <w:rPr/>
      </w:pPr>
      <w:r>
        <w:rPr>
          <w:rFonts w:ascii="Amiri" w:hAnsi="Amiri" w:eastAsia="Amiri" w:cs="Amiri"/>
          <w:color w:val="111111"/>
          <w:sz w:val="28"/>
          <w:sz w:val="28"/>
          <w:szCs w:val="28"/>
          <w:rtl w:val="true"/>
          <w:lang w:bidi="ar-SA"/>
        </w:rPr>
        <w:t xml:space="preserve">واحد كما إذا باع دار زيد مكرّراً على أشخاص متعدّدة ، وإمّا أن تقع من أشخاص متعدّدة كما إذا باعها من شخص بفرس ، ثمّ باعها المشتري من شخص آخر بحمار ، ثمّ باعها المشتري الثاني من شخص آخر بكتاب وهكذا ، وعلى الثاني فإمّا أن تكون من شخص واحد على الأعواض والأثمان بالترامي ، كما إذا باع دار زيد بثوب ثمّ باع الثوب ببقر ثمّ باع البقر بفراش وهكذا ، وإمّا أن تقع على ثمن شخصي مراراً ، كما إذا باع الثوب في المثال المزبور مراراً على أشخاص متعدّدة ، فهذه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للمالك في جميع هذه الصور أن يتتبّع البيوع ويجيز أيّ واحد شاء منها ، ويصحّ بإجازته ذلك العقد المجاز ، وأمّا غيره من البيوع فيحتاج إلى شرح وتفصيل لا يناسب هذا المختصر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الذي يكون مانعاً عن تأثير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w:t>
      </w:r>
      <w:r>
        <w:rPr>
          <w:rStyle w:val="FootnoteAnchor"/>
          <w:rtl w:val="true"/>
        </w:rPr>
        <w:footnoteReference w:id="1065"/>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مانعاً عن لحوقها مطلقاً ولو من غير المالك حين العقد ، وهو إمّا بالقول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 ورددت ، وشبه ذلك ممّا هو ظاهر فيه ، وإمّا بالفعل كما إذا تصرّف فيه بما يوجب فوات محلّ الإجازة عقلاً كالإتلاف أو شرعاً كالعتق، وقد يكون مانعاً عن لحوقها بالنسبة إلى خصوص المالك حين العقد لا مطلقاً كالتصرّف الناقل للعين كالبيع والهبة ونحوهما ؛ حيث إنّ بذلك لا يفوت محلّ الإجازة إلاّ بالنسبة إلى المنتقل عنه ، وأمّا المنتقل إليه فله أن يجيز بناءً على عدم اعتبار كون المجيز مالكاً حين العقد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الإجارة فالظاهر أ نّه لا تكون مانعاً عن الإجازة مطلقاً حتّى بالنسبة إلى المالك المؤجر ؛ لعدم التنافي بين </w:t>
      </w:r>
    </w:p>
    <w:p>
      <w:pPr>
        <w:pStyle w:val="BookText"/>
        <w:rPr/>
      </w:pPr>
      <w:r>
        <w:rPr>
          <w:rFonts w:ascii="Amiri" w:hAnsi="Amiri" w:eastAsia="Amiri" w:cs="Amiri"/>
          <w:color w:val="111111"/>
          <w:sz w:val="28"/>
          <w:sz w:val="28"/>
          <w:szCs w:val="28"/>
          <w:rtl w:val="true"/>
          <w:lang w:bidi="ar-SA"/>
        </w:rPr>
        <w:t xml:space="preserve">الإجارة والإجازة ، غاية الأمر أ نّه تنتقل العين بعد الإجارة إلى المشتري مسلوبة المنفعة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لم تتحقّق الإجازة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تحقّق منه الردّ أم لا كالمتردّد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انتزاع عين ماله مع بقائه ممّن وجده في يده ، بل وله الرجوع بمنافعه المستوفاة</w:t>
      </w:r>
      <w:r>
        <w:rPr>
          <w:rStyle w:val="FootnoteAnchor"/>
          <w:rtl w:val="true"/>
        </w:rPr>
        <w:footnoteReference w:id="1066"/>
      </w:r>
      <w:r>
        <w:rPr>
          <w:rFonts w:ascii="Amiri" w:hAnsi="Amiri" w:eastAsia="Amiri" w:cs="Amiri"/>
          <w:color w:val="111111"/>
          <w:sz w:val="28"/>
          <w:sz w:val="28"/>
          <w:szCs w:val="28"/>
          <w:rtl w:val="true"/>
          <w:lang w:bidi="ar-SA"/>
        </w:rPr>
        <w:t>في هذه المدّة ، وله مطالبة البائع</w:t>
      </w:r>
      <w:r>
        <w:rPr>
          <w:rStyle w:val="FootnoteAnchor"/>
          <w:rtl w:val="true"/>
        </w:rPr>
        <w:footnoteReference w:id="1067"/>
      </w:r>
      <w:r>
        <w:rPr>
          <w:rFonts w:ascii="Amiri" w:hAnsi="Amiri" w:eastAsia="Amiri" w:cs="Amiri"/>
          <w:color w:val="111111"/>
          <w:sz w:val="28"/>
          <w:sz w:val="28"/>
          <w:szCs w:val="28"/>
          <w:rtl w:val="true"/>
          <w:lang w:bidi="ar-SA"/>
        </w:rPr>
        <w:t xml:space="preserve">الفضولي بردّ العين ومنافعها إذا كانت في يده وقد سلّمها إلى المشتري ، بل لو كانت مؤونة لردّها كانت عليه ، هذا مع بقاء العين ، وأمّا مع تلفها يرجع ببدلها إلى من تلفت عنده ولو تعاقبت أيدي متعدّدة عليها بأن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البائع الفضولي وسلّمها إلى المشتري وهو إلى آخر وتلفت عنده يتخيّر المالك في الرجوع بالبدل إلى أيّ واحد منهم ، وله الرجوع إلى الكلّ موزّعاً عليهم بالتساوي أو بالتفاوت ، فإن رجع إلى واحد سقط عن الباقين وليس له الرجوع إليهم بعد ذلك ، هذا حكم المالك مع البائع الفضولي والمشتري وكلّ من صار عين ماله بيده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 المشتري مع البائع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علمه بكونه غير مالك ليس له الرجوع إليه بشيء ممّا يرجع المالك إليه وما وردت من الخسارات عليه ، حتّى أ نّه إذا دفع الثمن إلى البائع وتلف عنده ليس له أن يرجع</w:t>
      </w:r>
      <w:r>
        <w:rPr>
          <w:rStyle w:val="FootnoteAnchor"/>
          <w:rtl w:val="true"/>
        </w:rPr>
        <w:footnoteReference w:id="1068"/>
      </w:r>
      <w:r>
        <w:rPr>
          <w:rFonts w:ascii="Amiri" w:hAnsi="Amiri" w:eastAsia="Amiri" w:cs="Amiri"/>
          <w:color w:val="111111"/>
          <w:sz w:val="28"/>
          <w:sz w:val="28"/>
          <w:szCs w:val="28"/>
          <w:rtl w:val="true"/>
          <w:lang w:bidi="ar-SA"/>
        </w:rPr>
        <w:t xml:space="preserve">إليه ، نعم له أن يستردّه لو كان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جهله فله أن يرجع إليه بكلّ ما اغترم للمالك لو رجع إليه ، حتّى فيما إذا اغترم له بدل المنافع والنماءات التي استوفاها ، فإذا </w:t>
      </w:r>
    </w:p>
    <w:p>
      <w:pPr>
        <w:pStyle w:val="BookText"/>
        <w:rPr/>
      </w:pPr>
      <w:r>
        <w:rPr>
          <w:rFonts w:ascii="Amiri" w:hAnsi="Amiri" w:eastAsia="Amiri" w:cs="Amiri"/>
          <w:color w:val="111111"/>
          <w:sz w:val="28"/>
          <w:sz w:val="28"/>
          <w:szCs w:val="28"/>
          <w:rtl w:val="true"/>
          <w:lang w:bidi="ar-SA"/>
        </w:rPr>
        <w:t xml:space="preserve">اشترى داراً مع جهله بكون البائع غير مالك وأ نّها مستحقّة للغير وسكنها مدّة ثمّ جاء المالك وأخذ داره وأخذ منه اُجرة مثل الدار في تلك المدّة ، له أن يرجع بها إلى البائع ، وكذا يرجع إليه بكلّ خسارة وردت عليه مثل إنفاق الدابّة وما صرفه في العمارة وما تلف منه وضاع من الغرس أو الزرع أو الحفر وغيرها ، فإنّ البائع الغير المالك ضامن لدرك جميع ذلك ، وللمشتري الجاهل أن يرجع بها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المشتري لمال الغير فيما اشتراه بناءً أو غرساً أو زرعاً فللمالك إلزامه بإزالة ما أحدثه وتسوية الأرض ومطالبته بأرش النقص لو كان ، من دون أن يضمن المالك ما يردّ عليه من الخسران ، كما أنّ للمشتري إزالة ذلك مع ضمانه أرش النقص الوارد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للمالك إلزام المشتري بالإبقاء ولو مجّاناً ، كما أ نّه ليس للمشتري حقّ الإبقاء ولو بالاُجرة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حفر بئراً أو كرى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اشتراها وجب عليه طمّها وردّها إلى الحالة الاُولى لو أراده المالك وأمكن ، وضمن أرش النقص لو كان ، وليس له مطالبة المالك اُجرة عمله أو ما صرفه فيه من ماله وإن زاد به القيمة ، كما أ نّه ليس له ردّه إلى الحالة الاُولى بالطمّ ونحوه لو لم يرض به المالك ، نعم يرجع باُجرة عمله وكلّ ما صرف من ماله وكلّ خسارة وردت عليه إلى البائع الغاصب مع جهله لا مع علمه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أحدث المشتري فيما اشتراه صفة من دون أن يكون له عين في العين المشتراة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طحن الحنطة أو غزل ونسج القطن أو صاغ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فروع كثيرة نتعرّض لها في كتاب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المقام أحد مصاديقه أو ملحق به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جمع البائع بين ملكه وملك غيره ، أو باع ما كان مشتركاً بينه </w:t>
      </w:r>
    </w:p>
    <w:p>
      <w:pPr>
        <w:pStyle w:val="BookText"/>
        <w:rPr/>
      </w:pPr>
      <w:r>
        <w:rPr>
          <w:rFonts w:ascii="Amiri" w:hAnsi="Amiri" w:eastAsia="Amiri" w:cs="Amiri"/>
          <w:color w:val="111111"/>
          <w:sz w:val="28"/>
          <w:sz w:val="28"/>
          <w:szCs w:val="28"/>
          <w:rtl w:val="true"/>
          <w:lang w:bidi="ar-SA"/>
        </w:rPr>
        <w:t>وبين غيره ، نفذ البيع في ملكه بما قابله من الثمن ، ونفوذه وصحّته في ملك الغير موقوف على إجازته ، فإن أجازه وإلاّ</w:t>
      </w:r>
      <w:r>
        <w:rPr>
          <w:rStyle w:val="FootnoteAnchor"/>
          <w:rtl w:val="true"/>
        </w:rPr>
        <w:footnoteReference w:id="1069"/>
      </w:r>
      <w:r>
        <w:rPr>
          <w:rFonts w:ascii="Amiri" w:hAnsi="Amiri" w:eastAsia="Amiri" w:cs="Amiri"/>
          <w:color w:val="111111"/>
          <w:sz w:val="28"/>
          <w:sz w:val="28"/>
          <w:szCs w:val="28"/>
          <w:rtl w:val="true"/>
          <w:lang w:bidi="ar-SA"/>
        </w:rPr>
        <w:t xml:space="preserve">فللمشتري خيار فسخ البيع من أصله من جهة التبعّض إن كان جاهلاً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w:t>
      </w:r>
      <w:r>
        <w:rPr>
          <w:rStyle w:val="FootnoteAnchor"/>
          <w:rtl w:val="true"/>
        </w:rPr>
        <w:footnoteReference w:id="1070"/>
      </w:r>
      <w:r>
        <w:rPr>
          <w:rFonts w:ascii="Amiri" w:hAnsi="Amiri" w:eastAsia="Amiri" w:cs="Amiri"/>
          <w:color w:val="111111"/>
          <w:sz w:val="28"/>
          <w:sz w:val="28"/>
          <w:szCs w:val="28"/>
          <w:rtl w:val="true"/>
          <w:lang w:bidi="ar-SA"/>
        </w:rPr>
        <w:t xml:space="preserve">معرفة حصّة كلّ منهما من الثمن أن يقوّم كلّ منهما بقيمته الواقعية ، ثمّ يلاحظ نسبة قيمة أحدهما مع قيمة الآخر ، فيجعل نصيب كلّ منهما من الثمن بتلك النسبة ، فإذا باعهما معاً بستّة وكان قيمة أحدهما ستّة وقيمة الآخر ثلاثة يكون حصّة ما كان قيمته ثلاثة من ستّة الثمن نصف حصّة الآخر منها ، فلأحدهما اثنان وللآخر أربعة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والجدّ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يتصرّفا في مال الصغير بالبيع والشراء والإجارة وغيرها ، وكلّ منهما مستقلّ في الولاية وجد الآخر معه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العدالة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نفوذ تصرّفهما المصلحة</w:t>
      </w:r>
      <w:r>
        <w:rPr>
          <w:rStyle w:val="FootnoteAnchor"/>
          <w:rtl w:val="true"/>
        </w:rPr>
        <w:footnoteReference w:id="1071"/>
      </w:r>
      <w:r>
        <w:rPr>
          <w:rFonts w:ascii="Amiri" w:hAnsi="Amiri" w:eastAsia="Amiri" w:cs="Amiri"/>
          <w:color w:val="111111"/>
          <w:sz w:val="28"/>
          <w:sz w:val="28"/>
          <w:szCs w:val="28"/>
          <w:rtl w:val="true"/>
          <w:lang w:bidi="ar-SA"/>
        </w:rPr>
        <w:t xml:space="preserve">، بل يكفي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لهما الولاية في ماله بأنواع التصرّفات لهما الولاية في نفسه بالإجارة والتزويج وغيرهما إلاّ الطلاق فلا يملكانه بل ينتظر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به فسخ عقد النكاح عند موجبه وهبة المدّة في المتعة ؟ وجهان بل قولان ، 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الأقارب من له الولاية </w:t>
      </w:r>
      <w:bookmarkStart w:id="515" w:name="pg15003_160024"/>
    </w:p>
    <w:p>
      <w:pPr>
        <w:pStyle w:val="BookText"/>
        <w:rPr/>
      </w:pPr>
      <w:bookmarkEnd w:id="515"/>
      <w:r>
        <w:rPr>
          <w:rFonts w:ascii="Amiri" w:hAnsi="Amiri" w:eastAsia="Amiri" w:cs="Amiri"/>
          <w:color w:val="111111"/>
          <w:sz w:val="28"/>
          <w:sz w:val="28"/>
          <w:szCs w:val="28"/>
          <w:rtl w:val="true"/>
          <w:lang w:bidi="ar-SA"/>
        </w:rPr>
        <w:t xml:space="preserve">على الصغير غير الأب والجدّ للأب ، بل هم كلّهم كالأجانب حتّى الاُمّ والأخ والجدّ 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للأب والجدّ الولاية على الصغير في زمان حياتهما كذلك لهما نصب القيّم عليه بعد وفاتهما ، فينفذ منه ما كان ينفذ منهما على إشكال في التزويج ، إلاّ أنّ الظاهر فيه اعتبار المصلحة ، ولا يكفي مجرّد عدم المفسدة ، كما أنّ الأحوط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الأقوى</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العدالة ، وسيأتي تفصيل ذلك في كتاب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فقد الأب والجدّ والوصيّ عنهما يكون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التصرّف في أموال الصغار مشروطاً بالغبطة والصلاح ، بل الأحوط له الاقتصار على ما إذا كان في تركه الضرر والفساد ، وحيث إنّ هذا تكليف راجع إليه فيتّبع رأيه ونظره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 الحاكم يرجع الأمر إلى عدول</w:t>
      </w:r>
      <w:r>
        <w:rPr>
          <w:rStyle w:val="FootnoteAnchor"/>
          <w:rtl w:val="true"/>
        </w:rPr>
        <w:footnoteReference w:id="1073"/>
      </w:r>
      <w:r>
        <w:rPr>
          <w:rFonts w:ascii="Amiri" w:hAnsi="Amiri" w:eastAsia="Amiri" w:cs="Amiri"/>
          <w:color w:val="111111"/>
          <w:sz w:val="28"/>
          <w:sz w:val="28"/>
          <w:szCs w:val="28"/>
          <w:rtl w:val="true"/>
          <w:lang w:bidi="ar-SA"/>
        </w:rPr>
        <w:t>المؤمنين فلهم ولاية التصرّف في مال الصغير بما يكون في تركه مفسدة</w:t>
      </w:r>
      <w:r>
        <w:rPr>
          <w:rStyle w:val="FootnoteAnchor"/>
          <w:rtl w:val="true"/>
        </w:rPr>
        <w:footnoteReference w:id="1074"/>
      </w:r>
      <w:r>
        <w:rPr>
          <w:rFonts w:ascii="Amiri" w:hAnsi="Amiri" w:eastAsia="Amiri" w:cs="Amiri"/>
          <w:color w:val="111111"/>
          <w:sz w:val="28"/>
          <w:sz w:val="28"/>
          <w:szCs w:val="28"/>
          <w:rtl w:val="true"/>
          <w:lang w:bidi="ar-SA"/>
        </w:rPr>
        <w:t xml:space="preserve">وفي فعله صلاح وغبطة </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487947_3406789950"/>
      <w:bookmarkStart w:id="517" w:name="_Toc188"/>
      <w:bookmarkEnd w:id="516"/>
      <w:r>
        <w:rPr>
          <w:rtl w:val="true"/>
        </w:rPr>
        <w:t xml:space="preserve">القول </w:t>
      </w:r>
      <w:r>
        <w:rPr>
          <w:rtl w:val="true"/>
        </w:rPr>
        <w:t xml:space="preserve">: </w:t>
      </w:r>
      <w:r>
        <w:rPr>
          <w:rtl w:val="true"/>
        </w:rPr>
        <w:t>في شروط العوضين</w:t>
      </w:r>
      <w:bookmarkEnd w:id="517"/>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المبيع أن يكون عيناً متموّلاً ؛ سواء كان موجوداً في الخارج أو كلّياً في ذمّة البائع أو في ذمّة غيره ، كأن يبيع ما كان له في ذمّة غيره </w:t>
      </w:r>
    </w:p>
    <w:p>
      <w:pPr>
        <w:pStyle w:val="BookText"/>
        <w:rPr/>
      </w:pPr>
      <w:r>
        <w:rPr>
          <w:rFonts w:ascii="Amiri" w:hAnsi="Amiri" w:eastAsia="Amiri" w:cs="Amiri"/>
          <w:color w:val="111111"/>
          <w:sz w:val="28"/>
          <w:sz w:val="28"/>
          <w:szCs w:val="28"/>
          <w:rtl w:val="true"/>
          <w:lang w:bidi="ar-SA"/>
        </w:rPr>
        <w:t xml:space="preserve">بشيء ، فلا يجوز أن يكون منفعة كمنفعة الدار أو الدابّة ، أو عملاً كخياطة الثوب ، أو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الثمن فيجوز أن يكون منفعة أو عملاً متموّلاً ، بل يجوز أن يكون حقّاً قابلاً للنقل والانتقال كحقّي التحجير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كونه حقّاً قابلاً للإسقاط غير قابل للنقل والانتقال كحقّي الخيار والشفعة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مقدار ما كان مقدّراً بالكيل أو الوزن أو العدّ بأحدها في العوضين ، فلا يكفي المشاهدة ولا تقديره بغير ما يكون به تقديره ، فلا يكفي تقدير الموزون بالكيل أو العدّ ، والمعدود بالوزن أو الكيل ، نعم لا بأس بأن يكال جملة ممّا يعدّ أو ممّا يوزن ، ثمّ يعدّ أو يوزن ما في أحد المكائيل ثمّ يحسب الباقي بحسابه ، وهذا ليس من تقدير المعدود أو الموزون بالكيل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الاعتماد على إخبار البائع بمقدار المبيع فيشتريه مبنيّاً على ما أخبر به ، ولو تبيّن النقص فله الخيار فإن فسخ يردّ تمام الثمن وإن أمضاه ينقص من الثمن بحسابه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يكفي المشاهدة في بيع الحطب</w:t>
      </w:r>
      <w:r>
        <w:rPr>
          <w:rStyle w:val="FootnoteAnchor"/>
          <w:rtl w:val="true"/>
        </w:rPr>
        <w:footnoteReference w:id="1075"/>
      </w:r>
      <w:r>
        <w:rPr>
          <w:rFonts w:ascii="Amiri" w:hAnsi="Amiri" w:eastAsia="Amiri" w:cs="Amiri"/>
          <w:color w:val="111111"/>
          <w:sz w:val="28"/>
          <w:sz w:val="28"/>
          <w:szCs w:val="28"/>
          <w:rtl w:val="true"/>
          <w:lang w:bidi="ar-SA"/>
        </w:rPr>
        <w:t xml:space="preserve">قبل أن يحلّ حمله وصار كومة منه ، والتبن قبل أن يفرغ من وعاء حمله وصار صبرة منه ، ومثلهما كثير من المائعات المحرزة في الشيشات ، فهي ليست من الموزون قبل أن يفرغ منها ، ويكفي في بيعها المشاهدة وبعد ذلك تكون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مثل ذلك </w:t>
      </w:r>
    </w:p>
    <w:p>
      <w:pPr>
        <w:pStyle w:val="BookText"/>
        <w:rPr/>
      </w:pPr>
      <w:r>
        <w:rPr>
          <w:rFonts w:ascii="Amiri" w:hAnsi="Amiri" w:eastAsia="Amiri" w:cs="Amiri"/>
          <w:color w:val="111111"/>
          <w:sz w:val="28"/>
          <w:sz w:val="28"/>
          <w:szCs w:val="28"/>
          <w:rtl w:val="true"/>
          <w:lang w:bidi="ar-SA"/>
        </w:rPr>
        <w:t xml:space="preserve">المذبوح من الغنم ، فإنّه قبل أن يسلخ جلده يكفي فيه المشاهدة وبعده يحتاج إلى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قد يختلف حال شيء باختلاف الأحوال والمحالّ ، فيكون من الموزون في محلّ دون محلّ وفي حال دون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كفاية المشاهدة في بيع الأراضي التي يقدّر ماليتها بحسب الخيط والذراع ، بل لا بدّ من الاطّلاع على مساحتها ، وكذلك كثير من الأثواب قبل أن يخاط أو يفصّل ، نعم إذا تعارف عدد خاصّ في أذرع الطاقات من بعض الأثواب جاز بيعها وشراؤها اعتماداً على ذلك التعارف ومبنيّاً عليه ، نظير الاعتماد على إخبار البائع والبناء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اختلفت البلدان في شيء ؛ بأن كان موزوناً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ومعدوداً في آخر ، فالظاهر أنّ المدار على بلد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جنس العوضين وأوصافهما التي تتفاوت بها القيمة وتختلف لها الرغبات ، وذلك إمّا بالمشاهدة أو بالتوصيف الرافع للجهالة ، ويجوز الاكتفاء بالرؤية السابقة إذا لم يعلم</w:t>
      </w:r>
      <w:r>
        <w:rPr>
          <w:rStyle w:val="FootnoteAnchor"/>
          <w:rtl w:val="true"/>
        </w:rPr>
        <w:footnoteReference w:id="1076"/>
      </w:r>
      <w:r>
        <w:rPr>
          <w:rFonts w:ascii="Amiri" w:hAnsi="Amiri" w:eastAsia="Amiri" w:cs="Amiri"/>
          <w:color w:val="111111"/>
          <w:sz w:val="28"/>
          <w:sz w:val="28"/>
          <w:szCs w:val="28"/>
          <w:rtl w:val="true"/>
          <w:lang w:bidi="ar-SA"/>
        </w:rPr>
        <w:t xml:space="preserve">تغيّر العين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العوضين ملكاً طلقاً ، فلا يجوز بيع الماء والعشب والكلأ قبل حيازتها ، والسموك والوحوش قبل اصطيادها ، والموات من الأراضي قبل إحيائها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استنبط بئراً في أرض مباحة ملك ماءها ، وكذا لو حفر نهراً وأجرى فيه الماء من ماء مباح كالشطّ ونحوه ملك ماءه ، فله حينئذٍ بيعه كسائر أملاكه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بيع الرهن إلاّ بإذن المرتهن أو إجازته ، وإذا باع الراهن العين المرهونة ثمّ افتكّت من الرهن ، فالظاهر الصحّة من غير </w:t>
      </w:r>
    </w:p>
    <w:p>
      <w:pPr>
        <w:pStyle w:val="BookText"/>
        <w:rPr/>
      </w:pPr>
      <w:r>
        <w:rPr>
          <w:rFonts w:ascii="Amiri" w:hAnsi="Amiri" w:eastAsia="Amiri" w:cs="Amiri"/>
          <w:color w:val="111111"/>
          <w:sz w:val="28"/>
          <w:sz w:val="28"/>
          <w:szCs w:val="28"/>
          <w:rtl w:val="true"/>
          <w:lang w:bidi="ar-SA"/>
        </w:rPr>
        <w:t xml:space="preserve">حاجة إلى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بيع الوقف ولا بيع اُمّ الولد إلاّ في بعض المواضع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الوقف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الوقف بحيث لم يمكن الانتفاع بعينه مع بقائه ، كالجذع البالي والحصير الخلق والدار الخربة التي لا يمكن الانتفاع حتّى بعرصتها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ما إذا خرج عن الانتفاع أصلاً من جهة اُخرى غير الخراب ، وكذا ما إذا خرج عن الانتفاع المعتدّ به بسبب</w:t>
      </w:r>
      <w:r>
        <w:rPr>
          <w:rStyle w:val="FootnoteAnchor"/>
          <w:rtl w:val="true"/>
        </w:rPr>
        <w:footnoteReference w:id="1077"/>
      </w:r>
      <w:r>
        <w:rPr>
          <w:rFonts w:ascii="Amiri" w:hAnsi="Amiri" w:eastAsia="Amiri" w:cs="Amiri"/>
          <w:color w:val="111111"/>
          <w:sz w:val="28"/>
          <w:sz w:val="28"/>
          <w:szCs w:val="28"/>
          <w:rtl w:val="true"/>
          <w:lang w:bidi="ar-SA"/>
        </w:rPr>
        <w:t xml:space="preserve">الخراب أو غيره بحيث يقال في العرف لا منفعة له ، كما إذا انهدمت الدار وصارت عرصة يمكن إجارتها بمقدار جزئي وكانت بحيث لو بيعت وبدّلت بمال آخر يكون نفعه مثل الأوّل أو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قلّت منفعته لكن لا إلى حدّ يلحق بالمعدوم ، فالظاهر عدم جواز بيعه ولو أمكن أن يشتري بثمنه ما له نفع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يؤدّي</w:t>
      </w:r>
      <w:r>
        <w:rPr>
          <w:rStyle w:val="FootnoteAnchor"/>
          <w:rtl w:val="true"/>
        </w:rPr>
        <w:footnoteReference w:id="1078"/>
      </w:r>
      <w:r>
        <w:rPr>
          <w:rFonts w:ascii="Amiri" w:hAnsi="Amiri" w:eastAsia="Amiri" w:cs="Amiri"/>
          <w:color w:val="111111"/>
          <w:sz w:val="28"/>
          <w:sz w:val="28"/>
          <w:szCs w:val="28"/>
          <w:rtl w:val="true"/>
          <w:lang w:bidi="ar-SA"/>
        </w:rPr>
        <w:t xml:space="preserve">بقاؤه إلى خرابه ؛ سواء كان لخلف بين أربابه أو لغير ذلك وسواء كان أداؤه إلى ذلك معلوماً أو مظنوناً ، وسواء كان الخراب المعلوم أو المظنون على حدّ سقوط الانتفاع بالمرّة أو الانتفاع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إمكان الانتفاع به بعد الخراب كانتفاعه السابق بوجه آخر لم يجز بيعه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الواقف بيعه عند حدوث أمر ؛ من قلّة المنفعة أو كثرة الخراج ، أو وقوع خلاف بين الموقوف عليهم ، أو حصول ضرورة وحاجة شديدة لهم ، فإنّه لا مانع حينئذٍ من بيعه وتبديله على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يجوز بيع اُمّ الولد إذا لم يمت ولدها في حياة سيّدها ، وإلاّ فهي كسائر المماليك يجوز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استثني عن عدم جواز بيعها مع حياة ولدها مواضع</w:t>
      </w:r>
      <w:r>
        <w:rPr>
          <w:rStyle w:val="FootnoteAnchor"/>
          <w:rtl w:val="true"/>
        </w:rPr>
        <w:footnoteReference w:id="1079"/>
      </w:r>
      <w:r>
        <w:rPr>
          <w:rFonts w:ascii="Amiri" w:hAnsi="Amiri" w:eastAsia="Amiri" w:cs="Amiri"/>
          <w:color w:val="111111"/>
          <w:sz w:val="28"/>
          <w:sz w:val="28"/>
          <w:szCs w:val="28"/>
          <w:rtl w:val="true"/>
          <w:lang w:bidi="ar-SA"/>
        </w:rPr>
        <w:t xml:space="preserve">جلّها أو كلّها محلّ المناقشة والنظر ، إلاّ موضع واحد ؛ وهو بيعها في ثمن رقبتها مع إعسار مولاها ، والمتيقّن من هذا أيضاً صورة موت المالك ؛ بأن مات مديوناً بثمنها ولم يترك سواها ، وأمّا مع حياة مولاها فلا يخلو من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المأخوذة من يد الكفّار قهراً المعمورة وقت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ملك للمسلمين كافّة ، فهي باقية على حالها بيد من يعمرها ، ويؤخذ خراجها ويصرف في مصالح المسلمين ، وأمّا ما كانت مواتاً حال الفتح ثمّ عرضت لها الإحياء فهي ملك لمحييها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يسهل الخطب في الدور والعقار وبعض الأقطاع من تلك الأراضي التي يعامل معها معاملة الأملاك ؛ حيث إنّه من المحتمل أنّ المتصرّف فيها ملكها بوجه صحيح ، فيحكم بملكية ما في يده ما لم يعلم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من المفتوح عنوة أرض العراق وبعض الأقطار ببلاد العجم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 فلا يجوز بيع الطير المملوك إذا طار في الهواء ولا السمك المملوك إذا أرسل في الماء ولا الدابّة الشاردة ولا العبد الآبق إلاّ مع الضميمة</w:t>
      </w:r>
      <w:r>
        <w:rPr>
          <w:rStyle w:val="FootnoteAnchor"/>
          <w:rtl w:val="true"/>
        </w:rPr>
        <w:footnoteReference w:id="1080"/>
      </w:r>
      <w:r>
        <w:rPr>
          <w:rFonts w:ascii="Amiri" w:hAnsi="Amiri" w:eastAsia="Amiri" w:cs="Amiri"/>
          <w:color w:val="111111"/>
          <w:sz w:val="28"/>
          <w:sz w:val="28"/>
          <w:szCs w:val="28"/>
          <w:rtl w:val="true"/>
          <w:lang w:bidi="ar-SA"/>
        </w:rPr>
        <w:t xml:space="preserve">، وإذا لم يقدر البائع على التسليم وكان المشتري قادراً على تسلّمه فالظاهر الصحّة </w:t>
      </w:r>
      <w:r>
        <w:rPr>
          <w:rFonts w:eastAsia="Amiri" w:cs="Amiri" w:ascii="Amiri" w:hAnsi="Amiri"/>
          <w:color w:val="111111"/>
          <w:sz w:val="28"/>
          <w:szCs w:val="28"/>
          <w:rtl w:val="true"/>
          <w:lang w:bidi="ar-SA"/>
        </w:rPr>
        <w:t xml:space="preserve">. </w:t>
      </w:r>
      <w:bookmarkStart w:id="518" w:name="pg15003_160029"/>
    </w:p>
    <w:p>
      <w:pPr>
        <w:pStyle w:val="Heading3"/>
        <w:numPr>
          <w:ilvl w:val="2"/>
          <w:numId w:val="1"/>
        </w:numPr>
        <w:rPr/>
      </w:pPr>
      <w:bookmarkStart w:id="519" w:name="__RefHeading___Toc487949_3406789950"/>
      <w:bookmarkStart w:id="520" w:name="_Toc189"/>
      <w:bookmarkEnd w:id="518"/>
      <w:bookmarkEnd w:id="519"/>
      <w:r>
        <w:rPr>
          <w:rtl w:val="true"/>
        </w:rPr>
        <w:t xml:space="preserve">القول </w:t>
      </w:r>
      <w:r>
        <w:rPr>
          <w:rtl w:val="true"/>
        </w:rPr>
        <w:t xml:space="preserve">: </w:t>
      </w:r>
      <w:r>
        <w:rPr>
          <w:rtl w:val="true"/>
        </w:rPr>
        <w:t>في الخيارات</w:t>
      </w:r>
      <w:bookmarkEnd w:id="520"/>
    </w:p>
    <w:p>
      <w:p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487951_3406789950"/>
      <w:bookmarkStart w:id="522" w:name="_Toc190"/>
      <w:bookmarkEnd w:id="521"/>
      <w:r>
        <w:rPr>
          <w:rtl w:val="true"/>
        </w:rPr>
        <w:t xml:space="preserve">الأوّل </w:t>
      </w:r>
      <w:r>
        <w:rPr>
          <w:rtl w:val="true"/>
        </w:rPr>
        <w:t xml:space="preserve">: </w:t>
      </w:r>
      <w:r>
        <w:rPr>
          <w:rtl w:val="true"/>
        </w:rPr>
        <w:t>خيار المجلس</w:t>
      </w:r>
      <w:bookmarkEnd w:id="522"/>
    </w:p>
    <w:p>
      <w:pPr>
        <w:pStyle w:val="BookText"/>
        <w:rPr/>
      </w:pPr>
      <w:r>
        <w:rPr>
          <w:rFonts w:ascii="Amiri" w:hAnsi="Amiri" w:eastAsia="Amiri" w:cs="Amiri"/>
          <w:color w:val="111111"/>
          <w:sz w:val="28"/>
          <w:sz w:val="28"/>
          <w:szCs w:val="28"/>
          <w:rtl w:val="true"/>
          <w:lang w:bidi="ar-SA"/>
        </w:rPr>
        <w:t xml:space="preserve">فإذا وقع البيع فللمتبايعين الخيار ما لم يفترقا ، فإذا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بخطوة</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الخيار من الطرفين ولزم البيع من الجانبين ، ولو فارقا من مجلس البيع مصطحبين بقي الخيار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487953_3406789950"/>
      <w:bookmarkStart w:id="524" w:name="_Toc191"/>
      <w:bookmarkEnd w:id="523"/>
      <w:r>
        <w:rPr>
          <w:rtl w:val="true"/>
        </w:rPr>
        <w:t xml:space="preserve">الثاني </w:t>
      </w:r>
      <w:r>
        <w:rPr>
          <w:rtl w:val="true"/>
        </w:rPr>
        <w:t xml:space="preserve">: </w:t>
      </w:r>
      <w:r>
        <w:rPr>
          <w:rtl w:val="true"/>
        </w:rPr>
        <w:t>خيار الحيوان</w:t>
      </w:r>
      <w:bookmarkEnd w:id="524"/>
    </w:p>
    <w:p>
      <w:pPr>
        <w:pStyle w:val="BookText"/>
        <w:rPr/>
      </w:pPr>
      <w:r>
        <w:rPr>
          <w:rFonts w:ascii="Amiri" w:hAnsi="Amiri" w:eastAsia="Amiri" w:cs="Amiri"/>
          <w:color w:val="111111"/>
          <w:sz w:val="28"/>
          <w:sz w:val="28"/>
          <w:szCs w:val="28"/>
          <w:rtl w:val="true"/>
          <w:lang w:bidi="ar-SA"/>
        </w:rPr>
        <w:t xml:space="preserve">فمن اشترى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الخيار إلى ثلاثة أيّام من حين العقد ، وفي ثبوته للبائع أيضاً إذا كان الثمن حيواناً وجه لا يخلو من قوّة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تصرّف المشتري في الحيوان تصرّفاً يدلّ على الرضا</w:t>
      </w:r>
      <w:r>
        <w:rPr>
          <w:rStyle w:val="FootnoteAnchor"/>
          <w:rtl w:val="true"/>
        </w:rPr>
        <w:footnoteReference w:id="1083"/>
      </w:r>
      <w:r>
        <w:rPr>
          <w:rFonts w:ascii="Amiri" w:hAnsi="Amiri" w:eastAsia="Amiri" w:cs="Amiri"/>
          <w:color w:val="111111"/>
          <w:sz w:val="28"/>
          <w:sz w:val="28"/>
          <w:szCs w:val="28"/>
          <w:rtl w:val="true"/>
          <w:lang w:bidi="ar-SA"/>
        </w:rPr>
        <w:t xml:space="preserve">بالبيع سقط خياره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الحيوان في مدّة الخيار كان من مال البائع ، فيبطل البيع ويرجع إليه المشتري بالثمن إذا دفعه إليه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العيب الحادث في الثلاثة من غير تفريط من المشتري لا يمنع عن الفسخ والردّ </w:t>
      </w:r>
      <w:r>
        <w:rPr>
          <w:rFonts w:eastAsia="Amiri" w:cs="Amiri" w:ascii="Amiri" w:hAnsi="Amiri"/>
          <w:color w:val="111111"/>
          <w:sz w:val="28"/>
          <w:szCs w:val="28"/>
          <w:rtl w:val="true"/>
          <w:lang w:bidi="ar-SA"/>
        </w:rPr>
        <w:t xml:space="preserve">. </w:t>
      </w:r>
      <w:bookmarkStart w:id="525" w:name="pg15003_160030"/>
    </w:p>
    <w:p>
      <w:pPr>
        <w:pStyle w:val="Heading3"/>
        <w:numPr>
          <w:ilvl w:val="2"/>
          <w:numId w:val="1"/>
        </w:numPr>
        <w:rPr/>
      </w:pPr>
      <w:bookmarkStart w:id="526" w:name="__RefHeading___Toc487955_3406789950"/>
      <w:bookmarkStart w:id="527" w:name="_Toc192"/>
      <w:bookmarkEnd w:id="525"/>
      <w:bookmarkEnd w:id="526"/>
      <w:r>
        <w:rPr>
          <w:rtl w:val="true"/>
        </w:rPr>
        <w:t xml:space="preserve">الثالث </w:t>
      </w:r>
      <w:r>
        <w:rPr>
          <w:rtl w:val="true"/>
        </w:rPr>
        <w:t xml:space="preserve">: </w:t>
      </w:r>
      <w:r>
        <w:rPr>
          <w:rtl w:val="true"/>
        </w:rPr>
        <w:t>خيار الشرط</w:t>
      </w:r>
      <w:bookmarkEnd w:id="527"/>
    </w:p>
    <w:p>
      <w:pPr>
        <w:pStyle w:val="BookText"/>
        <w:rPr/>
      </w:pPr>
      <w:r>
        <w:rPr>
          <w:rFonts w:ascii="Amiri" w:hAnsi="Amiri" w:eastAsia="Amiri" w:cs="Amiri"/>
          <w:color w:val="111111"/>
          <w:sz w:val="28"/>
          <w:sz w:val="28"/>
          <w:szCs w:val="28"/>
          <w:rtl w:val="true"/>
          <w:lang w:bidi="ar-SA"/>
        </w:rPr>
        <w:t xml:space="preserve">أي الثابت بالاشتراط في ضمن العقد ، ويجوز جعله لهما أو لأحدهما أو 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يتقدّر بمدّة معيّنة ، بل هو بحسب ما اشترطاه ؛ 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كونها مضبوطة من حيث المقدار ومن حيث الاتّصال والانفصال ، نعم إذا ذكرت مدّة معيّنة كشهر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واُطلقت فالظاهر اتّصالها بالعقد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لأحدهما أو لهما الخيار بعد الاستئمار والاستشارة ؛ بأن يشاور مع ثالث في أمر العقد فكلّ ما رأى من الصلاح إبقاءً للعقد أو فسخاً يكون متّبعاً ، ويعتبر في هذا الشرط أيضاً تعيين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للمشروط له الفسخ قبل أمر ذاك الثالث ، ولا يجب عليه لو أمره ، بل جاز له ، فإذا اشترط البائع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المهلة إلى ثلاثة أيّام حتّى يستشير من صديقه أو الدلاّل الفلاني فإن رأى الصلاح في هذا البيع يلتزم به وإلاّ فلا ، يكون مرجعه إلى جعل الخيار له على تقدير أن لا يرى صديقه أو الدلاّل الصلاح في البيع لا مطلقاً ، فليس له الخيار إلاّ على ذلك 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عدم اختصاص خيار الشرط بالبيع وجريانه في كلّ عقد</w:t>
      </w:r>
      <w:r>
        <w:rPr>
          <w:rStyle w:val="FootnoteAnchor"/>
          <w:rtl w:val="true"/>
        </w:rPr>
        <w:footnoteReference w:id="1084"/>
      </w:r>
      <w:r>
        <w:rPr>
          <w:rFonts w:ascii="Amiri" w:hAnsi="Amiri" w:eastAsia="Amiri" w:cs="Amiri"/>
          <w:color w:val="111111"/>
          <w:sz w:val="28"/>
          <w:sz w:val="28"/>
          <w:szCs w:val="28"/>
          <w:rtl w:val="true"/>
          <w:lang w:bidi="ar-SA"/>
        </w:rPr>
        <w:t xml:space="preserve">لازم سوى عقد النكاح ، كما أ نّه لا إشكال في عدم جريانه في الإيقاعات كالطلاق والعتق والإبراء وغيرها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الخيار للبائع إذا ردّ الثمن بعينه أو ما يعمّ مثله إلى مدّة معيّنة ، فإن مضت ولم يأت بالثمن كاملاً لزم البيع ، ومثل هذا البيع يسمّى في العرف الحاضر ببيع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اشتراط أن يكون للبائع فسخ الكلّ </w:t>
      </w:r>
    </w:p>
    <w:p>
      <w:pPr>
        <w:pStyle w:val="BookText"/>
        <w:rPr/>
      </w:pPr>
      <w:r>
        <w:rPr>
          <w:rFonts w:ascii="Amiri" w:hAnsi="Amiri" w:eastAsia="Amiri" w:cs="Amiri"/>
          <w:color w:val="111111"/>
          <w:sz w:val="28"/>
          <w:sz w:val="28"/>
          <w:szCs w:val="28"/>
          <w:rtl w:val="true"/>
          <w:lang w:bidi="ar-SA"/>
        </w:rPr>
        <w:t xml:space="preserve">بردّ بعض الثمن أو فسخ البعض بردّ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ردّ الثمن فعل البائع ما له دخل في القبض من طرفه وإن أبى المشتري من قبضه ، فلو أحضر الثمن وعرضه عليه ومكّنه من قبضه فأبى هو وامتنع أن يقبضه تحقّق الردّ الذي هو شرط لملك الفسخ ، فله أن يفسخ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نماء المبيع ومنافعه في هذه المدّة للمشتري ، كما أنّ تلفه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باقٍ مع التلف إن كان المشروط الخيار والسلطنة على فسخ البيع ، وحينئذٍ يرجع بعد الفسخ إلى المثل أو القيمة ، وساقط إن كان المشروط ارتجاع العين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ليس للمشتري</w:t>
      </w:r>
      <w:r>
        <w:rPr>
          <w:rStyle w:val="FootnoteAnchor"/>
          <w:rtl w:val="true"/>
        </w:rPr>
        <w:footnoteReference w:id="1085"/>
      </w:r>
      <w:r>
        <w:rPr>
          <w:rFonts w:ascii="Amiri" w:hAnsi="Amiri" w:eastAsia="Amiri" w:cs="Amiri"/>
          <w:color w:val="111111"/>
          <w:sz w:val="28"/>
          <w:sz w:val="28"/>
          <w:szCs w:val="28"/>
          <w:rtl w:val="true"/>
          <w:lang w:bidi="ar-SA"/>
        </w:rPr>
        <w:t xml:space="preserve">قبل انقضاء المدّة التصرّف الناقل وإتلاف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الثمن المشروط ردّه إذا كان كلّياً في ذمّة البائع كما إذا كان في ذمّته ألف درهم لزيد فباع داره منه بما في ذمّته وجعل له الخيار مشروطاً بردّ الثمن ، يكون ردّه بأداء ما في ذمّته ودفع ما كان عليه وإن برئت ذمّته عمّا كان عليه بجعله ثمناً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يقبض البائع الثمن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كلّياً في ذمّة المشتري أو عيناً موجوداً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 هذا الخيار وله الفسخ قبل انقضاء المدّة المضروبة ، أم لا ؟ وجهان ، لا يخلو أوّلهما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قبضه ، فإن كان الثمن كلّياً ، فالظاهر أ نّه لا يتعيّن ردّ عين ذلك الفرد المقبوض إلى المشتري ، بل يكفي دفع فرد آخر إليه ممّا ينطبق الكلّي عليه ، إلاّ إذا صرّح باشتراط كون المردود عين ذلك الفرد المقبوض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الثمن عيناً شخصياً لم يتحقّق الردّ إلاّ </w:t>
      </w:r>
    </w:p>
    <w:p>
      <w:pPr>
        <w:pStyle w:val="BookText"/>
        <w:rPr/>
      </w:pPr>
      <w:r>
        <w:rPr>
          <w:rFonts w:ascii="Amiri" w:hAnsi="Amiri" w:eastAsia="Amiri" w:cs="Amiri"/>
          <w:color w:val="111111"/>
          <w:sz w:val="28"/>
          <w:sz w:val="28"/>
          <w:szCs w:val="28"/>
          <w:rtl w:val="true"/>
          <w:lang w:bidi="ar-SA"/>
        </w:rPr>
        <w:t xml:space="preserve">بردّ عينه ، فلو لم يمكن ردّه بتلف ونحوه لم يكن للبائع الخيار ، إلاّ إذا صرّحا في شرطهما بردّ ما يعمّ بدله مع عدم التمكّن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الثمن ممّا انحصر انتفاعه المتعارف بصرفه لا ببقائه كالنقود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الإطلاق في مثله ما يعمّ بدله ما لم يصرّح بأن يكون المردود نفس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يتحقّق ردّ الثمن بردّه إلى نفس المشتري يتحقّق أيضاً بإيصاله إلى وكيله في خصوص ذلك أو وكيله المطلق أو وليّه كالحاكم فيما إذا صار مجنوناً أو غائباً ، بل وعدول المؤمنين أيضاً في مورد ولايتهم ، هذا إذا جعل الخيار للبائع مشروطاً بردّ الثمن أو ردّه إلى المشتري وأطلق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اشترط الردّ إلى المشتري بنفسه وإيصاله بيده لا يتعدّى منه إلى غيره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الوليّ شيئاً للمولّى عليه ببيع الخيار فارتفع حجره قبل انقضاء المدّة وردّ الثمن ، فالظاهر تحقّقه بإيصاله إلى المولّى عليه ، فيملك البائع الفسخ بذلك ، بل في كفاية الردّ إلى الوليّ حينئذٍ نظر وإشكال</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أحد الوليّين كالأب فهل يصحّ للبائع الفسخ مع ردّ الثمن إلى الوليّ الآخر كالجدّ ؟ لا يبعد ذلك خصوصاً فيما إذا لم يتمكّن من الردّ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الحاكمين إذا اشترى أحدهما وردّ الثمن إلى الآخر ، لكنّه لا يخلو من إشكال</w:t>
      </w:r>
      <w:r>
        <w:rPr>
          <w:rStyle w:val="FootnoteAnchor"/>
          <w:rtl w:val="true"/>
        </w:rPr>
        <w:footnoteReference w:id="1087"/>
      </w:r>
      <w:r>
        <w:rPr>
          <w:rFonts w:ascii="Amiri" w:hAnsi="Amiri" w:eastAsia="Amiri" w:cs="Amiri"/>
          <w:color w:val="111111"/>
          <w:sz w:val="28"/>
          <w:sz w:val="28"/>
          <w:szCs w:val="28"/>
          <w:rtl w:val="true"/>
          <w:lang w:bidi="ar-SA"/>
        </w:rPr>
        <w:t xml:space="preserve">من جهة الإشكال في ولاية حاكم آخر في هذه المعاملة التي تصدّاها الحاكم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يمكن الردّ إلى الحاكم الأوّل يجوز ردّه إلى حاكم آخر بلا إشكال ، وهذا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يصرّح بكون </w:t>
      </w:r>
      <w:bookmarkStart w:id="528" w:name="pg15003_160033"/>
    </w:p>
    <w:p>
      <w:pPr>
        <w:pStyle w:val="BookText"/>
        <w:rPr/>
      </w:pPr>
      <w:bookmarkEnd w:id="528"/>
      <w:r>
        <w:rPr>
          <w:rFonts w:ascii="Amiri" w:hAnsi="Amiri" w:eastAsia="Amiri" w:cs="Amiri"/>
          <w:color w:val="111111"/>
          <w:sz w:val="28"/>
          <w:sz w:val="28"/>
          <w:szCs w:val="28"/>
          <w:rtl w:val="true"/>
          <w:lang w:bidi="ar-SA"/>
        </w:rPr>
        <w:t xml:space="preserve">المردود إليه المشتري بخصوصه وبنفسه ، وإلاّ فلا يتعدّى منه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البائع ينتقل هذا الخيار كسائر الخيارات إلى ورثته ، فيردّون الثمن ويفسخون البيع فيرجع إليهم المبيع على حسب قواعد الإرث ، كما أنّ الثمن المردود أيضاً يوزّع عليهم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المشتري فالظاهر جواز فسخ البائع بردّ الثمن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الشرط ردّ الثمن إلى المشتري بخصوصه وبنفسه وبمباشرته فالظاهر عدم قيام ورثته مقامه ، فيسقط هذا الخيار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للبائع اشتراط الخيار له بردّ الثمن كذا يجوز للمشتري اشتراط الفسخ له عند ردّ المثمن ، والظاهر المنصرف إليه الإطلاق فيه ردّ العين ، فلا يتحقّق بردّ بدله ولو مع التلف ، إلاّ أن يصرّح بردّ ما يعمّ البدل عند تعذّر 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أيضاً اشتراط الخيار لكلّ منهما بردّ ما انتقل إليه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87957_3406789950"/>
      <w:bookmarkStart w:id="530" w:name="_Toc193"/>
      <w:bookmarkEnd w:id="529"/>
      <w:r>
        <w:rPr>
          <w:rtl w:val="true"/>
        </w:rPr>
        <w:t xml:space="preserve">الرابع </w:t>
      </w:r>
      <w:r>
        <w:rPr>
          <w:rtl w:val="true"/>
        </w:rPr>
        <w:t xml:space="preserve">: </w:t>
      </w:r>
      <w:r>
        <w:rPr>
          <w:rtl w:val="true"/>
        </w:rPr>
        <w:t>خيار الغبن</w:t>
      </w:r>
      <w:bookmarkEnd w:id="53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فيما إذا باع بدون ثمن المثل أو اشترى بأكثر منه مع الجهل بالقيمة ، فللمغبون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الزيادة أو النقيصة مع ملاحظة ما انضمّ إليه من الشرط ، فلو باع ما يسوى مائة دينار بأقلّ منه بكثير مع اشتراط الخيار للبائع فلا غبن ؛ لأنّ المبيع ببيع الخيار ينقص ثمنه عن المبيع بالبيع اللازم وهكذا غيره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أن يكون التفاوت بما لا يتسامح الناس فيه في مثل هذه المعاملة ، فلو باع ما يسوى مائة بخمسة وتسعين</w:t>
      </w:r>
      <w:r>
        <w:rPr>
          <w:rStyle w:val="FootnoteAnchor"/>
          <w:rtl w:val="true"/>
        </w:rPr>
        <w:footnoteReference w:id="1088"/>
      </w:r>
      <w:r>
        <w:rPr>
          <w:rFonts w:ascii="Amiri" w:hAnsi="Amiri" w:eastAsia="Amiri" w:cs="Amiri"/>
          <w:color w:val="111111"/>
          <w:sz w:val="28"/>
          <w:sz w:val="28"/>
          <w:szCs w:val="28"/>
          <w:rtl w:val="true"/>
          <w:lang w:bidi="ar-SA"/>
        </w:rPr>
        <w:t xml:space="preserve">لم يكن مغبوناً ؛ لأ نّه لا </w:t>
      </w:r>
    </w:p>
    <w:p>
      <w:pPr>
        <w:pStyle w:val="BookText"/>
        <w:rPr/>
      </w:pPr>
      <w:r>
        <w:rPr>
          <w:rFonts w:ascii="Amiri" w:hAnsi="Amiri" w:eastAsia="Amiri" w:cs="Amiri"/>
          <w:color w:val="111111"/>
          <w:sz w:val="28"/>
          <w:sz w:val="28"/>
          <w:szCs w:val="28"/>
          <w:rtl w:val="true"/>
          <w:lang w:bidi="ar-SA"/>
        </w:rPr>
        <w:t xml:space="preserve">ينظر في مقام التكسّب والمعاملة إلى هذا المقدار من التفاوت ؛ إذ الخمسة يسيرة بالنسبة إلى المائة وإن كانت كثيرة في نفسها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بنصف العشر لا ينظر إليه ويتسامح فيه ، بل لا يبعد دعوى التسامح في العشر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للمغبون مطالبة الغابن بتفاوت القيمة ، بل له الخيار بين أن يفسخ المبيع من أصله أو يلتزم ويرضى به بالثمن المسمّى ، كما أ نّه لا يسقط خياره ببذل الطرف المقابل التفاوت ، نعم مع تراضي الطرفين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ثابت للمغبون من حين العقد لا أ نّه يحدث من حين اطّلاعه على الغبن ، فلو فسخ قبل ذلك وصادف الغبن واقعاً أثّر الفسخ أثره من جهة أ نّه وقع في موقعه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اطّلع على الغبن ولم يبادر بالفسخ ، فإن كان لأجل جهله بحكم الخيار فلا إشكال في بقاء خياره ، وإن كان عالماً به فإن كان بانياً على الفسخ غير راضٍ بهذا البيع بهذا الثمن إلاّ أ نّه أخّر إنشاء الفسخ لغرض من الأغراض فالظاهر بقاء خياره ، نعم ليس له التواني فيه بحيث يؤدّي إلى ضرر وتعطيل أمر على الغابن ، وإن لم يكن بانياً على الفسخ ولم يكن بصدد فسخه إلاّ أ نّه بدا له بعد ذلك أن يفسخه فالظاهر سقوط خياره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الغبن على القيمة حال العقد ، فلو زادت بعده ولو قبل اطّلاع المغبون على النقصان حين العقد لم ينفع في سقوط الخيار ، كما أ نّه لو نقص بعده أو زاد لم يؤثّر في ثبوته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وعدمه في ضمن العقد ، ويقتصر في السقوط على مرتبة من الغبن كانت مقصودة عند الاشتراط وشملته العبارة ، فلو كان المشروط سقوط مرتبة خاصّة من الغبن كالعشر فتبيّن كونه الخمس لم يسقط الخيار ، بل لو اشترط سقوطه وإن كان فاحشاً أو أفحش لا يسقط إلاّ ما كان كذلك بالنسبة إلى ما يحتمل في مثل هذه المعاملة 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ما اشترى بمائة لا يحتمل فيه أن لا يسوى عشرة أو عشرين وأنّ المحتمل فيها من الفاحش إلى خمسين ، والأفحش إلى ثلاثين وشرطا سقوط الغبن فاحشاً كان أو أفحش لم يسقط الخيار إذا كان يسوى عشراً أو عشرين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ولو قبل ظهور الغبن إذا أسقطه على تقدير ثبوته ، وهذا أيضاً كسابقه يقتصر على مرتبة من الغبن كانت مقصودة عند الإسقاط ، فلو أسقط مرتبة خاصّة منه كالعشر فتبيّن كونه أزيد لم يسقط</w:t>
      </w:r>
      <w:r>
        <w:rPr>
          <w:rStyle w:val="FootnoteAnchor"/>
          <w:rtl w:val="true"/>
        </w:rPr>
        <w:footnoteReference w:id="1090"/>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إسقاطه بعد العقد مجّاناً يجوز المصالحة عنه بالعوض ، فمع العلم بمرتبة الغبن لا إشكال ومع الجهل بها فالظاهر جواز المصالحة عنه مع التصريح بعموم المراتب ؛ </w:t>
      </w:r>
    </w:p>
    <w:p>
      <w:pPr>
        <w:pStyle w:val="BookText"/>
        <w:rPr/>
      </w:pPr>
      <w:r>
        <w:rPr>
          <w:rFonts w:ascii="Amiri" w:hAnsi="Amiri" w:eastAsia="Amiri" w:cs="Amiri"/>
          <w:color w:val="111111"/>
          <w:sz w:val="28"/>
          <w:sz w:val="28"/>
          <w:szCs w:val="28"/>
          <w:rtl w:val="true"/>
          <w:lang w:bidi="ar-SA"/>
        </w:rPr>
        <w:t xml:space="preserve">بأن يصالح عن خيار الغبن الموجود في هذه المعاملة بأيّ مرتبة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مرتبة وصالح عن خياره فتبيّن كونه أزيد فالظاهر بطلان المصالحة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بعد العلم بالغبن فيما انتقل إليه بما يكشف</w:t>
      </w:r>
      <w:r>
        <w:rPr>
          <w:rStyle w:val="FootnoteAnchor"/>
          <w:rtl w:val="true"/>
        </w:rPr>
        <w:footnoteReference w:id="1091"/>
      </w:r>
      <w:r>
        <w:rPr>
          <w:rFonts w:ascii="Amiri" w:hAnsi="Amiri" w:eastAsia="Amiri" w:cs="Amiri"/>
          <w:color w:val="111111"/>
          <w:sz w:val="28"/>
          <w:sz w:val="28"/>
          <w:szCs w:val="28"/>
          <w:rtl w:val="true"/>
          <w:lang w:bidi="ar-SA"/>
        </w:rPr>
        <w:t xml:space="preserve">عن رضاه بالبيع ؛ بأن تصرّف البائع المغبون في الثمن أو المشتري المغبون في المثمن ، فإنّه يسقط بذلك خياره ، خصوصاً الثاني وخصوصاً إذا كان تصرّفه بالإتلاف أو بما يمنع الردّ كالاستيلاد أو بإخراجه عن ملكه كالعتق أو بنقل لازم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تصرّفه قبل ظهور الغبن فلا يسقط الخيار كتصرّف الغابن فيما انتقل إليه مطلقاً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اطّلع البائع المغبون على الغبن وفسخ البيع ، فإن كان المبيع موجوداً عند المشتري باقياً على حاله استردّه منه ، وإذا رآه تالفاً أو متلفاً رجع إليه بالمثل أو القيمة ، وإن حدث به عيب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بفعله أو بآفة 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أخرجه عن ملكه بالعتق أو الوقف أو نقله إلى الغير بعقد لازم كالبيع فالظاهر أ نّه بحكم التلف فيرجع إليه بالمثل أو القيمة ، وإن كان بنقل غير لازم كالبيع بخيار والهبة فالظاهر أنّ له إلزام المشتري</w:t>
      </w:r>
      <w:r>
        <w:rPr>
          <w:rStyle w:val="FootnoteAnchor"/>
          <w:rtl w:val="true"/>
        </w:rPr>
        <w:footnoteReference w:id="1092"/>
      </w:r>
      <w:r>
        <w:rPr>
          <w:rFonts w:ascii="Amiri" w:hAnsi="Amiri" w:eastAsia="Amiri" w:cs="Amiri"/>
          <w:color w:val="111111"/>
          <w:sz w:val="28"/>
          <w:sz w:val="28"/>
          <w:szCs w:val="28"/>
          <w:rtl w:val="true"/>
          <w:lang w:bidi="ar-SA"/>
        </w:rPr>
        <w:t xml:space="preserve">بالفسخ والرجوع وتسليم العين إذا أمكن ، بل في النقل اللازم أيضاً لو رجعت العين إلى المشتري بإقالة أو عقد جديد قبل رجوع البائع إليه بالبدل لا يبعد أن يكون له إلزامه بردّ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نقل منفعتها إلى الغير بعقد لازم كالإجارة لم يمنع ذلك عن الفسخ ، كما أ نّه بعد الفسخ تبقى الإجارة على حالها وترجع العين إلى الفاسخ مسلوب </w:t>
      </w:r>
    </w:p>
    <w:p>
      <w:pPr>
        <w:pStyle w:val="BookText"/>
        <w:rPr/>
      </w:pPr>
      <w:r>
        <w:rPr>
          <w:rFonts w:ascii="Amiri" w:hAnsi="Amiri" w:eastAsia="Amiri" w:cs="Amiri"/>
          <w:color w:val="111111"/>
          <w:sz w:val="28"/>
          <w:sz w:val="28"/>
          <w:szCs w:val="28"/>
          <w:rtl w:val="true"/>
          <w:lang w:bidi="ar-SA"/>
        </w:rPr>
        <w:t xml:space="preserve">المنفعة ، وله سائر المنافع غير ما ملكه المستأجر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رجوعه إلى المشتري باُجرة المثل بالنسبة إلى بقيّة المدّة وجه قويّ ، كما يحتمل وجه آخر ؛ وهو أن يرجع إليه بالنقص الطارئ على العين من جهة كونها مسلوبة المنفعة في تلك المدّة ، فتقوّم بوصف كونها ذات منفعة في تلك المدّة مرّة ومسلوبة المنفعة فيها اُخرى ، فيأخذ مع العين التفاوت بين القيمتين ، والظاهر أ نّه لا تفاوت غالباً بين الوجهين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فسخ البائع المغبون لو كان المبيع موجوداً عند المشتري لكن تصرّف فيه تصرّفاً مغيّراً له فإمّا بالنقيصة أو بالزيادة أو بالامتزاج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بالنقيصة أخذه ورجع إليه بالأرش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بالزيادة ؛ فإمّا أن تكون صفة محضة كطحن الحنطة وقصارة الثوب وصياغة الفضّة ، أو صفة مشوبة بالعين كالصبغ</w:t>
      </w:r>
      <w:r>
        <w:rPr>
          <w:rStyle w:val="FootnoteAnchor"/>
          <w:rtl w:val="true"/>
        </w:rPr>
        <w:footnoteReference w:id="1093"/>
      </w:r>
      <w:r>
        <w:rPr>
          <w:rFonts w:ascii="Amiri" w:hAnsi="Amiri" w:eastAsia="Amiri" w:cs="Amiri"/>
          <w:color w:val="111111"/>
          <w:sz w:val="28"/>
          <w:sz w:val="28"/>
          <w:szCs w:val="28"/>
          <w:rtl w:val="true"/>
          <w:lang w:bidi="ar-SA"/>
        </w:rPr>
        <w:t xml:space="preserve">، أو عيناً محضاً كالغرس والزرع والبناء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للزيادة مدخل في زيادة القيمة يرجع إلى العين ، ولا شيء عليه ، كما أ نّه لا شيء على المشتري ، وأمّا لو كان لها مدخل في زيادة القيمة يرجع إلى العين ، وفي كون زيادة القيمة للمشتري لأجل الصفة فيأخذ البائع العين ويدفع زيادة القيمة ، أو كونه شريكاً معه في القيمة فيباع ويقسّم الثمن بينهما بالنسبة ، أو شريكاً معه في العين بنسبة تلك الزيادة ، أو كون العين للبائع وللمشتري اُجرة عمله ، أو ليس له شيء أصلاً ، وجوه</w:t>
      </w:r>
      <w:r>
        <w:rPr>
          <w:rStyle w:val="FootnoteAnchor"/>
          <w:rtl w:val="true"/>
        </w:rPr>
        <w:footnoteReference w:id="1094"/>
      </w:r>
      <w:r>
        <w:rPr>
          <w:rFonts w:ascii="Amiri" w:hAnsi="Amiri" w:eastAsia="Amiri" w:cs="Amiri"/>
          <w:color w:val="111111"/>
          <w:sz w:val="28"/>
          <w:sz w:val="28"/>
          <w:szCs w:val="28"/>
          <w:rtl w:val="true"/>
          <w:lang w:bidi="ar-SA"/>
        </w:rPr>
        <w:t xml:space="preserve">؛ أقواها أوّلها ، ثمّ ثانيها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 كالأوّل فتجيء فيها الوجوه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البائع إلى المبيع ويكون الغرس والزرع والبناء للمشتري ، وليس للبائع إلزامه بالقلع والهدم ولو بالأرش ، ولا إلزامه بالإبقاء ولو مجّاناً ، كما أ نّه ليس للمشتري حقّ الإبقاء مجّاناً وبلا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المشتري إمّا إبقاؤها بالاُجرة وإمّا قلعها مع طمّ الحفر وتدارك النقص الوارد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وللبائع إلزامه بأحد الأمرين لا خصوص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اختار المشتري من الأمرين ليس للبائع الفاسخ منعه ، نعم لو أمكن غرس المقلوع بحيث لم يحدث فيه شيء إلاّ تبدّل المكان فللبائع أن يلزمه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فرق في ذلك بين الزرع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بالامتزاج ، فإن كان بغير جنسه بحيث لا يتميّز فكالمعدوم يرجع بالمثل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 ما كان مستهلكاً وعدّ تالفاً كما إذا خلط ماء الورد بالزيت فيرجع إلى البدل وبين ما لم يكن كذلك كمزج الخلّ بالأنجبين فيثبت الشركة في القيمة أو في العين بنسبة القيمة ، والمسألة محلّ إشكال</w:t>
      </w:r>
      <w:r>
        <w:rPr>
          <w:rStyle w:val="FootnoteAnchor"/>
          <w:rtl w:val="true"/>
        </w:rPr>
        <w:footnoteReference w:id="1095"/>
      </w:r>
      <w:r>
        <w:rPr>
          <w:rFonts w:ascii="Amiri" w:hAnsi="Amiri" w:eastAsia="Amiri" w:cs="Amiri"/>
          <w:color w:val="111111"/>
          <w:sz w:val="28"/>
          <w:sz w:val="28"/>
          <w:szCs w:val="28"/>
          <w:rtl w:val="true"/>
          <w:lang w:bidi="ar-SA"/>
        </w:rPr>
        <w:t xml:space="preserve">فلا يترك الاحتياط بالتصالح والتراضي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الامتزاج بالجنس ، فالظاهر ثبوت الشركة بحسب الكمّية وإن كان بالأردأ أو الأجود مع أخذ الأرش في الأوّل وإعطاء زيادة القيمة في الثاني، لكنّ الأحوط التصالح خصوصاً في الثاني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أو اشترى شيئين صفقة واحدة وكان مغبوناً في </w:t>
      </w:r>
      <w:bookmarkStart w:id="531" w:name="pg15003_160039"/>
    </w:p>
    <w:p>
      <w:pPr>
        <w:pStyle w:val="BookText"/>
        <w:rPr/>
      </w:pPr>
      <w:bookmarkEnd w:id="531"/>
      <w:r>
        <w:rPr>
          <w:rFonts w:ascii="Amiri" w:hAnsi="Amiri" w:eastAsia="Amiri" w:cs="Amiri"/>
          <w:color w:val="111111"/>
          <w:sz w:val="28"/>
          <w:sz w:val="28"/>
          <w:szCs w:val="28"/>
          <w:rtl w:val="true"/>
          <w:lang w:bidi="ar-SA"/>
        </w:rPr>
        <w:t xml:space="preserve">أحدهما دون الآخر ليس له التبعيض في الفسخ ، بل عليه إمّا فسخ البيع بالنسبة إلى الجميع أو الرضا به كذلك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487959_3406789950"/>
      <w:bookmarkStart w:id="533" w:name="_Toc194"/>
      <w:bookmarkEnd w:id="532"/>
      <w:r>
        <w:rPr>
          <w:rtl w:val="true"/>
        </w:rPr>
        <w:t xml:space="preserve">الخامس </w:t>
      </w:r>
      <w:r>
        <w:rPr>
          <w:rtl w:val="true"/>
        </w:rPr>
        <w:t xml:space="preserve">: </w:t>
      </w:r>
      <w:r>
        <w:rPr>
          <w:rtl w:val="true"/>
        </w:rPr>
        <w:t>خيار التأخير</w:t>
      </w:r>
      <w:bookmarkEnd w:id="533"/>
    </w:p>
    <w:p>
      <w:pPr>
        <w:pStyle w:val="BookText"/>
        <w:rPr/>
      </w:pPr>
      <w:r>
        <w:rPr>
          <w:rFonts w:ascii="Amiri" w:hAnsi="Amiri" w:eastAsia="Amiri" w:cs="Amiri"/>
          <w:color w:val="111111"/>
          <w:sz w:val="28"/>
          <w:sz w:val="28"/>
          <w:szCs w:val="28"/>
          <w:rtl w:val="true"/>
          <w:lang w:bidi="ar-SA"/>
        </w:rPr>
        <w:t>وهو فيما إذا باع شيئاً ولم يقبض تمام الثمن</w:t>
      </w:r>
      <w:r>
        <w:rPr>
          <w:rStyle w:val="FootnoteAnchor"/>
          <w:rtl w:val="true"/>
        </w:rPr>
        <w:footnoteReference w:id="1096"/>
      </w:r>
      <w:r>
        <w:rPr>
          <w:rFonts w:ascii="Amiri" w:hAnsi="Amiri" w:eastAsia="Amiri" w:cs="Amiri"/>
          <w:color w:val="111111"/>
          <w:sz w:val="28"/>
          <w:sz w:val="28"/>
          <w:szCs w:val="28"/>
          <w:rtl w:val="true"/>
          <w:lang w:bidi="ar-SA"/>
        </w:rPr>
        <w:t xml:space="preserve">فإنّه يلزم البيع ثلاثة أيّام ، فإن جاء المشتري بالثمن فهو أحقّ بالسلعة وإلاّ فللبائع فسخ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تلفت السلعة كانت من مال البائع ، وقبض بعض الثمن كلا 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ثبوت هذا الخيار إذا كان المبيع عيناً شخصياً ، وفي ثبوته إذا كان كلّياً قولان ؛ لا يخلو أوّلهما من رجحان ، والأحوط أن لا يكون الفسخ إلاّ برضا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هذا الخيار ليس على الفور ، فلو أخّر الفسخ عن الثلاثة لم يسقط الخيار إلاّ بأحد المسقطات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باشتراط سقوطه في ضمن العقد وبإسقاطه بعد الثلاثة ، وفي سقوطه بإسقاطه قبلها إشكال ، أقواه العدم ، كما أنّ الأقوى عدم سقوطه ببذل المشتري الثمن بعدها قبل فسخ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أيضاً بأخذ الثمن بعد الثلاثة من المشتري بعنوان الاستيفاء لا بعنوان آخر كالعارية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سقوطه بمطالبة الثمن وجهان ، الظاهر العدم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بثلاثة أيّام هو بياض اليوم ، ولا يشمل الليالي عدا الليلتين المتوسّطتين ، فلو أوقع البيع في أوّل النهار يكون آخر الثلاثة غروب </w:t>
      </w:r>
      <w:bookmarkStart w:id="534" w:name="pg15003_160040"/>
    </w:p>
    <w:p>
      <w:pPr>
        <w:pStyle w:val="BookText"/>
        <w:rPr/>
      </w:pPr>
      <w:bookmarkEnd w:id="534"/>
      <w:r>
        <w:rPr>
          <w:rFonts w:ascii="Amiri" w:hAnsi="Amiri" w:eastAsia="Amiri" w:cs="Amiri"/>
          <w:color w:val="111111"/>
          <w:sz w:val="28"/>
          <w:sz w:val="28"/>
          <w:szCs w:val="28"/>
          <w:rtl w:val="true"/>
          <w:lang w:bidi="ar-SA"/>
        </w:rPr>
        <w:t xml:space="preserve">النهار الثالث ، نعم لو وقع البيع في الليل تدخل الليلة الاُولى أو بعضها أيضاً في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التلفيق فلو وقع البيع في أوّل الزوال يكون مبدأ الخيار بعد زوال اليوم الرابع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هذا الخيار في غير البيع من سائر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المبيع كان من مال البائع في الثلاثة وبعدها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ما يتسارع إليه الفساد بحيث يفسد لو صار بائتاً كالبقول وبعض الفواكه واللحم في بعض الأوقات ونحوها وبقي عنده وتأخّر المشتري من أن يأتي بالثمن ويأخذ المبيع للبائع الخيار قبل أن يطرأ عليه الفساد ، فيفسخ البيع ويتصرّف في المبيع كيف شاء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487961_3406789950"/>
      <w:bookmarkStart w:id="536" w:name="_Toc195"/>
      <w:bookmarkEnd w:id="535"/>
      <w:r>
        <w:rPr>
          <w:rtl w:val="true"/>
        </w:rPr>
        <w:t xml:space="preserve">السادس </w:t>
      </w:r>
      <w:r>
        <w:rPr>
          <w:rtl w:val="true"/>
        </w:rPr>
        <w:t xml:space="preserve">: </w:t>
      </w:r>
      <w:r>
        <w:rPr>
          <w:rtl w:val="true"/>
        </w:rPr>
        <w:t>خيار الرؤية</w:t>
      </w:r>
      <w:bookmarkEnd w:id="536"/>
    </w:p>
    <w:p>
      <w:pPr>
        <w:pStyle w:val="BookText"/>
        <w:rPr/>
      </w:pPr>
      <w:r>
        <w:rPr>
          <w:rFonts w:ascii="Amiri" w:hAnsi="Amiri" w:eastAsia="Amiri" w:cs="Amiri"/>
          <w:color w:val="111111"/>
          <w:sz w:val="28"/>
          <w:sz w:val="28"/>
          <w:szCs w:val="28"/>
          <w:rtl w:val="true"/>
          <w:lang w:bidi="ar-SA"/>
        </w:rPr>
        <w:t>وهو فيما إذا اشترى</w:t>
      </w:r>
      <w:r>
        <w:rPr>
          <w:rStyle w:val="FootnoteAnchor"/>
          <w:rtl w:val="true"/>
        </w:rPr>
        <w:footnoteReference w:id="1097"/>
      </w:r>
      <w:r>
        <w:rPr>
          <w:rFonts w:ascii="Amiri" w:hAnsi="Amiri" w:eastAsia="Amiri" w:cs="Amiri"/>
          <w:color w:val="111111"/>
          <w:sz w:val="28"/>
          <w:sz w:val="28"/>
          <w:szCs w:val="28"/>
          <w:rtl w:val="true"/>
          <w:lang w:bidi="ar-SA"/>
        </w:rPr>
        <w:t>شيئاً موصوفاً غير مشاهد ، ثمّ وجده على خلاف ذلك الوصف كان للمشتري خيار الفسخ ، وكذا إذا وجده على خلاف</w:t>
      </w:r>
      <w:r>
        <w:rPr>
          <w:rStyle w:val="FootnoteAnchor"/>
          <w:rtl w:val="true"/>
        </w:rPr>
        <w:footnoteReference w:id="1098"/>
      </w:r>
      <w:r>
        <w:rPr>
          <w:rFonts w:ascii="IRNazanin" w:hAnsi="IRNazanin" w:eastAsia="IRNazanin"/>
          <w:color w:val="111111"/>
          <w:sz w:val="28"/>
          <w:sz w:val="28"/>
          <w:szCs w:val="28"/>
          <w:rtl w:val="true"/>
          <w:lang w:bidi="fa-IR"/>
        </w:rPr>
        <w:t xml:space="preserve">ما رآه سابقاً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هنا بين الردّ والإمساك مجّاناً ، وليس لذي الخيار الإمساك بالأرش ، كما أ نّه لا يسقط خياره ببذله ولا بإبدال العين بعين اُخرى ، نعم لو كان للوصف المفقود دخل في الصحّة توجّه أخذ الأرش ، لكن لأجل العيب لا لأجل تخلّف الوصف </w:t>
      </w:r>
      <w:r>
        <w:rPr>
          <w:rFonts w:eastAsia="Amiri" w:cs="Amiri" w:ascii="Amiri" w:hAnsi="Amiri"/>
          <w:color w:val="111111"/>
          <w:sz w:val="28"/>
          <w:szCs w:val="28"/>
          <w:rtl w:val="true"/>
          <w:lang w:bidi="ar-SA"/>
        </w:rPr>
        <w:t xml:space="preserve">. </w:t>
      </w:r>
      <w:bookmarkStart w:id="537" w:name="pg15003_160041"/>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هذا الخيار بيع العين الشخصية الغائبة حين المبايعة ، ويشترط في صحّته إمّا الرؤية السابقة مع عدم اليقين</w:t>
      </w:r>
      <w:r>
        <w:rPr>
          <w:rStyle w:val="FootnoteAnchor"/>
          <w:rtl w:val="true"/>
        </w:rPr>
        <w:footnoteReference w:id="1099"/>
      </w:r>
      <w:r>
        <w:rPr>
          <w:rFonts w:ascii="Amiri" w:hAnsi="Amiri" w:eastAsia="Amiri" w:cs="Amiri"/>
          <w:color w:val="111111"/>
          <w:sz w:val="28"/>
          <w:sz w:val="28"/>
          <w:szCs w:val="28"/>
          <w:rtl w:val="true"/>
          <w:lang w:bidi="ar-SA"/>
        </w:rPr>
        <w:t>بزوال تلك الصفات وإمّا توصيفه بما يرفع به الجهالة</w:t>
      </w:r>
      <w:r>
        <w:rPr>
          <w:rStyle w:val="FootnoteAnchor"/>
          <w:rtl w:val="true"/>
        </w:rPr>
        <w:footnoteReference w:id="1100"/>
      </w:r>
      <w:r>
        <w:rPr>
          <w:rFonts w:ascii="Amiri" w:hAnsi="Amiri" w:eastAsia="Amiri" w:cs="Amiri"/>
          <w:color w:val="111111"/>
          <w:sz w:val="28"/>
          <w:sz w:val="28"/>
          <w:szCs w:val="28"/>
          <w:rtl w:val="true"/>
          <w:lang w:bidi="ar-SA"/>
        </w:rPr>
        <w:t xml:space="preserve">الموجبة للغرر بذكر جنسها ونوعها وصفاتها التي تختلف باختلافها الأثمان وتتفاوت لأجلها رغبات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الخيار فوري عند الرؤية على المشهور ، وفيه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هذا الخيار باشتراط سقوطه في ضمن العقد</w:t>
      </w:r>
      <w:r>
        <w:rPr>
          <w:rStyle w:val="FootnoteAnchor"/>
          <w:rtl w:val="true"/>
        </w:rPr>
        <w:footnoteReference w:id="1101"/>
      </w:r>
      <w:r>
        <w:rPr>
          <w:rFonts w:ascii="Amiri" w:hAnsi="Amiri" w:eastAsia="Amiri" w:cs="Amiri"/>
          <w:color w:val="111111"/>
          <w:sz w:val="28"/>
          <w:sz w:val="28"/>
          <w:szCs w:val="28"/>
          <w:rtl w:val="true"/>
          <w:lang w:bidi="ar-SA"/>
        </w:rPr>
        <w:t xml:space="preserve">، وبإسقاطه بعد الرؤية ، وبالتصرّف في العين بعدها تصرّفاً كاشفاً عن الرضا بالبيع ، وبعدم المبادرة على الفسخ بناءً على فوريته </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487963_3406789950"/>
      <w:bookmarkStart w:id="539" w:name="_Toc196"/>
      <w:bookmarkEnd w:id="538"/>
      <w:r>
        <w:rPr>
          <w:rtl w:val="true"/>
        </w:rPr>
        <w:t xml:space="preserve">السابع </w:t>
      </w:r>
      <w:r>
        <w:rPr>
          <w:rtl w:val="true"/>
        </w:rPr>
        <w:t xml:space="preserve">: </w:t>
      </w:r>
      <w:r>
        <w:rPr>
          <w:rtl w:val="true"/>
        </w:rPr>
        <w:t>خيار العيب</w:t>
      </w:r>
      <w:bookmarkEnd w:id="53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فيما إذا وجد المشتري في المبيع عيباً تخيّر بين الفسخ والإمساك بالأرش ما لم يتصرّف فيه</w:t>
      </w:r>
      <w:r>
        <w:rPr>
          <w:rStyle w:val="FootnoteAnchor"/>
          <w:rtl w:val="true"/>
        </w:rPr>
        <w:footnoteReference w:id="1102"/>
      </w:r>
      <w:r>
        <w:rPr>
          <w:rFonts w:ascii="Amiri" w:hAnsi="Amiri" w:eastAsia="Amiri" w:cs="Amiri"/>
          <w:color w:val="111111"/>
          <w:sz w:val="28"/>
          <w:sz w:val="28"/>
          <w:szCs w:val="28"/>
          <w:rtl w:val="true"/>
          <w:lang w:bidi="ar-SA"/>
        </w:rPr>
        <w:t>تصرّفاً مغيّراً للعين أو يحدث فيه</w:t>
      </w:r>
      <w:r>
        <w:rPr>
          <w:rStyle w:val="FootnoteAnchor"/>
          <w:rtl w:val="true"/>
        </w:rPr>
        <w:footnoteReference w:id="1103"/>
      </w:r>
      <w:r>
        <w:rPr>
          <w:rFonts w:ascii="Amiri" w:hAnsi="Amiri" w:eastAsia="Amiri" w:cs="Amiri"/>
          <w:color w:val="111111"/>
          <w:sz w:val="28"/>
          <w:sz w:val="28"/>
          <w:szCs w:val="28"/>
          <w:rtl w:val="true"/>
          <w:lang w:bidi="ar-SA"/>
        </w:rPr>
        <w:t xml:space="preserve">عيب عنده ، وإلاّ فليس له الردّ بل ثبت له الأرش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يثبت هذا الخيار للمشتري إذا وجد العيب في المبيع كذلك يثبت للبائع إذا وجده في الثمن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بالعيب كلّما زاد أو نقص عن المجرى الطبيعي والخلقة الأصلية كالعمى أو العرج وغير ذلك، بل الحبل عيب لكن في الإماء دون سائر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الخيار بمجرّد وجود العيب واقعاً حين العقد وإن لم يظهر بعد ، فظهوره كاشف عن ثبوته من أوّل الأمر لا أ نّه سبب لحدوثه عنده ، فلو أسقط الخيار قبل ظهوره لا إشكال في سقوطه ، كما أ نّه يسقط بإسقاطه بعد ظهوره ، وكذلك باشتراط سقوطه في ضمن العقد وبالتبرّي من العيوب عنده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بعته بكلّ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يسقط بالتبرّي من العيوب الخيار يسقط أيضاً</w:t>
      </w:r>
      <w:r>
        <w:rPr>
          <w:rStyle w:val="FootnoteAnchor"/>
          <w:rtl w:val="true"/>
        </w:rPr>
        <w:footnoteReference w:id="1104"/>
      </w:r>
      <w:r>
        <w:rPr>
          <w:rFonts w:ascii="Amiri" w:hAnsi="Amiri" w:eastAsia="Amiri" w:cs="Amiri"/>
          <w:color w:val="111111"/>
          <w:sz w:val="28"/>
          <w:sz w:val="28"/>
          <w:szCs w:val="28"/>
          <w:rtl w:val="true"/>
          <w:lang w:bidi="ar-SA"/>
        </w:rPr>
        <w:t xml:space="preserve">استحقاق مطالبة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يثبت الخيار بوجود العيب عند العقد كذلك يثبت بحدوثه بعده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والعيب الحادث بعد العقد يمنع عن الردّ لو حدث بعد القبض</w:t>
      </w:r>
      <w:r>
        <w:rPr>
          <w:rStyle w:val="FootnoteAnchor"/>
          <w:rtl w:val="true"/>
        </w:rPr>
        <w:footnoteReference w:id="1105"/>
      </w:r>
      <w:r>
        <w:rPr>
          <w:rFonts w:ascii="Amiri" w:hAnsi="Amiri" w:eastAsia="Amiri" w:cs="Amiri"/>
          <w:color w:val="111111"/>
          <w:sz w:val="28"/>
          <w:sz w:val="28"/>
          <w:szCs w:val="28"/>
          <w:rtl w:val="true"/>
          <w:lang w:bidi="ar-SA"/>
        </w:rPr>
        <w:t xml:space="preserve">، وأمّا لو حدث قبله فهو سبب للخيار فلا يمنع عن الردّ والفسخ بسبب العيب السابق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معيوباً عند العقد وزال العيب قبل ظهوره ، الظاهر سقوط الخيار، وأمّا سقوط الأرش ففيه إشكال لايبعد</w:t>
      </w:r>
      <w:r>
        <w:rPr>
          <w:rStyle w:val="FootnoteAnchor"/>
          <w:rtl w:val="true"/>
        </w:rPr>
        <w:footnoteReference w:id="1106"/>
      </w:r>
      <w:r>
        <w:rPr>
          <w:rFonts w:ascii="Amiri" w:hAnsi="Amiri" w:eastAsia="Amiri" w:cs="Amiri"/>
          <w:color w:val="111111"/>
          <w:sz w:val="28"/>
          <w:sz w:val="28"/>
          <w:szCs w:val="28"/>
          <w:rtl w:val="true"/>
          <w:lang w:bidi="ar-SA"/>
        </w:rPr>
        <w:t>ثبوته، وإن كان الأحوط التصالح</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أخذ الأرش بأن يقوّم الشيء صحيحاً ثمّ يقوّم معيباً ويلاحظ النسبة بينهما ثمّ ينقص من الثمن المسمّى بتلك النسبة ، فإذا قوّم صحيحاً بتسعة ومعيباً بستّة وكان الثمن ستّة يتنقّص من الستّة اثنان وهكذا ، </w:t>
      </w:r>
    </w:p>
    <w:p>
      <w:pPr>
        <w:pStyle w:val="BookText"/>
        <w:rPr/>
      </w:pPr>
      <w:r>
        <w:rPr>
          <w:rFonts w:ascii="Amiri" w:hAnsi="Amiri" w:eastAsia="Amiri" w:cs="Amiri"/>
          <w:color w:val="111111"/>
          <w:sz w:val="28"/>
          <w:sz w:val="28"/>
          <w:szCs w:val="28"/>
          <w:rtl w:val="true"/>
          <w:lang w:bidi="ar-SA"/>
        </w:rPr>
        <w:t xml:space="preserve">والمرجع في تعيين ذلك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w:t>
      </w:r>
      <w:r>
        <w:rPr>
          <w:rStyle w:val="FootnoteAnchor"/>
          <w:rtl w:val="true"/>
        </w:rPr>
        <w:footnoteReference w:id="1107"/>
      </w:r>
      <w:r>
        <w:rPr>
          <w:rFonts w:ascii="Amiri" w:hAnsi="Amiri" w:eastAsia="Amiri" w:cs="Amiri"/>
          <w:color w:val="111111"/>
          <w:sz w:val="28"/>
          <w:sz w:val="28"/>
          <w:szCs w:val="28"/>
          <w:rtl w:val="true"/>
          <w:lang w:bidi="ar-SA"/>
        </w:rPr>
        <w:t>ما يعتبر في الشهادة من التعدّد والعدالة، وفي الاكتفاء بقول العدل الواحد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 المقوّمون في تقويم الصحيح أو المعيب أو كليهما ، فقوّم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عدلان بمقدار ومعيبه بمقدار وخالفهما عدلان آخران ، يؤخذ</w:t>
      </w:r>
      <w:r>
        <w:rPr>
          <w:rStyle w:val="FootnoteAnchor"/>
          <w:rtl w:val="true"/>
        </w:rPr>
        <w:footnoteReference w:id="1108"/>
      </w:r>
      <w:r>
        <w:rPr>
          <w:rFonts w:ascii="Amiri" w:hAnsi="Amiri" w:eastAsia="Amiri" w:cs="Amiri"/>
          <w:color w:val="111111"/>
          <w:sz w:val="28"/>
          <w:sz w:val="28"/>
          <w:szCs w:val="28"/>
          <w:rtl w:val="true"/>
          <w:lang w:bidi="ar-SA"/>
        </w:rPr>
        <w:t xml:space="preserve">التفاوت بين الصحيح والمعيب من كلّ منهما ويجمع بينهما ثمّ يؤخذ نصف المجموع ، فإذا قوّم أحدهما صحيحه بعشرة ومعيبه بخمسة والآخر صحيحه بتسعة ومعيبه بستّة وكان الثمن اثني عشر يردّ من الثمن خمسة ويعطى البائع سبعة ؛ لأنّ التفاوت بين الصحيح والمعيب على الأوّل بالنصف فيكون الأرش ستّة وعلى الثاني بالثلث فيكون أربعة ، والمجموع عشرة ونصفها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أ نّه قوّمه عدلان آخران أيضاً صحيحه ثمانية ومعيبه ستّة فيكون التفاوت بالربع ؛ وهو ثلاثة من اثني عشر فيضمّ إلى العشرة والمجموع ثلاثة عشر فتؤخذ ثلثها وهو أربعة وثلث ، وهو الأرش الذي ينقص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للبائع سبعة وثلثان وهكذا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شيئين صفقة واحدة فظهر العيب في أحدهما كان للمشتري أخذ الأرش أو ردّ الجميع وليس له التبعيض وردّ المعيب وحده ، وكذا لو اشترك اثنان في شراء شيء فوجداه معيباً ليس لأحدهما ردّ حصّته خاصّة إذا لم يوافقه شريكه ، على إشكال فيهما خصوصاً في ثانيهما ، نعم لو رضي البائع </w:t>
      </w:r>
      <w:bookmarkStart w:id="540" w:name="pg15003_160044"/>
    </w:p>
    <w:p>
      <w:pPr>
        <w:pStyle w:val="BookText"/>
        <w:rPr/>
      </w:pPr>
      <w:bookmarkEnd w:id="540"/>
      <w:r>
        <w:rPr>
          <w:rFonts w:ascii="Amiri" w:hAnsi="Amiri" w:eastAsia="Amiri" w:cs="Amiri"/>
          <w:color w:val="111111"/>
          <w:sz w:val="28"/>
          <w:sz w:val="28"/>
          <w:szCs w:val="28"/>
          <w:rtl w:val="true"/>
          <w:lang w:bidi="ar-SA"/>
        </w:rPr>
        <w:t xml:space="preserve">يجوز ويصحّ التبعيض في المسألتين بلا إشكال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العيب الموجب للخيار ما كان موجوداً حال العقد أو حدث بعده قبل القبض</w:t>
      </w:r>
      <w:r>
        <w:rPr>
          <w:rStyle w:val="FootnoteAnchor"/>
          <w:rtl w:val="true"/>
        </w:rPr>
        <w:footnoteReference w:id="1109"/>
      </w:r>
      <w:r>
        <w:rPr>
          <w:rFonts w:ascii="Amiri" w:hAnsi="Amiri" w:eastAsia="Amiri" w:cs="Amiri"/>
          <w:color w:val="111111"/>
          <w:sz w:val="28"/>
          <w:sz w:val="28"/>
          <w:szCs w:val="28"/>
          <w:rtl w:val="true"/>
          <w:lang w:bidi="ar-SA"/>
        </w:rPr>
        <w:t>، فلا يؤثّر في ثبوت الخيار ولا في استحقاق الأرش ما حدث بعد العقد والقبض ، عدا الجنون والبرص والجذام والقرن</w:t>
      </w:r>
      <w:r>
        <w:rPr>
          <w:rStyle w:val="FootnoteAnchor"/>
          <w:rtl w:val="true"/>
        </w:rPr>
        <w:footnoteReference w:id="1110"/>
      </w:r>
      <w:r>
        <w:rPr>
          <w:rFonts w:ascii="Amiri" w:hAnsi="Amiri" w:eastAsia="Amiri" w:cs="Amiri"/>
          <w:color w:val="111111"/>
          <w:sz w:val="28"/>
          <w:sz w:val="28"/>
          <w:szCs w:val="28"/>
          <w:rtl w:val="true"/>
          <w:lang w:bidi="ar-SA"/>
        </w:rPr>
        <w:t xml:space="preserve">فإنّ هذه العيوب الأربعة لو حدثت إلى سنة من يوم العقد يثبت لأجلها الخيار ، ولأجل ذلك سمّيت هذه العيوب بأحداث السنة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487965_3406789950"/>
      <w:bookmarkStart w:id="542" w:name="_Toc197"/>
      <w:bookmarkEnd w:id="541"/>
      <w:r>
        <w:rPr>
          <w:rtl w:val="true"/>
        </w:rPr>
        <w:t xml:space="preserve">خاتمة </w:t>
      </w:r>
      <w:r>
        <w:rPr>
          <w:rtl w:val="true"/>
        </w:rPr>
        <w:t xml:space="preserve">: </w:t>
      </w:r>
      <w:r>
        <w:rPr>
          <w:rtl w:val="true"/>
        </w:rPr>
        <w:t>في أحكام الخيار</w:t>
      </w:r>
      <w:bookmarkEnd w:id="542"/>
    </w:p>
    <w:p>
      <w:pPr>
        <w:pStyle w:val="BookText"/>
        <w:rPr/>
      </w:pPr>
      <w:r>
        <w:rPr>
          <w:rFonts w:ascii="Amiri" w:hAnsi="Amiri" w:eastAsia="Amiri" w:cs="Amiri"/>
          <w:color w:val="111111"/>
          <w:sz w:val="28"/>
          <w:sz w:val="28"/>
          <w:szCs w:val="28"/>
          <w:rtl w:val="true"/>
          <w:lang w:bidi="ar-SA"/>
        </w:rPr>
        <w:t xml:space="preserve">وليعلم أنّ للخيار أحكاماً مشتركة بين الجميع ، وأحكاماً تختصّ ببعضها لا يناسب هذا المختصر تفصيلها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الأحكام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خيار يسقط إذا اشترط في متن العقد عدمه ، وكذلك يسقط بإسقاطه بعد العقد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مات من له الخيار انتقل خياره إلى وارثه ، من غير فرق بين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المانع عن إرث الأموال لنقصان في الوارث كالرقّية والقتل والكفر مانع عن هذا الإرث أيضاً ، كما أنّ ما يحجب به حجب 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الأقرب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به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الخيار متعلّقاً بمال خاصّ يحرم عنه بعض الورثة كالعقار بالنسبة إلى الزوجة والحبوة بالنسبة إلى </w:t>
      </w:r>
      <w:bookmarkStart w:id="543" w:name="pg15003_160045"/>
    </w:p>
    <w:p>
      <w:pPr>
        <w:pStyle w:val="BookText"/>
        <w:rPr/>
      </w:pPr>
      <w:bookmarkEnd w:id="543"/>
      <w:r>
        <w:rPr>
          <w:rFonts w:ascii="Amiri" w:hAnsi="Amiri" w:eastAsia="Amiri" w:cs="Amiri"/>
          <w:color w:val="111111"/>
          <w:sz w:val="28"/>
          <w:sz w:val="28"/>
          <w:szCs w:val="28"/>
          <w:rtl w:val="true"/>
          <w:lang w:bidi="ar-SA"/>
        </w:rPr>
        <w:t xml:space="preserve">غير الولد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يحرم ذلك الوارث عن الخيار المتعلّق بذلك المال مطلقاً أو لا يحرم مطلقاً أو يفصّل بين ما إذا كان ما يحرم عنه الوارث منتقلاً إلى الميّت وما كان منتقلاً عنه فيحرم في الثاني دون الأوّل ؛ ففيما إذا انتقل العقار إلى الميّت وكان له الخيار ترثه الزوجة بخلاف ما إذا باع العقار وكان له الخيار فلا ترثه ؟ وجوه وأقوال ، أقواها أوسطها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فيما إذا كان الوارث واحداً ، وأمّا إذا تعدّد ففي كون الخيار لكلّ منهم بالاستقلال بالنسبة إلى الجميع أو بالنسبة إلى حصّته أو للمجموع بحيث لا أثر لفسخ بعضهم بدون ضمّ الباقين لا في تمام المبيع ولا في حصّته أقوال ، أقواها الأخير ، ثمّ أوسطها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الورثة على الفسخ فيما باعه مورّثهم ، فإن كان عين الثمن موجوداً دفعوه إلى المشتري ، وإن لم يكن موجوداً اُخرج من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مال ففي كونه على الميّت واشتغال ذمّته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تفريغها بالمبيع المردود إليه ، فإن بقي شيء يكون للورثة ، وإن لم يفِ بتفريغ ما عليه يبقى الباقي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على الورثة كلّ بقدر حصّته ، وجهان ؛ أوجههما أوّلهما </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487967_3406789950"/>
      <w:bookmarkStart w:id="545" w:name="_Toc198"/>
      <w:bookmarkEnd w:id="544"/>
      <w:r>
        <w:rPr>
          <w:rtl w:val="true"/>
        </w:rPr>
        <w:t xml:space="preserve">القول </w:t>
      </w:r>
      <w:r>
        <w:rPr>
          <w:rtl w:val="true"/>
        </w:rPr>
        <w:t xml:space="preserve">: </w:t>
      </w:r>
      <w:r>
        <w:rPr>
          <w:rtl w:val="true"/>
        </w:rPr>
        <w:t>فيما يدخل في المبيع عند الإطلاق</w:t>
      </w:r>
      <w:bookmarkEnd w:id="54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بستاناً دخل فيه الأرض والشجر والنخل ، وكذا الأبنية من سورها وما يعدّ من توابعها ومرافقها كالبئر والناعور</w:t>
      </w:r>
      <w:r>
        <w:rPr>
          <w:rStyle w:val="FootnoteAnchor"/>
          <w:rtl w:val="true"/>
        </w:rPr>
        <w:footnoteReference w:id="1112"/>
      </w:r>
      <w:r>
        <w:rPr>
          <w:rFonts w:ascii="Amiri" w:hAnsi="Amiri" w:eastAsia="Amiri" w:cs="Amiri"/>
          <w:color w:val="111111"/>
          <w:sz w:val="28"/>
          <w:sz w:val="28"/>
          <w:szCs w:val="28"/>
          <w:rtl w:val="true"/>
          <w:lang w:bidi="ar-SA"/>
        </w:rPr>
        <w:t xml:space="preserve">والحظيرة ونحوها ، بخلاف ما إذا باع أرضاً فإنّه لا يدخل فيها النخل والشجر الموجودتان فيها إلاّ </w:t>
      </w:r>
    </w:p>
    <w:p>
      <w:pPr>
        <w:pStyle w:val="BookText"/>
        <w:rPr/>
      </w:pPr>
      <w:r>
        <w:rPr>
          <w:rFonts w:ascii="Amiri" w:hAnsi="Amiri" w:eastAsia="Amiri" w:cs="Amiri"/>
          <w:color w:val="111111"/>
          <w:sz w:val="28"/>
          <w:sz w:val="28"/>
          <w:szCs w:val="28"/>
          <w:rtl w:val="true"/>
          <w:lang w:bidi="ar-SA"/>
        </w:rPr>
        <w:t xml:space="preserve">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يدخل الحمل</w:t>
      </w:r>
      <w:r>
        <w:rPr>
          <w:rStyle w:val="FootnoteAnchor"/>
          <w:rtl w:val="true"/>
        </w:rPr>
        <w:footnoteReference w:id="1113"/>
      </w:r>
      <w:r>
        <w:rPr>
          <w:rFonts w:ascii="Amiri" w:hAnsi="Amiri" w:eastAsia="Amiri" w:cs="Amiri"/>
          <w:color w:val="111111"/>
          <w:sz w:val="28"/>
          <w:sz w:val="28"/>
          <w:szCs w:val="28"/>
          <w:rtl w:val="true"/>
          <w:lang w:bidi="ar-SA"/>
        </w:rPr>
        <w:t xml:space="preserve">في ابتياع الاُمّ ما لم يشترط والثمر في بيع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باع نخلاً فإن كان مؤبّراً فالثمرة للبائع ويجب على المشتري إبقاؤها على الاُصول بما جرت العادة على إبقاء تلك الثمرة ، ولو لم يؤبّر كانت للمشتري ، والظاهر اختصاص ذلك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غيرها فالثمرة للناقل بدون الشرط ؛ سواء كانت مؤبّرة أو لم تكن ، كما أنّ هذا الحكم مختصّ بالنخل فلا يجري في غيرها ، بل تكون الثمرة للبائع على كلّ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الاُصول وبقيت الثمرة للبائع واحتاجت الثمرة إلى السقي يجوز لصاحبها أن يسقيها وليس لصاحب الاُصول منعه ، وكذلك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تضرّر أحدهما بالسقي والآخر بتركه ففي تقديم حقّ البائع المالك للثمرة أو المشتري المالك للاُصول وجهان ، لا يخلو ثانيهما عن رجحان ، والأحوط التصالح والتراضي على تقدّم أحدهما ولو بأن يتحمّل ضرر الآخر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بستاناً واستثنى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الممرّ إليها والمخرج ومدى جرائدها وعروقها من الأرض ، وليس للمشتري منع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 داراً دخل فيها الأرض والأبنية الأعلى والأسفل، إلاّ أن يكون الأعلى مستقلاًّ من حيث المدخل والمخرج والمرافق وغير ذلك ممّا يكون أمارة على خروجه واستقلاله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يدخل السراديب والبئر والأبواب والأخشاب المتداخلة في البناء والأوتاد المثبتة فيه ، بل السلّم المثبت على حذو الدرج ، ولا يدخل الرحى المنصوبة إلاّ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فيها نخل أو شجر إلاّ مع الشرط</w:t>
      </w:r>
      <w:r>
        <w:rPr>
          <w:rStyle w:val="FootnoteAnchor"/>
          <w:rtl w:val="true"/>
        </w:rPr>
        <w:footnoteReference w:id="1114"/>
      </w:r>
      <w:r>
        <w:rPr>
          <w:rFonts w:ascii="Amiri" w:hAnsi="Amiri" w:eastAsia="Amiri" w:cs="Amiri"/>
          <w:color w:val="111111"/>
          <w:sz w:val="28"/>
          <w:sz w:val="28"/>
          <w:szCs w:val="28"/>
          <w:rtl w:val="true"/>
          <w:lang w:bidi="ar-SA"/>
        </w:rPr>
        <w:t xml:space="preserve">ولو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دار عليها </w:t>
      </w:r>
      <w:bookmarkStart w:id="546" w:name="pg15003_160047"/>
    </w:p>
    <w:p>
      <w:pPr>
        <w:pStyle w:val="BookText"/>
        <w:rPr/>
      </w:pPr>
      <w:bookmarkEnd w:id="546"/>
      <w:r>
        <w:rPr>
          <w:rFonts w:ascii="Amiri" w:hAnsi="Amiri" w:eastAsia="Amiri" w:cs="Amiri"/>
          <w:color w:val="111111"/>
          <w:sz w:val="28"/>
          <w:sz w:val="28"/>
          <w:szCs w:val="28"/>
          <w:rtl w:val="true"/>
          <w:lang w:bidi="ar-SA"/>
        </w:rPr>
        <w:t xml:space="preserve">حائطها ، وفي دخول المفاتيح إشكال لا يبعد دخولها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الأحجار المخلوقة في الأرض والمعادن المتكوّنة فيها تدخل في بيعها ، بخلاف الأحجار المدفونة فيها كالكنوز المودّعة فيها ونحوها </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487969_3406789950"/>
      <w:bookmarkStart w:id="548" w:name="_Toc199"/>
      <w:bookmarkEnd w:id="547"/>
      <w:r>
        <w:rPr>
          <w:rtl w:val="true"/>
        </w:rPr>
        <w:t xml:space="preserve">القول </w:t>
      </w:r>
      <w:r>
        <w:rPr>
          <w:rtl w:val="true"/>
        </w:rPr>
        <w:t xml:space="preserve">: </w:t>
      </w:r>
      <w:r>
        <w:rPr>
          <w:rtl w:val="true"/>
        </w:rPr>
        <w:t>في القبض والتسليم</w:t>
      </w:r>
      <w:bookmarkEnd w:id="54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المتبايعين تسليم العوضين بعد العقد لو لم يشترط التأخير ، فلا يجوز لكلّ منهما التأخير مع الإمكان إلاّ برضا صاحبه ، فإن امتنعا اُجبرا ، ولو امتنع أحدهما مع تسليم صاحبه اُجبر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كلّ منهما تأخير التسليم إلى مدّة معيّنة جاز</w:t>
      </w:r>
      <w:r>
        <w:rPr>
          <w:rStyle w:val="FootnoteAnchor"/>
          <w:rtl w:val="true"/>
        </w:rPr>
        <w:footnoteReference w:id="1115"/>
      </w:r>
      <w:r>
        <w:rPr>
          <w:rFonts w:ascii="Amiri" w:hAnsi="Amiri" w:eastAsia="Amiri" w:cs="Amiri"/>
          <w:color w:val="111111"/>
          <w:sz w:val="28"/>
          <w:sz w:val="28"/>
          <w:szCs w:val="28"/>
          <w:rtl w:val="true"/>
          <w:lang w:bidi="ar-SA"/>
        </w:rPr>
        <w:t>، وليس لغير مشترط التأخير الامتناع عن التسليم ؛ لعدم تسليم صاحبه الذي اشترط التأخير</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يشترط البائع له سكنى الدار أو ركوب الدابّة أو زرع الأرض ونحو ذلك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والتسليم فيما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التخلية برفع يده عنه ورفع المنافيات والإذن منه لصاحبه في التصرّف بحيث صار تحت استيلائه ، وأمّا في المنقول كالطعام والثياب ونحوه ففي كونه التخلية أيضاً أو الأخذ باليد مطلقاً أو التفصيل بين أنواعه أقوال ، لا يبعد كفاية التخلية في مقام وجوب تسليم العوضين على المتبايعين بحيث يخرج عن ضمانه</w:t>
      </w:r>
      <w:r>
        <w:rPr>
          <w:rStyle w:val="FootnoteAnchor"/>
          <w:rtl w:val="true"/>
        </w:rPr>
        <w:footnoteReference w:id="1117"/>
      </w:r>
      <w:r>
        <w:rPr>
          <w:rFonts w:ascii="Amiri" w:hAnsi="Amiri" w:eastAsia="Amiri" w:cs="Amiri"/>
          <w:color w:val="111111"/>
          <w:sz w:val="28"/>
          <w:sz w:val="28"/>
          <w:szCs w:val="28"/>
          <w:rtl w:val="true"/>
          <w:lang w:bidi="ar-SA"/>
        </w:rPr>
        <w:t xml:space="preserve">وعدم كون تلفه عليه ، وإن لم يكتف بذلك في سائر المقامات التي يعتبر فيها القبض ممّا لا يسع المقام تفصيلها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تلف المبيع قبل تسليمه إلى المشتري كان من مال البائع فانفسخ البيع وعاد الثمن إلى المشتري ، وإذا حصل للمبيع نماء قبل القبض كالنتاج والثمرة كان ذلك للمشتري ، فإن تلف الأصل قبل قبضه عاد الثمن إليه وله النماء ، ولو تعيّب قبل القبض كان المشتري بالخيار بين الفسخ والإمضاء بكلّ الثمن ، وفي استحقاقه لأخذ الأرش تردّد ، أقواه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جملة فتلف بعضها انفسخ البيع بالنسبة إلى التالف ، وعاد إلى المشتري ما يخصّه من الثمن ، وله فسخ العقد والرضا بالموجود بحصّته من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تسليم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تفريغه عمّا كان فيه من أمتعة وغيرها ، حتّى لو كان مشغولاً بزرع آن وقت حصاده وجب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عروق تضرّ بالانتفاع كالقطن والذرة ، أو كان في الأرض حجارة مدفونة وجب عليه إزالتها وتسوية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فيها شيء لا يخرج إلاّ بتغيير شيء من الأبنية وجب إخراجه وإصلاح ما ينهدم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فيه زرع لم يأن وقت حصاده له إبقاؤه إلى أوانه من غير اُجرة على الظاهر ، وإن لم يخل من إشكال ، والأحوط</w:t>
      </w:r>
      <w:r>
        <w:rPr>
          <w:rStyle w:val="FootnoteAnchor"/>
          <w:rtl w:val="true"/>
        </w:rPr>
        <w:footnoteReference w:id="1118"/>
      </w:r>
      <w:r>
        <w:rPr>
          <w:rFonts w:ascii="IRNazanin" w:hAnsi="IRNazanin" w:eastAsia="IRNazanin"/>
          <w:color w:val="111111"/>
          <w:sz w:val="28"/>
          <w:sz w:val="28"/>
          <w:szCs w:val="28"/>
          <w:rtl w:val="true"/>
          <w:lang w:bidi="fa-IR"/>
        </w:rPr>
        <w:t xml:space="preserve">التصالح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شيئاً ولم يقبضه ، فإن كان ممّا لا يكال أو يوزن جاز بيعه قبل قبضه ، وكذا إذا كان منهما وباع 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باع بالمرابحة ففيه إشكال ، أقواه الجواز</w:t>
      </w:r>
      <w:r>
        <w:rPr>
          <w:rStyle w:val="FootnoteAnchor"/>
          <w:rtl w:val="true"/>
        </w:rPr>
        <w:footnoteReference w:id="1119"/>
      </w:r>
      <w:r>
        <w:rPr>
          <w:rFonts w:ascii="Amiri" w:hAnsi="Amiri" w:eastAsia="Amiri" w:cs="Amiri"/>
          <w:color w:val="111111"/>
          <w:sz w:val="28"/>
          <w:sz w:val="28"/>
          <w:szCs w:val="28"/>
          <w:rtl w:val="true"/>
          <w:lang w:bidi="ar-SA"/>
        </w:rPr>
        <w:t xml:space="preserve">مع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باع الغير المقبوض على غير البائع ، </w:t>
      </w:r>
      <w:bookmarkStart w:id="549" w:name="pg15003_160049"/>
    </w:p>
    <w:p>
      <w:pPr>
        <w:pStyle w:val="BookText"/>
        <w:rPr/>
      </w:pPr>
      <w:bookmarkEnd w:id="549"/>
      <w:r>
        <w:rPr>
          <w:rFonts w:ascii="Amiri" w:hAnsi="Amiri" w:eastAsia="Amiri" w:cs="Amiri"/>
          <w:color w:val="111111"/>
          <w:sz w:val="28"/>
          <w:sz w:val="28"/>
          <w:szCs w:val="28"/>
          <w:rtl w:val="true"/>
          <w:lang w:bidi="ar-SA"/>
        </w:rPr>
        <w:t xml:space="preserve">وأمّا إذا باعه عليه فالظاهر أ نّه لا إشكال في جوازه مطلقاً ، كما أ نّه لا إشكال فيما إذا ملك شيئاً بغير الشراء كالميراث والصداق والخلع وغيرها فيجوز بيعه قبل قبضه بلا إشكال ، بل الظاهر اختصاص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 فلا منع في جعله صداقاً ، أو اُجرة ، أو غير ذلك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487971_3406789950"/>
      <w:bookmarkStart w:id="551" w:name="_Toc200"/>
      <w:bookmarkEnd w:id="550"/>
      <w:r>
        <w:rPr>
          <w:rtl w:val="true"/>
        </w:rPr>
        <w:t xml:space="preserve">القول </w:t>
      </w:r>
      <w:r>
        <w:rPr>
          <w:rtl w:val="true"/>
        </w:rPr>
        <w:t xml:space="preserve">: </w:t>
      </w:r>
      <w:r>
        <w:rPr>
          <w:rtl w:val="true"/>
        </w:rPr>
        <w:t>في النقد والنسيئة</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شيئاً ولم يشترط فيه تأجيل الثمن يكون نقداً وحالاًّ ، فللبائع بعد تسليم المبيع مطالبته في أيّ زمان ، وليس له الامتناع من أخذه متى أراد المشتري 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اشترط تأجيله يكون نسيئة لا يجب على المشتري دفعه قبل الأجل وإن طولب به ، كما أ نّه لا يجب على البائع أخذه إذا دفعه المشتري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مدّة الأجل معيّنة مضبوطة لا يتطرّق إليها احتمال الزيادة والنقصان ، فلو اشترط التأجيل ولم يعيّن أجلاً ، أو عيّن أجلاً مجهولاً كقدوم الحاجّ كان البيع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تعيّنه في نفسه وإن لم يعرفه المتعاقدان ، كما إذا جعل التأجيل إلى النيروز ، أو إلى انتقال الشمس إلى برج ميزان ؟ وجهان</w:t>
      </w:r>
      <w:r>
        <w:rPr>
          <w:rStyle w:val="FootnoteAnchor"/>
          <w:rtl w:val="true"/>
        </w:rPr>
        <w:footnoteReference w:id="1120"/>
      </w:r>
      <w:r>
        <w:rPr>
          <w:rFonts w:ascii="Amiri" w:hAnsi="Amiri" w:eastAsia="Amiri" w:cs="Amiri"/>
          <w:color w:val="111111"/>
          <w:sz w:val="28"/>
          <w:sz w:val="28"/>
          <w:szCs w:val="28"/>
          <w:rtl w:val="true"/>
          <w:lang w:bidi="ar-SA"/>
        </w:rPr>
        <w:t xml:space="preserve">؛ أحوطهما العدم ، بل لا يخلو من قوّة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شيئاً بثمن حالاًّ وبأزيد منه إلى أجل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نقداً بعشرة ونسيئة إلى سنة بخمسة عشر ، وقال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هكذا ، يكون البيع باطلاً</w:t>
      </w:r>
      <w:r>
        <w:rPr>
          <w:rStyle w:val="FootnoteAnchor"/>
          <w:rtl w:val="true"/>
        </w:rPr>
        <w:footnoteReference w:id="1121"/>
      </w:r>
      <w:r>
        <w:rPr>
          <w:rFonts w:ascii="Amiri" w:hAnsi="Amiri" w:eastAsia="Amiri" w:cs="Amiri"/>
          <w:color w:val="111111"/>
          <w:sz w:val="28"/>
          <w:sz w:val="28"/>
          <w:szCs w:val="28"/>
          <w:rtl w:val="true"/>
          <w:lang w:bidi="ar-SA"/>
        </w:rPr>
        <w:t xml:space="preserve">، وكذا لو باعه بثمن إلى أجل وبأزيد منه إلى آخر </w:t>
      </w:r>
      <w:r>
        <w:rPr>
          <w:rFonts w:eastAsia="Amiri" w:cs="Amiri" w:ascii="Amiri" w:hAnsi="Amiri"/>
          <w:color w:val="111111"/>
          <w:sz w:val="28"/>
          <w:szCs w:val="28"/>
          <w:rtl w:val="true"/>
          <w:lang w:bidi="ar-SA"/>
        </w:rPr>
        <w:t xml:space="preserve">. </w:t>
      </w:r>
      <w:bookmarkStart w:id="552" w:name="pg15003_160050"/>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تأجيل الثمن الحالّ ، بل مطلق الدين بأزيد منه ؛ بأن يزيد في ثمنه الذي استحقّه البائع مقداراً ليؤجّله إلى أجل كذا ، وكذا لا يجوز أن يزيد في الثمن المؤجّل ليزيد في الأجل ؛ سواء وقع ذلك على جهة البيع أو الصلح ، أو الجعالة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عكس ذلك وهو تعجيل المؤجّل بنقصان منه على جهة الصلح أو الإبراء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شيئاً نسيئة يجوز شراؤه منه قبل حلول الأجل وبعده بجنس الثمن أو بغيره ؛ سواء كان مساوياً للثمن الأوّل أو أزيد منه أو أنقص ، وسواء كان البيع الثاني حالاًّ أو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يحتال بذلك للتخلّص من الربا ؛ بأن يبيع من عنده الدراهم شيئاً على من يحتاج إليها بثمن إلى أجل ثمّ يشتري منه ذلك الشيء حالاًّ بأقلّ من ذلك الثمن فيعطيه الثمن الأقلّ ويبقى على ذمّته الثمن الأوّل ، وإنّما يجوز ذلك إذا لم يشترط في البيع الأوّل ، فلو اشترط البائع في بيعه على المشتري أن يبيعه بعد شرائه ، أو شرط المشتري على البائع أن يشتريه منه لم يصحّ على قول مشهور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487973_3406789950"/>
      <w:bookmarkStart w:id="554" w:name="_Toc201"/>
      <w:bookmarkEnd w:id="553"/>
      <w:r>
        <w:rPr>
          <w:rtl w:val="true"/>
        </w:rPr>
        <w:t xml:space="preserve">القول </w:t>
      </w:r>
      <w:r>
        <w:rPr>
          <w:rtl w:val="true"/>
        </w:rPr>
        <w:t xml:space="preserve">: </w:t>
      </w:r>
      <w:r>
        <w:rPr>
          <w:rtl w:val="true"/>
        </w:rPr>
        <w:t>في الربا</w:t>
      </w:r>
      <w:bookmarkEnd w:id="55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حرمته ثابتة بالكتاب والسنّة وإجماع من المسلمين ، بل لا يبعد كونها من ضروريات الدين ، وهو من الكبائر العظام ، حتّى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أشدّ عند اللّه من عشرين زنية ، بل ثلاثين زنية كلّها بذات محرم مثل عمّة وخالة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w:t>
      </w:r>
    </w:p>
    <w:p>
      <w:pPr>
        <w:pStyle w:val="BookText"/>
        <w:rPr/>
      </w:pPr>
      <w:r>
        <w:rPr>
          <w:rFonts w:ascii="IRNazanin" w:hAnsi="IRNazanin" w:eastAsia="IRNazanin"/>
          <w:color w:val="111111"/>
          <w:sz w:val="28"/>
          <w:sz w:val="28"/>
          <w:szCs w:val="28"/>
          <w:rtl w:val="true"/>
          <w:lang w:bidi="fa-IR"/>
        </w:rPr>
        <w:t xml:space="preserve">خبر صحيح 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أعظم عند اللّه من سبعين زنية كلّها بذات محرم في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النبوي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الربا أملأ اللّه بطنه من نار جهنّم بقدر ما أكل ، وإن اكتسب منه مالاً لم يقبل اللّه منه شيئاً من عمله ولم يزل في لعنة اللّه والملائكة ما كان عنده منه قيراط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كلماته الموجزة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المكاسب كسب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 الربا ومؤكله وكاتبه وشاهداه في الوزر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 آله وسلم الربا وآكله وبائعه ومشتريه وكاتبه وشاهديه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شريعة</w:t>
      </w:r>
      <w:r>
        <w:rPr>
          <w:rStyle w:val="FootnoteAnchor"/>
          <w:rtl w:val="true"/>
        </w:rPr>
        <w:footnoteReference w:id="1123"/>
      </w:r>
      <w:r>
        <w:rPr>
          <w:rFonts w:ascii="Amiri" w:hAnsi="Amiri" w:eastAsia="Amiri" w:cs="Amiri"/>
          <w:color w:val="111111"/>
          <w:sz w:val="28"/>
          <w:sz w:val="28"/>
          <w:szCs w:val="28"/>
          <w:rtl w:val="true"/>
          <w:lang w:bidi="ar-SA"/>
        </w:rPr>
        <w:t xml:space="preserve">الإسلام أعظم منه حرمة وأشدّ منه عقوبة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معاملي وقرضي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بيع أحد المثلين بالآخر مع زيادة عينية ، كبيع منّ من الحنطة بمنّين ، أو منّ من حنطة بمنّ منها مع درهم ، أو حكمية كمنّ من حنطة نقداً بمنّ من حنطة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بالبيع ، أو لا بل يثبت في سائر المعاوضات أيضاً كالصلح ونحوه ؟ قولان ، الأشهر</w:t>
      </w:r>
      <w:r>
        <w:rPr>
          <w:rStyle w:val="FootnoteAnchor"/>
          <w:rtl w:val="true"/>
        </w:rPr>
        <w:footnoteReference w:id="1124"/>
      </w:r>
      <w:r>
        <w:rPr>
          <w:rFonts w:ascii="Amiri" w:hAnsi="Amiri" w:eastAsia="Amiri" w:cs="Amiri"/>
          <w:color w:val="111111"/>
          <w:sz w:val="28"/>
          <w:sz w:val="28"/>
          <w:szCs w:val="28"/>
          <w:rtl w:val="true"/>
          <w:lang w:bidi="ar-SA"/>
        </w:rPr>
        <w:t xml:space="preserve">والأحوط هو الثاني وإن كان الأوّل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شرطه أمران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الجنس ، وضابطه</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في الحقيقة النوعية الكاشف عنه دخولهما تحت لفظ خاصّ ، فكلّ ما صدق عليه الحنطة ، أو الأرز ، أو التمر ، أو العنب جنس واحد ، فلا يجوز بيع بعضها ببعض بالتفاضل وإن تخالفا في </w:t>
      </w:r>
    </w:p>
    <w:p>
      <w:pPr>
        <w:pStyle w:val="BookText"/>
        <w:rPr/>
      </w:pPr>
      <w:r>
        <w:rPr>
          <w:rFonts w:ascii="Amiri" w:hAnsi="Amiri" w:eastAsia="Amiri" w:cs="Amiri"/>
          <w:color w:val="111111"/>
          <w:sz w:val="28"/>
          <w:sz w:val="28"/>
          <w:szCs w:val="28"/>
          <w:rtl w:val="true"/>
          <w:lang w:bidi="ar-SA"/>
        </w:rPr>
        <w:t xml:space="preserve">الصفات والخواصّ ، فلا يتفاضل بين الحنطة الرديئة الحمراء والجيّدة البيضاء ، ولا بين العنبر الجيّد من الأرز والرديء من الشنبة ، ورديء الزاهدي من التمر وجيّد الخستاوي منه وغير ذلك ، بخلاف ما إذا دخل كلّ منهما تحت لفظ كالحنطة مع الأرز ، أو العدس ، فلو باع منّاً من حنطة بمنّين من الأرز أو بمنّين من عدس فلا 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العوضين من المكيل أو الموزون ، فلا ربا فيما يباع بالعدّ أو المشاهدة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الشعير والحنطة في باب الربا بحكم جنس واحد ، فلا يجوز المعاوضة بينهما بالتفاضل وإن لم يكونا كذلك في باب الزكاة ، فلا يكمل نصاب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العلس من جنس الحنطة والسلت من جنس الشعير ، أو كلّ منهما خارج من الجنسين ؟ فيه إشكال ، الأحوط أن لا يباع أحدهما بالآخر وكلّ منهما بالحنطة والشعير إلاّ مثلاً بمثل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مع أصله بحكم جنس واحد وإن اختلفا في الاسم كالسمسم والشيرج ، واللبن مع الجبن والمخيض واللباء وغيرها ، والتمر والعنب مع خلّهما ودبسهما ، وكذا الفرعان من أصل واحد كالجبن مع الاُقط والزبد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اللحوم والألبان والأدهان تختلف باختلاف الحيوان ، فيجوز التفاضل بين لحم الغنم ولحم البقر ، وكذا بين لبنهما أو دهنهما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تجري تبعية الفرع للأصل في المكيلية والموزونية ، فما كان أصله ممّا يكال أو يوزن فخرج منه شيء لا يكال ولا يوزن لا بأس بالتفاضل </w:t>
      </w:r>
    </w:p>
    <w:p>
      <w:pPr>
        <w:pStyle w:val="BookText"/>
        <w:rPr/>
      </w:pPr>
      <w:r>
        <w:rPr>
          <w:rFonts w:ascii="Amiri" w:hAnsi="Amiri" w:eastAsia="Amiri" w:cs="Amiri"/>
          <w:color w:val="111111"/>
          <w:sz w:val="28"/>
          <w:sz w:val="28"/>
          <w:szCs w:val="28"/>
          <w:rtl w:val="true"/>
          <w:lang w:bidi="ar-SA"/>
        </w:rPr>
        <w:t xml:space="preserve">بين أصله وما خرج منه ، وكذا بين ما خرج منه بعضه مع بعض ، وذلك كالقطن والكتّان فأصلهما وغزلهما يوزن ومنسوجهما لا يوزن فلا بأس بالتفاضل بين أصلهما أو غزلهما ومنسوجهما ، وكذا بين منسوجهما ؛ بأن يباع ثوبان بثوب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شيء مكيلاً أو موزوناً في حال دون حال ، فالثمرة غير موزون حال كونها على الشجر وإذا اجتنيت صارت من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الحيوان قبل أن يذبح ويصير لحماً ليس من الموزون وصار منه بعد ما ذبح وسلخ جلده ، ولذا يجوز بيع شاة بشاتين بلا إشكال ، نعم الظاهر أ نّه لا يجوز بيع لحم حيوان بحيوان حيّ من جنسه كلحم الغنم بالشاة ، وحرمة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جهة الربا ، بل لا يبعد تعميم الحكم بالحرمة إلى بيع اللحم بحيوان من غير جنسه كلحم الغنم بالبقر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لشيء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رطوبة وحالة 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كالتمر يكون رطباً ثمّ يصير تمراً ، والعنب يكون عنباً ثمّ يصير زبيباً ، وكذا الخبز ، بل واللحم أيضاً يكون نيّاً ثمّ يصير قديداً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بيع جافّه بجافّه ورطبه برطبه مثلاً بمثل ، كما أ نّه لا يجوز بالتفاضل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جافّه برطبه كبيع التمر بالرطب ففي جوازه إشكال ، أقواه</w:t>
      </w:r>
      <w:r>
        <w:rPr>
          <w:rStyle w:val="FootnoteAnchor"/>
          <w:rtl w:val="true"/>
        </w:rPr>
        <w:footnoteReference w:id="1126"/>
      </w:r>
      <w:r>
        <w:rPr>
          <w:rFonts w:ascii="Amiri" w:hAnsi="Amiri" w:eastAsia="Amiri" w:cs="Amiri"/>
          <w:color w:val="111111"/>
          <w:sz w:val="28"/>
          <w:sz w:val="28"/>
          <w:szCs w:val="28"/>
          <w:rtl w:val="true"/>
          <w:lang w:bidi="ar-SA"/>
        </w:rPr>
        <w:t xml:space="preserve">العدم ؛ سواء كان بالتفاضل ، أو مثلاً بمثل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التفاوت بالجودة والرداءة لا يوجب جواز التفاضل في المقدار ، فلا يجوز بيع مثقال من الذهب الجيّد بمثقالين من الرديء وإن تساويا في القيمة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يتخلّص من الربا بضمّ غير الجنس بالطرفين ؛ كأن يبيع منّاً من حنطة مع درهم بمنّين من حنطة ودرهمين ، أو بضمّ غير الجنس في الطرف </w:t>
      </w:r>
      <w:bookmarkStart w:id="555" w:name="pg15003_160054"/>
    </w:p>
    <w:p>
      <w:pPr>
        <w:pStyle w:val="BookText"/>
        <w:rPr/>
      </w:pPr>
      <w:bookmarkEnd w:id="555"/>
      <w:r>
        <w:rPr>
          <w:rFonts w:ascii="Amiri" w:hAnsi="Amiri" w:eastAsia="Amiri" w:cs="Amiri"/>
          <w:color w:val="111111"/>
          <w:sz w:val="28"/>
          <w:sz w:val="28"/>
          <w:szCs w:val="28"/>
          <w:rtl w:val="true"/>
          <w:lang w:bidi="ar-SA"/>
        </w:rPr>
        <w:t xml:space="preserve">الناقص ، كأن يبيع منّاً من حنطة مع درهم بمنّين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شيء يباع جزافاً في بلد وموزوناً في آخر فلكلّ بلد حكم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ربا بين الوالد وولده ، ولا بين السيّد وعبده ، ولا بين الرجل وزوجته ، ولا بين المسلم والحربي ؛ بمعنى أ نّه يجوز أخذ الفضل للمسلم ، ويثبت بين المسلم والذمّي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الربا المعاملي ، وأمّا الربا القرضي فيأتي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487975_3406789950"/>
      <w:bookmarkStart w:id="557" w:name="_Toc202"/>
      <w:bookmarkEnd w:id="556"/>
      <w:r>
        <w:rPr>
          <w:rtl w:val="true"/>
        </w:rPr>
        <w:t xml:space="preserve">القول </w:t>
      </w:r>
      <w:r>
        <w:rPr>
          <w:rtl w:val="true"/>
        </w:rPr>
        <w:t xml:space="preserve">: </w:t>
      </w:r>
      <w:r>
        <w:rPr>
          <w:rtl w:val="true"/>
        </w:rPr>
        <w:t>في بيع الصرف</w:t>
      </w:r>
      <w:bookmarkEnd w:id="557"/>
    </w:p>
    <w:p>
      <w:pPr>
        <w:pStyle w:val="BookText"/>
        <w:rPr/>
      </w:pPr>
      <w:r>
        <w:rPr>
          <w:rFonts w:ascii="Amiri" w:hAnsi="Amiri" w:eastAsia="Amiri" w:cs="Amiri"/>
          <w:color w:val="111111"/>
          <w:sz w:val="28"/>
          <w:sz w:val="28"/>
          <w:szCs w:val="28"/>
          <w:rtl w:val="true"/>
          <w:lang w:bidi="ar-SA"/>
        </w:rPr>
        <w:t>وهو بيع الذهب بالذهب أو بالفضّة ، أو الفضّة بالفضّة أو بالذهب ، ولا فرق بين المسكوك منهما وغيره ، حتّى في الكلبتون المصنوع من الإبريسم وأحد النقدين إذا بيع بأحدهما يكون صرفاً</w:t>
      </w:r>
      <w:r>
        <w:rPr>
          <w:rStyle w:val="FootnoteAnchor"/>
          <w:rtl w:val="true"/>
        </w:rPr>
        <w:footnoteReference w:id="1127"/>
      </w:r>
      <w:r>
        <w:rPr>
          <w:rFonts w:ascii="Amiri" w:hAnsi="Amiri" w:eastAsia="Amiri" w:cs="Amiri"/>
          <w:color w:val="111111"/>
          <w:sz w:val="28"/>
          <w:sz w:val="28"/>
          <w:szCs w:val="28"/>
          <w:rtl w:val="true"/>
          <w:lang w:bidi="ar-SA"/>
        </w:rPr>
        <w:t xml:space="preserve">بالنسبة إلى ما فيه من النقدين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صحّته التقابض في المجلس فلو تفرّقا ولم يتقابضا بطل البيع ، ولو قبض البعض صحّ فيه خاصّة وبطل بالنسبة إلى ما لم يقبض ، وكذا إذا بيع أحد النقدين مع غيرهما صفقة واحدة بأحدهما ولم يقبض الجملة حتّى تفرّقا بطل البيع بالنسبة إلى النقد وصحّ بالنسبة إلى غيره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فارقا المجلس مصطحبين لم يبطل البيع ، فإذا تقابضا قبل أن يفترقا صحّ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يشترط التقابض في معاوضة النقدين إذا كانت بالبيع ، دون ما إذا كانت بغيره كالصلح والهبة المعوّضة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المعاملة على النوت والمنات والإسكناس المتعارفة في زماننا من طرف واحد أو من الطرفين ، ففي جريان أحكام بيع الصرف وعدمه وثبوت الربا مع الزيادة وعدمه إشكال ،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أوقعا البيع على الكاغذ ثمناً أو مثمناً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باع هذا الكاغذ المخصوص الذي يسمّى نوت عشر روبيات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عشر روبية عين أو بنوت عشر روبيات مع نوت خمس روبيات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بيع الصرف حتّى يحتاج إلى التقابض في المجلس ولم يثبت فيه الربا ، وأمّا إذا كانت المعاملة واقعة في الحقيقة بين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باع في المثال المتقدّم عشر روبيات بخمسة عشر روبية وإن كان في مقام التسليم والقبض والإقباض سلّم الكاغذ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كونه من الصرف وثبوت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هذا التقدير يمكن أن يقال بأ نّه يكفي</w:t>
      </w:r>
      <w:r>
        <w:rPr>
          <w:rStyle w:val="FootnoteAnchor"/>
          <w:rtl w:val="true"/>
        </w:rPr>
        <w:footnoteReference w:id="1128"/>
      </w:r>
      <w:r>
        <w:rPr>
          <w:rFonts w:ascii="Amiri" w:hAnsi="Amiri" w:eastAsia="Amiri" w:cs="Amiri"/>
          <w:color w:val="111111"/>
          <w:sz w:val="28"/>
          <w:sz w:val="28"/>
          <w:szCs w:val="28"/>
          <w:rtl w:val="true"/>
          <w:lang w:bidi="ar-SA"/>
        </w:rPr>
        <w:t xml:space="preserve">في حصول القبض المعتبر في بيع الصرف قبض هذا الكاغذ ثمناً أو مثمناً ،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أوقعا المعاملة بين عشر روبيات وليرة واحدة ، فإذا سلّم نوت عشر روبيات وأخذ عين ليرة قبل التفرّق تحقّق القبض المعتبر في بيع الصرف ، لكنّ المسألة لا يخلو من إشكال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يكفي في القبض كونه في الذمّة ولا يحتاج إلى </w:t>
      </w:r>
    </w:p>
    <w:p>
      <w:pPr>
        <w:pStyle w:val="BookText"/>
        <w:rPr/>
      </w:pPr>
      <w:r>
        <w:rPr>
          <w:rFonts w:ascii="Amiri" w:hAnsi="Amiri" w:eastAsia="Amiri" w:cs="Amiri"/>
          <w:color w:val="111111"/>
          <w:sz w:val="28"/>
          <w:sz w:val="28"/>
          <w:szCs w:val="28"/>
          <w:rtl w:val="true"/>
          <w:lang w:bidi="ar-SA"/>
        </w:rPr>
        <w:t xml:space="preserve">قبض آخر ، فلو كان في ذمّة زيد دراهم لعمرو فباعها بالدنانير وقبضها قبل التفرّق صحّ ، بل لو وكّل زيداً بأن يقبض عنه الدنانير التي صارت ثمن الدراهم صحّ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منه دراهم ببيع الصرف ثمّ اشترى بها منه دنانير قبل قبض الدراهم لم يصحّ الثاني ، فإذا قبض</w:t>
      </w:r>
      <w:r>
        <w:rPr>
          <w:rStyle w:val="FootnoteAnchor"/>
          <w:rtl w:val="true"/>
        </w:rPr>
        <w:footnoteReference w:id="1129"/>
      </w:r>
      <w:r>
        <w:rPr>
          <w:rFonts w:ascii="Amiri" w:hAnsi="Amiri" w:eastAsia="Amiri" w:cs="Amiri"/>
          <w:color w:val="111111"/>
          <w:sz w:val="28"/>
          <w:sz w:val="28"/>
          <w:szCs w:val="28"/>
          <w:rtl w:val="true"/>
          <w:lang w:bidi="ar-SA"/>
        </w:rPr>
        <w:t xml:space="preserve">الدراهم بعد ذلك قبل التفرّق صحّ الأوّل ، وإن لم يقبضها حتّى افترقا بطل الأوّل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عليه دراهم ، فقال للذي عليه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دنانير ، فرضي بذلك وتقبّل دنانير في ذمّته بدل الدراهم صحّ ذلك ، ويتحوّل ما في ذمّته من الدراهم إلى الدنانير وإن لم يتقابضا ، وكذلك لو كان له عليه دنانير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دراهم ، ولا يبعد</w:t>
      </w:r>
      <w:r>
        <w:rPr>
          <w:rStyle w:val="FootnoteAnchor"/>
          <w:rtl w:val="true"/>
        </w:rPr>
        <w:footnoteReference w:id="1130"/>
      </w:r>
      <w:r>
        <w:rPr>
          <w:rFonts w:ascii="Amiri" w:hAnsi="Amiri" w:eastAsia="Amiri" w:cs="Amiri"/>
          <w:color w:val="111111"/>
          <w:sz w:val="28"/>
          <w:sz w:val="28"/>
          <w:szCs w:val="28"/>
          <w:rtl w:val="true"/>
          <w:lang w:bidi="ar-SA"/>
        </w:rPr>
        <w:t xml:space="preserve">أن يكون هذا عنواناً آخر غير البيع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والدنانير المغشوشة إن كانت رائجة بين عامّة الناس مع علمهم</w:t>
      </w:r>
      <w:r>
        <w:rPr>
          <w:rStyle w:val="FootnoteAnchor"/>
          <w:rtl w:val="true"/>
        </w:rPr>
        <w:footnoteReference w:id="1131"/>
      </w:r>
      <w:r>
        <w:rPr>
          <w:rFonts w:ascii="Amiri" w:hAnsi="Amiri" w:eastAsia="Amiri" w:cs="Amiri"/>
          <w:color w:val="111111"/>
          <w:sz w:val="28"/>
          <w:sz w:val="28"/>
          <w:szCs w:val="28"/>
          <w:rtl w:val="true"/>
          <w:lang w:bidi="ar-SA"/>
        </w:rPr>
        <w:t>بأ نّها مغشوشة يجوز إخراجها وإنفاقها والمعاملة بها وإلاّ فلا يجوز إنفاقها إلاّ بعد إظهار حالها ، بل أصل المعاملة بها لا يخلو من إشكال</w:t>
      </w:r>
      <w:r>
        <w:rPr>
          <w:rStyle w:val="FootnoteAnchor"/>
          <w:rtl w:val="true"/>
        </w:rPr>
        <w:footnoteReference w:id="1132"/>
      </w:r>
      <w:r>
        <w:rPr>
          <w:rFonts w:ascii="Amiri" w:hAnsi="Amiri" w:eastAsia="Amiri" w:cs="Amiri"/>
          <w:color w:val="111111"/>
          <w:sz w:val="28"/>
          <w:sz w:val="28"/>
          <w:szCs w:val="28"/>
          <w:rtl w:val="true"/>
          <w:lang w:bidi="ar-SA"/>
        </w:rPr>
        <w:t>، بل لو كانت معمولة لأجل غشّ الناس لا يبعد</w:t>
      </w:r>
      <w:r>
        <w:rPr>
          <w:rStyle w:val="FootnoteAnchor"/>
          <w:rtl w:val="true"/>
        </w:rPr>
        <w:footnoteReference w:id="1133"/>
      </w:r>
      <w:r>
        <w:rPr>
          <w:rFonts w:ascii="Amiri" w:hAnsi="Amiri" w:eastAsia="Amiri" w:cs="Amiri"/>
          <w:color w:val="111111"/>
          <w:sz w:val="28"/>
          <w:sz w:val="28"/>
          <w:szCs w:val="28"/>
          <w:rtl w:val="true"/>
          <w:lang w:bidi="ar-SA"/>
        </w:rPr>
        <w:t xml:space="preserve">عدم جواز إبقائها ووجوب كسرها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إنّ الذهب والفضّة من الربوي فإذا بيع كلّ منهما بجنسه يلزم على المتعاملين إيقاع المعاملة على نحو لا يقعان في الربا ؛ بأن لا يكون تفاضل أصلاً أو ضمّ ضميمة من غير جنسهما في الطرفين ، أو في طرف الناقص ليتخلّص منه كما مرّ في بابه ، وهذا ممّا ينبغي أن يهتمّ به المتعاملون خصوصاً الصيارفة ، فقد روي عن مولانا أمير المؤمنين علیه السلام وهو يقول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الفقه ثمّ المتجر ، الفقه ثمّ المتجر ، الفقه ثمّ المتجر ، واللّه للربا في هذه الاُمّة أخفى من دبيب النمل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ارتطم في الربا ثمّ ارتطم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النهي عن الصرف معلّلاً بأنّ الصيرفي لا يسلم من الربا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الضميمة وجود الغشّ في الذهب أو الفضّة ؛ إذا كان له مالية لو تخلّص منهما ، فإذا بيعت فضّة مغشوشة بمثلها جاز بالمثل وبالتفاضل ، وإذا بيعت المغشوشة بالخالصة لا بدّ أن تكون الخالصة زائدة على فضّة المغشوشة حتّى تقع تلك الزيادة في مقابل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يعلم مقدار الغشّ والفضّة في المغشوشة تباع بغير جنس الفضّة ، أو بمقدار منها يعلم إجمالاً زيادته عن الفضّة المغشوشة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الأشياء المحلاّة بالذهب ، أو الفضّة ، فإمّا تباع بغير جنس الحلية ، وإذا بيعت بجنسها لا بدّ أن يكون العوض زائداً على الحلية حتّى تقع تلك الزيادة في مقابل غيرها ، وكذلك في مثل الكلبتون المصنوع من الإبريسم وأحد النقدين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فضّة معيّنة بفضّة أو بذهب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من غير جنس الفضّة كالنحاس والرصاص بطل البيع ، وليس له مطالبة البدل ، كما أ نّه </w:t>
      </w:r>
    </w:p>
    <w:p>
      <w:pPr>
        <w:pStyle w:val="BookText"/>
        <w:rPr/>
      </w:pPr>
      <w:r>
        <w:rPr>
          <w:rFonts w:ascii="Amiri" w:hAnsi="Amiri" w:eastAsia="Amiri" w:cs="Amiri"/>
          <w:color w:val="111111"/>
          <w:sz w:val="28"/>
          <w:sz w:val="28"/>
          <w:szCs w:val="28"/>
          <w:rtl w:val="true"/>
          <w:lang w:bidi="ar-SA"/>
        </w:rPr>
        <w:t xml:space="preserve">ليس للبائع إلزامه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بعضها كذلك بطل فيه وصحّ في الباقي ، وله ردّ الكلّ</w:t>
      </w:r>
      <w:r>
        <w:rPr>
          <w:rStyle w:val="FootnoteAnchor"/>
          <w:rtl w:val="true"/>
        </w:rPr>
        <w:footnoteReference w:id="1134"/>
      </w:r>
      <w:r>
        <w:rPr>
          <w:rFonts w:ascii="Amiri" w:hAnsi="Amiri" w:eastAsia="Amiri" w:cs="Amiri"/>
          <w:color w:val="111111"/>
          <w:sz w:val="28"/>
          <w:sz w:val="28"/>
          <w:szCs w:val="28"/>
          <w:rtl w:val="true"/>
          <w:lang w:bidi="ar-SA"/>
        </w:rPr>
        <w:t xml:space="preserve">لتبعّض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اشترى فضّة كلّياً في الذمّة بذهب أو فضّة وبعد ما قبضها وجد المدفوع كلاًّ أو بعضاً من غير جنسها ، فإن كان قبل أن يفترقا فللبائع الإبدال بالجنس وللمشتري مطالبة البدل ، وإن كان بعد التفرّق بطل البيع في الكلّ أو البعض على حذو ما سبق ، هذا إذا كان من غير الجنس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من الجنس ولكن ظهر بها عيب كخشونة الجوهر ، والغشّ الزائد على المتعارف ، واضطراب السكّة ونحوها ،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المبيع فضّة معيّنة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الخيار بردّ الجميع ، أو إمساكه ، وليس له ردّ المعيب وحده لو كان المعيب هو البعض ، على إشكال تقدّم في خيار العيب ، وليس له مطالبة الأرش لو كان العوضان متجانسين كالفضّة بالفضّة على الأحوط</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تخالفا كالفضّة بالذهب فله ذلك قبل التفرّق قطعاً، وأمّا بعده ففيه إشكال خصوصاً إذا كان الأرش من النقدين، ولكنّ الأقوى أنّ له ذلك خصوصاً إذا كان 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المبيع كلّياً في الذمّة وظهر عيب في المدفوع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الخيار بين فسخ البيع</w:t>
      </w:r>
      <w:r>
        <w:rPr>
          <w:rStyle w:val="FootnoteAnchor"/>
          <w:rtl w:val="true"/>
        </w:rPr>
        <w:footnoteReference w:id="1136"/>
      </w:r>
      <w:r>
        <w:rPr>
          <w:rFonts w:ascii="Amiri" w:hAnsi="Amiri" w:eastAsia="Amiri" w:cs="Amiri"/>
          <w:color w:val="111111"/>
          <w:sz w:val="28"/>
          <w:sz w:val="28"/>
          <w:szCs w:val="28"/>
          <w:rtl w:val="true"/>
          <w:lang w:bidi="ar-SA"/>
        </w:rPr>
        <w:t>وردّ المدفوع وبين إمضائه وإمساك المعيب بالثمن ، كما أنّ له مطالبة البدل أيضاً قبل التفرّق ، وأمّا بعده ففيه إشكال وهل له أخذ الأرش ؟ فيه تأمّل</w:t>
      </w:r>
      <w:r>
        <w:rPr>
          <w:rStyle w:val="FootnoteAnchor"/>
          <w:rtl w:val="true"/>
        </w:rPr>
        <w:footnoteReference w:id="11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في المتخالفين كالفضّة بالذهب وحتّى قبل التفرّق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يشتري من الصائغ خاتماً أو قرطاً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أو ذهب بجنسه مع زيادة بملاحظة اُجرته ، بل إمّا يشتريه بغير جنسه أو يشتري منه مقداراً من الفضّة أو الذهب بجنسه مثلاً بمثل ، ويعيّن له اُجرة معيّنة لصياغته ، نعم لو كان فصّ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الصائغ وكان من غير جنس حلقته جاز شراؤه من الصائغ بجنسه مع الزيادة ؛ لأنّ الفصّ من الضميمة وبها يتخلّص من الربا كما مرّ في بابه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على زيد دنانير كالليرات وأخذ منه بعوضها دراهم كالروبيات شيئاً فشيئاً وتدريجاً بمقدار حاجته ، فإن كان ذلك بعنوان الوفاء والاستيفاء ينتقص من الدنانير في كلّ زمان بمقدار ما أخذه من الدراهم بسعر ذلك الوقت ، فإذا كان له عليه خمس ليرات وأخذ منه في ثلاثة شهور في كلّ شهر عشر روبيات وكان سعر الليرة في الشهر الأوّل خمسة عشر روبية وفي الشهر الثاني اثني عشر روبية وفي الثالث عشر روبيات ينتقص من الليرات في الشهر الأوّل ثلثا ليرة وفي الشهر الثاني خمسة أسداس ليرة وفي الثالث ليرة ، فقد استوفى في هذه المدّة ليرتين وثلث ليرة ونصف ثلث ليرة وهكذا ، وإن كان أخذها بعنوان الاقتراض اشتغلت ذمّة الآخذ بتلك الدراهم التي أخذها تدريجاً وبقيت ذمّة زيد مشغولة بتلك الدنانير ، فلكلّ منهما مطالبة صاحبه عمّا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احتساب كلّ منهما ما له على الآخر وفاءً عمّا عليه للآخر ولو مع التراضي إشكال ، كما أنّ بيع الدنانير التي على زيد في المثال بالدراهم التي على صاحبه أيضاً فيه إشكال ، فلا محيص إلاّ من إبراء كلّ منهما ما له على الآخر ، أو مصالحة </w:t>
      </w:r>
      <w:bookmarkStart w:id="558" w:name="pg15003_160060"/>
    </w:p>
    <w:p>
      <w:pPr>
        <w:pStyle w:val="BookText"/>
        <w:rPr/>
      </w:pPr>
      <w:bookmarkEnd w:id="558"/>
      <w:r>
        <w:rPr>
          <w:rFonts w:ascii="Amiri" w:hAnsi="Amiri" w:eastAsia="Amiri" w:cs="Amiri"/>
          <w:color w:val="111111"/>
          <w:sz w:val="28"/>
          <w:sz w:val="28"/>
          <w:szCs w:val="28"/>
          <w:rtl w:val="true"/>
          <w:lang w:bidi="ar-SA"/>
        </w:rPr>
        <w:t xml:space="preserve">الدنانير التي على زيد بالدراهم التي له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الدراهم المأخوذة تدريجاً قد اُخذت بعنوان الأمانة حتّى إذا اجتمعت عنده بمقدار الدنانير تحاسبا لا إشكال في جواز جعلها عند الحساب وفاءً ، كما أ نّه يجوز أن يوقعا البيع بين الدنانير التي في الذمّة والدراهم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سعر الدنانير والدراهم عند الحساب ، ولا ينظر إلى اختلاف الأسعار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أقرض زيداً نقداً معيّناً، أو باعه شيئاً بنقد معيّن كالليرة إلى أجل معلوم وزاد سعر ذلك النقد أو نقص عند حلول الأجل عن سعره يوم الإقراض أو البيع لايستحقّ إلاّ عين ذلك النقد ولا ينظر إلى زيادة سعره ونقصانه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يبيع مثقالاً من فضّة خالصة من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بمثقال من فضّة فيها غشّ متموّل ، واشترط عليه أن يصوغ له خاتماً مثلاً ، وكذا يجوز أن يقول للصائغ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 لي خاتماً وأنا أبيعك عشرين مثقالاً من فضّة جيّدة بعشرين مثقالاً من فضّة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يلزم رباً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عشر روبيات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بليرة واحدة إلاّ روبية واحدة صحّ ، لكن بشرط أن يعلما نسبة روبية بحسب سعر الوقت إلى ليرة حتّى يعلما أيّ مقدار من ليرة قد استثني </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487977_3406789950"/>
      <w:bookmarkStart w:id="560" w:name="_Toc203"/>
      <w:bookmarkEnd w:id="559"/>
      <w:r>
        <w:rPr>
          <w:rtl w:val="true"/>
        </w:rPr>
        <w:t xml:space="preserve">القول </w:t>
      </w:r>
      <w:r>
        <w:rPr>
          <w:rtl w:val="true"/>
        </w:rPr>
        <w:t xml:space="preserve">: </w:t>
      </w:r>
      <w:r>
        <w:rPr>
          <w:rtl w:val="true"/>
        </w:rPr>
        <w:t>في السلف</w:t>
      </w:r>
      <w:bookmarkEnd w:id="56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السلم أيضاً ، وهو ابتياع كلّي مؤجّل بثمن حالّ عكس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للمشتري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وللبائع المسلم إليه وللمبيع المسلم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يحتاج إلى إيجاب وقبول ، ومن خواصّه أنّ كلّ واحد </w:t>
      </w:r>
    </w:p>
    <w:p>
      <w:pPr>
        <w:pStyle w:val="BookText"/>
        <w:rPr/>
      </w:pPr>
      <w:r>
        <w:rPr>
          <w:rFonts w:ascii="Amiri" w:hAnsi="Amiri" w:eastAsia="Amiri" w:cs="Amiri"/>
          <w:color w:val="111111"/>
          <w:sz w:val="28"/>
          <w:sz w:val="28"/>
          <w:szCs w:val="28"/>
          <w:rtl w:val="true"/>
          <w:lang w:bidi="ar-SA"/>
        </w:rPr>
        <w:t xml:space="preserve">من البائع والمشتري صالح لأن يصدر منه الإيجاب والقبول من الآخر ، فالإيجاب من البائع بلفظ البيع وأشباهه بأن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تغاراً من حنطة بصفة كذا إلى أجل كذا بثمن كذا ، ويقول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أو اشتريت ، وأمّا الإيجاب من المشتري فهو بلفظي أسلمت وأسلفت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إليك ، أو أسلفتك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تغار من حنطة بصفة كذا إلى أجل كذا ، فيقول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إسلاف غير النقدين في غيرهما ؛ بأن يكون كلّ من الثمن والمثمن من غيرهما مع اختلاف الجنس أو عدم كونهما أو أحدهما من المكيل والموزون ، وكذا إسلاف أحد النقدين في غيرهما وبالعكس ، ولا يجوز إسلاف أحد النقدين في أحدهما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يباع بالسلف ما لا يمكن ضبط أوصافه التي تختلف القيمة والرغبات باختلافها كالجواهر واللآلي والعقار والأرضين وأشباهها ممّا لا ترتفع الجهالة والغرر فيها إلاّ بالمشاهدة ، بخلاف ما يمكن ضبط أوصافه المذكورة بالتوصيف الغير المؤدّي إلى عزّة الوجود كالخضر والفواكه والحبوبات كالحنطة والشعير والأرز ونحو ذلك ، بل البيض والجوز واللوز ونحوها ، وكذا الحيوان كلّها حتّى الأناسي منها والملابس والأشربة والأدوية بسيطها ومركّبها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الجنس والوصف الرافع للجهالة كما عرفت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قبل التفرّق من مجلس العقد ، ولو قبض البعض صحّ فيه وبطل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الثمن ديناً في ذمّة البائع ، فإن كان مؤجّلاً لا يجوز جعله ثمناً للمسلم فيه ، وإن كان حالاًّ ، فالظاهر جوازه ، وإن لم يخل عن إشكال ، فالأحوط تركه ، ولو جعل الثمن كلّياً في ذمّة المشتري ثمّ حاسبه به بما له في </w:t>
      </w:r>
    </w:p>
    <w:p>
      <w:pPr>
        <w:pStyle w:val="BookText"/>
        <w:rPr/>
      </w:pPr>
      <w:r>
        <w:rPr>
          <w:rFonts w:ascii="Amiri" w:hAnsi="Amiri" w:eastAsia="Amiri" w:cs="Amiri"/>
          <w:color w:val="111111"/>
          <w:sz w:val="28"/>
          <w:sz w:val="28"/>
          <w:szCs w:val="28"/>
          <w:rtl w:val="true"/>
          <w:lang w:bidi="ar-SA"/>
        </w:rPr>
        <w:t xml:space="preserve">ذمّة البائع المسلم إليه سلم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المبيع ذي الكيل أو الوزن أو العدّ بمقدّره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أجل مضبوط للمسلم فيه بالأيّام ، أو الشهور ، أو السنين ونحو ذلك ، ولو جعل الأجل إلى أوان الحصاد أو الدياس ونحو ذلك كان باطلاً ، ولا فرق في الأجل بعد كونه مضبوطاً بين أن يكون قليلاً كيوم بل نصف يوم ، أو كثيراً كعشرين ، أو 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وجوده</w:t>
      </w:r>
      <w:r>
        <w:rPr>
          <w:rStyle w:val="FootnoteAnchor"/>
          <w:rtl w:val="true"/>
        </w:rPr>
        <w:footnoteReference w:id="1138"/>
      </w:r>
      <w:r>
        <w:rPr>
          <w:rFonts w:ascii="Amiri" w:hAnsi="Amiri" w:eastAsia="Amiri" w:cs="Amiri"/>
          <w:color w:val="111111"/>
          <w:sz w:val="28"/>
          <w:sz w:val="28"/>
          <w:szCs w:val="28"/>
          <w:rtl w:val="true"/>
          <w:lang w:bidi="ar-SA"/>
        </w:rPr>
        <w:t xml:space="preserve">وقت الحلول وفي البلد الذي شرط أن يسلم فيه المسلم فيه لو اشترط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تعيين بلد التسليم ؟ الأحوط ذلك ، إلاّ إذا كان انصراف إلى بلد العقد أو بلد آخر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الأجل شهراً أو شهرين ؛ فإن كان وقوع المعاملة في أوّل الشهر عدّ شهراً هلالياً ، أو شهرين هلاليّين ، ولا ينظر إلى نقصان الشهر والتمام ، وإن أوقعاها في أثناء الشهر عدّ كلّ شهر ثلاثين يوماً ، ويحتمل</w:t>
      </w:r>
      <w:r>
        <w:rPr>
          <w:rStyle w:val="FootnoteAnchor"/>
          <w:rtl w:val="true"/>
        </w:rPr>
        <w:footnoteReference w:id="1139"/>
      </w:r>
      <w:r>
        <w:rPr>
          <w:rFonts w:ascii="Amiri" w:hAnsi="Amiri" w:eastAsia="Amiri" w:cs="Amiri"/>
          <w:color w:val="111111"/>
          <w:sz w:val="28"/>
          <w:sz w:val="28"/>
          <w:szCs w:val="28"/>
          <w:rtl w:val="true"/>
          <w:lang w:bidi="ar-SA"/>
        </w:rPr>
        <w:t xml:space="preserve">قريباً التلفيق بأن يعدّ من الشهر الثاني أو الثالث ما فات وانقضى من الشهر الأوّل ، فإذا وقع العقد في العاشر من الشهر وكان الأجل شهراً حلّ الأجل في العاشر من الشهر الثاني وهكذا ، فربّما لا يكون ثلاثين يوماً إن كان الشهر الأوّل ناقصاً والأحوط فيه التصالح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جعلا الأجل إلى جمادى أو الربيع حمل على أقربهما ، وكذا لو جعل إلى الخميس أو الجمعة حمل على الأقرب منهما وحلّ بأوّل جزء من ليلة الهلال في الأوّل وبأوّل جزء من نهار اليوم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شيئاً سلفاً لم يجز بيعه قبل حلول الأجل ، لا على البائع ولا على غيره ؛ سواء باعه بجنس الثمن الأوّل أو بغيره ، وسواء كان مساوياً له أو أكثر أو أقلّ ، ويجوز بعد حلوله ؛ سواء قبضه أو لم يقبضه على البائع ، وعلى غيره بجنس الثمن ومخالفه بالمساوي له أو بالأقلّ أو الأكثر ما لم يستلزم الربا ، نعم لو كان المسلم فيه ممّا يكال أو يوزن يكره</w:t>
      </w:r>
      <w:r>
        <w:rPr>
          <w:rStyle w:val="FootnoteAnchor"/>
          <w:rtl w:val="true"/>
        </w:rPr>
        <w:footnoteReference w:id="1140"/>
      </w:r>
      <w:r>
        <w:rPr>
          <w:rFonts w:ascii="Amiri" w:hAnsi="Amiri" w:eastAsia="Amiri" w:cs="Amiri"/>
          <w:color w:val="111111"/>
          <w:sz w:val="28"/>
          <w:sz w:val="28"/>
          <w:szCs w:val="28"/>
          <w:rtl w:val="true"/>
          <w:lang w:bidi="ar-SA"/>
        </w:rPr>
        <w:t xml:space="preserve">بيعه قبل قبضه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المسلم إليه إلى المشتري بعد الحلول الجنس الذي أسلم فيه وكان دونه من حيث الصفة أو المقدار لم يجب قبوله ، وإذا كان مثله فيهما يجب القبول كغيره من الديون ، وكذا إذا كان فوقه</w:t>
      </w:r>
      <w:r>
        <w:rPr>
          <w:rStyle w:val="FootnoteAnchor"/>
          <w:rtl w:val="true"/>
        </w:rPr>
        <w:footnoteReference w:id="1141"/>
      </w:r>
      <w:r>
        <w:rPr>
          <w:rFonts w:ascii="Amiri" w:hAnsi="Amiri" w:eastAsia="Amiri" w:cs="Amiri"/>
          <w:color w:val="111111"/>
          <w:sz w:val="28"/>
          <w:sz w:val="28"/>
          <w:szCs w:val="28"/>
          <w:rtl w:val="true"/>
          <w:lang w:bidi="ar-SA"/>
        </w:rPr>
        <w:t xml:space="preserve">من حيث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أكثر منه بحسب المقدار لم يجب عليه قبول الزيادة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الأجل ولم يتمكّن البائع على أداء المسلم فيه لعارض ؛ من آفة ، أو عجز له من تحصيله ، أو إعوازه في البلد مع عدم إمكان جلبه من مكان آخر ، إلى غير ذلك من الأعذار حتّى انقضى الأجل كان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بين أن يفسخ المعاملة ويرجع بثمنه ورأس ماله وأن يصبر إلى أن يوجد ويتمكّن البائع من الأداء ، وهل له إلزامه بقيمته وقت حلول الأجل ؟ </w:t>
      </w:r>
      <w:bookmarkStart w:id="561" w:name="pg15003_160064"/>
    </w:p>
    <w:p>
      <w:pPr>
        <w:pStyle w:val="BookText"/>
        <w:rPr/>
      </w:pPr>
      <w:bookmarkEnd w:id="561"/>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42"/>
      </w:r>
      <w:r>
        <w:rPr>
          <w:rFonts w:ascii="Amiri" w:hAnsi="Amiri" w:eastAsia="Amiri" w:cs="Amiri"/>
          <w:color w:val="111111"/>
          <w:sz w:val="28"/>
          <w:sz w:val="28"/>
          <w:szCs w:val="28"/>
          <w:rtl w:val="true"/>
          <w:lang w:bidi="ar-SA"/>
        </w:rPr>
        <w:t>، والأحوط أن لا يطالبه إذا كانت أزيد من الثمن المسمّى ، نعم بالتراضي لا مانع منه ؛ سواء زادت</w:t>
      </w:r>
      <w:r>
        <w:rPr>
          <w:rStyle w:val="FootnoteAnchor"/>
          <w:rtl w:val="true"/>
        </w:rPr>
        <w:footnoteReference w:id="1143"/>
      </w:r>
      <w:r>
        <w:rPr>
          <w:rFonts w:ascii="IRNazanin" w:hAnsi="IRNazanin" w:eastAsia="IRNazanin"/>
          <w:color w:val="111111"/>
          <w:sz w:val="28"/>
          <w:sz w:val="28"/>
          <w:szCs w:val="28"/>
          <w:rtl w:val="true"/>
          <w:lang w:bidi="fa-IR"/>
        </w:rPr>
        <w:t xml:space="preserve">عن الثمن أو ساوت أو نقصت عنه </w:t>
      </w:r>
      <w:r>
        <w:rPr>
          <w:rFonts w:eastAsia="IRNazanin" w:cs="IRNazanin"/>
          <w:color w:val="111111"/>
          <w:sz w:val="28"/>
          <w:szCs w:val="28"/>
          <w:rtl w:val="true"/>
          <w:lang w:bidi="fa-IR"/>
        </w:rPr>
        <w:t>.</w:t>
      </w:r>
    </w:p>
    <w:p>
      <w:pPr>
        <w:pStyle w:val="Heading3"/>
        <w:numPr>
          <w:ilvl w:val="2"/>
          <w:numId w:val="1"/>
        </w:numPr>
        <w:rPr/>
      </w:pPr>
      <w:bookmarkStart w:id="562" w:name="__RefHeading___Toc487979_3406789950"/>
      <w:bookmarkStart w:id="563" w:name="_Toc204"/>
      <w:bookmarkEnd w:id="562"/>
      <w:r>
        <w:rPr>
          <w:rtl w:val="true"/>
        </w:rPr>
        <w:t xml:space="preserve">القول </w:t>
      </w:r>
      <w:r>
        <w:rPr>
          <w:rtl w:val="true"/>
        </w:rPr>
        <w:t xml:space="preserve">: </w:t>
      </w:r>
      <w:r>
        <w:rPr>
          <w:rtl w:val="true"/>
        </w:rPr>
        <w:t>في المرابحة والمواضعة والتولية</w:t>
      </w:r>
      <w:bookmarkEnd w:id="563"/>
    </w:p>
    <w:p>
      <w:pPr>
        <w:pStyle w:val="BookText"/>
        <w:rPr/>
      </w:pPr>
      <w:r>
        <w:rPr>
          <w:rFonts w:ascii="Amiri" w:hAnsi="Amiri" w:eastAsia="Amiri" w:cs="Amiri"/>
          <w:color w:val="111111"/>
          <w:sz w:val="28"/>
          <w:sz w:val="28"/>
          <w:szCs w:val="28"/>
          <w:rtl w:val="true"/>
          <w:lang w:bidi="ar-SA"/>
        </w:rPr>
        <w:t xml:space="preserve">اعلم أنّ ما يقع من المتعاملين في مقام البيع والشراء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لا يقع منهما إلاّ المقاولة وتعيّن الثمن والمثمن من دون ملاحظة رأس المال وأنّ هذه المعاملة فيها نفع للبائع أو خسران ، وأيّ مقدار نفعه أو خسارته ، فيوقعان البيع على شيء معلوم بثمن معلوم ، وهذا النحو من البيع يسمّى بالمساومة وهو أفضل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الملحوظ عندهما كيفية هذه المعاملة الواقعة وأ نّها رابحة للبائع أو خاسرة ، أو لا رابحة ولا خاسرة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الجهة ينقسم البيع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المرابحة والمواضعة والتولية ؛ فالأوّل هو البيع على رأس المال مع الزيادة ، والثاني هو البيع عليه مع النقيصة ، والثالث هو البيع عليه من دون زيادة ولا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تحقّق هذه العناوين الثلاثة من إيقاع عقد البيع على نحو يكون مضمونه وافياً بإفادة أحد هذه المطالب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المرابحة تعيين مقدار الربح ، وفي المواضعة تعيين مقدار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عقد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تعيين رأس المال إمّا بإخبار البائع أو تعيّنه عندهما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اشتريت مع ربح كذا ، ويقول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أو اشتريت هكذا ، وعبارة المواضعة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مع نقصان </w:t>
      </w:r>
    </w:p>
    <w:p>
      <w:pPr>
        <w:pStyle w:val="BookText"/>
        <w:rPr/>
      </w:pPr>
      <w:r>
        <w:rPr>
          <w:rFonts w:ascii="Amiri" w:hAnsi="Amiri" w:eastAsia="Amiri" w:cs="Amiri"/>
          <w:color w:val="111111"/>
          <w:sz w:val="28"/>
          <w:sz w:val="28"/>
          <w:szCs w:val="28"/>
          <w:rtl w:val="true"/>
          <w:lang w:bidi="ar-SA"/>
        </w:rPr>
        <w:t xml:space="preserve">ذاك المقدار ، وعبارة التولية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البائع في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بمائة وربح درهم في كلّ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ووضيعة درهم في كلّ عشرة ، فإن لم يتبيّن للمشتري مقدار الثمن ومبلغه بعد ضمّ الربح أو تنقيص الوضيعة فالظاهر</w:t>
      </w:r>
      <w:r>
        <w:rPr>
          <w:rStyle w:val="FootnoteAnchor"/>
          <w:rtl w:val="true"/>
        </w:rPr>
        <w:footnoteReference w:id="1144"/>
      </w:r>
      <w:r>
        <w:rPr>
          <w:rFonts w:ascii="Amiri" w:hAnsi="Amiri" w:eastAsia="Amiri" w:cs="Amiri"/>
          <w:color w:val="111111"/>
          <w:sz w:val="28"/>
          <w:sz w:val="28"/>
          <w:szCs w:val="28"/>
          <w:rtl w:val="true"/>
          <w:lang w:bidi="ar-SA"/>
        </w:rPr>
        <w:t xml:space="preserve">بطلان البيع وإن كان بعد الحساب يتبيّن له ذلك ، وإن تبيّن عنده مبلغ الثمن ومقداره صحّ البيع في الأقوى على كراهية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تعدّدت النقود واختلف سعرها وصرفها لا بدّ من ذكر النقد والصرف وأ نّه اشتراه بأيّ نقد وأ نّه كان صرفه أيّ مقدار ، وكذا لا بدّ من ذكر الشروط والأجل ونحو ذلك ممّا يتفاوت لأجلها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متاعاً بثمن معيّن ولم يحدث فيه ما يوجب زيادة قيمته فرأس ماله ذلك الثمن ، فيجوز عند إخباره عنه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 أو رأس ماله كذا ، أو تقوّم عليّ بكذا ، أو هو عليّ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أحدث فيه ما يوجب زيادة قيمته فإن كان بعمل نفسه لم يجز أن يضمّ اُجرة عمله بالثمن المسمّى ويخبر بأنّ رأس ماله كذا أو اشتريته بكذا ، بل عبارته الصحيحة الصادقة أن يذكر كلاًّ من رأس ماله وعمله مستقلاًّ ؛ بأن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وعملت فيه كذا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باستئجار غيره جاز أن يضمّ الاُجرة بالثمن ويخبر بأ نّه تقوّم عليّ أو هو عليّ بكذا ، وإن لم يجز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أو رأس ماله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معيباً ورجع بالأرش إلى البائع له أن يخبره بالواقع وله إسقاط مقدار الأرش من الثمن ويجعل رأس المال ما بقي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مالي كذا ، وليس له أن يجعل رأس </w:t>
      </w:r>
    </w:p>
    <w:p>
      <w:pPr>
        <w:pStyle w:val="BookText"/>
        <w:rPr/>
      </w:pPr>
      <w:r>
        <w:rPr>
          <w:rFonts w:ascii="Amiri" w:hAnsi="Amiri" w:eastAsia="Amiri" w:cs="Amiri"/>
          <w:color w:val="111111"/>
          <w:sz w:val="28"/>
          <w:sz w:val="28"/>
          <w:szCs w:val="28"/>
          <w:rtl w:val="true"/>
          <w:lang w:bidi="ar-SA"/>
        </w:rPr>
        <w:t xml:space="preserve">المال الثمن المسمّى من دون إسقاط قدر الأرش ، بخلاف ما إذا حطّ البائع بعض الثمن ، فإنّه يجوز للمشتري أن يخبر بالأصل من دون إسقاط الحطيطة ؛ لأ نّها تفضّل من البائع عليه ولا دخل لها بالثمن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يبيع متاعاً ثمّ يشتريه بزيادة أو نقيصة إذا لم يشترط على المشتري بيعه منه وإن كان من قصدهما ذلك ، وبذلك ربّما يحتال من أراد أن يجعل رأس ماله أزيد ممّا اشترى به المتاع ؛ بأن يشتري متاعاً بثمن ثمّ يبيعه من ابنه أو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أزيد ثمّ يشتريه بالثمن الزائد فيخبر بالزائد ، مثلاً يشتري متاعاً من السوق بدرهمين ، ثمّ يبيعه من ابنه بأربعة ، ثمّ يشتريه منه بأربعة ، ثمّ في مقام المرابحة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ماله أربعة ، وهذا وإن لم يكذب في رأس المال وصحّ بيعه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ليس بأعظم من الكذب الصريح في الإخبار عن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هذا غشّ وخيانة فلا يجوز له ذلك ، نعم لو لم يكن ذلك عن مواطأة وبقصد الاحتيال جاز له ذلك ولا محذور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كذب البائع في إخباره برأس المال ، كما إذا أخبر بأنّ رأس المال مائة وباعه بربح عشرة فظهر أ نّه كان تسعين ، صحّ البيع وتخيّر المشتري بين فسخ البيع وإمضائه بتمام الثمن وهو مائة وعشرة في المثال ، ولا فرق بين تعمّد الكذب وصدوره غلطاً أو اشتباهاً ، وهل يسقط هذا الخيار بالتلف ؟ فيه إشكال ، لا يبعد عدم السقوط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التاجر متاعاً إلى الدلاّل ليبيعه له فقوّمه عليه بثمن معيّن وجعل ما زاد على ذلك له ؛ بأن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عشرة رأس ماله فما زدت عليه فهو لك ، لم يجز له أن يبيعه مرابحة ؛ بأن يجعل رأس المال ما قوّم عليه التاجر </w:t>
      </w:r>
      <w:bookmarkStart w:id="564" w:name="pg15003_160067"/>
    </w:p>
    <w:p>
      <w:pPr>
        <w:pStyle w:val="BookText"/>
        <w:rPr/>
      </w:pPr>
      <w:bookmarkEnd w:id="564"/>
      <w:r>
        <w:rPr>
          <w:rFonts w:ascii="Amiri" w:hAnsi="Amiri" w:eastAsia="Amiri" w:cs="Amiri"/>
          <w:color w:val="111111"/>
          <w:sz w:val="28"/>
          <w:sz w:val="28"/>
          <w:szCs w:val="28"/>
          <w:rtl w:val="true"/>
          <w:lang w:bidi="ar-SA"/>
        </w:rPr>
        <w:t xml:space="preserve">ويزيد عليه مقداراً بعنوان الربح ، بل اللازم إمّا أن يبيعه مساومة أو يبيّن ما هو الواقع من أنّ ما قوّم عليّ التاجر كذا وأنا اُريد النفع كذا فإن باعه بزيادة كانت الزيادة له وإن باعه بما قوّم عليه التاجر صحّ البيع ويكون الثمن له ولم يستحقّ الدلاّل شيئاً ، وإن كان الأحوط إرضاؤه بشيء ، وإن باعه بالأقلّ يكون فضولياً يتوقّف صحّته على إجازة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شخص متاعاً أو داراً أو عقاراً أو غيرها جاز أن يشرك فيه غيره بما اشتراه ؛ بأن يشركه فيه بالمناصفة بنصف الثمن وبالمثالثة بثلث الثمن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إيقاعه بلفظ التشريك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شرّكتك في هذا المتاع نصفه بنصف الثمن أو ثلثه بثلث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لا يبعد انصرافه إلى المناصفة ، وهل هو بيع أو عنوان على حدة ؟ كلّ محتمل ، وعلى الأوّل فهو من بيع التولية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487981_3406789950"/>
      <w:bookmarkStart w:id="566" w:name="_Toc205"/>
      <w:bookmarkEnd w:id="565"/>
      <w:r>
        <w:rPr>
          <w:rtl w:val="true"/>
        </w:rPr>
        <w:t xml:space="preserve">القول </w:t>
      </w:r>
      <w:r>
        <w:rPr>
          <w:rtl w:val="true"/>
        </w:rPr>
        <w:t xml:space="preserve">: </w:t>
      </w:r>
      <w:r>
        <w:rPr>
          <w:rtl w:val="true"/>
        </w:rPr>
        <w:t>في بيع الثمار في النخيل والأشجار</w:t>
      </w:r>
      <w:bookmarkEnd w:id="566"/>
    </w:p>
    <w:p>
      <w:pPr>
        <w:pStyle w:val="BookText"/>
        <w:rPr/>
      </w:pPr>
      <w:r>
        <w:rPr>
          <w:rFonts w:ascii="Amiri" w:hAnsi="Amiri" w:eastAsia="Amiri" w:cs="Amiri"/>
          <w:color w:val="111111"/>
          <w:sz w:val="28"/>
          <w:sz w:val="28"/>
          <w:szCs w:val="28"/>
          <w:rtl w:val="true"/>
          <w:lang w:bidi="ar-SA"/>
        </w:rPr>
        <w:t xml:space="preserve">المسمّى في العرف الحاضر بالضمان ، ويلحق بها الزرع والخضراوات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الثمار في النخيل والأشجار قبل بروزها وظهورها عاماً واحداً بلا ضميمة ، ويجوز بيعها عامين فما زاد أو مع الضميمة ، وأمّا بعد ظهورها فإن بدا صلاحها أو كان في عامين أو مع الضميمة جاز بيعها بلا إشكال ، ومع انتفاء الثلاثة فيه قولان ؛ أقواهما الجواز مع الكراهة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 الصلاح في التمر احمراره أو اصفراره ، وفي غيره انعقاد حبّه بعد تناثر ورده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الضميمة في مورد الاحتياج إليها كونها ممّا يجوز بيعها منفردة وكونها مملوكة للمالك ومنها الاُصول لو بيعت مع الثمرة ، وهل يعتبر</w:t>
      </w:r>
      <w:r>
        <w:rPr>
          <w:rStyle w:val="FootnoteAnchor"/>
          <w:rtl w:val="true"/>
        </w:rPr>
        <w:footnoteReference w:id="1147"/>
      </w:r>
      <w:r>
        <w:rPr>
          <w:rFonts w:ascii="Amiri" w:hAnsi="Amiri" w:eastAsia="Amiri" w:cs="Amiri"/>
          <w:color w:val="111111"/>
          <w:sz w:val="28"/>
          <w:sz w:val="28"/>
          <w:szCs w:val="28"/>
          <w:rtl w:val="true"/>
          <w:lang w:bidi="ar-SA"/>
        </w:rPr>
        <w:t xml:space="preserve">عدم كونها تابعة أو لا ؟ وجهان ، أقواهما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بعض ثمرة البستان جاز له بيع ثمرته أجمع ؛ الموجودة والمتجدّدة في تلك السنة ؛ سواء اتّحدت الشجرة أو تكثّرت ، وسواء اتّحد الجنس أو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أدركت ثمرة بستان جاز بيعها مع ثمرة بستان آخر لم تدرك ثمرته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الشجرة تثمر في سنة واحدة مرّتين ، الظاهر أ نّه يكون المرّتان بمنزلة عامين ، فيجوز بيع ثمرتها في المرّتين قبل الظهور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الثمرة سنة أو سنتين أو أزيد ، ثمّ باع الاُصول من شخص آخر لم يبطل بيع الثمرة فتنتقل الاُصول إلى المشتري مسلوبة المنفعة ، ولو كان جاهلاً كان له الخيار في فسخ بيع الاُصول كالعين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يبطل بيع الثمار بموت بائعها ولا بموت مشتريها ، بل تنتقل الثمرة في الثاني إلى ورثة المشتري والاُصول في الأوّل إلى ورثة البائع مسلوبة المنفعة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الثمرة بعد ظهورها أو بدوّ صلاحها فاُصيبت بآفة سماوية أو أرضية قبل قبضها الذي هو التخلية</w:t>
      </w:r>
      <w:r>
        <w:rPr>
          <w:rStyle w:val="FootnoteAnchor"/>
          <w:rtl w:val="true"/>
        </w:rPr>
        <w:footnoteReference w:id="1148"/>
      </w:r>
      <w:r>
        <w:rPr>
          <w:rFonts w:ascii="Amiri" w:hAnsi="Amiri" w:eastAsia="Amiri" w:cs="Amiri"/>
          <w:color w:val="111111"/>
          <w:sz w:val="28"/>
          <w:sz w:val="28"/>
          <w:szCs w:val="28"/>
          <w:rtl w:val="true"/>
          <w:lang w:bidi="ar-SA"/>
        </w:rPr>
        <w:t xml:space="preserve">كان من مال 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إلحاق النهب والسرقة ونحوهما بالآفة ؛ نعم لو كان المتلف شخصاً معيّناً كان المشتري بالخيار بين فسخ البيع وبين إمضائه ومطالبة المتلف بالبدل ، ولو كان التلف بعد القبض كان من مال المشتري ولم يرجع على البائع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يستثني البائع لنفسه حصّة مشاعة من الثمرة كالثلث والربع أو مقداراً معيّناً كمنّ أو منّين ، كما أنّ له أن يستثني ثمرة نخل ، أو شجر معيّن ، فإن خاست الثمرة سقط من الثنيا بحسابه في الأوّلين</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الثمرة على النخل والشجر بكلّ شيء يصحّ أن يجعل ثمناً في أنواع البيوع ، من النقود والأمتعة والطعام والحيوان وغيرها بل المنافع والأعمال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بيع التمر على النخل بالتمر ؛ سواء كان مقداراً من تمرها أو تمراً آخر على النخيل أو موضوعاً على الأرض ، وهذا يسمّى بالمزابنة المنهيّ عنها ، والأحوط</w:t>
      </w:r>
      <w:r>
        <w:rPr>
          <w:rStyle w:val="FootnoteAnchor"/>
          <w:rtl w:val="true"/>
        </w:rPr>
        <w:footnoteReference w:id="1150"/>
      </w:r>
      <w:r>
        <w:rPr>
          <w:rFonts w:ascii="Amiri" w:hAnsi="Amiri" w:eastAsia="Amiri" w:cs="Amiri"/>
          <w:color w:val="111111"/>
          <w:sz w:val="28"/>
          <w:sz w:val="28"/>
          <w:szCs w:val="28"/>
          <w:rtl w:val="true"/>
          <w:lang w:bidi="ar-SA"/>
        </w:rPr>
        <w:t xml:space="preserve">إلحاق ثمرة ما عدا النخيل من الفواكه بها فلا تباع بجنسها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يبيع ما اشتراه من الثمرة بزيادة عمّا ابتاعه به أو نقصان ؛ قبل قبضه وبعده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الزرع بذراً قبل ظهوره ، وفي جواز الصلح عنه </w:t>
      </w:r>
    </w:p>
    <w:p>
      <w:pPr>
        <w:pStyle w:val="BookText"/>
        <w:rPr/>
      </w:pPr>
      <w:r>
        <w:rPr>
          <w:rFonts w:ascii="Amiri" w:hAnsi="Amiri" w:eastAsia="Amiri" w:cs="Amiri"/>
          <w:color w:val="111111"/>
          <w:sz w:val="28"/>
          <w:sz w:val="28"/>
          <w:szCs w:val="28"/>
          <w:rtl w:val="true"/>
          <w:lang w:bidi="ar-SA"/>
        </w:rPr>
        <w:t>وجه كبيعه</w:t>
      </w:r>
      <w:r>
        <w:rPr>
          <w:rStyle w:val="FootnoteAnchor"/>
          <w:rtl w:val="true"/>
        </w:rPr>
        <w:footnoteReference w:id="1151"/>
      </w:r>
      <w:r>
        <w:rPr>
          <w:rFonts w:ascii="Amiri" w:hAnsi="Amiri" w:eastAsia="Amiri" w:cs="Amiri"/>
          <w:color w:val="111111"/>
          <w:sz w:val="28"/>
          <w:sz w:val="28"/>
          <w:szCs w:val="28"/>
          <w:rtl w:val="true"/>
          <w:lang w:bidi="ar-SA"/>
        </w:rPr>
        <w:t xml:space="preserve">تبعاً للأرض لو باعها وأدخله في المبيع بالشرط ، وأمّا بعد ظهوره وطلوع خضرته يجوز بيعه قصيلاً ؛ بأن يبيعه بعنوان أن يكون قصيلاً ويقطعه المشتري قبل أن يسنبل ؛ سواء بلغ أوان قصله أو لم يبلغ وعيّن مدّة لإبقائه ، وإن أطلق فله إبقاؤه إلى أوان قصله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المشتري قطعه إذا بلغ أوانه إلاّ إذا رضي البائع بإبقائه ، ولو لم يرض به ولم يقطعه المشتري فللبائع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يكون بعد الاستئذان من الحاكم مع الإمكان ، وله تركه والمطالبة باُجرة</w:t>
      </w:r>
      <w:r>
        <w:rPr>
          <w:rStyle w:val="FootnoteAnchor"/>
          <w:rtl w:val="true"/>
        </w:rPr>
        <w:footnoteReference w:id="1152"/>
      </w:r>
      <w:r>
        <w:rPr>
          <w:rFonts w:ascii="Amiri" w:hAnsi="Amiri" w:eastAsia="Amiri" w:cs="Amiri"/>
          <w:color w:val="111111"/>
          <w:sz w:val="28"/>
          <w:sz w:val="28"/>
          <w:szCs w:val="28"/>
          <w:rtl w:val="true"/>
          <w:lang w:bidi="ar-SA"/>
        </w:rPr>
        <w:t xml:space="preserve">أرضه مدّة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أبقاه إلى أن طلعت سنبلته فهل تكون ملكاً للمشتري أو للبائع أو هما شريكان فيه ؟ وجوه ؛ الأحوط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بيع الزرع قصيلاً يجوز بيعه من أصله لا بعنوان كونه قصيلاً وبشرط أن يقطعه ، بل بعنوان كونه ملكاً للمشتري إن شاء قصله وإن شاء تركه إلى أن يسنبل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السنبل قبل ظهوره وانعقاد حبّه ، ويجوز بعد انعقاد حبّه ؛ سواء كان حبّه بارزاً كالشعير أو مستتراً كالحنطة ، منفرداً ومع اُصوله ، قائماً وحصيداً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بيعه بحبّ من جنسه ، بأن تباع سنابل الحنطة بالحنطة وسنابل الشعير بالشعير</w:t>
      </w:r>
      <w:r>
        <w:rPr>
          <w:rStyle w:val="FootnoteAnchor"/>
          <w:rtl w:val="true"/>
        </w:rPr>
        <w:footnoteReference w:id="1153"/>
      </w:r>
      <w:r>
        <w:rPr>
          <w:rFonts w:ascii="Amiri" w:hAnsi="Amiri" w:eastAsia="Amiri" w:cs="Amiri"/>
          <w:color w:val="111111"/>
          <w:sz w:val="28"/>
          <w:sz w:val="28"/>
          <w:szCs w:val="28"/>
          <w:rtl w:val="true"/>
          <w:lang w:bidi="ar-SA"/>
        </w:rPr>
        <w:t xml:space="preserve">، وهذا يسمّى بالمحاقلة المنهيّ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w:t>
      </w:r>
      <w:r>
        <w:rPr>
          <w:rStyle w:val="FootnoteAnchor"/>
          <w:rtl w:val="true"/>
        </w:rPr>
        <w:footnoteReference w:id="1154"/>
      </w:r>
      <w:r>
        <w:rPr>
          <w:rFonts w:ascii="Amiri" w:hAnsi="Amiri" w:eastAsia="Amiri" w:cs="Amiri"/>
          <w:color w:val="111111"/>
          <w:sz w:val="28"/>
          <w:sz w:val="28"/>
          <w:szCs w:val="28"/>
          <w:rtl w:val="true"/>
          <w:lang w:bidi="ar-SA"/>
        </w:rPr>
        <w:t xml:space="preserve">شمولها لبيع سنبل الحنطة بالشعير وبيع سنبل الشعير بالحنطة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الحنطة والشعير كالأرز والذرة والدخن وغيرها ففي جريان هذا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بيع سنابلها بحبّ من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p>
    <w:p>
      <w:pPr>
        <w:pStyle w:val="BookText"/>
        <w:rPr/>
      </w:pP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w:t>
      </w:r>
      <w:r>
        <w:rPr>
          <w:rStyle w:val="FootnoteAnchor"/>
          <w:rtl w:val="true"/>
        </w:rPr>
        <w:footnoteReference w:id="1155"/>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الخضر كالخيار والباذنجان والبطّيخ ونحوها قبل ظهورها ، ويجوز بعد انعقادها وتناثر وردها لقطة واحدة أو لقطات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اللقطة إلى عرف الزرّاع وشغلهم وعادتهم ، والظاهر أنّ ما يلتقط منها من الباكورة لا تعدّ لقطة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بيع الخضر كالخيار والبطّيخ مع مشاهدة ما يمكن مشاهدته في خلال الأوراق ، ولا يضرّ عدم مشاهدة بعضها المستورة كما لا يضرّ عدم تناهي عظمها كلاًّ أو بعضاً وتناثر وردها ، وكذا لا يضرّ انعدام ما عدا الاُولى من اللقطات بعد ضمّها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الخضر ممّا كان المقصود منه مستوراً في الأرض كالجزر والشلجم والثوم يشكل جواز بيعها قبل قلعها ، نعم في مثل البصل ممّا كان الظاهر منه أيضاً مقصوداً فالوجه جواز بيعه منفرداً ومع اُصوله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بعد الظهور بيع ما يجزّ ثمّ ينمو كالرطبة والكرّاث والنعناع جزّة وجزّات معيّنة ، وكذا ما يخرط كورق التوت والحنّاء خرطة وخرطات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الجزّة والخرطة هو العرف والعادة كما مرّ في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انعدام بعض الأوراق بعد وجود مقدار يكفي للخرط وإن لم يبلغ أوان خرطه ، فيضمّ الموجود إلى المعدوم كانضمام الثمرة المتجدّدة في السنة أو في سنة اُخرى مع الموجودة </w:t>
      </w:r>
      <w:r>
        <w:rPr>
          <w:rFonts w:eastAsia="Amiri" w:cs="Amiri" w:ascii="Amiri" w:hAnsi="Amiri"/>
          <w:color w:val="111111"/>
          <w:sz w:val="28"/>
          <w:szCs w:val="28"/>
          <w:rtl w:val="true"/>
          <w:lang w:bidi="ar-SA"/>
        </w:rPr>
        <w:t xml:space="preserve">. </w:t>
      </w:r>
      <w:bookmarkStart w:id="567" w:name="pg15003_160072"/>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نخل أو شجر أو زرع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بالمناصفة يجوز أن يتقبّل أحد الشريكين حصّة صاحبه بخرص معلوم ؛ بأن يخرص المجموع بمقدار فيتقبّل أن يكون المجموع له ، ويدفع لصاحبه من الثمرة نصف المجموع بحسب خرصه ؛ زاد أو نقص ، ويرضى به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معاملة خاصّة برأسها ، كما أنّ الظاهر أ نّه ليس لها صيغة خاصّة ، فيكفي كلّ لفظ يكون ظاهراً في المقصود بحسب متفاهم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مرّ بثمرة نخل أو شجر أو زرع</w:t>
      </w:r>
      <w:r>
        <w:rPr>
          <w:rStyle w:val="FootnoteAnchor"/>
          <w:rtl w:val="true"/>
        </w:rPr>
        <w:footnoteReference w:id="1156"/>
      </w:r>
      <w:r>
        <w:rPr>
          <w:rFonts w:ascii="Amiri" w:hAnsi="Amiri" w:eastAsia="Amiri" w:cs="Amiri"/>
          <w:color w:val="111111"/>
          <w:sz w:val="28"/>
          <w:sz w:val="28"/>
          <w:szCs w:val="28"/>
          <w:rtl w:val="true"/>
          <w:lang w:bidi="ar-SA"/>
        </w:rPr>
        <w:t xml:space="preserve">مارّاً مجتازاً لا قاصداً إليها لأجل الأكل جاز له أن يأكل منها بمقدار شبعه وحاجته من دون أن يحمل منها شيئاً ومن دون إفساد للأغصان أو إتلاف للثمار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ما كان على الشجر أو متساقطاً عنه ، والأحوط الاقتصار على ما إذا لم يعلم كراهة المالك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487983_3406789950"/>
      <w:bookmarkStart w:id="569" w:name="_Toc206"/>
      <w:bookmarkEnd w:id="568"/>
      <w:r>
        <w:rPr>
          <w:rtl w:val="true"/>
        </w:rPr>
        <w:t xml:space="preserve">القول </w:t>
      </w:r>
      <w:r>
        <w:rPr>
          <w:rtl w:val="true"/>
        </w:rPr>
        <w:t xml:space="preserve">: </w:t>
      </w:r>
      <w:r>
        <w:rPr>
          <w:rtl w:val="true"/>
        </w:rPr>
        <w:t>في بيع الحيوان ناطقه وصامته</w:t>
      </w:r>
      <w:bookmarkEnd w:id="56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استرقاق الحربي ؛ أعني الكافر الأصلي إذا لم يكن معتصماً بعهد أو ذمام ؛ سواء كان في دار الحرب أو دار الإسلام ، وسواء كان بالسرقة أو الغيلة أو القهر والاغتنام ، بل لو قهر الحربي حربياً فباعه صحّ البيع ، وإن كان أخاه أو زوجته بل وإن كان ممّن ينعتق عليه كبنته وابنه وأبويه ، على إشكال في صحّة البيع ولحوق أحكامه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تملّك المشتري المسلم لمن اشتراه بهذا الشراء ؛ وإن لم يكن شراء حقيقياً بل كان استنقاذاً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الرجل كلّ أحد عدا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والأجداد والجدّات وإن علوا ، والأولاد وأولادهم ذكوراً وإناثاً وإن سفلوا ، والأخوات والعمّات</w:t>
      </w:r>
      <w:r>
        <w:rPr>
          <w:rStyle w:val="FootnoteAnchor"/>
          <w:rtl w:val="true"/>
        </w:rPr>
        <w:footnoteReference w:id="1157"/>
      </w:r>
      <w:r>
        <w:rPr>
          <w:rFonts w:ascii="Amiri" w:hAnsi="Amiri" w:eastAsia="Amiri" w:cs="Amiri"/>
          <w:color w:val="111111"/>
          <w:sz w:val="28"/>
          <w:sz w:val="28"/>
          <w:szCs w:val="28"/>
          <w:rtl w:val="true"/>
          <w:lang w:bidi="ar-SA"/>
        </w:rPr>
        <w:t xml:space="preserve">والخالات وبنات الأخ وبنات الاُخت وإن سفلن نسباً ورضاعاً ، ويملك من عدا هؤلاء من الأقارب حتّى الأخ وإن كان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المرأة كلّ أحد عدا الآباء</w:t>
      </w:r>
      <w:r>
        <w:rPr>
          <w:rStyle w:val="FootnoteAnchor"/>
          <w:rtl w:val="true"/>
        </w:rPr>
        <w:footnoteReference w:id="1158"/>
      </w:r>
      <w:r>
        <w:rPr>
          <w:rFonts w:ascii="Amiri" w:hAnsi="Amiri" w:eastAsia="Amiri" w:cs="Amiri"/>
          <w:color w:val="111111"/>
          <w:sz w:val="28"/>
          <w:sz w:val="28"/>
          <w:szCs w:val="28"/>
          <w:rtl w:val="true"/>
          <w:lang w:bidi="ar-SA"/>
        </w:rPr>
        <w:t xml:space="preserve">وإن علوا والأولاد وإن نزلوا نسباً ورضاعاً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ملك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استقراره ، فلو ملك الرجل أو المرأة أحد هؤلاء بناقل اختياري كالشراء ، أو قهري كالموت انعتق عليهما في الحال ، ويملك كلّ من الزوجين صاحبه لكن يبطل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لا يملك المسلم ابتداءً</w:t>
      </w:r>
      <w:r>
        <w:rPr>
          <w:rStyle w:val="FootnoteAnchor"/>
          <w:rtl w:val="true"/>
        </w:rPr>
        <w:footnoteReference w:id="1159"/>
      </w:r>
      <w:r>
        <w:rPr>
          <w:rFonts w:ascii="Amiri" w:hAnsi="Amiri" w:eastAsia="Amiri" w:cs="Amiri"/>
          <w:color w:val="111111"/>
          <w:sz w:val="28"/>
          <w:sz w:val="28"/>
          <w:szCs w:val="28"/>
          <w:rtl w:val="true"/>
          <w:lang w:bidi="ar-SA"/>
        </w:rPr>
        <w:t xml:space="preserve">، ولو كان له مملوك كافر فأسلم المملوك اُجبر على بيعه من مسلم ولمولاه ثمنه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أقرّ على نفسه بالعبودية حكم عليه بها مع شرائط الإقرار ؛ من البلوغ والعقل والاختيار وعدم كونه مشهوراً بالحرّية ، ولا يلتفت إلى رجوعه عن إقراره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عبداً فادّعى الحرّية لم يقبل قوله إلاّ بالبيّنة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مالك الجارية أن يبيعها وقد وطئها يجب عليه أن يستبرئها قبل بيعها بحيضة إن كانت تحيض ، وبخمسة وأربعين يوماً إن كانت </w:t>
      </w:r>
    </w:p>
    <w:p>
      <w:pPr>
        <w:pStyle w:val="BookText"/>
        <w:rPr/>
      </w:pPr>
      <w:r>
        <w:rPr>
          <w:rFonts w:ascii="Amiri" w:hAnsi="Amiri" w:eastAsia="Amiri" w:cs="Amiri"/>
          <w:color w:val="111111"/>
          <w:sz w:val="28"/>
          <w:sz w:val="28"/>
          <w:szCs w:val="28"/>
          <w:rtl w:val="true"/>
          <w:lang w:bidi="ar-SA"/>
        </w:rPr>
        <w:t>لا تحيض وهي في سنّ من تحيض ؛ بأن كان بيعها بعد انقضاء هذه المدّة من زمن وطئها ، وإذا لم يستبرئها البائع وباعها صحّ البيع ، لكن يجب على المشتري الاستبراء المزبور ؛ بأن لا يطأها إلاّ بعد حيضة أو انقضاء تلك المدّة ، بل لو لم يعلم أنّ البائع قد وطئها أو استبرأها بعد وطئها يجب عليه استبراؤها ، نعم لو علم ، أو أخبره ثقة أ نّه قد استبرأها البائع أو أ نّه لم يطأها لم يجب عليه الاستبراء ، كما أ نّه لا يجب لا على البائع ولا على المشتري لو كان البائع امرأة ، أو كانت الجارية صغيرة</w:t>
      </w:r>
      <w:r>
        <w:rPr>
          <w:rStyle w:val="FootnoteAnchor"/>
          <w:rtl w:val="true"/>
        </w:rPr>
        <w:footnoteReference w:id="1161"/>
      </w:r>
      <w:r>
        <w:rPr>
          <w:rFonts w:ascii="Amiri" w:hAnsi="Amiri" w:eastAsia="Amiri" w:cs="Amiri"/>
          <w:color w:val="111111"/>
          <w:sz w:val="28"/>
          <w:sz w:val="28"/>
          <w:szCs w:val="28"/>
          <w:rtl w:val="true"/>
          <w:lang w:bidi="ar-SA"/>
        </w:rPr>
        <w:t xml:space="preserve">أو يائسة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وجوب الاستبراء بالبيع والشراء ، بل كلّ من ملك أمة بوجه من وجوه التملّك وجب عليه قبل وطئها الاستبراء ، حتّى لو ملكها بالإرث أو الاسترقاق إذا لم تستبرئ قبل ذلك ، وكذا لا يختصّ بالبائع ، بل يعمّ كلّ ناقل لها بمثل الصلح والهبة وغيرهما ، فيجب عليهم الاستبراء المزبور بالشروط المتقدّمة قبل إيجاد السبب المملّك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جارية حبلى لم يجب على البائع استبراؤها ، نعم يجب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من ملكها بوجه من وجوه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وطئها قبل أن ينقضي لحملها أربعة أشهر وعشرة أيّام ، ويكره</w:t>
      </w:r>
      <w:r>
        <w:rPr>
          <w:rStyle w:val="FootnoteAnchor"/>
          <w:rtl w:val="true"/>
        </w:rPr>
        <w:footnoteReference w:id="1162"/>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العبد يملك وإن كان محجوراً عليه ، لا ينفذ تصرّفاته فيما ملكه بدون إذن مولاه، وللمولى السلطنة التامّة على ما ملكه، حتّى أنّ </w:t>
      </w:r>
    </w:p>
    <w:p>
      <w:pPr>
        <w:pStyle w:val="BookText"/>
        <w:rPr/>
      </w:pPr>
      <w:r>
        <w:rPr>
          <w:rFonts w:ascii="Amiri" w:hAnsi="Amiri" w:eastAsia="Amiri" w:cs="Amiri"/>
          <w:color w:val="111111"/>
          <w:sz w:val="28"/>
          <w:sz w:val="28"/>
          <w:szCs w:val="28"/>
          <w:rtl w:val="true"/>
          <w:lang w:bidi="ar-SA"/>
        </w:rPr>
        <w:t>له أن ينتزعه</w:t>
      </w:r>
      <w:r>
        <w:rPr>
          <w:rStyle w:val="FootnoteAnchor"/>
          <w:rtl w:val="true"/>
        </w:rPr>
        <w:footnoteReference w:id="1163"/>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ملّكه مولاه شيئاً ملكه ، وكذا ما حاز لنفسه من المباحات بإذن مولاه أو اشترى في الذمّة بإذنه ملكه وإن لم يكن ملكاً تامّاً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مملوك كما يجوز بيع جميعه يجوز بيع بعضه المشاع كالنصف والربع ، وأمّا جزؤه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كرأسه وجلده أو يده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نصفه الذي فيه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لا يؤكل</w:t>
      </w:r>
      <w:r>
        <w:rPr>
          <w:rStyle w:val="FootnoteAnchor"/>
          <w:rtl w:val="true"/>
        </w:rPr>
        <w:footnoteReference w:id="1164"/>
      </w:r>
      <w:r>
        <w:rPr>
          <w:rFonts w:ascii="Amiri" w:hAnsi="Amiri" w:eastAsia="Amiri" w:cs="Amiri"/>
          <w:color w:val="111111"/>
          <w:sz w:val="28"/>
          <w:sz w:val="28"/>
          <w:szCs w:val="28"/>
          <w:rtl w:val="true"/>
          <w:lang w:bidi="ar-SA"/>
        </w:rPr>
        <w:t xml:space="preserve">لحمه أو لم يكن المقصود منه اللحم بل الركوب والحمل وإدارة الرحى ونحو ذلك لم يجز بيعه قطعاً ، وأمّا إذا كان المقصود منه الذبح مثل ما يشتريه القصّابون ويباع منهم فالظاهر أ نّه يصحّ بيعه ، فإن ذبحه يكون للمشتري ما اشتراه وإن باعه ولم يذبحه يكون المشتري شريكاً في الثمن بنسبة ماله ؛ بأن ينسب قيمة الرأس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الذبح إلى قيمة البقيّة فله من الثمن بتلك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لو باع حيواناً قصد به اللحم واستثنى الرأس والجلد ، أو اشترك اثنان أو جماعة وشرط أحدهم لنفسه الرأس والجلد أو الرأس والقوائم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اشترى شخص حيواناً ثمّ شرّك غيره معه في الرأس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شاة بعشرة دراهم ثمّ شرّك فيها رجلاً بدرهمين بالرأس والجلد فيصحّ في الجميع فيما يراد ذبحه ، فإذا ذبح يستحقّ العين وإلاّ كان شريكاً بالنسبة كما عرفت </w:t>
      </w:r>
      <w:r>
        <w:rPr>
          <w:rFonts w:eastAsia="Amiri" w:cs="Amiri" w:ascii="Amiri" w:hAnsi="Amiri"/>
          <w:color w:val="111111"/>
          <w:sz w:val="28"/>
          <w:szCs w:val="28"/>
          <w:rtl w:val="true"/>
          <w:lang w:bidi="ar-SA"/>
        </w:rPr>
        <w:t xml:space="preserve">. </w:t>
      </w:r>
      <w:bookmarkStart w:id="570" w:name="pg15003_160076"/>
    </w:p>
    <w:p>
      <w:pPr>
        <w:pStyle w:val="BookText"/>
        <w:rPr/>
      </w:pPr>
      <w:bookmarkEnd w:id="5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بشركتي ، كان ذلك منه توكيلاً له في الشراء ، فلو اشتراه حسب استدعاء الآمر كان المبيع بينهما نصفين وعلى كلّ منهما دفع نصف الثمن ، إلاّ إذا صرّح بكون الشركة على 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المأمور عن الآمر ما عليه من الثمن ليس له الرجوع إليه ما لم يكن قرينة تقتضي أنّ المقصود الشراء له والدفع عنه ما عليه من الثمن ، كالشراء من مكان بعيد لا يدفع المبيع حتّى يدفع الثمن ، فحينئذٍ يرجع إلى الآمر بما دفع عنه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487985_3406789950"/>
      <w:bookmarkStart w:id="572" w:name="_Toc207"/>
      <w:bookmarkEnd w:id="571"/>
      <w:r>
        <w:rPr>
          <w:rtl w:val="true"/>
        </w:rPr>
        <w:t xml:space="preserve">القول </w:t>
      </w:r>
      <w:r>
        <w:rPr>
          <w:rtl w:val="true"/>
        </w:rPr>
        <w:t xml:space="preserve">: </w:t>
      </w:r>
      <w:r>
        <w:rPr>
          <w:rtl w:val="true"/>
        </w:rPr>
        <w:t>في الإقالة</w:t>
      </w:r>
      <w:bookmarkEnd w:id="572"/>
    </w:p>
    <w:p>
      <w:pPr>
        <w:pStyle w:val="BookText"/>
        <w:rPr/>
      </w:pPr>
      <w:r>
        <w:rPr>
          <w:rFonts w:ascii="Amiri" w:hAnsi="Amiri" w:eastAsia="Amiri" w:cs="Amiri"/>
          <w:color w:val="111111"/>
          <w:sz w:val="28"/>
          <w:sz w:val="28"/>
          <w:szCs w:val="28"/>
          <w:rtl w:val="true"/>
          <w:lang w:bidi="ar-SA"/>
        </w:rPr>
        <w:t xml:space="preserve">وحقيقتها فسخ العقد من الطرفين ، وهي جارية في تمام العقود سوى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قيام وارث المتعاقدين مقامهما إشكال</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بكلّ لفظ أفاد المعنى المقصود عند أهل المحاورة كأن يقول المتعاقدان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أحدهما للآخر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الآخر ، بل الظاهر كفاية التماس أحدهما مع إقالة الآخر ، ولا يعتبر فيها العربية بل تقع بكلّ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وقوعها بالمعاطاة بأن يردّ كلّ منهما ما انتقل إليه إلى صاحبه بعنوان الفسخ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الإقالة بزيادة عن الثمن ولا نقصان ، فلو أقال المشتري بزيادة عن الثمن الذي اشترى به أو البائع بوضيعة بطلت الإقالة وبقي العوضان على ملك صاحبهما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في الإقالة الفسخ والإقالة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الإقالة في جميع ما وقع عليه العقد وفي بعضه ويتقسّط الثمن حينئذٍ على النسبة ، بل إذا تعدّد البائع أو المشتري تصحّ إقالة أحدهما مع الطرف الآخر بالنسبة إلى حصّته وإن لم يوافقه صاحبه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 غير مانع عن صحّة الإقالة كالفسخ ، فلو تقايلا رجع كلّ عوض إلى مالكه ، فإن كان موجوداً أخذه ، وإن كان تالفاً يرجع إلى المثل إن كان مثلياً ، والقيمة إن كان قيمياً </w:t>
      </w:r>
      <w:r>
        <w:rPr>
          <w:rFonts w:eastAsia="Amiri" w:cs="Amiri" w:ascii="Amiri" w:hAnsi="Amiri"/>
          <w:color w:val="111111"/>
          <w:sz w:val="28"/>
          <w:szCs w:val="28"/>
          <w:rtl w:val="true"/>
          <w:lang w:bidi="ar-SA"/>
        </w:rPr>
        <w:t xml:space="preserve">. </w:t>
      </w:r>
      <w:bookmarkStart w:id="573" w:name="pg15003_160078"/>
    </w:p>
    <w:p>
      <w:pPr>
        <w:pStyle w:val="Heading2"/>
        <w:numPr>
          <w:ilvl w:val="1"/>
          <w:numId w:val="1"/>
        </w:numPr>
        <w:rPr/>
      </w:pPr>
      <w:bookmarkStart w:id="574" w:name="__RefHeading___Toc487987_3406789950"/>
      <w:bookmarkStart w:id="575" w:name="_Toc208"/>
      <w:bookmarkEnd w:id="573"/>
      <w:bookmarkEnd w:id="574"/>
      <w:r>
        <w:rPr>
          <w:rtl w:val="true"/>
        </w:rPr>
        <w:t>كتاب الشفعة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أحد الشريكين حصّته من شخص أجنبيّ ، فللشريك الآخر مع اجتماع الشروط الآتية حقّ أن يتملّكها وينتزعها من المشتري بما بذله من الثمن ، ويسمّى هذا الحقّ بالشفعة وصاحبه بالشفيع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ثبوت الشفعة في كلّ ما لا ينقل إذا كان قابلاً للقسمة ، كالأراضي والبساتين والدور ونحوها ، وفي ثبوتها فيما ينقل كالثياب والمتاع والسفينة والحيوان ، وفيما لا ينقل وكان غير قابل للقسمة كالضيّقة من الأنهار والطرق والآبار وغالب الأرحية والحمّامات ، وكذا في الشجر والنخيل والأبنية والثمار على النخيل والأشجار إشكال ، لا يبعد ثبوتها في الجميع بل لا يخلو من قوّة ، لكنّ الأحوط</w:t>
      </w:r>
      <w:r>
        <w:rPr>
          <w:rStyle w:val="FootnoteAnchor"/>
          <w:rtl w:val="true"/>
        </w:rPr>
        <w:footnoteReference w:id="1166"/>
      </w:r>
      <w:r>
        <w:rPr>
          <w:rFonts w:ascii="Amiri" w:hAnsi="Amiri" w:eastAsia="Amiri" w:cs="Amiri"/>
          <w:color w:val="111111"/>
          <w:sz w:val="28"/>
          <w:sz w:val="28"/>
          <w:szCs w:val="28"/>
          <w:rtl w:val="true"/>
          <w:lang w:bidi="ar-SA"/>
        </w:rPr>
        <w:t xml:space="preserve">للشريك عدم الأخذ فيها بالشفعة إلاّ برضا المشتري ، كما أنّ الأحوط له إجابة الشريك إن أخذ بها ، بل لا يترك هذا الاحتياط في أشياء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والطريق والرحى والحمّام والسفينة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تثبت الشفعة في بيع حصّة مشاعة من العين المشتركة </w:t>
      </w:r>
    </w:p>
    <w:p>
      <w:pPr>
        <w:pStyle w:val="BookText"/>
        <w:rPr/>
      </w:pPr>
      <w:r>
        <w:rPr>
          <w:rFonts w:ascii="Amiri" w:hAnsi="Amiri" w:eastAsia="Amiri" w:cs="Amiri"/>
          <w:color w:val="111111"/>
          <w:sz w:val="28"/>
          <w:sz w:val="28"/>
          <w:szCs w:val="28"/>
          <w:rtl w:val="true"/>
          <w:lang w:bidi="ar-SA"/>
        </w:rPr>
        <w:t>فلا شفعة بالجوار ، فلو باع أحد داره أو عقاره ليس لجاره الأخذ بالشفعة ، وكذا لا شفعة في العين المقسومة إذا باع أحد الشريكين حصّته المفروزة إلاّ إذا كانت داراً قد قسّمت بعد اشتراكها أو كانت من أوّل الأمر مفروزة ولها طريق مشترك فباع بعض الشركاء</w:t>
      </w:r>
      <w:r>
        <w:rPr>
          <w:rStyle w:val="FootnoteAnchor"/>
          <w:rtl w:val="true"/>
        </w:rPr>
        <w:footnoteReference w:id="1167"/>
      </w:r>
      <w:r>
        <w:rPr>
          <w:rFonts w:ascii="Amiri" w:hAnsi="Amiri" w:eastAsia="Amiri" w:cs="Amiri"/>
          <w:color w:val="111111"/>
          <w:sz w:val="28"/>
          <w:sz w:val="28"/>
          <w:szCs w:val="28"/>
          <w:rtl w:val="true"/>
          <w:lang w:bidi="ar-SA"/>
        </w:rPr>
        <w:t>حصّته المفروزة من الدار ، فإنّه تثبت الشفعة لغير البائع ، لكن إذا بيعت مع طريقها ، بخلاف ما إذا اُفرزت الحصّة بالبيع وبقي الطريق على ما كان من الاشتراك بين الملاّك فإنّه لا شفعة حينئذٍ في بيع الحصّة ، نعم لو بيعت حصّته من الطريق المشترك ثبت فيه الشفعة ، على إشكال</w:t>
      </w:r>
      <w:r>
        <w:rPr>
          <w:rStyle w:val="FootnoteAnchor"/>
          <w:rtl w:val="true"/>
        </w:rPr>
        <w:footnoteReference w:id="1168"/>
      </w:r>
      <w:r>
        <w:rPr>
          <w:rFonts w:ascii="Amiri" w:hAnsi="Amiri" w:eastAsia="Amiri" w:cs="Amiri"/>
          <w:color w:val="111111"/>
          <w:sz w:val="28"/>
          <w:sz w:val="28"/>
          <w:szCs w:val="28"/>
          <w:rtl w:val="true"/>
          <w:lang w:bidi="ar-SA"/>
        </w:rPr>
        <w:t xml:space="preserve">فيما إذا كان ضيّقاً غير قابل للقسمة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الاشتراك في الشرب كالبئر والنهر والساقية بالإشتراك في الطريق إشكال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إلحاق البستان والأراضي مع اشتراك الطريق بالدار ، لكنّه أيضاً لا يخلو من إشكال فلا ينبغي</w:t>
      </w:r>
      <w:r>
        <w:rPr>
          <w:rStyle w:val="FootnoteAnchor"/>
          <w:rtl w:val="true"/>
        </w:rPr>
        <w:footnoteReference w:id="1169"/>
      </w:r>
      <w:r>
        <w:rPr>
          <w:rFonts w:ascii="Amiri" w:hAnsi="Amiri" w:eastAsia="Amiri" w:cs="Amiri"/>
          <w:color w:val="111111"/>
          <w:sz w:val="28"/>
          <w:sz w:val="28"/>
          <w:szCs w:val="28"/>
          <w:rtl w:val="true"/>
          <w:lang w:bidi="ar-SA"/>
        </w:rPr>
        <w:t xml:space="preserve">ترك الاحتياط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عرضاً وشقصاً من دار ، أو باع حصّة مفروزة من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حصّة مشاعة من دار اُخرى صفقة واحدة كان للشريك الشفعة في تلك الحصّة المشاعة بحصّتها من الثمن، على إشكال من جهة احتمال</w:t>
      </w:r>
      <w:r>
        <w:rPr>
          <w:rStyle w:val="FootnoteAnchor"/>
          <w:rtl w:val="true"/>
        </w:rPr>
        <w:footnoteReference w:id="1170"/>
      </w:r>
      <w:r>
        <w:rPr>
          <w:rFonts w:ascii="Amiri" w:hAnsi="Amiri" w:eastAsia="Amiri" w:cs="Amiri"/>
          <w:color w:val="111111"/>
          <w:sz w:val="28"/>
          <w:sz w:val="28"/>
          <w:szCs w:val="28"/>
          <w:rtl w:val="true"/>
          <w:lang w:bidi="ar-SA"/>
        </w:rPr>
        <w:t xml:space="preserve">أن يكون له الشفعة في المجموع بمجموع الثمن ولم يكن له التبعيض بأخذ المشاع فقط، فالأحوط للشفيع إرضاء المشتري؛ سواء أراد التبعيض أو أخذ الشفعة في </w:t>
      </w:r>
    </w:p>
    <w:p>
      <w:pPr>
        <w:pStyle w:val="BookText"/>
        <w:rPr/>
      </w:pPr>
      <w:r>
        <w:rPr>
          <w:rFonts w:ascii="Amiri" w:hAnsi="Amiri" w:eastAsia="Amiri" w:cs="Amiri"/>
          <w:color w:val="111111"/>
          <w:sz w:val="28"/>
          <w:sz w:val="28"/>
          <w:szCs w:val="28"/>
          <w:rtl w:val="true"/>
          <w:lang w:bidi="ar-SA"/>
        </w:rPr>
        <w:t xml:space="preserve">المجموع ، كما أنّ الأحوط للمشتري إجابته في كلّ ما أراده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الشفعة انتقال الحصّة إلى الأجنبيّ بالبيع ، فلو انتقلت إليه بجعله صداقاً أو فدية للخلع أو بالصلح أو بالهبة فلا شفعة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تثبت الشفعة إذا كانت العين بين شريكين ، فلا شفعة فيما إذا كانت بين ثلاثة وما فوقها ، من غير فرق على الظاهر بين أن يكون البائع اثنين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الشفيع واحداً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باع أحد الشريكين حصّته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أو تدريجاً فصارت العين بين ثلاثة بعد البيع لا مانع من الشفعة للشريك الآخر ، وحينئذٍ فهل له التبعيض بأن يأخذ بالشفعة بالنسبة إلى أحد المشتريين ويترك الآخر أو لا ؟ وجهان بل قولان ، لا يخلو أوّلهما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الدار مشتركة بين الطلق والوقف ، وبيع الطلق ، لم يكن للموقوف عليه ولو كان واحداً ولا لوليّ الوقف شفعة ، نعم لو بيع الوقف في صورة صحّة بيعه ، الظاهر</w:t>
      </w:r>
      <w:r>
        <w:rPr>
          <w:rStyle w:val="FootnoteAnchor"/>
          <w:rtl w:val="true"/>
        </w:rPr>
        <w:footnoteReference w:id="1171"/>
      </w:r>
      <w:r>
        <w:rPr>
          <w:rFonts w:ascii="Amiri" w:hAnsi="Amiri" w:eastAsia="Amiri" w:cs="Amiri"/>
          <w:color w:val="111111"/>
          <w:sz w:val="28"/>
          <w:sz w:val="28"/>
          <w:szCs w:val="28"/>
          <w:rtl w:val="true"/>
          <w:lang w:bidi="ar-SA"/>
        </w:rPr>
        <w:t>ثبوتها لذي الطلق إلاّ إذا كان الوقف على أشخاص بأعيانهم وكانوا متعدّدين فإنّ فيه إشكالاً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ثبوت الشفعة كون الشفيع قادراً على أداء الثمن ، فلو كان عاجزاً عن أدائه لا شفعة له وإن بذل الضامن أو الرهن ، إلاّ أن يرضى المشتري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يعتبر فيه إحضار الثمن عند الأخذ بها ، ولو اعتذر بأ نّه في مكان آخر فذهب ليحضر الثمن فإن كان في البلد ينتظر ثلاثة أيّام وإن كان في </w:t>
      </w:r>
    </w:p>
    <w:p>
      <w:pPr>
        <w:pStyle w:val="BookText"/>
        <w:rPr/>
      </w:pPr>
      <w:r>
        <w:rPr>
          <w:rFonts w:ascii="Amiri" w:hAnsi="Amiri" w:eastAsia="Amiri" w:cs="Amiri"/>
          <w:color w:val="111111"/>
          <w:sz w:val="28"/>
          <w:sz w:val="28"/>
          <w:szCs w:val="28"/>
          <w:rtl w:val="true"/>
          <w:lang w:bidi="ar-SA"/>
        </w:rPr>
        <w:t>بلد آخر ينتظر بمقدار</w:t>
      </w:r>
      <w:r>
        <w:rPr>
          <w:rStyle w:val="FootnoteAnchor"/>
          <w:rtl w:val="true"/>
        </w:rPr>
        <w:footnoteReference w:id="1173"/>
      </w:r>
      <w:r>
        <w:rPr>
          <w:rFonts w:ascii="Amiri" w:hAnsi="Amiri" w:eastAsia="Amiri" w:cs="Amiri"/>
          <w:color w:val="111111"/>
          <w:sz w:val="28"/>
          <w:sz w:val="28"/>
          <w:szCs w:val="28"/>
          <w:rtl w:val="true"/>
          <w:lang w:bidi="ar-SA"/>
        </w:rPr>
        <w:t xml:space="preserve">يمكن بحسب العادة نقل المال من ذلك البلد بزيادة ثلاثة أيّام ، فإن لم يحضر الثمن في تلك المدّة فلا شفعة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الشفيع الإسلام إذا كان المشتري مسلماً ، فلا شفعة للكافر على المسلم وإن اشتراه من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للكافر على مثله وللمسلم على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الشفعة للغائب ، فله الأخذ بها بعد اطّلاعه على البيع ولو بعد زمان طويل ، بل لو كان له وكيل مطلق</w:t>
      </w:r>
      <w:r>
        <w:rPr>
          <w:rStyle w:val="FootnoteAnchor"/>
          <w:rtl w:val="true"/>
        </w:rPr>
        <w:footnoteReference w:id="1174"/>
      </w:r>
      <w:r>
        <w:rPr>
          <w:rFonts w:ascii="Amiri" w:hAnsi="Amiri" w:eastAsia="Amiri" w:cs="Amiri"/>
          <w:color w:val="111111"/>
          <w:sz w:val="28"/>
          <w:sz w:val="28"/>
          <w:szCs w:val="28"/>
          <w:rtl w:val="true"/>
          <w:lang w:bidi="ar-SA"/>
        </w:rPr>
        <w:t xml:space="preserve">واطّلع هو على البيع دون موكّله ، له أن يأخذ بالشفعة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الشفعة للسفيه وإن لم ينفذ أخذه بها إلاّ بإذن الوليّ أو إجازته ، وكذا تثبت للصبيّ والمجنون وإن كان المتولّي للأخذ بها عنهما وليّهما ، نعم لو كان الوليّ هو الوصيّ ليس له ذلك إلاّ مع الغبطة والمصلحة ، بخلاف الأب والجدّ فإنّه يكفي فيهما عدم المفسدة</w:t>
      </w:r>
      <w:r>
        <w:rPr>
          <w:rStyle w:val="FootnoteAnchor"/>
          <w:rtl w:val="true"/>
        </w:rPr>
        <w:footnoteReference w:id="1175"/>
      </w:r>
      <w:r>
        <w:rPr>
          <w:rFonts w:ascii="Amiri" w:hAnsi="Amiri" w:eastAsia="Amiri" w:cs="Amiri"/>
          <w:color w:val="111111"/>
          <w:sz w:val="28"/>
          <w:sz w:val="28"/>
          <w:szCs w:val="28"/>
          <w:rtl w:val="true"/>
          <w:lang w:bidi="ar-SA"/>
        </w:rPr>
        <w:t xml:space="preserve">، كما هو الحال في سائر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الوليّ المطالبة بالشفعة عنهما إلى أن كملا ، لهما أن يأخذا بها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الوليّ شريكاً مع المولّى عليه فباع حصّته من أجنبيّ ، جاز</w:t>
      </w:r>
      <w:r>
        <w:rPr>
          <w:rStyle w:val="FootnoteAnchor"/>
          <w:rtl w:val="true"/>
        </w:rPr>
        <w:footnoteReference w:id="1176"/>
      </w:r>
      <w:r>
        <w:rPr>
          <w:rFonts w:ascii="Amiri" w:hAnsi="Amiri" w:eastAsia="Amiri" w:cs="Amiri"/>
          <w:color w:val="111111"/>
          <w:sz w:val="28"/>
          <w:sz w:val="28"/>
          <w:szCs w:val="28"/>
          <w:rtl w:val="true"/>
          <w:lang w:bidi="ar-SA"/>
        </w:rPr>
        <w:t xml:space="preserve">له أن يأخذ بالشفعة فيما باعه ، وكذا الوكيل في البيع لو كان شريكاً مع </w:t>
      </w:r>
    </w:p>
    <w:p>
      <w:pPr>
        <w:pStyle w:val="BookText"/>
        <w:rPr/>
      </w:pPr>
      <w:r>
        <w:rPr>
          <w:rFonts w:ascii="Amiri" w:hAnsi="Amiri" w:eastAsia="Amiri" w:cs="Amiri"/>
          <w:color w:val="111111"/>
          <w:sz w:val="28"/>
          <w:sz w:val="28"/>
          <w:szCs w:val="28"/>
          <w:rtl w:val="true"/>
          <w:lang w:bidi="ar-SA"/>
        </w:rPr>
        <w:t xml:space="preserve">موكّله فباع حصّة موكّله من أجنبيّ ، فإنّ له أن ينتزع الحصّة التي باعها من المشتري لنفسه لأجل الشفعة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بالشفعة إمّا بالقول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بالشفعة ، أو تملّكت الحصّة ، ونحو ذلك ممّا يفيد إنشاء تملّكه وانتزاع الحصّة المبيعة من المشتري لأجل ذلك الحقّ ، وإمّا بالفعل ؛ بأن يدفع الثمن ويأخذ الحصّة المبيعة ، بأن يرفع المشتري يده عنها ويخلّي بين الشفيع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يعتبر دفع الثمن عند الأخذ بالشفعة قولاً أو فعلاً إلاّ إذا رضي المشتري بالصبر ، نعم لو كان الثمن مؤجّلاً فالظاهر أ نّه يجوز له</w:t>
      </w:r>
      <w:r>
        <w:rPr>
          <w:rStyle w:val="FootnoteAnchor"/>
          <w:rtl w:val="true"/>
        </w:rPr>
        <w:footnoteReference w:id="1177"/>
      </w:r>
      <w:r>
        <w:rPr>
          <w:rFonts w:ascii="Amiri" w:hAnsi="Amiri" w:eastAsia="Amiri" w:cs="Amiri"/>
          <w:color w:val="111111"/>
          <w:sz w:val="28"/>
          <w:sz w:val="28"/>
          <w:szCs w:val="28"/>
          <w:rtl w:val="true"/>
          <w:lang w:bidi="ar-SA"/>
        </w:rPr>
        <w:t xml:space="preserve">أن يأخذ بها ويتملّك الحصّة عاجلاً ويكون الثمن عليه إلى وقته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للشفيع تبعيض حقّه ، بل إمّا أن يأخذ الجميع أو يدع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يلزم على الشفيع عند أخذه بالشفعة دفع مثل الثمن الذي وقع عليه العقد ؛ سواء كانت قيمة الشقص أقلّ أو أكثر ، ولا يلزم عليه دفع ما غرمه المشتري من المؤن كاُجرة الدلاّل ونحوها ، ولا دفع ما زاد المشتري على الثمن وتبرّع به للبائع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حطّ البائع بعد العقد شيئاً من الثمن ليس له تنقيص ذاك المقدار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الثمن مثلياً كالذهب والفضّة ونحوهما يلزم على الشفيع دفع مثله ، وأمّا لو كان قيمياً كالحيوان والجواهر والثياب ونحوها ففي ثبوت </w:t>
      </w:r>
    </w:p>
    <w:p>
      <w:pPr>
        <w:pStyle w:val="BookText"/>
        <w:rPr/>
      </w:pPr>
      <w:r>
        <w:rPr>
          <w:rFonts w:ascii="Amiri" w:hAnsi="Amiri" w:eastAsia="Amiri" w:cs="Amiri"/>
          <w:color w:val="111111"/>
          <w:sz w:val="28"/>
          <w:sz w:val="28"/>
          <w:szCs w:val="28"/>
          <w:rtl w:val="true"/>
          <w:lang w:bidi="ar-SA"/>
        </w:rPr>
        <w:t>الشفعة ولزوم أداء قيمته حين البيع أو عدم ثبوتها أصلاً وجهان ، بل قولان ، لا يخلو أوّلهما</w:t>
      </w:r>
      <w:r>
        <w:rPr>
          <w:rStyle w:val="FootnoteAnchor"/>
          <w:rtl w:val="true"/>
        </w:rPr>
        <w:footnoteReference w:id="1178"/>
      </w:r>
      <w:r>
        <w:rPr>
          <w:rFonts w:ascii="IRNazanin" w:hAnsi="IRNazanin" w:eastAsia="IRNazanin"/>
          <w:color w:val="111111"/>
          <w:sz w:val="28"/>
          <w:sz w:val="28"/>
          <w:szCs w:val="28"/>
          <w:rtl w:val="true"/>
          <w:lang w:bidi="fa-IR"/>
        </w:rPr>
        <w:t xml:space="preserve">من رجحان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اطّلع الشفيع على البيع فله المطالبة في الحال ، وتبطل شفعته بالمماطلة والتأخير بلا داعٍ عقلائي وعذر عقلي أو شرعي أو عادي ، بخلاف ما إذا كان عدم الأخذ بها لعذر ، ومن الأعذار عدم اطّلاعه على البيع وإن أخبروه به إذا لم يكن المخبر ممّن يوثق به ، وكذا جهله باستحقاق الشفعة أو عدم جواز تأخير المطالبة بالمماطلة ، بل من ذلك لو ترك الأخذ بها لتوهّمه كثرة الثمن فبان قليلاً أو كونه نقداً يصعب عليه تحصيله كالذهب فبان خلافه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الشفعة من الحقوق تسقط بإسقاط الشفيع لها ، بل لو رضي بالبيع من الأجنبيّ من أوّل الأمر أو عرض عليه شراء الحصّة فأبى لم يكن له شفعة من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سقوطها بإقالة المتبايعين أو ردّ المشتري إلى البائع بعيب أو غيره وجه وجيه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تصرّف المشتري فيما اشتراه ، فإن كان بالبيع كان للشفيع الأخذ من المشتري الأوّل بما بذله من الثمن ، فيبطل الشراء الثاني ، وله الأخذ من الثاني بما بذله من الثمن فيصحّ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زادت البيوع على اثنين ، فإنّ له الأخذ من المشتري الأوّل بما بذله من الثمن فتبطل البيوع اللاحقة ، وله الأخذ من الأخير بما بذله من الثمن فصحّ جميع البيوع المتقدّمة وله الأخذ من الوسط فصحّ كلّ ما تقدّم وبطل كلّ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بغير البيع كالوقف وغير ذلك فله الأخذ بالشفعة وإبطال ما وقع من المشتري وإزالته ، بل الظاهر أنّ </w:t>
      </w:r>
    </w:p>
    <w:p>
      <w:pPr>
        <w:pStyle w:val="BookText"/>
        <w:rPr/>
      </w:pPr>
      <w:r>
        <w:rPr>
          <w:rFonts w:ascii="Amiri" w:hAnsi="Amiri" w:eastAsia="Amiri" w:cs="Amiri"/>
          <w:color w:val="111111"/>
          <w:sz w:val="28"/>
          <w:sz w:val="28"/>
          <w:szCs w:val="28"/>
          <w:rtl w:val="true"/>
          <w:lang w:bidi="ar-SA"/>
        </w:rPr>
        <w:t>صحّتها مراعاة</w:t>
      </w:r>
      <w:r>
        <w:rPr>
          <w:rStyle w:val="FootnoteAnchor"/>
          <w:rtl w:val="true"/>
        </w:rPr>
        <w:footnoteReference w:id="1179"/>
      </w:r>
      <w:r>
        <w:rPr>
          <w:rFonts w:ascii="Amiri" w:hAnsi="Amiri" w:eastAsia="Amiri" w:cs="Amiri"/>
          <w:color w:val="111111"/>
          <w:sz w:val="28"/>
          <w:sz w:val="28"/>
          <w:szCs w:val="28"/>
          <w:rtl w:val="true"/>
          <w:lang w:bidi="ar-SA"/>
        </w:rPr>
        <w:t xml:space="preserve">بعدم الأخذ بالشفعة وإلاّ فهي باطلة من أصلها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الحصّة المشتراة بالمرّة بحيث لم يبق منها شيء أصلاً سقطت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بعد الأخذ بالشفعة وكان التلف بفعل المشتري ضمنه</w:t>
      </w:r>
      <w:r>
        <w:rPr>
          <w:rStyle w:val="FootnoteAnchor"/>
          <w:rtl w:val="true"/>
        </w:rPr>
        <w:footnoteReference w:id="1180"/>
      </w:r>
      <w:r>
        <w:rPr>
          <w:rFonts w:ascii="Amiri" w:hAnsi="Amiri" w:eastAsia="Amiri" w:cs="Amiri"/>
          <w:color w:val="111111"/>
          <w:sz w:val="28"/>
          <w:sz w:val="28"/>
          <w:szCs w:val="28"/>
          <w:rtl w:val="true"/>
          <w:lang w:bidi="ar-SA"/>
        </w:rPr>
        <w:t xml:space="preserve">، وأمّا إن بقي منها شيء كالدار إذا انهدمت وبقيت عرصتها وأنقاضها أو عابت ، لم تسقط الشفعة ، فللشفيع الأخذ بها وانتزاع ما بقي منها من العرصة والأنقاض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الثمن ، أو الترك من دون ضمان على المشتري ، نعم لو كان ذلك بعد الأخذ بالشفعة وكان بفعل المشتري ضمن قيمة التالف أو أرش العيب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الأخذ بالشفعة علم الشفيع بالثمن حين الأخذ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بعد اطّلاعه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بالشفعة بالثمن بالغاً ما بلغ ، لم يصحّ وإن علم بعد ذلك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موروثة على إشكال ، وكيفية إرثها أ نّه عند أخذ الورثة بها يقسّم المشفوع بينهم على ما فرض اللّه في المواريث ، فلو خلّف زوجة وابناً يكون الثمن لها والباقي له ، ولو خلّف ابناً وبنتاً فللذكر مثل حظّ الاُنثيين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لبعض الورثة الأخذ بها ما لم يوافقه الباقون ، نعم لو عفا بعضهم وأسقط حقّه كانت الشفعة لمن لم يعف</w:t>
      </w:r>
      <w:r>
        <w:rPr>
          <w:rStyle w:val="FootnoteAnchor"/>
          <w:rtl w:val="true"/>
        </w:rPr>
        <w:footnoteReference w:id="1181"/>
      </w:r>
      <w:r>
        <w:rPr>
          <w:rFonts w:ascii="Amiri" w:hAnsi="Amiri" w:eastAsia="Amiri" w:cs="Amiri"/>
          <w:color w:val="111111"/>
          <w:sz w:val="28"/>
          <w:sz w:val="28"/>
          <w:szCs w:val="28"/>
          <w:rtl w:val="true"/>
          <w:lang w:bidi="ar-SA"/>
        </w:rPr>
        <w:t xml:space="preserve">، ويكون العافي كأن لم يكن رأساً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الشفيع نصيبه قبل أن يأخذ بالشفعة ، فالظاهر سقوطها ، خصوصاً إذا كان بعد علمه بالشفعة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أن يصالح الشفيع مع المشتري عن شفعته بعوض وبدونه ويكون أثره سقوطها ، فلا يحتاج بعد إلى إنشاء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صالح معه على إسقاطه أو على ترك الأخذ بها صحّ أيضاً ولزم الوفاء به ، لكن لو لم يوجد المسقط وأخذ بها هل يترتّب عليه أثره وإن أثم بعدم الوفاء بما التزم ، أو لا أثر له ؟ وجهان ؛ أوجههما أوّلهما في الأوّل ، وثانيهما</w:t>
      </w:r>
      <w:r>
        <w:rPr>
          <w:rStyle w:val="FootnoteAnchor"/>
          <w:rtl w:val="true"/>
        </w:rPr>
        <w:footnoteReference w:id="1182"/>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حاضر وغائب وكانت حصّة الغائب بيد آخر فباعها بدعوى الوكالة عنه لا إشكال في جواز الشراء منه وتصرّف المشتري فيما اشتراه أنواع التصرّفات ما لم يعلم كذبه في دعواه ، وإنّما الإشكال في أ نّه هل يجوز للشريك الآخر الأخذ بالشفعة بعد اطّلاعه على البيع وانتزاعها من المشتري أم لا ؟ فيه تردّد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576" w:name="pg15003_160086"/>
    </w:p>
    <w:p>
      <w:pPr>
        <w:pStyle w:val="Heading2"/>
        <w:numPr>
          <w:ilvl w:val="1"/>
          <w:numId w:val="1"/>
        </w:numPr>
        <w:rPr/>
      </w:pPr>
      <w:bookmarkStart w:id="577" w:name="__RefHeading___Toc487989_3406789950"/>
      <w:bookmarkStart w:id="578" w:name="_Toc209"/>
      <w:bookmarkEnd w:id="576"/>
      <w:bookmarkEnd w:id="577"/>
      <w:r>
        <w:rPr>
          <w:rtl w:val="true"/>
        </w:rPr>
        <w:t>كتاب الصلح</w:t>
      </w:r>
      <w:bookmarkEnd w:id="578"/>
    </w:p>
    <w:p>
      <w:pPr>
        <w:pStyle w:val="BookText"/>
        <w:rPr/>
      </w:pPr>
      <w:r>
        <w:rPr>
          <w:rFonts w:ascii="Amiri" w:hAnsi="Amiri" w:eastAsia="Amiri" w:cs="Amiri"/>
          <w:color w:val="111111"/>
          <w:sz w:val="28"/>
          <w:sz w:val="28"/>
          <w:szCs w:val="28"/>
          <w:rtl w:val="true"/>
          <w:lang w:bidi="ar-SA"/>
        </w:rPr>
        <w:t xml:space="preserve">وهو التراضي والتسالم على أمر ؛ من تمليك عين أو منفعة ، أو إسقاط دين أو حقّ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بكونه مسبوقاً بالنزاع وإن كان تشريعه في شرع الإسلام لقطع التجاذب ورفع التنازع بين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إيقاعه على كلّ</w:t>
      </w:r>
      <w:r>
        <w:rPr>
          <w:rStyle w:val="FootnoteAnchor"/>
          <w:rtl w:val="true"/>
        </w:rPr>
        <w:footnoteReference w:id="1184"/>
      </w:r>
      <w:r>
        <w:rPr>
          <w:rFonts w:ascii="Amiri" w:hAnsi="Amiri" w:eastAsia="Amiri" w:cs="Amiri"/>
          <w:color w:val="111111"/>
          <w:sz w:val="28"/>
          <w:sz w:val="28"/>
          <w:szCs w:val="28"/>
          <w:rtl w:val="true"/>
          <w:lang w:bidi="ar-SA"/>
        </w:rPr>
        <w:t xml:space="preserve">أمر وفي كلّ مقام إلاّ إذا كان محرّماً لحلال أو محلّلاً لحرام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أنّ الصلح عقد مستقلّ بنفسه وعنوان برأسه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سائر العقود وإن أفاد فائدتها ، فيفيد فائدة البيع إذا كان عن عين بعوض ، وفائدة الهبة إذا كان عن عين بلا عوض ، وفائدة الإجارة إذا كان عن منفعة بعوض وهكذا ، فلم يلحقه أحكام سائر العقود ولم يجرِ فيه شروطها وإن أفاد فائدتها ، فما أفاد فائدة البيع لا يلحقه أحكامه وشروطه ، فلا يجري فيه الخيارات المختصّة بالبيع كخياري المجلس والحيوان ولا الشفعة ، ولا يشترط فيه قبض العوضين إذا تعلّق بمعاوضة النقدين ، وما أفاد فائدة الهبة من تمليك عين بلا عوض لا يعتبر فيه قبض العين كما اعتبر في الهبة وهكذا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الصلح عقداً من العقود يحتاج إلى الإيجاب والقبول مطلقاً ، حتّى فيما أفاد فائدة الإبراء وإسقاط الحقّ على الأقوى ، فإبراء المديون من الدين وإسقاط الحقّ عمّن عليه الحقّ وإن لم يتوقّفا على قبول من عليه الدين أو الحقّ لكن إذا وقعا بعنوان الصلح توقّفا على 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الصلح صيغة خاصّة ، بل يقع بكلّ لفظ أفاد في متفاهم العرف التسالم والتراضي على أمر ؛ من نقل عين أو منفعة أو قرار مشروع بين المتصالحين ، نعم اللفظ الدائر في الألسن الذي هو كالصريح في إفادة هذا المعنى من طرف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يتعدّي إلى المفعول الأوّل بنفسه وإلى المفعول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عن الدار أو منفعتها بكذا ، فيقول المتصالح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المصالحة ، أو اصطلحتها بكذا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الصلح لازم من الطرفين ، لا يفسخ إلاّ بإقالة المتصالحين أو بوجود خيار في البين ، حتّى فيما أفاد فائدة الهبة الجائزة ، والظاهر جريان جميع الخيارات فيه إلاّ خيارات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والحيوان والتأخير ؛ فإنّها مختصّة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الأرش لو ظهر عيب في العين المصالح عنها أو عوضها إشكال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عين أو منفعة أو دين أو حقّ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 العوض أو بدونه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العوض عيناً أو </w:t>
      </w:r>
    </w:p>
    <w:p>
      <w:pPr>
        <w:pStyle w:val="BookText"/>
        <w:rPr/>
      </w:pPr>
      <w:r>
        <w:rPr>
          <w:rFonts w:ascii="Amiri" w:hAnsi="Amiri" w:eastAsia="Amiri" w:cs="Amiri"/>
          <w:color w:val="111111"/>
          <w:sz w:val="28"/>
          <w:sz w:val="28"/>
          <w:szCs w:val="28"/>
          <w:rtl w:val="true"/>
          <w:lang w:bidi="ar-SA"/>
        </w:rPr>
        <w:t xml:space="preserve">منفعة أو ديناً أو حقّاً ، فهذه عشرون صورة كلّها صحيحة ، فيصحّ الصلح عن عين بعين ومنفعة ودين وحقّ وبلا عوض ، وعن منفعة بمنفعة وعين ودين وحقّ وبلا عوض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إذا تعلّق بعين أو منفعة أفاد انتقالهما إلى المتصالح ؛ سواء كان مع العوض أو بدونه ، وكذا إذا تعلّق بدين على غير المصالح له ، أو حقّ قابل للانتقال كحقّي التحجير والاختصاص ، وإذا تعلّق بدين على المتصالح أفاد سقوطه ، وكذا إذا تعلّق بحقّ قابل للإسقاط غير قابل للنقل والانتقال كحقّي الشفعة والخيار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الصلح على مجرّد الانتفاع بعين أو فضاء ؛ كأن يصالحه على أن يسكن داره ، أو يلبس ثوباً له مدّة ، أو على أن تكون جذوع سقفه على حائطه ، أو يجري ماؤه على سطح داره ، أو يكون ميزابه على عرصة داره ، أو يكون له الممرّ والمخرج من داره أو بستانه ، أو على أن يخرج جناحاً في فضاء ملكه ، أو على أن يكون أغصان أشجاره في فضاء أرضه وغير ذلك ، فإنّ هذه كلّها صحيحة ؛ سواء كانت بعوض أو بغير عوض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يصحّ الصلح عن الحقوق التي تسقط بالإسقاط كحقّي الشفعة والخيار ونحوهما ، وما تكون قابلة للنقل والانتقال كحقّي التحجير والاختصاص ، ومن ذلك حقّ الأولوية لمن بيده الأراضي الخراجية المسمّى في العرف الحاضر بحقّ اللزمة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يسقط بالإسقاط ولا يقبل النقل والانتقال ، فلا يصحّ الصلح عنه ، وذلك مثل حقّ العزل الثابت للموكّل في الوكالة ، وحقّ مطالبة الدين الثابت للدائن في الدين الحالّ ، وحقّ الرجوع الثابت </w:t>
      </w:r>
    </w:p>
    <w:p>
      <w:pPr>
        <w:pStyle w:val="BookText"/>
        <w:rPr/>
      </w:pPr>
      <w:r>
        <w:rPr>
          <w:rFonts w:ascii="Amiri" w:hAnsi="Amiri" w:eastAsia="Amiri" w:cs="Amiri"/>
          <w:color w:val="111111"/>
          <w:sz w:val="28"/>
          <w:sz w:val="28"/>
          <w:szCs w:val="28"/>
          <w:rtl w:val="true"/>
          <w:lang w:bidi="ar-SA"/>
        </w:rPr>
        <w:t xml:space="preserve">للزوج في الطلاق الرجعي ، وحقّ الرجوع في البذل الثابت للزوجة في الخلع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المتصالحين ما يشترط في المتبايعين ؛ من البلوغ والعقل والقصد والاختيار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تجري الفضولية في الصلح كما تجري في البيع ، حتّى فيما إذا تعلّق بإسقاط دين أو حقّ وأفاد فائدة الإبراء والإسقاط اللذين لا تجري فيهما الفضولية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الصلح عن الثمار والخضر وغيرها قبل وجودها ولو في عام واحد وبلا ضميمة ، وإن لم يجز بيعها كما مرّ في بيع الثمار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 نّه يغتفر الجهالة في الصلح فيما إذا تعذّر للمتصالحين معرفة المصالح عنه مطلقاً ، كما إذا اختلط مال أحدهما بالآخر ولم يعلما مقدار كلّ منهما فاصطلحا على أن يشتركا فيه بالتساوي أو الاختلاف ، أو صالح أحدهما ماله مع الآخر بمال معيّن ، وكذا إذا تعذّر عليهما معرفته في الحال لتعذّر الميزان والمكيال على الأظهر ، وأمّا مع إمكان معرفتهما بمقداره في الحال ففيه إشكال</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لغيره عليه دين ، أو كان منه عنده عين هو يعلم</w:t>
      </w:r>
      <w:r>
        <w:rPr>
          <w:rStyle w:val="FootnoteAnchor"/>
          <w:rtl w:val="true"/>
        </w:rPr>
        <w:footnoteReference w:id="1187"/>
      </w:r>
      <w:r>
        <w:rPr>
          <w:rFonts w:ascii="Amiri" w:hAnsi="Amiri" w:eastAsia="Amiri" w:cs="Amiri"/>
          <w:color w:val="111111"/>
          <w:sz w:val="28"/>
          <w:sz w:val="28"/>
          <w:szCs w:val="28"/>
          <w:rtl w:val="true"/>
          <w:lang w:bidi="ar-SA"/>
        </w:rPr>
        <w:t xml:space="preserve">مقدارهما ولكنّ الغير لا يعلم المقدار فأوقعا الصلح بينهما بأقلّ من حقّ </w:t>
      </w:r>
    </w:p>
    <w:p>
      <w:pPr>
        <w:pStyle w:val="BookText"/>
        <w:rPr/>
      </w:pPr>
      <w:r>
        <w:rPr>
          <w:rFonts w:ascii="Amiri" w:hAnsi="Amiri" w:eastAsia="Amiri" w:cs="Amiri"/>
          <w:color w:val="111111"/>
          <w:sz w:val="28"/>
          <w:sz w:val="28"/>
          <w:szCs w:val="28"/>
          <w:rtl w:val="true"/>
          <w:lang w:bidi="ar-SA"/>
        </w:rPr>
        <w:t xml:space="preserve">المستحقّ لم يحلّ له الزائد إلاّ أن يعلمه ورضي به ، نعم لو رضي بالصلح عن حقّه الواقعي على كلّ حال ؛ بحيث لو تبيّن له الحال لصالح عنه بذلك المقدار بطيب نفسه حلّ له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صولح عن الربوي بجنسه بالتفاضل ففي جريان حكم الربا فيه تأمّل</w:t>
      </w:r>
      <w:r>
        <w:rPr>
          <w:rStyle w:val="FootnoteAnchor"/>
          <w:rtl w:val="true"/>
        </w:rPr>
        <w:footnoteReference w:id="1188"/>
      </w:r>
      <w:r>
        <w:rPr>
          <w:rFonts w:ascii="Amiri" w:hAnsi="Amiri" w:eastAsia="Amiri" w:cs="Amiri"/>
          <w:color w:val="111111"/>
          <w:sz w:val="28"/>
          <w:sz w:val="28"/>
          <w:szCs w:val="28"/>
          <w:rtl w:val="true"/>
          <w:lang w:bidi="ar-SA"/>
        </w:rPr>
        <w:t xml:space="preserve">وإشكال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مع الجهل بالمقدار وإن احتمل التفاضل ، كما إذا كان لكلّ من شخصين طعام عند صاحبه لا يدري كلّ واحد منهما كم له عند صاحبه فأوقعا الصلح على أن يكون لكلّ منهما ما عنده مع احتمال تفاضلهما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الصلح عن دين بدين ؛ حالّين أو مؤجّلين أو بالاختلاف ، متجانسين أو مختلفين ؛ سواء كان الدينان على شخصين أو على شخص واحد ، كما إذا كان له على ذمّة زيد وزنة حنطة ولعمرو عليه وزنة شعير ، فصالح مع عمرو على ماله في ذمّة زيد بما لعمرو في ذمّته ، والظاهر صحّة الجميع إلاّ في المتجانسين ممّا يكال أو يوزن مع التفاضل ، ففيه إشكال</w:t>
      </w:r>
      <w:r>
        <w:rPr>
          <w:rStyle w:val="FootnoteAnchor"/>
          <w:rtl w:val="true"/>
        </w:rPr>
        <w:footnoteReference w:id="1189"/>
      </w:r>
      <w:r>
        <w:rPr>
          <w:rFonts w:ascii="Amiri" w:hAnsi="Amiri" w:eastAsia="Amiri" w:cs="Amiri"/>
          <w:color w:val="111111"/>
          <w:sz w:val="28"/>
          <w:sz w:val="28"/>
          <w:szCs w:val="28"/>
          <w:rtl w:val="true"/>
          <w:lang w:bidi="ar-SA"/>
        </w:rPr>
        <w:t xml:space="preserve">من جهة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صالح عن الدين ببعضه كما إذا كان له عليه دراهم إلى أجل فصالح عنها بنصفها حالاًّ ، فلا بأس به إذا كان المقصود إسقاط الزيادة والإبراء عنها والاكتفاء بالناقص ، كما هو المقصود المتعارف في نحو هذه المصالحة ؛ لا المعاوضة بين الزائد والناقص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يصطلح الشريكان على أن يكون لأحدهما </w:t>
      </w:r>
    </w:p>
    <w:p>
      <w:pPr>
        <w:pStyle w:val="BookText"/>
        <w:rPr/>
      </w:pPr>
      <w:r>
        <w:rPr>
          <w:rFonts w:ascii="Amiri" w:hAnsi="Amiri" w:eastAsia="Amiri" w:cs="Amiri"/>
          <w:color w:val="111111"/>
          <w:sz w:val="28"/>
          <w:sz w:val="28"/>
          <w:szCs w:val="28"/>
          <w:rtl w:val="true"/>
          <w:lang w:bidi="ar-SA"/>
        </w:rPr>
        <w:t xml:space="preserve">رأس المال والربح للآخر والخسران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للمتداعيين في دين أو عين أو منفعة أن يتصالحا بشيء من المدّعى به أو بشيء آخر ، حتّى مع إنكار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بهذا الصلح حقّ الدعوى ، وكذا حقّ اليمين الذي كان للمدّعي على المنكر ، وليس للمدّعي بعد ذلك تجديد المرافعة ، لكن هذا فصل ظاهري ينقطع به الدعوى في ظاهر الشرع ، ولا يحلّ به ما أخذه من كان غير محقّ منهما ؛ فإذا ادّعى شخص على شخص بدين فأنكره ثمّ تصالحا على النصف ، فهذا الصلح وإن أثّر في سقوط الدعوى لكن إن كان المدّعي محقّاً بحسب الواقع فقد وصل إليه نصف حقّه وبقي الباقي على ذمّة المنكر يطالب به في الآخرة إذا لم يكن</w:t>
      </w:r>
      <w:r>
        <w:rPr>
          <w:rStyle w:val="FootnoteAnchor"/>
          <w:rtl w:val="true"/>
        </w:rPr>
        <w:footnoteReference w:id="1190"/>
      </w:r>
      <w:r>
        <w:rPr>
          <w:rFonts w:ascii="Amiri" w:hAnsi="Amiri" w:eastAsia="Amiri" w:cs="Amiri"/>
          <w:color w:val="111111"/>
          <w:sz w:val="28"/>
          <w:sz w:val="28"/>
          <w:szCs w:val="28"/>
          <w:rtl w:val="true"/>
          <w:lang w:bidi="ar-SA"/>
        </w:rPr>
        <w:t xml:space="preserve">إنكاره بحقّ بحسب اعتقاده ، إلاّ إذا فرض رضا المدّعي باطناً بالصلح عن جميع ماله في الواقع ، وإن كان مبطلاً واقعاً يحرم عليه ما أخذه من المنكر إلاّ مع فرض طيب نفسه واقعاً ؛ بأن يكون للمدّعي ما صالح به ، لا أ نّه رضي به تخلّصاً من دعواه الكاذبة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المدّعى عليه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صالحني ، لم يكن هذا إقراراً بالحقّ ؛ لما عرفت أنّ الصلح يصحّ مع الإنكار كما يصحّ مع الإقرار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 أو ملّكني ، كان إقراراً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لواحد ثوب بعشرين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ولآخر ثوب بثلاثين واشتبها ولم يميّز كلّ منهما ماله عن مال صاحبه فإن خيّر أحدهما </w:t>
      </w:r>
    </w:p>
    <w:p>
      <w:pPr>
        <w:pStyle w:val="BookText"/>
        <w:rPr/>
      </w:pPr>
      <w:r>
        <w:rPr>
          <w:rFonts w:ascii="Amiri" w:hAnsi="Amiri" w:eastAsia="Amiri" w:cs="Amiri"/>
          <w:color w:val="111111"/>
          <w:sz w:val="28"/>
          <w:sz w:val="28"/>
          <w:szCs w:val="28"/>
          <w:rtl w:val="true"/>
          <w:lang w:bidi="ar-SA"/>
        </w:rPr>
        <w:t xml:space="preserve">صاحبه فقد أنصفه فكلّ ما اختاره يحلّ له ويحلّ الآخر لصاحبه ، وإن تضايقا فإن كان المنظور والمقصود لكلّ منهما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اشترياهما للمساومة والمعاملة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وقسّم الثمن بينهما بنسبة مالهما ، فيعطى صاحب العشرين في المثال سهمين من خمسة والآخر ثلاثة أسهم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والمنظور نفس المالين كما إذا اشترى كلّ منهما عباءً ليلبسه وليس لهما نظر إلى القيمة والمالية فلا بدّ من القرعة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w:t>
      </w:r>
      <w:r>
        <w:rPr>
          <w:rStyle w:val="FootnoteAnchor"/>
          <w:rtl w:val="true"/>
        </w:rPr>
        <w:footnoteReference w:id="1192"/>
      </w:r>
      <w:r>
        <w:rPr>
          <w:rFonts w:ascii="Amiri" w:hAnsi="Amiri" w:eastAsia="Amiri" w:cs="Amiri"/>
          <w:color w:val="111111"/>
          <w:sz w:val="28"/>
          <w:sz w:val="28"/>
          <w:szCs w:val="28"/>
          <w:rtl w:val="true"/>
          <w:lang w:bidi="ar-SA"/>
        </w:rPr>
        <w:t xml:space="preserve">لأحد مقدار من الدراهم ولآخر مقدار منها عند ودعي أو غيره ، فتلف مقدار لا يدرى أ نّه من أيّ منهما ، فإن تساوى مقدار الدراهم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لكلّ منهما درهمان ، أو ثلاثة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التالف عليهما ويقسّم الباقي بينهما نصفين ، وإن 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التالف بمقدار ما لأحدهما وأقلّ ممّا للآخر ، أو يكون أقلّ من كلّ منهما ، فعلى الأوّل يعطى للآخر ما زاد على التالف ويقسّم الباقي بينهما نصفين ، كما إذا كان لأحدهما درهمان وللآخر درهم وكان التالف درهماً يعطى صاحب الدرهمين درهماً ويقسّم الدرهم الباقي بينهما نصفين ، أو كان لأحدهما خمسة دراهم وللآخر درهمان وكان التالف درهمين يعطى لصاحب الخمسة ثلاثة ويقسّم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نصفين ، وعلى الثاني يعطى لكلّ منهما ما زاد على التالف ويقسّم الباقي بينهما نصفين ، فإذا كان لأحدهما خمسة وللآخر أربعة وكان التالف ثلاثة يعطى لصاحب الخمسة اثنان ولصاحب الأربعة واحداً ويقسّم </w:t>
      </w:r>
    </w:p>
    <w:p>
      <w:pPr>
        <w:pStyle w:val="BookText"/>
        <w:rPr/>
      </w:pP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نصفين ، فلصاحب الخمسة ثلاثة ونصف ولصاحب الأربعة اثنان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المالان مثليين</w:t>
      </w:r>
      <w:r>
        <w:rPr>
          <w:rStyle w:val="FootnoteAnchor"/>
          <w:rtl w:val="true"/>
        </w:rPr>
        <w:footnoteReference w:id="1193"/>
      </w:r>
      <w:r>
        <w:rPr>
          <w:rFonts w:ascii="Amiri" w:hAnsi="Amiri" w:eastAsia="Amiri" w:cs="Amiri"/>
          <w:color w:val="111111"/>
          <w:sz w:val="28"/>
          <w:sz w:val="28"/>
          <w:szCs w:val="28"/>
          <w:rtl w:val="true"/>
          <w:lang w:bidi="ar-SA"/>
        </w:rPr>
        <w:t xml:space="preserve">كالدراهم والدنانير ، وأمّا إذا كانا قيميين كالثياب والحيوان ، فلا بدّ من المصالحة أو تعيين التالف بالقرعة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إحداث الروشن المسمّى في العرف الحاضر بالشناشيل على الطرق النافذة والشوارع العامّة إذا كانت عالية بحيث لم تضرّ بالمارّة ، وليس لأحد منعه حتّى صاحب الدار المقابل وإن استوعب عرض الطريق بحيث كان مانعاً عن إحداث روشن في مقابله ما لم يضع منه شيئاً على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استلزم الإشراف على دار الجار ففي جوازه تردّد وإشكال وإن جوّزنا مثل ذلك في تعلية البناء في ملكه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بنى روشناً على الجادّة ثمّ انهدم أو هدم ، فإن لم يكن من قصده تجديد بنائه لا مانع لأن يبني الطرف المقابل ما يشغل ذلك الفضاء ولم يحتج إلى الاستئذان من الباني الأوّل ، وإلاّ ففيه إشكال ، بل عدم الجواز لا يخلو من قوّة فيما إذا هدمه ليبنيه جديداً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شخص روشناً على الجادّة فهل للطرف المقابل إحداث روشن آخر فوقه أو تحته بدون إذنه ؟ فيه إشكال خصوصاً في الأوّل ، بل </w:t>
      </w:r>
    </w:p>
    <w:p>
      <w:pPr>
        <w:pStyle w:val="BookText"/>
        <w:rPr/>
      </w:pPr>
      <w:r>
        <w:rPr>
          <w:rFonts w:ascii="Amiri" w:hAnsi="Amiri" w:eastAsia="Amiri" w:cs="Amiri"/>
          <w:color w:val="111111"/>
          <w:sz w:val="28"/>
          <w:sz w:val="28"/>
          <w:szCs w:val="28"/>
          <w:rtl w:val="true"/>
          <w:lang w:bidi="ar-SA"/>
        </w:rPr>
        <w:t xml:space="preserve">عدم الجواز فيه لا يخلو من قوّة ، نعم لو كان الثاني أعلى بكثير ؛ بحيث لم يشغل الفضاء الذي يحتاج إليه صاحب الروشن الأوّل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التشميس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إحداث الرواشن على الجادّة يجوز فتح الأبواب المستجدّة فيها ؛ سواء كان له باب آخر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فتح الشبّاك والروازن عليها ونصب الميزاب فيها ، وكذا بناء ساباط عليها إذا لم يكن معتمداً على حائط غيره مع عدم إذنه ، ولم يكن مضرّاً بالمارّة ولو من جهة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 نّه كما يضرّهم من جهة ينفعهم من جهات اُخرى كالوقاية عن الحرّ والبرد والتحفّظ عن الطين وغير ذلك لا يبعد الموازنة بين الجهتين فيراعى ما هو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w:t>
      </w:r>
      <w:r>
        <w:rPr>
          <w:rStyle w:val="FootnoteAnchor"/>
          <w:rtl w:val="true"/>
        </w:rPr>
        <w:footnoteReference w:id="1194"/>
      </w:r>
      <w:r>
        <w:rPr>
          <w:rFonts w:ascii="Amiri" w:hAnsi="Amiri" w:eastAsia="Amiri" w:cs="Amiri"/>
          <w:color w:val="111111"/>
          <w:sz w:val="28"/>
          <w:sz w:val="28"/>
          <w:szCs w:val="28"/>
          <w:rtl w:val="true"/>
          <w:lang w:bidi="ar-SA"/>
        </w:rPr>
        <w:t xml:space="preserve">المراجعة في ذلك إلى حاكم الشرع فيتّبع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إحداث</w:t>
      </w:r>
      <w:r>
        <w:rPr>
          <w:rStyle w:val="FootnoteAnchor"/>
          <w:rtl w:val="true"/>
        </w:rPr>
        <w:footnoteReference w:id="1195"/>
      </w:r>
      <w:r>
        <w:rPr>
          <w:rFonts w:ascii="Amiri" w:hAnsi="Amiri" w:eastAsia="Amiri" w:cs="Amiri"/>
          <w:color w:val="111111"/>
          <w:sz w:val="28"/>
          <w:sz w:val="28"/>
          <w:szCs w:val="28"/>
          <w:rtl w:val="true"/>
          <w:lang w:bidi="ar-SA"/>
        </w:rPr>
        <w:t xml:space="preserve">البالوعة للأمطار فيها مع التحفّظ عن كونها مضرّة بالمارّة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نقب سرداب تحت الجادّة مع إحكام أساسه وبنيانه وسقفه بحيث يؤمن من الثقب والخسف والانهدام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لأحد إحداث شيء من روشن أو جناح أو بناء ساباط أو نصب ميزاب أو فتح باب أو نقب سرداب وغير ذلك على الطرق الغير النافذة المسمّاة بالمرفوعة والرافعة وفي العرف الحاضر بالدريبة إلاّ بإذن أربابها ؛ سواء كان مضرّاً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يجوز إحداث شيء من ذلك لغير أربابها إلاّ بإذنهم كذلك لا يجوز لبعضهم إلاّ بإذن شركائه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صالح غيرهم معهم أو بعضهم </w:t>
      </w:r>
    </w:p>
    <w:p>
      <w:pPr>
        <w:pStyle w:val="BookText"/>
        <w:rPr/>
      </w:pPr>
      <w:r>
        <w:rPr>
          <w:rFonts w:ascii="Amiri" w:hAnsi="Amiri" w:eastAsia="Amiri" w:cs="Amiri"/>
          <w:color w:val="111111"/>
          <w:sz w:val="28"/>
          <w:sz w:val="28"/>
          <w:szCs w:val="28"/>
          <w:rtl w:val="true"/>
          <w:lang w:bidi="ar-SA"/>
        </w:rPr>
        <w:t xml:space="preserve">مع الباقين على إحداث شيء من ذلك صحّ ولزم ؛ سواء كان مع العوض أو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كتاب إحياء الموات بعض المسائل المتعلّقة بالطرق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لأحد أن يبني بناءً ، أو يضع جذوع سقفه على حائط جاره إلاّ بإذنه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التمس ذلك من الجار لم يجب عليه إجابته وإن استحبّ له استحباباً مؤكّداً من جهة ما ورد من التأكيد والحثّ الأكيد في قضاء حوائج الإخوان ولا سيّما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أو وضع الجذوع بإذنه ورضاه فإن كان ذلك بعنوان ملزم كالشرط في ضمن عقد لازم أو بالإجارة أو بالصلح عليه لم يجز 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مجرّد الإذن والرخصة جاز له الرجوع قبل البناء والوضع قطعاً ، وأمّا بعد ذلك فهل يجوز له الرجوع مع الأرش وعدمه أم لا مع استحقاق الاُجرة وعدمه ؟ وجوه وأقوال ، والمسألة في غاية الإشكال ، فلا يترك</w:t>
      </w:r>
      <w:r>
        <w:rPr>
          <w:rStyle w:val="FootnoteAnchor"/>
          <w:rtl w:val="true"/>
        </w:rPr>
        <w:footnoteReference w:id="1196"/>
      </w:r>
      <w:r>
        <w:rPr>
          <w:rFonts w:ascii="Amiri" w:hAnsi="Amiri" w:eastAsia="Amiri" w:cs="Amiri"/>
          <w:color w:val="111111"/>
          <w:sz w:val="28"/>
          <w:sz w:val="28"/>
          <w:szCs w:val="28"/>
          <w:rtl w:val="true"/>
          <w:lang w:bidi="ar-SA"/>
        </w:rPr>
        <w:t xml:space="preserve">الاحتياط بالتصالح والتراضي بينهما ولو بالإبقاء مع الاُجرة أو الهدم مع الأرش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للشريك في الحائط التصرّف فيه ببناء ولا تسقيف ولا إدخال خشبة أو وتد أو غير ذلك إلاّ بإذن شريكه ، أو إحراز رضاه بشاهد الحال كما هو الحال في التصرّفات اليسيرة كالاستناد إليه أو وضع يده أو طرح ثوب عليه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مثل هذه الاُمور اليسيرة لا يحتاج إلى إحراز الإذن والرضا كما جرت به السيرة ، نعم إذا صرّح بالمنع وأظهر الكراهة لم يجز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انهدم الجدار المشترك وأراد أحد الشريكين تعميره لم يجبر شريكه على المشاركة في عمارته ، وهل له التعمير من ماله مجّاناً بدون إذن شريكه ؟ لا إشكال في أنّ له ذلك إذا كان الأساس مختصّاً به وبناه بآلات مختصّة به ، كما أ نّه لا إشكال في عدم الجواز إذا كان الأساس مختصّاً بشريكه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الأساس مشتركاً فإن كان قابلاً للقسمة ليس له التعمير بدون إذنه ، نعم له المطالبة بالقسمة ، فيبني على حصّته المفروزة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قابلاً للقسمة ولم يوافقه الشريك في شيء يرفع أمره إلى الحاكم ليخيّره بين عدّة اُمور ؛ من بيع أو إجارة أو المشاركة معه في العمارة أو الرخصة في تعميره وبنائه من ماله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كانت الشركة في بئر أو نهر أو قناة أو ناعور ونحو ذلك ، فلا يجبر الشريك على المشاركة في التعمير والتنقية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الشريك تعميرها وتنقيتها من ماله تبرّعاً ومجّاناً له ذلك على الظاهر</w:t>
      </w:r>
      <w:r>
        <w:rPr>
          <w:rStyle w:val="FootnoteAnchor"/>
          <w:rtl w:val="true"/>
        </w:rPr>
        <w:footnoteReference w:id="1197"/>
      </w:r>
      <w:r>
        <w:rPr>
          <w:rFonts w:ascii="Amiri" w:hAnsi="Amiri" w:eastAsia="Amiri" w:cs="Amiri"/>
          <w:color w:val="111111"/>
          <w:sz w:val="28"/>
          <w:sz w:val="28"/>
          <w:szCs w:val="28"/>
          <w:rtl w:val="true"/>
          <w:lang w:bidi="ar-SA"/>
        </w:rPr>
        <w:t xml:space="preserve">وليس للشريك منعه ، خصوصاً إذا لم يمكن القسمة ، كما أ نّه لو أنفق في تعميرها ، فنبع الماء أو زاد ليس له أن يمنع شريكه الغير المنفق من نصيبه من الماء ؛ لأ نّه من فوائد ملكهما المشترك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جذوع دار أحد موضوعة على حائط جاره ، ولم يعلم على أيّ وجه وضعت ، حكم في الظاهر بكونه عن حقّ واستحقاق حتّى يثبت خلافه ، فليس للجار أن يطالبه برفعها عنه ، بل ولا منعه من التجديد لو انهدم السقف ، وكذا الحال لو وجد بناءً أو مجرى ماء أو نصب ميزاب من أحد في ملك </w:t>
      </w:r>
    </w:p>
    <w:p>
      <w:pPr>
        <w:pStyle w:val="BookText"/>
        <w:rPr/>
      </w:pPr>
      <w:r>
        <w:rPr>
          <w:rFonts w:ascii="Amiri" w:hAnsi="Amiri" w:eastAsia="Amiri" w:cs="Amiri"/>
          <w:color w:val="111111"/>
          <w:sz w:val="28"/>
          <w:sz w:val="28"/>
          <w:szCs w:val="28"/>
          <w:rtl w:val="true"/>
          <w:lang w:bidi="ar-SA"/>
        </w:rPr>
        <w:t xml:space="preserve">غيره ولم يعلم سببه ، فإنّه يحكم في أمثال ذلك بكونه عن حقّ واستحقاق ، إلاّ أن يثبت كونها عن عدوان أو بعنوان العارية التي يجوز فيها الرجوع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أغصان شجرة إلى فضاء ملك الجار من غير استحقاق ، له أن يطالب مالك الشجرة بعطف الأغصان أو قطعها من حدّ ملكه ، وإن امتنع صاحبها يجوز للجار عطفها أو قطعها ، ومع إمكان الأوّل لا يجوز الثاني </w:t>
      </w:r>
      <w:r>
        <w:rPr>
          <w:rFonts w:eastAsia="Amiri" w:cs="Amiri" w:ascii="Amiri" w:hAnsi="Amiri"/>
          <w:color w:val="111111"/>
          <w:sz w:val="28"/>
          <w:szCs w:val="28"/>
          <w:rtl w:val="true"/>
          <w:lang w:bidi="ar-SA"/>
        </w:rPr>
        <w:t xml:space="preserve">. </w:t>
      </w:r>
      <w:bookmarkStart w:id="579" w:name="pg15003_160098"/>
    </w:p>
    <w:p>
      <w:pPr>
        <w:pStyle w:val="Heading2"/>
        <w:numPr>
          <w:ilvl w:val="1"/>
          <w:numId w:val="1"/>
        </w:numPr>
        <w:rPr/>
      </w:pPr>
      <w:bookmarkStart w:id="580" w:name="__RefHeading___Toc487991_3406789950"/>
      <w:bookmarkStart w:id="581" w:name="_Toc210"/>
      <w:bookmarkEnd w:id="579"/>
      <w:bookmarkEnd w:id="580"/>
      <w:r>
        <w:rPr>
          <w:rtl w:val="true"/>
        </w:rPr>
        <w:t>كتاب الإجارة</w:t>
      </w:r>
      <w:bookmarkEnd w:id="581"/>
    </w:p>
    <w:p>
      <w:pPr>
        <w:pStyle w:val="BookText"/>
        <w:rPr/>
      </w:pPr>
      <w:r>
        <w:rPr>
          <w:rFonts w:ascii="Amiri" w:hAnsi="Amiri" w:eastAsia="Amiri" w:cs="Amiri"/>
          <w:color w:val="111111"/>
          <w:sz w:val="28"/>
          <w:sz w:val="28"/>
          <w:szCs w:val="28"/>
          <w:rtl w:val="true"/>
          <w:lang w:bidi="ar-SA"/>
        </w:rPr>
        <w:t xml:space="preserve">وهي إمّا متعلّقة بأعيان مملوكة ؛ من حيوان ناطق أو صامت ، أو غير حيوان ؛ من متاع أو ثياب أو دار أو عقار وغيرها ، فتفيد تمليك منفعتها للمستأجر بالعوض ، وإمّا متعلّقة بالنفس كإجارة الحرّ نفسه لعمل معلوم فتفيد غالباً تمليك عمله للغير باُجرة مقرّرة ، وقد تفيد تمليك منفعته دون عمله كإجارة المرضعة نفسها للرضاع لا للإرضاع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الإجارة هو اللفظ المشتمل على الإيجاب الدالّ بالظهور العرفي على تمليك</w:t>
      </w:r>
      <w:r>
        <w:rPr>
          <w:rStyle w:val="FootnoteAnchor"/>
          <w:rtl w:val="true"/>
        </w:rPr>
        <w:footnoteReference w:id="1198"/>
      </w:r>
      <w:r>
        <w:rPr>
          <w:rFonts w:ascii="Amiri" w:hAnsi="Amiri" w:eastAsia="Amiri" w:cs="Amiri"/>
          <w:color w:val="111111"/>
          <w:sz w:val="28"/>
          <w:sz w:val="28"/>
          <w:szCs w:val="28"/>
          <w:rtl w:val="true"/>
          <w:lang w:bidi="ar-SA"/>
        </w:rPr>
        <w:t xml:space="preserve">المنفعة أو العمل بعوض والقبول الدالّ على الرضا به وتملّكهما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الصريحة في الإيجاب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أكريتك هذه الدار أو هذه الدابّة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وما أفاد معناهما ، ولا يعتبر فيه العربية ، بل يكفي كلّ لفظ أفاد المعنى المقصود بأيّ لغة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مقام اللفظ الإشارة المفهمة من الأخرس ونحوه كعقد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المعاطاة في القسم الأوّل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تعلّقت بأعيان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بتسليط الغير على العين ذات المنفعة وقصد التسليط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منفعتها وتمليكها بالعوض وتسلّم الغير لها بهذا العنوان ، وأمّا القسم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تعلّقت بنفس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جريانها فيه تأمّل وإشكال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الإجارة اُمور بعضها في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المؤجر والمستأجر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في العين المستأجرة ، وبعضها في المنفعة ، وبعضها في الاُجرة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المتعاقدان فيعتبر فيهما ما اعتبر في المتبايعين ؛ من البلوغ والعقل والقصد والاختيار وعدم الحجر لفلس أو سفه أو رقّية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العين المستأجرة فيعتبر فيها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 فلو آجر إحدى الدارين أو إحدى الدابّتين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 فإن كان عيناً معيّناً فإمّا بالمشاهدة ، وإمّا بذكر الأوصاف التي تختلف بها الرغبات في إجارتها لو كانت غائبة ، وكذا لو كانت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مقدوراً على تسليمها فلا تصحّ إجارة العبد الآبق ولا الدابّة الشاردة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ممّا يمكن الانتفاع بها مع بقاء عينها ، فلا تصحّ إجارة ما لا يمكن الانتفاع بها كما إذا آجر أرضاً للزراعة </w:t>
      </w:r>
    </w:p>
    <w:p>
      <w:pPr>
        <w:pStyle w:val="BookText"/>
        <w:rPr/>
      </w:pPr>
      <w:r>
        <w:rPr>
          <w:rFonts w:ascii="Amiri" w:hAnsi="Amiri" w:eastAsia="Amiri" w:cs="Amiri"/>
          <w:color w:val="111111"/>
          <w:sz w:val="28"/>
          <w:sz w:val="28"/>
          <w:szCs w:val="28"/>
          <w:rtl w:val="true"/>
          <w:lang w:bidi="ar-SA"/>
        </w:rPr>
        <w:t xml:space="preserve">مع أ نّه لم يمكن إيصال الماء إليها ولا ينفعها ولا يكفيها ماء المطر ، وكذا ما لا يمكن الانتفاع بها إلاّ بإذهاب عينها كالخبز للأكل ، والشمع والحطب للإشعال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المنفعة فيعتبر فيها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مباحة ، فلا تصحّ إجارة الدكّان لإحراز المسكرات أو بيعها ، ولا الدابّة والسفينة لحملها والجارية للغناء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متموّلاً يبذل بإزائها المال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نوعها إذا كانت للعين منافع متعدّدة ، فإذا استؤجرت الدابّة يعيّن أ نّها للحمل أو الركوب أو لإدارة الرحى وغيرها ، نعم تصحّ إجارتها لجميع منافعها فيملك المستأجر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بتقديرها بالزمان المعلوم كسكنى الدار شهراً أو الخياطة أو التعمير والبناء يوماً ، وإمّا بتقدير العمل كخياطة الثوب المعيّن خياطة كذائية فارسية أو رومية من غير تعرّض للزمان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الاُجرة فيعتبر معلوميتها وتعيين مقدارها بالكيل أو الوزن أو العدّ في المكيل والموزون والمعدود ، وبالمشاهدة أو الوصف في غيرها ، ويجوز أن تكون عيناً خارجية أو كلّياً في الذمّة أو عملاً أو منفعة أو حقّاً قابلاً للنقل والانتقال كحقّي التحجير والاختصاص كالثمن في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دابّة للحمل ، فلا بدّ من تعيين جنس ما يحمل عليها ؛ لاختلاف الأغراض باختلافه ، وكذا مقداره ولو بالمشاهدة والتخمين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استأجرها للسفر فلا بدّ من تعيين الطريق وزمان السير من ليل أو نهار ونحو ذلك ، بل لا بدّ من مشاهدة الراكب أو توصيفه بما يرفع الغرر والجهالة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معلومية المنفعة بحسب الزمان لا بدّ من تعيينه يوماً أو </w:t>
      </w:r>
    </w:p>
    <w:p>
      <w:pPr>
        <w:pStyle w:val="BookText"/>
        <w:rPr/>
      </w:pPr>
      <w:r>
        <w:rPr>
          <w:rFonts w:ascii="Amiri" w:hAnsi="Amiri" w:eastAsia="Amiri" w:cs="Amiri"/>
          <w:color w:val="111111"/>
          <w:sz w:val="28"/>
          <w:sz w:val="28"/>
          <w:szCs w:val="28"/>
          <w:rtl w:val="true"/>
          <w:lang w:bidi="ar-SA"/>
        </w:rPr>
        <w:t xml:space="preserve">شهراً أو سنة ونحو ذلك ، فلا يصحّ تقديره بمجيء الحاجّ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سكنت هذه الدار فكلّ شهر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إن كان المقصود الإجارة ؛ للجهالة ، وصحّ لو كان المقصود الإباحة بالعوض أو الجعالة</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المستأجر مالك للمنفعة في الإجارة بخلافهما ؛ فإنّ المباح له والمجعول له ليسا مالكين للمنفعة أصلاً ، وإنّما يملك المالك عليهما الجعل المقرّر على تقدير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فارسياً فلك درهم وإن خطته رومياً فلك درهمان ، بطل إن كان بعنوان الإجارة ، وصحّ إن كان بعنوان الجعالة كما هو ظاهر العبارة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لتحمله أو تحمل متاعه إلى مكان في وقت معيّن ؛ كأن استأجر دابّة لإيصاله إلى كربلاء يوم عرفة ولم يوصله ، فإن كان ذلك لعدم سعة الوقت أو عدم إمكان الإيصال من جهة اُخرى ، فالإجارة باطلة ، وإن كان الزمان واسعاً ولكن قصّر</w:t>
      </w:r>
      <w:r>
        <w:rPr>
          <w:rStyle w:val="FootnoteAnchor"/>
          <w:rtl w:val="true"/>
        </w:rPr>
        <w:footnoteReference w:id="1202"/>
      </w:r>
      <w:r>
        <w:rPr>
          <w:rFonts w:ascii="Amiri" w:hAnsi="Amiri" w:eastAsia="Amiri" w:cs="Amiri"/>
          <w:color w:val="111111"/>
          <w:sz w:val="28"/>
          <w:sz w:val="28"/>
          <w:szCs w:val="28"/>
          <w:rtl w:val="true"/>
          <w:lang w:bidi="ar-SA"/>
        </w:rPr>
        <w:t xml:space="preserve">فلم يوصله لم يستحقّ المؤجر من الاُجرة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استأجرها على أن يوصله إلى مكان معيّن لكن شرط عليه أن يوصله في وقت كذا ، فتعذّر أو تخلّف فالإجارة صحيحة بالاُجرة المعيّنة لكن للمستأجر خيار الفسخ من جهة تخلّف الشرط ، فإذا فسخ يرجع اُجرة المسمّى إلى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المؤجر اُجرة المثل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وقت زيارة عرفة ، واستأجر دابّة للزيارة فلم يصل وفاتت منه الزيارة صحّت الإجارة ، ويستحقّ صاحب الدابّة تمام الاُجرة بعد ما لم يشترط</w:t>
      </w:r>
      <w:r>
        <w:rPr>
          <w:rStyle w:val="FootnoteAnchor"/>
          <w:rtl w:val="true"/>
        </w:rPr>
        <w:footnoteReference w:id="1203"/>
      </w:r>
      <w:r>
        <w:rPr>
          <w:rFonts w:ascii="Amiri" w:hAnsi="Amiri" w:eastAsia="Amiri" w:cs="Amiri"/>
          <w:color w:val="111111"/>
          <w:sz w:val="28"/>
          <w:sz w:val="28"/>
          <w:szCs w:val="28"/>
          <w:rtl w:val="true"/>
          <w:lang w:bidi="ar-SA"/>
        </w:rPr>
        <w:t xml:space="preserve">عليه في عقد الإجارة إيصاله يوم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اتّصال مدّة الإجارة بالعقد فلو آجر داره في شهر مستقبل صحّ</w:t>
      </w:r>
      <w:r>
        <w:rPr>
          <w:rStyle w:val="FootnoteAnchor"/>
          <w:rtl w:val="true"/>
        </w:rPr>
        <w:footnoteReference w:id="1204"/>
      </w:r>
      <w:r>
        <w:rPr>
          <w:rFonts w:ascii="Amiri" w:hAnsi="Amiri" w:eastAsia="Amiri" w:cs="Amiri"/>
          <w:color w:val="111111"/>
          <w:sz w:val="28"/>
          <w:sz w:val="28"/>
          <w:szCs w:val="28"/>
          <w:rtl w:val="true"/>
          <w:lang w:bidi="ar-SA"/>
        </w:rPr>
        <w:t>؛ سواء كانت مستأجرة في سابقه أم لا ، نعم مع الإطلاق تنصرف إلى الاتّصال</w:t>
      </w:r>
      <w:r>
        <w:rPr>
          <w:rStyle w:val="FootnoteAnchor"/>
          <w:rtl w:val="true"/>
        </w:rPr>
        <w:footnoteReference w:id="1205"/>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داري شهراً ، اقتضى الإطلاق اتّصاله بزمان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آجرها شهراً وفهم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الكلّي الصادق على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صحّتها تأمّل</w:t>
      </w:r>
      <w:r>
        <w:rPr>
          <w:rStyle w:val="FootnoteAnchor"/>
          <w:rtl w:val="true"/>
        </w:rPr>
        <w:footnoteReference w:id="1206"/>
      </w:r>
      <w:r>
        <w:rPr>
          <w:rFonts w:ascii="Amiri" w:hAnsi="Amiri" w:eastAsia="Amiri" w:cs="Amiri"/>
          <w:color w:val="111111"/>
          <w:sz w:val="28"/>
          <w:sz w:val="28"/>
          <w:szCs w:val="28"/>
          <w:rtl w:val="true"/>
          <w:lang w:bidi="ar-SA"/>
        </w:rPr>
        <w:t xml:space="preserve">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الإجارة لازم من الطرفين لا ينفسخ إلاّ بالتقايل أو بالفسخ مع وجود خيار في البين ، والظاهر أ نّه يجري فيها جميع الخيارات إلاّ خيار المجلس وخيار الحيوان وخيار التأخير ، فإنّها مختصّة بالبيع ، فيجري فيها خيار الشرط وخيار تخلّف الشرط وخيار العيب وخيار الغبن وخيار الرؤية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الإجارة العقدية ، وأمّا المعاطاتية فهي كالبيع المعاطاتي ، فلم تلزم</w:t>
      </w:r>
      <w:r>
        <w:rPr>
          <w:rStyle w:val="FootnoteAnchor"/>
          <w:rtl w:val="true"/>
        </w:rPr>
        <w:footnoteReference w:id="1207"/>
      </w:r>
      <w:r>
        <w:rPr>
          <w:rFonts w:ascii="Amiri" w:hAnsi="Amiri" w:eastAsia="Amiri" w:cs="Amiri"/>
          <w:color w:val="111111"/>
          <w:sz w:val="28"/>
          <w:sz w:val="28"/>
          <w:szCs w:val="28"/>
          <w:rtl w:val="true"/>
          <w:lang w:bidi="ar-SA"/>
        </w:rPr>
        <w:t xml:space="preserve">إلاّ بتصرّفهما أو تصرّف أحدهما فيما انتقل إليه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الإجارة بالبيع ولا يكون فسخاً لها ، فتنتقل العين إلى </w:t>
      </w:r>
    </w:p>
    <w:p>
      <w:pPr>
        <w:pStyle w:val="BookText"/>
        <w:rPr/>
      </w:pPr>
      <w:r>
        <w:rPr>
          <w:rFonts w:ascii="Amiri" w:hAnsi="Amiri" w:eastAsia="Amiri" w:cs="Amiri"/>
          <w:color w:val="111111"/>
          <w:sz w:val="28"/>
          <w:sz w:val="28"/>
          <w:szCs w:val="28"/>
          <w:rtl w:val="true"/>
          <w:lang w:bidi="ar-SA"/>
        </w:rPr>
        <w:t xml:space="preserve">المشتري مسلوبة المنفعة في تلك المدّة ، نعم للمشتري مع جهله بالإجارة خيار فسخ البيع ، بل له الخيار لو علم بها وتخيّل أنّ مدّتها قصيرة فتبيّن أ نّها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فسخ المستأجر الإجارة أو انفسخت رجعت المنفعة في بقيّة المدّة إلى المؤجر لا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تبطل الإجارة ببيع العين المستأجرة على غير المستأجر ، كذلك لا تبطل لو بيعت عليه ، فلو استأجر داراً ثمّ اشتراها بقيت الإجارة على حالها ويكون ملكه للمنفعة في بقيّة المدّة بسبب الإجارة لا من جهة تبعية العين ، فلو انفسخت الإجارة رجعت المنفعة في بقيّة المدّة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 البيع بأحد أسبابه بقي ملك المشتري المستأجر للمنفعة على حاله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تبطل إجارة الأعيان بموت المؤجر ولا بموت المستأجر ، إلاّ إذا كانت ملكية المؤجر للمنفعة محدودة بزمان حياته فتبطل الإجارة بموته ، كما إذا كانت منفعة دار موصى بها لشخص مدّة حياته ، فآجرها سنتين ومات بعد سنة فتبطل الإجارة بالنسبة إلى ما بقي من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كانت المنفعة في بقيّة المدّة لورثة الموصي فلهم أن يجيزوها بالنسبة إلى تلك المدّة ، فتقع لهم الإجارة ويكون لهم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إذا آجر العين الموقوفة البطن السابق ومات قبل انقضاء مدّة الإجارة فتبطل ، إلاّ أن يجيز البطن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آجرها المتولّي للوقف لمصلحة الوقف والبطون اللاحقة مدّة تزيد على مدّة بقاء بعض البطون تكون نافذة على البطون اللاحقة ، ولا تبطل بموت المؤجر ولا بموت البطن الموجود حال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إجارة الأعيان ، وأمّا إجارة النفس لبعض الأعمال فتبطل بموت الأجير بلا إشكال ، نعم لو تقبّل عملاً وجعله في ذمّته لم تبطل الإجارة بموته ، بل يكون العمل ديناً عليه يستوفى من تركته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آجر الوليّ الصبيّ المولّى عليه أو مِلكه مدّة مع مراعاة المصلحة والغبطة فبلغ الرشد قبل انقضاء المدّة ، الظاهر أ نّه ليس له</w:t>
      </w:r>
      <w:r>
        <w:rPr>
          <w:rStyle w:val="FootnoteAnchor"/>
          <w:rtl w:val="true"/>
        </w:rPr>
        <w:footnoteReference w:id="1208"/>
      </w:r>
      <w:r>
        <w:rPr>
          <w:rFonts w:ascii="Amiri" w:hAnsi="Amiri" w:eastAsia="Amiri" w:cs="Amiri"/>
          <w:color w:val="111111"/>
          <w:sz w:val="28"/>
          <w:sz w:val="28"/>
          <w:szCs w:val="28"/>
          <w:rtl w:val="true"/>
          <w:lang w:bidi="ar-SA"/>
        </w:rPr>
        <w:t xml:space="preserve">نقضها وفسخها بالنسبة إلى ما بقي من المدّة ، خصوصاً في إجارة أملاكه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آجر عبده أو أمته مدّة لعمل من خدمته أو غيرها ثمّ أعتقه فإنّه لا تبطل الإجارة بعتقه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المستأجر بالعين المستأجرة عيباً سابقاً ، كان له فسخ الإجارة إذا كان ذلك العيب موجباً لنقص المنفعة كالعرج في الدابّة ، أو الاُجرة كما إذا كانت مقطوعة الاُذن أو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متعلّق الإجارة عيناً شخصية ، وأمّا إذا كان كلّياً وكان الفرد المقبوض معيباً ، فليس له فسخ العقد ، بل له مطالبة البدل إلاّ إذا تعذّر ، فكان له الخيار في أصل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العين المستأجرة ، وأمّا الاُجرة فإن كانت عيناً شخصية ووجد المؤجر بها عيباً ، كان له الفسخ ، كما أنّ له مطالبة الأرش</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كلّية فله مطالبة البدل ، وليس له فسخ الإجارة إلاّ إذا تعذّر البدل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الغبن للمؤجر أو المستأجر ، فله خيار الغبن إلاّ إذا شرطا سقوطه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المستأجر المنفعة في إجارة الأعيان والعمل في إجارة النفس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المؤجر والأجير الاُجرة بمجرّد العقد ، لكن ليس لكلّ </w:t>
      </w:r>
    </w:p>
    <w:p>
      <w:pPr>
        <w:pStyle w:val="BookText"/>
        <w:rPr/>
      </w:pPr>
      <w:r>
        <w:rPr>
          <w:rFonts w:ascii="Amiri" w:hAnsi="Amiri" w:eastAsia="Amiri" w:cs="Amiri"/>
          <w:color w:val="111111"/>
          <w:sz w:val="28"/>
          <w:sz w:val="28"/>
          <w:szCs w:val="28"/>
          <w:rtl w:val="true"/>
          <w:lang w:bidi="ar-SA"/>
        </w:rPr>
        <w:t xml:space="preserve">منهما مطالبة ما ملكه إلاّ بتسليم ما ملّكه ، فليس للمستأجر مطالبة المنفعة والعمل إلاّ بعد تسليم الاُجرة ، كما أ نّه ليس للمؤجر ولا الأجير مطالبة الاُجرة إلاّ بعد تسليم المنفعة ، فعلى كلّ من الطرفين وإن وجب التسليم ، لكن لكلّ منهما الامتناع عنه إذا رأى من الآخر الامتناع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تعلّقت الإجارة بالعين ، فتسليم منفعتها بتسليم تلك العين ، وأمّا تسليم العمل فيما إذا تعلّقت بالنفس ، فبإتمامه إذا كان مثل الصلاة والصوم والحجّ وحفر بئر في دار المستأجر وأمثال ذلك ممّا لم يكن متعلّقاً بمال من المستأجر بيد المؤجر، فقبل إتمام العمل لا يستحقّ الأجير مطالبة الاُجرة، وبعده لا يجوز للمستأجر المماطلة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شرط منهما على تأدية الاُجرة كلاًّ أو بعضاً قبل العمل صريحاً أو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العادة تقتضي التزام المستأجر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متعلّقاً بمال من المستأجر في يد المؤجر ، كالثوب يخيطه والخاتم يصوغه والكتاب يكتبه وأمثال ذلك ، ففي كون تسليمه بإتمام العمل كالأوّل ، أو بتسليم مورد العمل كالثوب والخاتم والكتاب وجهان ، بل قولان ، 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العمل على نحو لا ضمان عليه ، لا شيء عليه ويستحقّ مطالبة الاُجرة ، وإذا تلف مضموناً عليه ، ضمنه بوصف المخيطية لا بقيمته قبلها</w:t>
      </w:r>
      <w:r>
        <w:rPr>
          <w:rStyle w:val="FootnoteAnchor"/>
          <w:rtl w:val="true"/>
        </w:rPr>
        <w:footnoteReference w:id="1210"/>
      </w:r>
      <w:r>
        <w:rPr>
          <w:rFonts w:ascii="Amiri" w:hAnsi="Amiri" w:eastAsia="Amiri" w:cs="Amiri"/>
          <w:color w:val="111111"/>
          <w:sz w:val="28"/>
          <w:sz w:val="28"/>
          <w:szCs w:val="28"/>
          <w:rtl w:val="true"/>
          <w:lang w:bidi="ar-SA"/>
        </w:rPr>
        <w:t xml:space="preserve">، وله المطالبة بالاُجرة المسمّاة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بذل المستأجر الاُجرة ، أو كان له حقّ أن يؤخّرها بموجب </w:t>
      </w:r>
    </w:p>
    <w:p>
      <w:pPr>
        <w:pStyle w:val="BookText"/>
        <w:rPr/>
      </w:pPr>
      <w:r>
        <w:rPr>
          <w:rFonts w:ascii="Amiri" w:hAnsi="Amiri" w:eastAsia="Amiri" w:cs="Amiri"/>
          <w:color w:val="111111"/>
          <w:sz w:val="28"/>
          <w:sz w:val="28"/>
          <w:szCs w:val="28"/>
          <w:rtl w:val="true"/>
          <w:lang w:bidi="ar-SA"/>
        </w:rPr>
        <w:t xml:space="preserve">شرطهما وامتنع المؤجر من تسليم العين المستأجرة يجبر عليه ، وإن لم يمكن إجباره فللمستأجر فسخ الإجارة والرجوع إلى الاُجرة ، وله إبقاء الإجارة ومطالبة المؤجر بعوض المنفعة الفائتة ، وكذا إن أخذها منه بعد التسليم بلا فصل أو في أثناء المدّة ، لكن في الثاني لو فسخها تنفسخ بالنسبة إلى ما بقي من المدّة ، فيرجع إلى ما يقابله من الاُجرة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آجر دابّة من زيد فشردت بطلت الإجارة ؛ سواء كان قبل التسليم أو بعده</w:t>
      </w:r>
      <w:r>
        <w:rPr>
          <w:rStyle w:val="FootnoteAnchor"/>
          <w:rtl w:val="true"/>
        </w:rPr>
        <w:footnoteReference w:id="1211"/>
      </w:r>
      <w:r>
        <w:rPr>
          <w:rFonts w:ascii="Amiri" w:hAnsi="Amiri" w:eastAsia="Amiri" w:cs="Amiri"/>
          <w:color w:val="111111"/>
          <w:sz w:val="28"/>
          <w:sz w:val="28"/>
          <w:szCs w:val="28"/>
          <w:rtl w:val="true"/>
          <w:lang w:bidi="ar-SA"/>
        </w:rPr>
        <w:t xml:space="preserve">في أثناء المدّة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تسلّم المستأجر العين المستأجرة ولم يستوف المنفعة حتّى انقضت مدّة الإجارة ، كما إذا استأجر داراً مدّة وتسلّمها ولم يسكنها ، أو دابّة للركوب ولم يركبها حتّى مضت المدّة ، فإن كان ذلك باختيار منه استقرّت عليه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ما لو بذل المؤجر العين المستأجرة فامتنع المستأجر من تسلّمها واستيفاء المنفعة منها حتّى انقضت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الإجارة على الأعمال ؛ فإنّه إذا سلّم الأجير نفسه وبذلها للعمل وامتنع المستأجر من تسلّمه ، كما إذا استأجر أحداً يخيط له ثوباً معيّناً في وقت معيّن وامتنع من دفع الثوب إليه حتّى مضى ذلك الوقت فقد استحقّ عليه الاُجرة ؛ سواء اشتغل الأجير في ذلك الوقت مع امتناع المستأجر بشغل آخر لنفسه أو لغيره أو بقي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لعذر بطلت الإجارة ولم يستحقّ المؤجر شيئاً من الاُجرة إن كان ذلك عذراً عامّاً ومعه لم تكن العين قابلة لأن تستوفى منها المنفعة ، كما إذا استأجر دابّة للركوب إلى مكان فنزل ثلج مانع عن الاستطراق أو انسدّ الطريق بسبب آخر أو </w:t>
      </w:r>
    </w:p>
    <w:p>
      <w:pPr>
        <w:pStyle w:val="BookText"/>
        <w:rPr/>
      </w:pPr>
      <w:r>
        <w:rPr>
          <w:rFonts w:ascii="Amiri" w:hAnsi="Amiri" w:eastAsia="Amiri" w:cs="Amiri"/>
          <w:color w:val="111111"/>
          <w:sz w:val="28"/>
          <w:sz w:val="28"/>
          <w:szCs w:val="28"/>
          <w:rtl w:val="true"/>
          <w:lang w:bidi="ar-SA"/>
        </w:rPr>
        <w:t xml:space="preserve">داراً للسكنى فصارت غير مسكونة ؛ لصيرورتها معركة أو مسبعة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مثل هذه العوارض في أثناء المدّة بعد استيفاء المستأجر مقداراً من المنفعة بطلت الإجارة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عذراً يختصّ به المستأجر ، كما إذا مرض ولم يتمكّن من ركوب الدابّة المستأجرة ففي كونه موجباً للبطلان وعدمه وجهان ، لا يخلو أوّلهما من رجحان</w:t>
      </w:r>
      <w:r>
        <w:rPr>
          <w:rStyle w:val="FootnoteAnchor"/>
          <w:rtl w:val="true"/>
        </w:rPr>
        <w:footnoteReference w:id="1212"/>
      </w:r>
      <w:r>
        <w:rPr>
          <w:rFonts w:ascii="Amiri" w:hAnsi="Amiri" w:eastAsia="Amiri" w:cs="Amiri"/>
          <w:color w:val="111111"/>
          <w:sz w:val="28"/>
          <w:sz w:val="28"/>
          <w:szCs w:val="28"/>
          <w:rtl w:val="true"/>
          <w:lang w:bidi="ar-SA"/>
        </w:rPr>
        <w:t xml:space="preserve">، هذا إذا اشترطت المباشرة بحيث لم يمكن له استيفاء المنفعة ولو بالإجارة وإلاّ لم تبطل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العين المستأجرة غاصب ومنع المستأجر عن استيفاء المنفعة فإن كان قبل القبض تخيّر بين الفسخ والرجوع باُجرة المسمّى على المؤجر لو أدّاها وبين الرجوع إلى الغاصب باُجرة المثل ، وإن كان بعد القبض تعيّن الثاني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تلفت العين المستأجرة قبل قبض المستأجر بطلت الإجارة ، وكذا بعده بلا فصل معتدّ به</w:t>
      </w:r>
      <w:r>
        <w:rPr>
          <w:rStyle w:val="FootnoteAnchor"/>
          <w:rtl w:val="true"/>
        </w:rPr>
        <w:footnoteReference w:id="1213"/>
      </w:r>
      <w:r>
        <w:rPr>
          <w:rFonts w:ascii="Amiri" w:hAnsi="Amiri" w:eastAsia="Amiri" w:cs="Amiri"/>
          <w:color w:val="111111"/>
          <w:sz w:val="28"/>
          <w:sz w:val="28"/>
          <w:szCs w:val="28"/>
          <w:rtl w:val="true"/>
          <w:lang w:bidi="ar-SA"/>
        </w:rPr>
        <w:t>، وأمّا إذا تلفت في أثناء المدّة وبعد</w:t>
      </w:r>
      <w:r>
        <w:rPr>
          <w:rStyle w:val="FootnoteAnchor"/>
          <w:rtl w:val="true"/>
        </w:rPr>
        <w:footnoteReference w:id="1214"/>
      </w:r>
      <w:r>
        <w:rPr>
          <w:rFonts w:ascii="Amiri" w:hAnsi="Amiri" w:eastAsia="Amiri" w:cs="Amiri"/>
          <w:color w:val="111111"/>
          <w:sz w:val="28"/>
          <w:sz w:val="28"/>
          <w:szCs w:val="28"/>
          <w:rtl w:val="true"/>
          <w:lang w:bidi="ar-SA"/>
        </w:rPr>
        <w:t xml:space="preserve">استيفاء المنفعة مدّة بطلت بالنسبة إلى بقيّة المدّة ويرجع من الاُجرة بما قابلها ؛ إن نصفاً فنصف وإن ثلثاً فثلث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تساوت اُجرة العين بحسب الزمان ، وأمّا إذا تفاوتت تلاحظ النسبة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اُجرة الدار في الشتاء ضعف اُجرتها في باقي الفصول ، وبقي من المدّة ثلاثة أشهر من الشتاء يرجع بثلثي الاُجرة المسمّاة ، ويقع في مقابل ما مضى من المدّة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كلّ مورد </w:t>
      </w:r>
    </w:p>
    <w:p>
      <w:pPr>
        <w:pStyle w:val="BookText"/>
        <w:rPr/>
      </w:pPr>
      <w:r>
        <w:rPr>
          <w:rFonts w:ascii="Amiri" w:hAnsi="Amiri" w:eastAsia="Amiri" w:cs="Amiri"/>
          <w:color w:val="111111"/>
          <w:sz w:val="28"/>
          <w:sz w:val="28"/>
          <w:szCs w:val="28"/>
          <w:rtl w:val="true"/>
          <w:lang w:bidi="ar-SA"/>
        </w:rPr>
        <w:t>حصل الفسخ أو الانفساخ في أثناء</w:t>
      </w:r>
      <w:r>
        <w:rPr>
          <w:rStyle w:val="FootnoteAnchor"/>
          <w:rtl w:val="true"/>
        </w:rPr>
        <w:footnoteReference w:id="1215"/>
      </w:r>
      <w:r>
        <w:rPr>
          <w:rFonts w:ascii="Amiri" w:hAnsi="Amiri" w:eastAsia="Amiri" w:cs="Amiri"/>
          <w:color w:val="111111"/>
          <w:sz w:val="28"/>
          <w:sz w:val="28"/>
          <w:szCs w:val="28"/>
          <w:rtl w:val="true"/>
          <w:lang w:bidi="ar-SA"/>
        </w:rPr>
        <w:t xml:space="preserve">المدّة بسبب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تلفت العين المستأجرة بتمامها ، وأمّا إذا تلف بعضها تبطل بنسبته من أوّل الأمر أو في أثناء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داراً فانهدمت بطلت الإجارة إن خرجت عن الانتفاع بالمرّة</w:t>
      </w:r>
      <w:r>
        <w:rPr>
          <w:rStyle w:val="FootnoteAnchor"/>
          <w:rtl w:val="true"/>
        </w:rPr>
        <w:footnoteReference w:id="1216"/>
      </w:r>
      <w:r>
        <w:rPr>
          <w:rFonts w:ascii="Amiri" w:hAnsi="Amiri" w:eastAsia="Amiri" w:cs="Amiri"/>
          <w:color w:val="111111"/>
          <w:sz w:val="28"/>
          <w:sz w:val="28"/>
          <w:szCs w:val="28"/>
          <w:rtl w:val="true"/>
          <w:lang w:bidi="ar-SA"/>
        </w:rPr>
        <w:t>، فإن كان قبل القبض أو بعده بلا فصل قبل أن يسكن فيها رجعت الاُجرة بتمامها وإلاّ فبالنسبة كما مرّ ، وإن أمكن الانتفاع بها في الجملة</w:t>
      </w:r>
      <w:r>
        <w:rPr>
          <w:rStyle w:val="FootnoteAnchor"/>
          <w:rtl w:val="true"/>
        </w:rPr>
        <w:footnoteReference w:id="1217"/>
      </w:r>
      <w:r>
        <w:rPr>
          <w:rFonts w:ascii="Amiri" w:hAnsi="Amiri" w:eastAsia="Amiri" w:cs="Amiri"/>
          <w:color w:val="111111"/>
          <w:sz w:val="28"/>
          <w:sz w:val="28"/>
          <w:szCs w:val="28"/>
          <w:rtl w:val="true"/>
          <w:lang w:bidi="ar-SA"/>
        </w:rPr>
        <w:t xml:space="preserve">كان للمستأجر الخيار بين الإبقاء والفسخ ، وإذا فسخ كان حكم الاُجرة على حذو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انهدم بعض بيوتها فإن بادر المؤجر إلى تعميرها بحيث لم يفت الانتفاع أصلاً ليس فسخ ولا انفساخ على الأقوى ، وإلاّ بطلت الإجارة بالنسبة إلى ما انهدمت وبقيت بالنسبة إلى البقيّة بما يقابلها من الاُجرة وكان للمستأجر خيار تبعّض الصفقة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كانت الإجارة فاسدة ، ثبت للمؤجر اُجرة المثل بمقدار ما استوفاه</w:t>
      </w:r>
      <w:r>
        <w:rPr>
          <w:rStyle w:val="FootnoteAnchor"/>
          <w:rtl w:val="true"/>
        </w:rPr>
        <w:footnoteReference w:id="1218"/>
      </w:r>
      <w:r>
        <w:rPr>
          <w:rFonts w:ascii="Amiri" w:hAnsi="Amiri" w:eastAsia="Amiri" w:cs="Amiri"/>
          <w:color w:val="111111"/>
          <w:sz w:val="28"/>
          <w:sz w:val="28"/>
          <w:szCs w:val="28"/>
          <w:rtl w:val="true"/>
          <w:lang w:bidi="ar-SA"/>
        </w:rPr>
        <w:t xml:space="preserve">المستأجر من المنفعة ، وكذلك في إجارة النفس للعمل ، فإنّ العامل يستحقّ اُجرة مثل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w:t>
      </w:r>
      <w:r>
        <w:rPr>
          <w:rStyle w:val="FootnoteAnchor"/>
          <w:rtl w:val="true"/>
        </w:rPr>
        <w:footnoteReference w:id="1219"/>
      </w:r>
      <w:r>
        <w:rPr>
          <w:rFonts w:ascii="Amiri" w:hAnsi="Amiri" w:eastAsia="Amiri" w:cs="Amiri"/>
          <w:color w:val="111111"/>
          <w:sz w:val="28"/>
          <w:sz w:val="28"/>
          <w:szCs w:val="28"/>
          <w:rtl w:val="true"/>
          <w:lang w:bidi="ar-SA"/>
        </w:rPr>
        <w:t xml:space="preserve">استحقاق الاُجرة إذا كان المؤجر أو الأجير عالمين ببطلان الإجارة ، خصوصاً في الإجارة على العمل ، </w:t>
      </w:r>
    </w:p>
    <w:p>
      <w:pPr>
        <w:pStyle w:val="BookText"/>
        <w:rPr/>
      </w:pPr>
      <w:r>
        <w:rPr>
          <w:rFonts w:ascii="Amiri" w:hAnsi="Amiri" w:eastAsia="Amiri" w:cs="Amiri"/>
          <w:color w:val="111111"/>
          <w:sz w:val="28"/>
          <w:sz w:val="28"/>
          <w:szCs w:val="28"/>
          <w:rtl w:val="true"/>
          <w:lang w:bidi="ar-SA"/>
        </w:rPr>
        <w:t xml:space="preserve">فالاحتياط بالتصالح والتراضي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إجارة المشاع ؛ سواء كان للمؤجر جزء مشاع من عين فآجره ، أو كان مالكاً للكلّ وآجر جزءاً مشاعاً منه كنصفه أو ثلثه ، لكن في الصورة الاُولى لا يجوز للمؤجر تسليم العين للمستأجر إلاّ بإذن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يستأجر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على نحو الاشتراك ويسكناها معاً بالتراضي ، أو يقتسماها بحسب المساكن بالتعديل والقرعة ، كتقسيم الشريكين الدار المشتركة ، أو يقتسما منفعتها بالمهاياة ؛ بأن يسكنها أحدهما ستّة أشهر ثمّ الآخر ، كما إذا استأجرا معاً دابّةً للركوب</w:t>
      </w:r>
      <w:r>
        <w:rPr>
          <w:rStyle w:val="FootnoteAnchor"/>
          <w:rtl w:val="true"/>
        </w:rPr>
        <w:footnoteReference w:id="1220"/>
      </w:r>
      <w:r>
        <w:rPr>
          <w:rFonts w:ascii="Amiri" w:hAnsi="Amiri" w:eastAsia="Amiri" w:cs="Amiri"/>
          <w:color w:val="111111"/>
          <w:sz w:val="28"/>
          <w:sz w:val="28"/>
          <w:szCs w:val="28"/>
          <w:rtl w:val="true"/>
          <w:lang w:bidi="ar-SA"/>
        </w:rPr>
        <w:t xml:space="preserve">؛ فإنّ تقسيم منفعتها الركوبية لا يكون إلاّ بالمهاياة ؛ بأن يركبها أحدهما يوماً والآخر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بالتناوب بحسب المسافة ؛ بأن يركبها أحدهما فرسخاً ، ثمّ الآخر مثلاً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عيناً ولم يشترط عليه استيفاء منفعتها بالمباشرة ، يجوز أن يؤجرها بأقلّ ممّا استأجر وبالمساوي وبالأكثر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البيت والدار والدكّان</w:t>
      </w:r>
      <w:r>
        <w:rPr>
          <w:rStyle w:val="FootnoteAnchor"/>
          <w:rtl w:val="true"/>
        </w:rPr>
        <w:footnoteReference w:id="1221"/>
      </w:r>
      <w:r>
        <w:rPr>
          <w:rFonts w:ascii="Amiri" w:hAnsi="Amiri" w:eastAsia="Amiri" w:cs="Amiri"/>
          <w:color w:val="111111"/>
          <w:sz w:val="28"/>
          <w:sz w:val="28"/>
          <w:szCs w:val="28"/>
          <w:rtl w:val="true"/>
          <w:lang w:bidi="ar-SA"/>
        </w:rPr>
        <w:t>، وأمّا هي فلا يجوز إجارتها بأكثر ممّا استأجر إلاّ إذا أحدث</w:t>
      </w:r>
      <w:r>
        <w:rPr>
          <w:rStyle w:val="FootnoteAnchor"/>
          <w:rtl w:val="true"/>
        </w:rPr>
        <w:footnoteReference w:id="1222"/>
      </w:r>
      <w:r>
        <w:rPr>
          <w:rFonts w:ascii="Amiri" w:hAnsi="Amiri" w:eastAsia="Amiri" w:cs="Amiri"/>
          <w:color w:val="111111"/>
          <w:sz w:val="28"/>
          <w:sz w:val="28"/>
          <w:szCs w:val="28"/>
          <w:rtl w:val="true"/>
          <w:lang w:bidi="ar-SA"/>
        </w:rPr>
        <w:t>فيها حدثاً ؛ من تعمير أو تبييض أو تنظيف ونحو ذلك ، والأحوط</w:t>
      </w:r>
      <w:r>
        <w:rPr>
          <w:rStyle w:val="FootnoteAnchor"/>
          <w:rtl w:val="true"/>
        </w:rPr>
        <w:footnoteReference w:id="1223"/>
      </w:r>
      <w:r>
        <w:rPr>
          <w:rFonts w:ascii="Amiri" w:hAnsi="Amiri" w:eastAsia="Amiri" w:cs="Amiri"/>
          <w:color w:val="111111"/>
          <w:sz w:val="28"/>
          <w:sz w:val="28"/>
          <w:szCs w:val="28"/>
          <w:rtl w:val="true"/>
          <w:lang w:bidi="ar-SA"/>
        </w:rPr>
        <w:t xml:space="preserve">إلحاق الخان والرحى والسفينة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استأجر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 فسكن بنصفها وآجر الباقي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إحداث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ولم يكن من الإجارة </w:t>
      </w:r>
    </w:p>
    <w:p>
      <w:pPr>
        <w:pStyle w:val="BookText"/>
        <w:rPr/>
      </w:pPr>
      <w:r>
        <w:rPr>
          <w:rFonts w:ascii="Amiri" w:hAnsi="Amiri" w:eastAsia="Amiri" w:cs="Amiri"/>
          <w:color w:val="111111"/>
          <w:sz w:val="28"/>
          <w:sz w:val="28"/>
          <w:szCs w:val="28"/>
          <w:rtl w:val="true"/>
          <w:lang w:bidi="ar-SA"/>
        </w:rPr>
        <w:t xml:space="preserve">بالأكثر ممّا استأجر ، وكذا لو سكنها في نصف المدّة وآجرها في باقي المدّة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آجرها في باقي المدّة أو آجر نصفها بأكثر من عشرة يكون من الإجارة بالأكثر المنهيّ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تقبّل عملاً من غير اشتراط المباشرة ولا مع الانصراف إليها ، يجوز</w:t>
      </w:r>
      <w:r>
        <w:rPr>
          <w:rStyle w:val="FootnoteAnchor"/>
          <w:rtl w:val="true"/>
        </w:rPr>
        <w:footnoteReference w:id="1224"/>
      </w:r>
      <w:r>
        <w:rPr>
          <w:rFonts w:ascii="Amiri" w:hAnsi="Amiri" w:eastAsia="Amiri" w:cs="Amiri"/>
          <w:color w:val="111111"/>
          <w:sz w:val="28"/>
          <w:sz w:val="28"/>
          <w:szCs w:val="28"/>
          <w:rtl w:val="true"/>
          <w:lang w:bidi="ar-SA"/>
        </w:rPr>
        <w:t xml:space="preserve">أن يستأجر غيره لذلك العمل بتلك الاُجرة وبالأكثر ، وأمّا بالأقلّ فلا يجوز إلاّ إذا أحدث حدثاً أو أتى ببعض العمل ولو قليلاً ، كما إذا تقبّل خياطة ثوب بدرهم ففصّله أو خاط منه شيئاً ولو قليلاً ، فلا بأس باستئجار غيره على خياطته بالأقلّ ولو بعشر درهم أو ثمنه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الأجير عن الغير إذا آجر نفسه على وجه يكون جميع منافعه للمستأجر في مدّة معيّنة ، لا يجوز له في تلك المدّة العمل لنفسه أو لغيره ؛ لا تبرّعاً ولا بالجعالة أو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ببعض الأعمال التي انصرفت عنها الإجارة ولم تشملها ولم تكن منافية لما شملته ، كما أ نّه لو كان مورد الإجارة أو منصرفها الاشتغال بالنهار فلا مانع من الاشتغال ببعض الأعمال في الليل له أو لغيره حتّى بالإجارة إلاّ إذا أدّى إلى ضعفه في النهار ، فإذا عمل في تلك المدّة عملاً ممّا ليس خارجاً عن مورد الإجارة ، فإن كان العمل لنفسه تخيّر المستأجر بين فسخ الإجارة واسترجاع تمام الاُجرة ، إذا لم يعمل الأجير له شيئاً ، أو بعضها إذا عمل له شيئاً ، وبين أن يبقيها ويطالبه اُجرة مثل العمل الذي عمله لنفسه ، وكذا إذا عمل للغير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عمل للغير بعنوان الجعالة ، أو الإجارة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p>
    <w:p>
      <w:pPr>
        <w:pStyle w:val="BookText"/>
        <w:rPr/>
      </w:pP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الإجارة أو الجعالة وأخذ الاُجرة المسمّاة في تلك الجعالة أو الإجارة ، فله التخيير بين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لعمل مخصوص بالمباشرة في وقت معيّن لا مانع من أن يعمل لنفسه أو لغيره في ذلك الوقت ما لا ينافيه ، كما إذا آجر نفسه يوماً معيّناً للخياطة أو الكتابة ثمّ آجر نفسه في ذلك اليوم للصوم</w:t>
      </w:r>
      <w:r>
        <w:rPr>
          <w:rStyle w:val="FootnoteAnchor"/>
          <w:rtl w:val="true"/>
        </w:rPr>
        <w:footnoteReference w:id="1225"/>
      </w:r>
      <w:r>
        <w:rPr>
          <w:rFonts w:ascii="Amiri" w:hAnsi="Amiri" w:eastAsia="Amiri" w:cs="Amiri"/>
          <w:color w:val="111111"/>
          <w:sz w:val="28"/>
          <w:sz w:val="28"/>
          <w:szCs w:val="28"/>
          <w:rtl w:val="true"/>
          <w:lang w:bidi="ar-SA"/>
        </w:rPr>
        <w:t xml:space="preserve">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أن يعمل في ذلك الوقت من نوع ذلك العمل ومن غيره ممّا ينافيه لنفسه ولا لغيره ، فلو فعل فإن كان من نوع ذلك العمل ، كما إذا آجر نفسه للخياطة في يوم فاشتغل في ذلك اليوم بالخياطة لنفسه أو لغيره تبرّعاً أو بالإجارة ، كان حكمه حكم الصورة السابقة من تخيير المستأجر بين أمرين لو عمل الأجير لنفسه أو عمل لغيره تبرّعاً ، وبين اُمور ثلاثة لو عمل لغيره بالجعالة أو الإجارة ، وإن كان من غير نوع ذلك العمل كما إذا آجر نفسه للخياطة فاشتغل بالكتابة فللمستأجر التخيير بين أمرين مطلقاً ؛ من فسخ الإجارة واسترجاع الاُجرة ، ومن مطالبة عوض المنفعة الفائتة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لعمل من غير اعتبار المباشرة ولو في وقت معيّن ، أو من غير تعيين الوقت ولو مع اعتبار المباشرة ، جاز له أن يؤجر نفسه للغير على نوع ذلك العمل أو ما يضادّه قبل الإتيان بالعمل المستأجر عليه ؛ لعدم التنافي بين الإجارتين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للحمل إلى بلد</w:t>
      </w:r>
      <w:r>
        <w:rPr>
          <w:rStyle w:val="FootnoteAnchor"/>
          <w:rtl w:val="true"/>
        </w:rPr>
        <w:footnoteReference w:id="1226"/>
      </w:r>
      <w:r>
        <w:rPr>
          <w:rFonts w:ascii="Amiri" w:hAnsi="Amiri" w:eastAsia="Amiri" w:cs="Amiri"/>
          <w:color w:val="111111"/>
          <w:sz w:val="28"/>
          <w:sz w:val="28"/>
          <w:szCs w:val="28"/>
          <w:rtl w:val="true"/>
          <w:lang w:bidi="ar-SA"/>
        </w:rPr>
        <w:t xml:space="preserve">، فركبها إليه أو بالعكس عمداً </w:t>
      </w:r>
    </w:p>
    <w:p>
      <w:pPr>
        <w:pStyle w:val="BookText"/>
        <w:rPr/>
      </w:pPr>
      <w:r>
        <w:rPr>
          <w:rFonts w:ascii="Amiri" w:hAnsi="Amiri" w:eastAsia="Amiri" w:cs="Amiri"/>
          <w:color w:val="111111"/>
          <w:sz w:val="28"/>
          <w:sz w:val="28"/>
          <w:szCs w:val="28"/>
          <w:rtl w:val="true"/>
          <w:lang w:bidi="ar-SA"/>
        </w:rPr>
        <w:t xml:space="preserve">أو اشتباهاً ، لزمته الاُجرة المسمّاة ؛ حيث إنّها قد استقرّت عليه بتسليم الدابّة وإن لم يستوف المستأجر المنفعة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لزمته اُجرة مثل المنفعة التي استوفاها أيضاً ، فتكون عليه اُجرتان ، أو لم يلزمه إلاّ التفاوت بين اُجرة المنفعة التي استوفاها واُجرة المنفعة المستأجر عليها لو كان ، فإذا استأجرها للحمل بخمسة فركبها وكانت اُجرة الركوب عشرة لزمته العشرة ، ولو لم يكن تفاوت بينهما لم تلزم عليه إلاّ الاُجرة المسمّاة ؟ وجهان ، لا يخلو ثانيهما من رجحان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لعمل فعمل للمستأجر غير ذلك العمل بغير 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استؤجر للخياطة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شيئاً ؛ سواء كان متعمّداً أو وقع منه ذلك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آجر دابّته لحمل متاع زيد إلى مكان فاشتبه وحمل متاع عمرو لم يستحقّ الاُجرة على واحد منهما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المرأة للإرضاع ، بل للرضاع أيضاً ؛ بأن ينتفع الطفل منها ويتغذّى بلبنها مدّة معيّنة وإن لم يكن منها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صحّة إجارتها لذلك إذن الزوج ورضاه ، بل ليس له المنع عنها إذا لم يكن مانعاً</w:t>
      </w:r>
      <w:r>
        <w:rPr>
          <w:rStyle w:val="FootnoteAnchor"/>
          <w:rtl w:val="true"/>
        </w:rPr>
        <w:footnoteReference w:id="1227"/>
      </w:r>
      <w:r>
        <w:rPr>
          <w:rFonts w:ascii="Amiri" w:hAnsi="Amiri" w:eastAsia="Amiri" w:cs="Amiri"/>
          <w:color w:val="111111"/>
          <w:sz w:val="28"/>
          <w:sz w:val="28"/>
          <w:szCs w:val="28"/>
          <w:rtl w:val="true"/>
          <w:lang w:bidi="ar-SA"/>
        </w:rPr>
        <w:t xml:space="preserve">عن حقّ استمتاعه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استئجار الشاة الحلوب للانتفاع بلبنها والبئر للاستقاء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بصحّة إجارتها كون الانتفاع فيها بإتلاف الأعيان من اللبن والماء ؛ لأنّ الذي يضرّ بصحّة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ينافي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الانتفاع المقصود بإتلاف العين المستأجرة ، كإجارة الخبز للأكل وإجارة الحطب للإشعال كما مرّ ، وهنا لم تتعلّق الإجارة باللبن والماء ، بل تعلّقت بالمرأة والشاة والبئر </w:t>
      </w:r>
    </w:p>
    <w:p>
      <w:pPr>
        <w:pStyle w:val="BookText"/>
        <w:rPr/>
      </w:pPr>
      <w:r>
        <w:rPr>
          <w:rFonts w:ascii="Amiri" w:hAnsi="Amiri" w:eastAsia="Amiri" w:cs="Amiri"/>
          <w:color w:val="111111"/>
          <w:sz w:val="28"/>
          <w:sz w:val="28"/>
          <w:szCs w:val="28"/>
          <w:rtl w:val="true"/>
          <w:lang w:bidi="ar-SA"/>
        </w:rPr>
        <w:t xml:space="preserve">وهي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إجارة الأشجار للانتفاع بثمرها إشكال</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لعمل من بناء أو خياطة ثوب معيّن أو غير ذلك لا بقيد المباشرة ، فعمله شخص آخر تبرّعاً عنه ومساعدة له ، كان ذلك بمنزلة عمله فاستحقّ الاُجرة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عمله تبرّعاً عن المالك لم يستحقّ المستأجر شيئاً ، بل بطلت الإجارة لفوات محلّها ، ولا يستحقّ العامل على المالك اُجرة ؛ لأ نّه لم يكن بأمره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للإنسان أن يؤجر نفسه للإتيان بما وجب عليه عيناً كالصلاة اليومية ، ولا ما وجب عليه كفائياً</w:t>
      </w:r>
      <w:r>
        <w:rPr>
          <w:rStyle w:val="FootnoteAnchor"/>
          <w:rtl w:val="true"/>
        </w:rPr>
        <w:footnoteReference w:id="1229"/>
      </w:r>
      <w:r>
        <w:rPr>
          <w:rFonts w:ascii="Amiri" w:hAnsi="Amiri" w:eastAsia="Amiri" w:cs="Amiri"/>
          <w:color w:val="111111"/>
          <w:sz w:val="28"/>
          <w:sz w:val="28"/>
          <w:szCs w:val="28"/>
          <w:rtl w:val="true"/>
          <w:lang w:bidi="ar-SA"/>
        </w:rPr>
        <w:t xml:space="preserve">إذا كان وجوبه كذلك بعنوانه الخاصّ كتغسيل الأموات وتكفينهم ودفنهم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وجب من جهة حفظ النظام وحاجة الأنام كالصناعات المحتاج إليها والطبابة ونحوها فلا بأس بإجارة النفس لها وأخذ الاُجرة عليها ، كما أنّ إجارة النفس للنيابة عن الغير حيّاً وميّتاً فيما وجب عليه وشرع فيه النيابة لا بأس به ولا إشكال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الإجارة لحفظ المتاع عن الضياع وحراسة الدور والبساتين عن السرقة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اشتراط الضمان عليه لو حصل الضياع أو السرقة ولو من غير تقصير منه ؛ بأن يلتزم في ضمن عقد الإجارة بأ نّه لو ضاع المتاع أو سرق من البستان أو الدار شيء خسره من كيسه وأعطى عوضه ، فما تداول من تضمين الناطور إذا ضاع ، أمر مشروع لو التزم به على نحو مشروع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من أحد أن يعمل له عملاً فعمل ، استحقّ عليه اُجرة </w:t>
      </w:r>
    </w:p>
    <w:p>
      <w:pPr>
        <w:pStyle w:val="BookText"/>
        <w:rPr/>
      </w:pPr>
      <w:r>
        <w:rPr>
          <w:rFonts w:ascii="Amiri" w:hAnsi="Amiri" w:eastAsia="Amiri" w:cs="Amiri"/>
          <w:color w:val="111111"/>
          <w:sz w:val="28"/>
          <w:sz w:val="28"/>
          <w:szCs w:val="28"/>
          <w:rtl w:val="true"/>
          <w:lang w:bidi="ar-SA"/>
        </w:rPr>
        <w:t xml:space="preserve">مثل عمله إذا كان ممّا له اُجرة ولم يقصد العامل التبرّع بعمله ، وإذا قصد التبرّع لم يستحقّ اُجرة وإن كان من قصد الآمر إعطاء الاُجرة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أحداً في مدّة معيّنة لحيازة المباحات كما إذا استأجره شهراً للاحتطاب أو الاحتشاش أو الاستقاء وقصد باستئجاره له ملكية ما يحوزه فكلّ ما يحوزه المستأجر في تلك المدّة من الحطب أو الحشيش أو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ملكاً للمستأجر ؛ سواء قصد الأجير ملكية المستأجر أم لا</w:t>
      </w:r>
      <w:r>
        <w:rPr>
          <w:rStyle w:val="FootnoteAnchor"/>
          <w:rtl w:val="true"/>
        </w:rPr>
        <w:footnoteReference w:id="1230"/>
      </w:r>
      <w:r>
        <w:rPr>
          <w:rFonts w:ascii="Amiri" w:hAnsi="Amiri" w:eastAsia="Amiri" w:cs="Amiri"/>
          <w:color w:val="111111"/>
          <w:sz w:val="28"/>
          <w:sz w:val="28"/>
          <w:szCs w:val="28"/>
          <w:rtl w:val="true"/>
          <w:lang w:bidi="ar-SA"/>
        </w:rPr>
        <w:t xml:space="preserve">، بل ولو قصد ملكية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استأجره للحيازة لا بقصد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له غرض عقلائي لجمع الحطب أو الحشيش فاستأجر شخصاً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 ما يحوزه ويجمعه الأجير ، فلا مانع من أن ينوي الأجير تملّكه فيتملّكه كما إذا لم يؤجر نفسه للحيازة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إجارة الأرض لزرع الحنطة</w:t>
      </w:r>
      <w:r>
        <w:rPr>
          <w:rStyle w:val="FootnoteAnchor"/>
          <w:rtl w:val="true"/>
        </w:rPr>
        <w:footnoteReference w:id="1231"/>
      </w:r>
      <w:r>
        <w:rPr>
          <w:rFonts w:ascii="Amiri" w:hAnsi="Amiri" w:eastAsia="Amiri" w:cs="Amiri"/>
          <w:color w:val="111111"/>
          <w:sz w:val="28"/>
          <w:sz w:val="28"/>
          <w:szCs w:val="28"/>
          <w:rtl w:val="true"/>
          <w:lang w:bidi="ar-SA"/>
        </w:rPr>
        <w:t xml:space="preserve">أو الشعير بمقدار معيّن من الحنطة أو الشعير الحاصلين منها ، بل وكذا بمقدار منهما في الذمّة مع اشتراط أدائه ممّا يحصل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إجارتها بالحنطة والشعير من دون تقييد ولا اشتراط بكونهما منها ، فالأقرب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إجارتها بغير الحنطة والشعير فلا إشكال</w:t>
      </w:r>
      <w:r>
        <w:rPr>
          <w:rStyle w:val="FootnoteAnchor"/>
          <w:rtl w:val="true"/>
        </w:rPr>
        <w:footnoteReference w:id="1232"/>
      </w:r>
      <w:r>
        <w:rPr>
          <w:rFonts w:ascii="Amiri" w:hAnsi="Amiri" w:eastAsia="Amiri" w:cs="Amiri"/>
          <w:color w:val="111111"/>
          <w:sz w:val="28"/>
          <w:sz w:val="28"/>
          <w:szCs w:val="28"/>
          <w:rtl w:val="true"/>
          <w:lang w:bidi="ar-SA"/>
        </w:rPr>
        <w:t xml:space="preserve">فيه أصلاً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المستأجرة أمانة في يد المستأجر في مدّة الإجارة ، فلا يضمن تلفها ولا تعيّبها إلاّ بالتعدّي أو التفريط ، وكذا العين التي للمستأجر بيد من آجر نفسه لعمل فيها كالثوب للصبغ أو الخياطة ، والفضّة أو الذهب للصياغة ، فإنّه لا يضمن تلفها ونقصها بدون التعدّي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أفسد العين للصبغ أو القصارة أو الخياطة حتّى لتفصيل الثوب ونحو ذلك ضمن وإن كان بغير قصده ، بل وإن كان اُستاذاً ماهراً وقد أعمل كمال النظر والدقّة والاحتياط في 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من آجر نفسه لعمل في مال المستأجر إذا أفسده ضمنه ، ومن ذلك ما إذا استؤجر القصّاب لذبح الحيوان ، فذبحه على غير الوجه الشرعي بحيث صار حراماً ، فإنّه ضامن لقيمته ، بل الظاهر أ نّه كذلك لو ذبحه له تبرّعاً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الختّان ضامن إذا تجاوز الحدّ وإن كان حاذقاً ، وفي ضمانه إذا لم يتجاوز الحدّ كما إذا أضرّ الختان بالولد فمات إشكال ، أظهره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الطبيب ضامن إذا باشر بنفسه العلاج ، وأمّا لو لم يباشر ففيه إشكال</w:t>
      </w:r>
      <w:r>
        <w:rPr>
          <w:rStyle w:val="FootnoteAnchor"/>
          <w:rtl w:val="true"/>
        </w:rPr>
        <w:footnoteReference w:id="1233"/>
      </w:r>
      <w:r>
        <w:rPr>
          <w:rFonts w:ascii="Amiri" w:hAnsi="Amiri" w:eastAsia="Amiri" w:cs="Amiri"/>
          <w:color w:val="111111"/>
          <w:sz w:val="28"/>
          <w:sz w:val="28"/>
          <w:szCs w:val="28"/>
          <w:rtl w:val="true"/>
          <w:lang w:bidi="ar-SA"/>
        </w:rPr>
        <w:t xml:space="preserve">، خصوصاً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وصف الدواء الفلاني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نافع للمرض الفلاني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دواءك كذا ، من دون أن يأمره بشربه ، بل عدم الضمان في أمثال ذلك هو الأقوى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عثر الحمّال فانكسر ما كان على ظهره أو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 بخلاف الدابّة المستأجرة للحمل إذا عثرت فتلف أو تعيّب ما حملته ، فإنّه لا ضمان على صاحبها ، إلاّ إذا كان هو السبب من جهة ضربها أو سوقها في مزلق ونحو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دابّة للحمل لم يجز أن يحمّلها أزيد ممّا اشترط ، أو المقدار المتعارف لو أطلق ، فلو حمّلها أزيد من ذلك ضمن تلفها وعوارها ، وكذلك إذا سار عليها زائداً عمّا اشترط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لحفظ متاع فسرق لم يضمن إلاّ مع التقصير أو اشتراط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الحمّام لا يضمن الثياب وغيرها إذا سرقت ، إلاّ إذا اُودع عنده وفرّط أو تعدّى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أرضاً للزراعة ، فحصلت آفة أفسدت الحاصل لم تبطل الإجارة ولا يوجب ذلك نقصاً في الاُجرة ، نعم لو شرط على المؤجر إبراءه من الاُجرة بمقدار ما نقص أو نصفاً أو ثلثاً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ولزم الوفاء به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إجارة الأرض للانتفاع بها بالزرع وغيره مدّة معلومة ، وجعل الاُجرة تعميرها ؛ من كري الأنهار وتنقية الآبار وغرس الأشجار وتسوية الأرض وإزالة الأحجار ونحو ذلك ، بشرط أن يعيّن تلك الأعمال على نحو يرتفع الغرر والجهالة ، أو كان تعارف مغنٍ عن التعيين </w:t>
      </w:r>
      <w:r>
        <w:rPr>
          <w:rFonts w:eastAsia="Amiri" w:cs="Amiri" w:ascii="Amiri" w:hAnsi="Amiri"/>
          <w:color w:val="111111"/>
          <w:sz w:val="28"/>
          <w:szCs w:val="28"/>
          <w:rtl w:val="true"/>
          <w:lang w:bidi="ar-SA"/>
        </w:rPr>
        <w:t xml:space="preserve">. </w:t>
      </w:r>
      <w:bookmarkStart w:id="582" w:name="pg15003_160117"/>
    </w:p>
    <w:p>
      <w:pPr>
        <w:pStyle w:val="Heading2"/>
        <w:numPr>
          <w:ilvl w:val="1"/>
          <w:numId w:val="1"/>
        </w:numPr>
        <w:rPr/>
      </w:pPr>
      <w:bookmarkStart w:id="583" w:name="__RefHeading___Toc487993_3406789950"/>
      <w:bookmarkStart w:id="584" w:name="_Toc211"/>
      <w:bookmarkEnd w:id="582"/>
      <w:bookmarkEnd w:id="583"/>
      <w:r>
        <w:rPr>
          <w:rtl w:val="true"/>
        </w:rPr>
        <w:t>كتاب الجعالة</w:t>
      </w:r>
      <w:bookmarkEnd w:id="584"/>
    </w:p>
    <w:p>
      <w:pPr>
        <w:pStyle w:val="BookText"/>
        <w:rPr/>
      </w:pPr>
      <w:r>
        <w:rPr>
          <w:rFonts w:ascii="Amiri" w:hAnsi="Amiri" w:eastAsia="Amiri" w:cs="Amiri"/>
          <w:color w:val="111111"/>
          <w:sz w:val="28"/>
          <w:sz w:val="28"/>
          <w:szCs w:val="28"/>
          <w:rtl w:val="true"/>
          <w:lang w:bidi="ar-SA"/>
        </w:rPr>
        <w:t>وهي الالتزام</w:t>
      </w:r>
      <w:r>
        <w:rPr>
          <w:rStyle w:val="FootnoteAnchor"/>
          <w:rtl w:val="true"/>
        </w:rPr>
        <w:footnoteReference w:id="1234"/>
      </w:r>
      <w:r>
        <w:rPr>
          <w:rFonts w:ascii="Amiri" w:hAnsi="Amiri" w:eastAsia="Amiri" w:cs="Amiri"/>
          <w:color w:val="111111"/>
          <w:sz w:val="28"/>
          <w:sz w:val="28"/>
          <w:szCs w:val="28"/>
          <w:rtl w:val="true"/>
          <w:lang w:bidi="ar-SA"/>
        </w:rPr>
        <w:t xml:space="preserve">بعوض معلوم على عمل ، ويقال للملتزم الجاعل ولمن يعمل ذلك العمل العامل والمعوّض الجعل والجعيلة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ويفتقر إلى الإيجاب وهو كلّ لفظ أفاد ذلك الالتزام ، وهو إمّا عامّ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أو دابّتي أو خاط ثوبي أو بنى 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كذا ، وإمّا خاصّ كما إذا 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رددت عبدي أو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كذا ، ولا يفتقر إلى قبول حتّى في الخاصّ فضلاً عن العامّ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w:t>
      </w:r>
      <w:r>
        <w:rPr>
          <w:rStyle w:val="FootnoteAnchor"/>
          <w:rtl w:val="true"/>
        </w:rPr>
        <w:footnoteReference w:id="1235"/>
      </w:r>
      <w:r>
        <w:rPr>
          <w:rFonts w:ascii="Amiri" w:hAnsi="Amiri" w:eastAsia="Amiri" w:cs="Amiri"/>
          <w:color w:val="111111"/>
          <w:sz w:val="28"/>
          <w:sz w:val="28"/>
          <w:szCs w:val="28"/>
          <w:rtl w:val="true"/>
          <w:lang w:bidi="ar-SA"/>
        </w:rPr>
        <w:t xml:space="preserve">بين الإجارة على العمل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في الإجارة يملك العمل على الأجير وهو يملك على المستأجر الاُجرة بنفس العقد كما مرّ ، بخلافه في الجعالة ؛ حيث إنّه ليس أثرها إلاّ استحقاق العامل الجعل المقرّر على الجاعل بعد العمل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تصحّ الجعالة على كلّ عمل محلّل مقصود في نظر العقلاء كالإجارة ، فلا تصحّ على المحرّم ولا على ما يكون لغواً عند العقلاء ، وبذل المال بإزائه سفهاً كالذهاب</w:t>
      </w:r>
      <w:r>
        <w:rPr>
          <w:rStyle w:val="FootnoteAnchor"/>
          <w:rtl w:val="true"/>
        </w:rPr>
        <w:footnoteReference w:id="1236"/>
      </w:r>
      <w:r>
        <w:rPr>
          <w:rFonts w:ascii="Amiri" w:hAnsi="Amiri" w:eastAsia="Amiri" w:cs="Amiri"/>
          <w:color w:val="111111"/>
          <w:sz w:val="28"/>
          <w:sz w:val="28"/>
          <w:szCs w:val="28"/>
          <w:rtl w:val="true"/>
          <w:lang w:bidi="ar-SA"/>
        </w:rPr>
        <w:t xml:space="preserve">إلى الأمكنة المخوفة والصعود على الجبال الشاهقة والأبنية المرتفعة والوثبة من موضع إلى موضع آخر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تصحّ الإجارة على الواجبات العينية والكفائية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الذي مرّ</w:t>
      </w:r>
      <w:r>
        <w:rPr>
          <w:rStyle w:val="FootnoteAnchor"/>
          <w:rtl w:val="true"/>
        </w:rPr>
        <w:footnoteReference w:id="1237"/>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الجعالة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الجاعل أهلية الاستئجار ؛ من البلوغ والعقل والرشد والقصد وعدم الحجر والاختيار ، وأمّا العامل فلا يعتبر فيه إلاّ إمكان تحصيل العمل ؛ بحيث لا مانع منه عقلاً أو شرعاً ، كما إذا وقعت الجعالة على كنس المسجد ، فلا يمكن حصوله شرعاً من الجنب والحائض ، فلو كنساه لم يستحقّا شيئاً على عملهما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نفوذ التصرّف فيجوز أن يكون صبيّاً مميّزاً ولو بغير إذن الوليّ ، بل ولو كان غير مميّز</w:t>
      </w:r>
      <w:r>
        <w:rPr>
          <w:rStyle w:val="FootnoteAnchor"/>
          <w:rtl w:val="true"/>
        </w:rPr>
        <w:footnoteReference w:id="1238"/>
      </w:r>
      <w:r>
        <w:rPr>
          <w:rFonts w:ascii="Amiri" w:hAnsi="Amiri" w:eastAsia="Amiri" w:cs="Amiri"/>
          <w:color w:val="111111"/>
          <w:sz w:val="28"/>
          <w:sz w:val="28"/>
          <w:szCs w:val="28"/>
          <w:rtl w:val="true"/>
          <w:lang w:bidi="ar-SA"/>
        </w:rPr>
        <w:t xml:space="preserve">أو مجنون على الأظهر ، فجميع هؤلاء يستحقّون الجعل المقرّر بعملهم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العمل مجهولاً في الجعالة بما لا يغتفر في الإجارة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كذا ، صحّ وإن لم يعيّن المسافة ولا شخص الدابّة مع شدّة اختلاف الدوابّ في الظفر بها من حيث السهولة والصعوبة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يوقع الجعالة على المردّد مع اتّحاد الجعل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أو </w:t>
      </w:r>
    </w:p>
    <w:p>
      <w:pPr>
        <w:pStyle w:val="BookText"/>
        <w:rPr/>
      </w:pPr>
      <w:r>
        <w:rPr>
          <w:rFonts w:ascii="Amiri" w:hAnsi="Amiri" w:eastAsia="Amiri" w:cs="Amiri"/>
          <w:color w:val="111111"/>
          <w:sz w:val="28"/>
          <w:sz w:val="28"/>
          <w:szCs w:val="28"/>
          <w:rtl w:val="true"/>
          <w:lang w:bidi="ar-SA"/>
        </w:rPr>
        <w:t xml:space="preserve">دابّتي فله كذا ، أو بالاختلاف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عشرة ومن ردّ دابّتي فله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جعل موردها مجهولاً صرفاً ومبهماً بحتاً لا يتمكّن العامل من تحصيله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وأوصلني ما ضاع منّي فله كذا ، 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حيواناً ضاع منّي ولم يعيّن أ نّه من جنس الطيور أو الدوابّ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العوض فلا بدّ من تعيينه جنساً ونوعاً ووصفاً ، بل كيلاً أو وزناً أو عدّاً إن كان مكيلاً أو موزوناً أو معدوداً ، فلو جعله ما في يده أو إنائه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ما في يدي أو ما في هذا الإناء ، بطلت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 نّه يصحّ أن يجعل الجعل حصّة معيّنة ممّا يردّه ولو لم يشاهد ولم يوصف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أن يجعل للدلاّل ما زاد على رأس المال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المال بكذا والزائد لك ، كما مرّ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مورد بطلت الجعالة للجهالة استحقّ العامل اُجرة المثل ، والظاهر أ نّه من هذا القبيل ما هو المتعارف من جعل الحلاوة المطلقة لمن دلّه على ولد ضائع أو دابّة ضالّة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الجعل ممّن له العمل ، فيجوز أن يجعل جعلاً من ماله لمن خاط ثوب زيد أو ردّ دابّته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الجعالة لشخص وأتى بالعمل غيره لم يستحقّ الجعل ذلك الشخص لعدم العمل ، ولا ذلك الغير ؛ لأ نّه ما اُمر بإتيان العمل ولا جعل لعمله جعل فهو كالمتبرّع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الجعالة على العمل لا بقيد المباشرة ؛ بحيث لو حصّل ذلك الشخص العمل بالإجارة أو الاستنابة أو الجعالة شملته الجعالة ، </w:t>
      </w:r>
    </w:p>
    <w:p>
      <w:pPr>
        <w:pStyle w:val="BookText"/>
        <w:rPr/>
      </w:pPr>
      <w:r>
        <w:rPr>
          <w:rFonts w:ascii="Amiri" w:hAnsi="Amiri" w:eastAsia="Amiri" w:cs="Amiri"/>
          <w:color w:val="111111"/>
          <w:sz w:val="28"/>
          <w:sz w:val="28"/>
          <w:szCs w:val="28"/>
          <w:rtl w:val="true"/>
          <w:lang w:bidi="ar-SA"/>
        </w:rPr>
        <w:t xml:space="preserve">وكان عمل ذلك الغير تبرّعاً عن المجعول له ومساعدة له ، استحقّ المجعول له بسبب عمل ذلك العامل الجعل المقرّر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الجعل على عمل ، وقد عمله شخص قبل إيقاع الجعالة أو بقصد التبرّع وعدم أخذ العوض ، يقع عمله ضائعاً وبلا جعل واُجرة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يستحقّ العامل الجعل المقرّر لو كان عمله لأجل</w:t>
      </w:r>
      <w:r>
        <w:rPr>
          <w:rStyle w:val="FootnoteAnchor"/>
          <w:rtl w:val="true"/>
        </w:rPr>
        <w:footnoteReference w:id="1239"/>
      </w:r>
      <w:r>
        <w:rPr>
          <w:rFonts w:ascii="Amiri" w:hAnsi="Amiri" w:eastAsia="Amiri" w:cs="Amiri"/>
          <w:color w:val="111111"/>
          <w:sz w:val="28"/>
          <w:sz w:val="28"/>
          <w:szCs w:val="28"/>
          <w:rtl w:val="true"/>
          <w:lang w:bidi="ar-SA"/>
        </w:rPr>
        <w:t xml:space="preserve">ذلك ، فيعتبر اطّلاعه على التزام العامل به ، فلو عمل لا لأجل ذلك بل تبرّعاً لم يستحقّ شيئاً ، وكذا لو تبيّن كذب المخبر كما إذا أخبر مخبر بأنّ فلاناً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كذا فردّها أحد اعتماداً على إخباره مع أ نّه لم يقله ، لم يستحقّ شيئاً ، لا على صاحب الدابّة ولا على المخبر الكاذب ، نعم لو كان قوله أوجب الاطمئنان لا يبعد ضمانه اُجرة مثل عمله للغرور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دلّني على مالي فله كذا ، فدلّه من كان ماله في يده لم يستحقّ شيئاً ؛ لأ نّه واجب عليه شرعاً ، 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مالي فله كذا ، فإن كان المال ممّا في ردّه كلفة ومؤونة كالعبد الآبق والدابّة الشاردة استحقّ</w:t>
      </w:r>
      <w:r>
        <w:rPr>
          <w:rStyle w:val="FootnoteAnchor"/>
          <w:rtl w:val="true"/>
        </w:rPr>
        <w:footnoteReference w:id="1240"/>
      </w:r>
      <w:r>
        <w:rPr>
          <w:rFonts w:ascii="Amiri" w:hAnsi="Amiri" w:eastAsia="Amiri" w:cs="Amiri"/>
          <w:color w:val="111111"/>
          <w:sz w:val="28"/>
          <w:sz w:val="28"/>
          <w:szCs w:val="28"/>
          <w:rtl w:val="true"/>
          <w:lang w:bidi="ar-SA"/>
        </w:rPr>
        <w:t xml:space="preserve">الجعل المقرّر ، وإن لم يكن كذلك كالدراهم والدنانير لم يستحقّ شيئاً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يستحقّ العامل الجعل بتسليم العمل ، فلو جعل على ردّ الدابّة إلى مالكها فجاء بها في البلد فشردت ، لم يستحقّ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w:t>
      </w:r>
    </w:p>
    <w:p>
      <w:pPr>
        <w:pStyle w:val="BookText"/>
        <w:rPr/>
      </w:pPr>
      <w:r>
        <w:rPr>
          <w:rFonts w:ascii="Amiri" w:hAnsi="Amiri" w:eastAsia="Amiri" w:cs="Amiri"/>
          <w:color w:val="111111"/>
          <w:sz w:val="28"/>
          <w:sz w:val="28"/>
          <w:szCs w:val="28"/>
          <w:rtl w:val="true"/>
          <w:lang w:bidi="ar-SA"/>
        </w:rPr>
        <w:t xml:space="preserve">الجعل على مجرّد إيصالها إلى البلد استحقّه ، كما أ نّه لو كان الجعل على مجرّد الدلالة عليها وإعلام محلّها استحقّ بذلك الجعل وإن لم يكن منه إيصال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كذا ، فردّها جماعة ، اشتركوا في الجعل المقرّر بالسويّة إن تساووا في العمل ، وإلاّ فيوزّع عليهم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جعلاً لشخص على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حائط أو خياطة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فشاركه غيره في ذلك العمل يسقط عن جعله المعيّن ما يكون بإزاء عمل ذلك الغير ، فإن لم يتفاوتا كان له نصف الجعل وإلاّ فبالنسبة ، وأمّا الآخر فلم يستحقّ شيئاً لكونه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يشترط على العامل المباشرة ، بل اُريد منه العمل مطلقاً ولو بمباشرة غيره ، وكان اشتراك الغير معه بعنوان التبرّع عنه ومساعدته ، استحقّ المجعول له تمام الجعل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الجعالة قبل تمامية العمل جائزة من الطرفين ولو بعد تلبّس العامل بالعمل وشروعه فيه ، فله رفع اليد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للجاعل فسخ الجعالة ونقض التزامه على كلّ حال ، فإن كان ذلك قبل التلبّس لم يستحقّ المجعول له شيئاً ، وأمّا لو كان بعد التلبّس فإن كان الرجوع من العامل لم يستحقّ شيئاً ، وإن كان من طرف الجاعل فعليه للعامل اُجرة مثل 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الرجوع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العمل مثل خياطة</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الثوب وبناء الحائط ونحوهما ممّا كان تلبّس العامل به بإيجاد بعض العمل ، وبين ما كان مثل ردّ الضالّة والآبق ونحوهما ممّا كان التلبّس به بإيجاد بعض مقدّماته الخارجة ، فله من المسمّى بالنسبة إلى ما عمل في الأوّل بخلاف الثاني فإنّه لم يستحقّ شيئاً ، والمسألة محلّ إشكال فلا ينبغي ترك الاحتياط بالتراضي والتصالح على كلّ حال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أنّ للعامل الرجوع عن عمله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التلبّس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مورد لم يكن في عدم إنهاء العمل ضرر على الجاعل ، وإلاّ فيجب عليه إمّا عدم الشروع في العمل ، وإمّا إتمامه بعد شروعه ، مثلاً إذا وقعت الجعالة على قصّ عينه أو بعض العمليات المتداولة بين الأطبّاء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الصلاح والعلاج مترتّب على تكميلها وفي عدمه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رفع اليد عن العمل بعد التلبّس به والشروع فيه ، ولو رفع اليد عنه لم يستحقّ</w:t>
      </w:r>
      <w:r>
        <w:rPr>
          <w:rStyle w:val="FootnoteAnchor"/>
          <w:rtl w:val="true"/>
        </w:rPr>
        <w:footnoteReference w:id="1242"/>
      </w:r>
      <w:r>
        <w:rPr>
          <w:rFonts w:ascii="Amiri" w:hAnsi="Amiri" w:eastAsia="Amiri" w:cs="Amiri"/>
          <w:color w:val="111111"/>
          <w:sz w:val="28"/>
          <w:sz w:val="28"/>
          <w:szCs w:val="28"/>
          <w:rtl w:val="true"/>
          <w:lang w:bidi="ar-SA"/>
        </w:rPr>
        <w:t xml:space="preserve">في مثله شيئاً بالنسبة إلى ما عمل بلا إشكال </w:t>
      </w:r>
      <w:r>
        <w:rPr>
          <w:rFonts w:eastAsia="Amiri" w:cs="Amiri" w:ascii="Amiri" w:hAnsi="Amiri"/>
          <w:color w:val="111111"/>
          <w:sz w:val="28"/>
          <w:szCs w:val="28"/>
          <w:rtl w:val="true"/>
          <w:lang w:bidi="ar-SA"/>
        </w:rPr>
        <w:t xml:space="preserve">. </w:t>
      </w:r>
      <w:bookmarkStart w:id="585" w:name="pg15003_160123"/>
    </w:p>
    <w:p>
      <w:pPr>
        <w:pStyle w:val="Heading2"/>
        <w:numPr>
          <w:ilvl w:val="1"/>
          <w:numId w:val="1"/>
        </w:numPr>
        <w:rPr/>
      </w:pPr>
      <w:bookmarkStart w:id="586" w:name="__RefHeading___Toc487995_3406789950"/>
      <w:bookmarkStart w:id="587" w:name="_Toc212"/>
      <w:bookmarkEnd w:id="585"/>
      <w:bookmarkEnd w:id="586"/>
      <w:r>
        <w:rPr>
          <w:rtl w:val="true"/>
        </w:rPr>
        <w:t>فهرس الموضوعات</w:t>
      </w:r>
      <w:bookmarkEnd w:id="587"/>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والتقليد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وضوء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يحرم على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على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الاستحاضة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بحال الاحتضار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تكفين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الكفن وآداب 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الجريدتين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تشييع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الدفن ومكروهاته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خاتمة تشتمل على مسائل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التنجيس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يعفى عنه منها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أعداد الفرائض ومواقيت اليومية ونوافلها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الستر والساتر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القلب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والذكر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سجدتي التلاوة والشكر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مبطلات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الخلل الواقع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شيء من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عدد ركعات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التي لا اعتبار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الظنّ في أفعال الصلاة وركعاتها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ركعات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الأجزاء المنسيّة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الاستئجار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الصلوات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الغفيلة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أوّل كلّ 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قواطع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إمام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الإمساك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للصائم ارتكابه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يترتّب على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صحّة الصوم ووجوبه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ثبوت هلال شهر رمضان وشوّال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الصوم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الصوم المندوب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الصوم 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الصوم المحظور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IRNazanin" w:hAnsi="IRNazanin" w:eastAsia="IRNazanin"/>
          <w:color w:val="111111"/>
          <w:sz w:val="28"/>
          <w:sz w:val="28"/>
          <w:szCs w:val="28"/>
          <w:rtl w:val="true"/>
          <w:lang w:bidi="fa-IR"/>
        </w:rPr>
        <w:t xml:space="preserve">وهنا مقصدان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الزكاة وما يستحبّ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يقع الكلام فيما يجب فيه الزكاة في ضمن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السوم ؛ أي الرعي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الرابع ؛ أي عدم كونها عوامل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بقي الكلام فيما يؤخذ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فيه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المستحقّين للزكاة ومصارفها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المستحقّين للزكاة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أحكام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الأبدان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قسمته ومستحقّه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المكاسب والمتاجر</w:t>
      </w:r>
    </w:p>
    <w:p>
      <w:pPr>
        <w:pStyle w:val="BookText"/>
        <w:rPr/>
      </w:pPr>
      <w:r>
        <w:rPr>
          <w:rFonts w:ascii="Amiri" w:hAnsi="Amiri" w:eastAsia="Amiri" w:cs="Amiri"/>
          <w:color w:val="111111"/>
          <w:sz w:val="28"/>
          <w:sz w:val="28"/>
          <w:szCs w:val="28"/>
          <w:rtl w:val="true"/>
          <w:lang w:bidi="ar-SA"/>
        </w:rPr>
        <w:t xml:space="preserve">مقدّمة تشتمل على مسائل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وهي إمّا في المتعاقدين وإمّا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المتعاقدين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خاتمة في أحكام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يدخل في المبيع عند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والتسليم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والنسيئة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المرابحة والمواضعة والتولية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الثمار في النخيل والأشجار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الحيوان ناطقه وصامته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الضروريات فيها وفيما يتلوها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التفصيل فيه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التقليد هو العمل مستنداً إلى فتوى الفقيه وهو الموضوع للمسألتين الآتيتين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يكون مصحّحاً للعمل هو صدوره عن حجّة كفتوى الفقيه وإن لم يصدق عليه عنوان التقليد ، وسيأتي أنّ مجرّد انطباقه على فتواه مصحّح 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مكبّ على الدنيا ولا حريصاً عليها وعلى تحصيلها جاهاً ومالاً على الأحوط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المساوي ، ويجب إذا كان الثاني أعلم على الأحوط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التعيّن غير معلوم ، نعم الأولى والأحوط تقليده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الاحتياط في الفرض الثاني في فتوى الذين يحتمل أعلميتهم ؛ بأن يأخذ بأحوط أقوالهم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المسائل التي يعلم تفصيلاً مخالفتهما فيها وكذا في الفرع الآتي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تحقّق التقليد منه بواسطة العمل ببعض المسائل فالظاهر جواز البقاء مطلقاً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الفرع الآتي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الجواز فيه ؛ لجواز الرجوع إلى الحيّ دون البقاء على الأوّل في الفرع السابق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انعزاله ، ولكن لا ينبغي ترك الاحتياط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صورة القطع بجامعيته للشرائط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الخبرة في الفرعين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 لو أتى به برجاء درك الواقع وانطبق عليه أو على فتوى من يجوز الرجوع إليه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تساقطهما مطلقاً مع أ نّه أحوط أيضاً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اطمأنّ من نفسه بعدم الابتلاء بها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 الاكتفاء بمقدار العلم بالاشتغال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حسن الظاهر كاشفاً تعبّدياً ولو لم يحصل منه الظنّ ، فضلاً عن العلم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بارتكاب الصغائر على الأحوط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الوصيّ نفس الاستئجار ، وأمّا الأعمال فهي أعمال الأجير ، والأقوى فيها لزوم رعاية تقليده لا تقليد الميّت ، وكذا المتبرّع ولو أتى الوصيّ بها استئجاراً أو تبرّعاً فالواجب عليه مراعاة تقليد نفسه على الأقوى وإن كان الأحوط رعاية التقليدين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بنحو الانحدار مع الدفع بقوّة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دونه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هو حال الاجتماع بعد التصعيد ، فربّما يكون المصعّد هو الأجزاء المائية وبعد الاجتماع يكون ماء مطلقاً وربّما يكون مضافاً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الشبهة المفهومية والشكّ في بقاء الموضوع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لا يبعد عدم التنجّس إلاّ إذا حمل أجزاء النجس فتغيّر بها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وامتزج بالمعتصم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 الامتزاج في تطهير المياه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طهارته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يحتاج على الأقوى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بلوغه ثلاثة وأربعين شبراً إلاّ ثمن شبر ، بل لا يخلو من قوّة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يحتاج على الأقوى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على ما تنجّس بها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اعتباره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كونه مطهّراً له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نجس مطلقاً على الأقوى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يترك الاحتياط بالتجنّب عنه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مميّزاً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ستر السرّة والركبة وما بينهما ، وأمّا استحبابه إلى نصف الساق فمحلّ تأمّل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هو الاستقبال والاستدبار العرفيان والظاهر عدم دخل الركبتين فيهما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الأوّل ، بل الأقوى الحرمة فيه إذا خرج معه القطرات ولا ينبغي تركه في الثاني أيضاً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لا يمكن الفحص ويتعسّر التأخير إلى أن تتّضح القبلة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كفاية المرّة في الرجل مع الخروج عن مخرجه الطبيعي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الاجتزاء بحصول النقاء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خصوصاً في العظم والروث ، بل حصول الطهارة مطلقاً محلّ 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إشكال في العفو في غير ما ذكر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الأولى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الاكتفاء بالوضوء في هذه الصورة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متناسب الأعضاء ، وغيره يرجع إليه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والأقوى جوازه بظاهره ، بل الجواز بالذراع لا يخلو من وجه ، والأقوى عدم التعيّن بالأيمن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كفايته إلى الكعب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قبّة ظهر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ترك الاحتياط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وقد مرّت قوّة الجواز اختياراً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كفاية المسح بالماء الجديد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 الصبّ تصرّفاً في المغصوب عرفاً أو جزءاً أخيراً للعلّة التامّة على الأحوط ، وإلاّ عدم البطلان هو الأقوى ، بل عدم البطلان مطلقاً لا يخلو من قوّة حتّى مع غصبية المكان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الصحّة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التفصيل بين أن يكون ما في اليد أجزاء مائية تعدّ ماءً عرفاً وبين محض الرطوبة التي كأ نّها من الكيفيات عرفاً ، فيصحّ في الثاني دون الأوّل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في غير ما جرت السيرة عليه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الفرعين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يجب فيما إذا كان مسبوقاً بوجوده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هو احتمال الالتفات حال الوضوء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علمه بعدم التفاته حال الوضوء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وجوبه ، بل لا يخلو من وجه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إن بقيت فيما هو خارج عن الحدّ كالشعر فوق الجبهة ، بل هو أشكل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نيّة القربة أعمّ من قصد الامتثال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مع استقلال الداعيين على الأحوط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على وجه التقييد ؛ بحيث كان من نيّته عدم ارتفاع غيره ، ففي الصحّة إشكال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الأمعاء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تأمّل ولا يترك الاحتياط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ذكر سائر موجبات الغسل عدا الجنابة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الاكتفاء بوضوء واحد فيه لكلّ صلاة مع عدم التجديد في الأثناء لا يخلو من قوّة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لزوم التجديد إن لم يتقاطر منه بين الصلاتين ، فيأتي بوضوء واحد صلوات كثيرة ما لم يتقاطر في فواصلها وإن تقاطر في أثنائها ، لكن لا ينبغي ترك الاحتياط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إلحاقه بالمبطون أقوى إن لم يكن داخلاً فيه موضوعاً ، كما لا يبعد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الاشتراط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يبني عليها في هذه الصورة أيضاً على الأقوى ، هذا إذا لم يعلم الحالة السابقة على اليقين بهما ، وإلاّ فالأقوى هو البناء على ضدّها ، فلو تيقّن الحدث قبل عروض الحالتين بنى على الطهارة ، ولو تيقّن الطهارة بنى على 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مجهولي التأريخ ، وكذا الحال فيما إذا علم تاريخ ما هو ضدّ الحالة السابقة ، وأمّا إذا علم تاريخ ما هو مثله فيبني على المحدثية ويتطهّر ، لكن لا ينبغي ترك الاحتياط في جميع الصور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صلوات متعدّدة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النزع ولو مع الإمكان ، بل يجب إيصال الماء تحتها على نحو يحصل مسمّى الغسل بشرائطه مع الإمكان ، نعم يجب النزع عن محلّ المسح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جريان أحكام الجبيرة في استيعابها لعضو واحد خصوصاً محلّ 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كانت الجبيرة مستوعبة لمعظم الأعضاء فلا يترك الاحتياط المذكور وإن لا تبعد كفاية التيمّم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أضرّ استعمال الماء ببعض العضو وأمكن غسل ما حوله لا يبعد الاكتفاء بغسله وعدم الانتقال إلى التيمّم ، والأحوط مع ذلك ضمّ التيمّم ، ولا يترك هذا الاحتياط وأحوط منه وضع خرقة والمسح عليها ثمّ التيمّم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غسل ما حول العين لا يبعد جواز الاكتفاء به على إشكال ، فلا يترك الاحتياط بضمّ التيمّم إليه ، ولو احتاط مع ذلك بوضع خرقة والمسح عليها ثمّ التيمّم كان حسناً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الشرعي في غير غسل الأموات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كفاية الشهوة فيهما ولا ينبغي ترك الاحتياط خصوصاً في المرأة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حصولها بالمسمّى فيه لا يخلو من قوّة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مع عدم التضرّر به وإن لا يبعد عدم الوجوب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على طهارة ، وكذا في الفرع الآتي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بإتيان أهله بالجماع طلباً للّذّة وإلاّ ففيه تأمّل وإن لا يبعد الجواز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الاشتراط فيهما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بل لا يبعد اشتراطه به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ارتفاعها في غير الوضوء محلّ تأمّل ، نعم الاُمور المذكورة توجب تخفيفها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الوضوء ، وعن الغسل أفضل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 غسله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ولبعض العنق ، وكذا في الجانب الأيسر ، والأحوط الأولى إدخال تمام الجانب الأيمن من العنق في الجانب الأيمن وإدخال بعض الرأس معه مقدّمة ، وإدخال تمام الجانب الأيسر من العنق في الجانب الأيسر وإدخال بعض الرأس مقدّمة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حصول الارتماسي بغمسه تدريجاً ولو دخل رجله في الطين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خروج بعض البدن عن الماء قبل أن ينغمس البعض الآخر مضرّ بتحقّقه ، والأحوط أن يكون الغمس بالدفعة العرفية ، ففي الأنهار والجداول التي تدخل الرجل في الطين يجوز الارتماسي وإن كان الأحوط اختيار الترتيبي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وإباحته على الأحوط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إباحة ما ذكر مبنيّة على الاحتياط ، وعدم الاشتراط لا يخلو من وجه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فيهما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عدمه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للمجنب بالإنزال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اجتهد في الاستبراء بحيث قطع بنقاء المحلّ وعدم بقاء المنيّ في المجرى واحتمل أن يكون المنيّ حادثاً لا تجب الإعادة على الأقوى ، وكذا إذا كان طول المدّة منشأ لقطعه ، لكن الأحوط الإعادة في الصورتين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الاستئناف ، بل لا يكفي الارتماسي على الأحوط وإنّما يجب عليه غسل الطرفين لأجل الاحتياط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كفاية الغسل الواحد عن الأغسال المتعدّدة مطلقاً إذا نوى الجميع ، وأمّا كفايته مع عدم نيّتها ففيها إشكال فلا يترك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تبعد كفاية نيّة الجنابة عن سائر الأغسال ، لكن لا ينبغي ترك الاحتياط بنيّة الجميع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أحمر يضرب إلى السواد أو أحمر طريّ له دفع وحرقة وحرارة ، ودم الاستحاضة مقابله في الأوصاف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تردّد وإن لا يبعد ، وكذا فيما ترى المرأة بعد اليأس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حصول الوثوق بحيضيته لا يبعد الحكم بها وبالبلوغ ، وأمّ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في غير ذلك فمحلّ تأمّل وإشكال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فيما رأت بعد العادة بعشرين يوماً ؛ بالجمع بين تروك الحائض وأعمال المستحاضة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بإدخال قطنة وتركها مليّاً ثمّ إخراجها رقيقاً على الأولى الأحوط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والأقوى صحّة عملها لو حصلت منها نيّة القربة مع تبيّن عدم كونه حيضاً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لا يخلو من وجه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وجوب الاختبار فإن خرج الدم من الجانب الأيسر فحيض وإلاّ فمن القرحة ، لكن لا ينبغي ترك الاحتياط ولو مع العلم بالحالة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مع تعذّر الاختبار تعمل بالحالة السابقة ، ومع الجهل بها تجمع بين أعمال الطاهرة وتروك الحائض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اعتباره ، لكن لا ينبغي ترك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رأت ثلاثة أيّام متواليات ثمّ انقطع وعاد قبل العشرة من حين رؤية الأوّل يكون من حين الرؤية إلى تمام العشرة محكوماً بالحيض حتّى أيّام النقاء على الأقوى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العادة الوقتية فقط بل العددية فقط بالمرّتين لا يخلو من شوب إشكال وإن كان الأقوى تحقّقهما بهما ، فلا ينبغي ترك الاحتياط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بقاء العادة فيما لو رأت مرّتين غير متماثلتين تأمّل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الاحتياط لا ينبغي أن يترك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ما إذا كان كلّ واحد من الدمين والنقاء أقلّ من العشرة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إذا كانت ذات عادة عددية وكان أحد الدمين موافقاً لها تجعله حيضاً دون الآخر ، ويتقدّم على التميّز على الأقوى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كانت ذات عادة وقتية وعددية ووقع بعض أحد الدمين في الوقت غير موافق للعدد ، والدم الآخر بمقدار العدد في غير الوقت تحتاط في كليهما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وتحتاط إلى تمام العشرة ، فلو رأت ثلاثة أيّام دماً وثلاثة أيّام طهراً وستّة أيّام دماً جعلت الثلاثة الاُولى حيضاً وتحتاط في البقيّة إلى تمام العشرة ؛ بالجمع بين تروك الحائض وأفعال الطاهرة في النقاء المتخلّل ، وبالجمع بين تروك الحائض وأفعال المستحاضة في أيّام الدم إلى تمام العشرة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ولو كان بصفات الحيض ، إلاّ في يوم واحد على الأحوط وإن كان الأقوى استحبابه مطلقاً ، ولا ينبغي ترك الاحتياط في الزائد أيضاً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إلغاء الأوصاف مطلقاً وصيرورتها فاقدة التميّز محلّ إشكال ولا يبعد لزوم الأخذ بالصفات في الدم الأوّل وتتميمه أو تنقيصه بما هو وظيفتها من الأخذ بالروايات أو عادة نسائها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نعم لا تترك الاحتياط من لم تستقرّ لها عادة بما ذكره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فقد الأقارب أو اختلافهنّ ، ومع وجودهنّ أيضاً لا يبعد وجوب جعل أوّل الرؤية حيضاً بمقدارهنّ عدداً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رجعت إلى أقاربها مع الوجدان ، وإلاّ تحيّضت بما ذكر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جوازه قبله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الجهل عن تقصير ، على الأحوط في بعض الموارد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والأحوط ذلك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وجهاً لإعطاء الستّة ، والوجه في السبعة ضعيف ، والإعطاء لعشرة مساكين له وجه أوجه من إعطاء السبعة وإن كان ضعيفاً في نفسه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ولخصوصيات المسألة مقام آخر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بأقوى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خلافه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خلافه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الكلّية إشكال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يعلم كونه منهما ما لم تكن المرأة مقروحة أو مجروحة على الأحوط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عدم ثقبها والظهور من الجانب الآخر وفي المتوسّطة الثقب والظهور من غير السيلان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الاحتياط راجع إلى التبديل أو التطهير دون وجوب الوضوء فإنّه الأقوى ، وكذا يجب غسل ظاهر الفرج مع التلوّث في الأقسام الثلاثة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والوضوء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بالنسبة إلى الصلاة التي انتقلت من الأدنى إلى الأعلى في أثنائها فعليها الاستئناف والعمل على الأعلى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بالنسبة إلى ليلية الليلة الماضية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إعادتها في هذه الصورة مطلقاً على الأحوط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الحكم مبنيّ على الاحتياط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بأقوى ، والأقوى عدم لزوم الوضوء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ما هو الأقوى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خلافه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وجوبه في هذه الصورة أيضاً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وجوب الغسل إذا اشتمل على العظم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فيه وفيما بعده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بل لا يخلو من قوّة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لزومه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يترك الاحتياط ما لم ينقل عن محلّ الاحتضار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كما أنّ الأحوط غسله بالكيفية التي عندنا والتي عندهم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يأتي تفصيله في النجاسات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خروج روحه في المعركة حين اشتعال الحرب أو في غيرها قبل إدراكه المسلمون حيّاً ، وأمّا لو عثروا عليه بعد الحرب في المعركة وبه رمق يجب غسله وتكفينه على الأحوط إذا خرج روحه فيها ، وأمّا إذا خرج خارجها فالظاهر وجوب غسله وتكفينه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إلحاق الحيّ بالميّت في جميع الفروع الآتية إشكال ، لا يترك الاحتياط بالإلحاق فيها وعدم الإلحاق في المسّ بعد الغسل في العظم أو المشتمل عليه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إلحاقه بغيره في الغسل إشكال ، بل عدم الوجوب لا يخلو من قوّة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يشتمل عليه فعلاً وكان محلاًّ له حال الحياة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شرط فيها على الأقوى ، فلا يجوز قيام الغير به بدونه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تسقط شرطيته مع امتناعه عنه وعن القيام به على الأقوى وإن كان الأحوط الاستئذان من المرتبة المتأخّرة ، وفيما إذا كان الوليّ قاصراً لا يبعد وجوب الاستئذان من الحاكم الشرعي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ضامن الجريرة ، بل وفي الحاكم الشرعي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الرجال وإن لا يخلو من وجه لكن لا ينبغي ترك الاحتياط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وإن لا يخلو من وجه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ممنوعة ، والأحوط الاستئذان منهما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انقضاء عدّة الطلاق ، وأمّا بعده فالأقوى عدم الجواز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جوازه مجرّداً مع ستر العورة لدى الضرورة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مكاتبة على الأحوط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إلى غيره من عدم مسّ الماء وبدن الميّت والغسل في الكرّ والجاري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الأحوط ترك الغسل ودفنه بثيابه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وجوبه لا يخلو من قوّة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لزومه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لا يبعد جواز الاكتفاء بيد الميّت إن أمكن ، والاحتياط بالجمع لا يترك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بعيد ، فالمتعيّن هو الاحتمال الأوّل على الأقوى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منافاة ما ذكره هاهنا مع تقريب احتمال وجوب صرفه في الثالث في الفرع المتقدّم ، لكن الأقوى ما ذكره هاهنا كما مرّ في الفرع المتقدّم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التقصير في العمرة وبعد السعي في الحجّ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فيه محذور ؛ من هتك حرمة الميّت بواسطة فساد جثّته أو الحرج على الأحياء بواسطة رائحته أو تجهيزه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 غير الغصب ، وأمّا فيه ففي مثل الفرض إشكال ، والأحوط للمغصوب منه أخذ قيمة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 الغاصب هو الميّت فالأقوى جواز النبش ولو مع الهتك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هذه الصورة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أ نّه من السنن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الميّت امرأة حاملاً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تثليث غسل اليدين والفرجين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الأقوائية تأمّل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 للأشمل على غيره لدى الدوران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 على نحو يصدق عليه الثوب يجوز ولو في حال الاختيار ، وإلاّ فلا يقدّم على غيره لدى الدوران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القرض في هذه الصورة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توقّف على إخراجه من القبر وهتكه فلا يجب بل لا يجوز ، كما لا يجوز تبديله في الفرض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استثني ، والظاهر خروج ما هو المتعارف اللائق بشأنه من الأصل وكذا سائر مؤونة التجهيز ، ولا ينبغي ترك الاحتياط في الزائد على الواجب مع التحفّظ على عدم إهانته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فيها ، بل الظاهر كونه عليه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عمّا لو مات قبلها أو مقارناً لها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الدفن ، دون قبله وبعد التكفين ؛ فإنّ الكفن في هذه الصورة على الزوج ولهم الرجوع إلى عين مالهم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شبر ونصف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يغمز في الموضع الذي انتهى إليه اللفّ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الذريرة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الحبرة ، فإنّ الأولى أن تكون برداً أحمر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الأولى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كلّ ثوب منه شيء من الكافور والذريرة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والجريدتين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استحبابه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التجنّب عن الكتابة في المواضع التي تنافي احترامها عرفاً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الأولى فيه وفيما بعده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الإتيان به رجاءً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ودونه درهم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يوضع معه رجاءً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تأخيره عن الخلاف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شبر في جانب القلّة وإلى ذراع في جانب الكثرة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يحملها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كراهته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كراهته في جنازة المؤمن ، لكن الأفضل ما ذكر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ليحرموا من فضل حملها على الأكتاف ، وأمّا كراهة حملها على الدابّة فغير معلومة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الشخص المعزّى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دليله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تركهنّ التشييع ولا يبعد الكراهة للشابّة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الضياء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تفصيل يأتي في النجاسات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تقديم الرجال مع وجودهم ، بل هو أحوط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اشتراطه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 عمل الوليّ ووجوب استئذان الوصيّ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اعتبارها غير بعيد ، وكذا في شرائط الجماعة إلاّ فيما يشترط في صدقها عرفاً كعدم البعد المفرط والحائل الغليظ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هو الإتيان بوظيفة الأقلّ والأكثر بالنسبة إلى الأدعية ، فإذا شكّ بين الاثنين والثلاث بنى على الأقلّ فأتى بالصلاة على النبي وآله ودعا للمؤمنين والمؤمنات وكبّر ودعا للمؤمنين والمؤمنات ودعا للميّت وكبّر ودعا للميّت رجاءً وكبّر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مستلقياً على قفاه ، ثمّ بعد الصلاة عليه يضطجع على الهيئة المعهودة فيوارى في قبره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مثل التكلّم والقهقهة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الإجزاء في هذه الصورة لا يخلو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الأقوى عدمه فيما إذا اعتقد عدم وجوده فتبيّن خلافه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تقديم الفريضة مقتصراً على أقلّ الواجب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هذه الكيفية والاقتصار على الاُولى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الإتيان بها رجاءً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دليله بالكيفية الخاصّة ، ولا بأس بالعمل به رجاءً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 استحباب إسرار المأموم تأمّل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الراجحات العقلية وأمّا رجحانه الشرعي فغير ثابت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يمكن تحصيل العلم ولو بالتأخير على وجه لا يخاف على الميّت ولا يضرّ بالمباشرين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يستلزم النبش وإلاّ ففيه تأمّل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لزوم محذور ككون البئر ملك الغير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مع عدم الفرق بينه وبين غيره من المواضع ، وإلاّ فيشقّ الموضع الذي يكون الخروج معه أسلم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مع عدم استلزامه للنبش ، ولا ينبغي ترك الاحتياط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 بل الأقوى عدم الجواز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جوازه ، خصوصاً إذا كان البقاء هتكاً له ، فيجب النبش والنقل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التأمّل فيه إذا لم يستلزم النبش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كراهة غير الساج تأمّل وإن كان استحباب وضع الميّت على التراب لا يخلو من وجه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الترك مع استلزام الهتك على الميّت وإيذاء الأحياء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حسن فيه مع الإشكال الآتي ، بل الأقوى وجوب الدفن بالمواراة تحت الأرض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من المحرّمات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إشكال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أدمت ، وإلاّ فتجب على الأحوط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قبل فساد البدن وأمّا بعده فلا ، وكذا إذا لزم منها هتكه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لا إشكال في الثانية إذا لم يتغيّر البدن ولا يتغيّر إلى وقت الدفن بما يوجب منه الهتك والإيذاء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محذور فيه ، ككون الآثار ملكاً للباني ، أو الأرض مباحة حازها وليّ الميّت لقبره ، وبالجملة الحكم بجواز المحو حيثي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مشروعيته في ليلة السبت محلّ تأمّل ، فلا يترك الاحتياط الآتي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خوف مطلق العذر به لا يخلو من وجه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الزوال لا بعده ، وإن تركه يستحبّ قضاؤه بعد الزوال ويوم السبت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الأولى إتيانه قبيل الغروب إلاّ ليالي العشر الأخيرة ، فإنّه لا يبعد رجحانه فيها بين العشاءين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الأغسال الفعلية ، وأمّا غسل يوم الغدير فالأولى أن يؤتى به صدر النهار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يؤتى به رجاءً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السيّد والشهيد ، ولا بأس بالإتيان به رجاءً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يؤتى به رجاءً أيضاً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يؤتى به رجاءً أيضاً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الصدوق ، ولا بأس بإتيانه رجاءً أيضاً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 لكن لا ينبغي ترك الاحتياط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استحبابها بعد الدخول للكون فيها إذا ترك قبله ، خصوصاً إذا لم يتمكّ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منه قبله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نعم لا يشرع الإتيان بها بعد الحدث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حصول الاطمئنان من قول النائب مشكل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المناط في الرمي غاية ما يقدر الرامي عليه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مصادفة عدم الماء ، وكذا مع عدم عثوره عليه لو طلبه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المعتدّ به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الوقت واسعاً له ، وإلاّ فالأحوط تجديد التيمّم وإعادة الصلاة ، وكذا في الفروع الآتية التي حكم فيها بالإعادة مع عدم إمكان المائية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الأحوط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لا يخلو من قوّة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حصل من منشأ يعتني به العقلاء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الانتقال إلى التيمّم خوف فوت الوقت وهو حاصل في الصورتين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بالقضاء مع المائية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سائر الغايات ، فلا يجوز مسّ كتابة القرآن على الأحوط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وفيه تفصيل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بل لا يخلو من وجه وجيه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بإتيانه رجاءً للأكبر أيضاً ، كما أنّ الأولى قصد الرجاء في غير صورة خوف فوت صلاة الجنازة ، وفي غير صورة التذكّر لعدم الوضوء بعد الدخول في فراشه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انحصار المرتبة الاُولى به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لا يخلو من قوّة ، وأمّا الجصّ والنورة بعد إحراقهما فالأحوط عدم الجواز مع التمكّن من التراب ونحوه ، ومع عدمه يحتاط بما ذكره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بالموضوع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وجيه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الوضوء ما هو الأقوى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محلّ الضرب خارج المحبس ، وإلاّ فهو كالتيمّم به لا يخلو من إشكال وإن كان الأقوى الصحّة في الصورتين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الوجوب أظهر ، لكن ينبغي أن يفرك الوحل كنفض التراب ، وأمّا الإزالة بالغسل فلا يجوز بلا إشكال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حرجياً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سقوط الأداء ، والأحوط ثبوت القضاء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كانت الكفاية لا تخلو من قوّة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مسح مجموع الممسوح بمجموع الماسح في الجبهة والجبين على النحو المتعارف ؛ أي الشقّ الأيمن باليد اليمنى والأيسر باليسرى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 وأمّا مع تعذّر البعض أو بلا حائل فالأحوط الجمع بين الضرب والمسح ببعض الباطن أو الباطن مع الحائل وبينهما بالظاهر ، والانتقال إلى الذراع مكان الظاهر في الدوران بينهما لا يخلو من وجه ، والأحوط الجمع بينهما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بالجمع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يعدّ حائلاً عرفاً ، لا مثل الشعرة والشعرتين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الأحوط أن يضرب ضربة ويمسح بها وجهه وكفّيه ، ويضرب اُخرى ويمسح بها كفّيه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له ذراع ، وإلاّ فتيمّم بها وبالموجودة ، والأحوط مسح تمام الجبهة والجبينين بالموجودة بعد المسح بهما على المتعارف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الكلام في الفرع الآتي ، فمقطوع اليدين لو كان له الذراع تيمّم بها وهو مقدّم على مسح الجبهة على الأرض وعلى الاستنابة ، بل الأحوط تنزيل الذراعين منزلة الكفّين في المسح على ظهرهما أيضاً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وجوبه لا يخلو من قوّة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مع رجاء ارتفاع العذر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رجاء زوال العذر لا ينبغي ترك الاحتياط كالسابقة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لا يمكن صرفه إلاّ في أحدهما خاصّةً ، وإلاّ فما يكفي للغسل يكفي للوضوء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بل لا يخلو من وجه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فلا تترك الاحتياطات الآتية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وتمكّن من استعماله شرعاً وعقلاً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يمكن صرفه في الوضوء ، وأمّا مع إمكان صرفه في كلّ منهما لا كليهما فالأحوط صرفه في الغسل والتيمّم بدل الوضوء وإن كان بقاؤه لا يخلو من وجه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ممنوعة ، خصوصاً بالنسبة إلى ما هو بدل الغسل ، بل عدم الاعتناء مطلقاً وجيه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إلاّ فيما ليس له لحم كالذباب والبقّ وأشباههما ، وإن كانت الطهارة لا تخلو من وجه خصوصاً في الخرء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نجاسة الخرء والبول من الطير الغير المأكول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إحراز عدم المأكولية محلّ إشكال كما مرّ ، ولذا يشكل في خرء الحيّة وإن كانت الطهارة لا تخلو من وجه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الحيوان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الأقوائية تأمّل ، ولكن لا يترك الاحتياط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اُحرز أ نّها ممّا تحلّه الحياة فالأقوى نجاستها إذا انفصلت من الحيّ أو الميّت قبل بلوغها واستقلالها وزوال الحياة عنها حال حياة الظبي ، ومع بلوغها حدّاً لا بدّ من لفظها فالأقوى طهارتها ؛ كانت مبانة من الحيّ أو الميّت ، كما أ نّه مع الشكّ في كونها ممّا تحلّها الحياة محكومة بالطهارة ، ومع العلم به والشكّ في بلوغها ذلك الحدّ محكومة بالنجاسة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ذكرنا يتّضح حال المسك إذا سرت رطوبة الفأرة إليه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في الحكم بالطهارة في هذه الصورة على ما عمل المسلم معه معاملة المذكّى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فيهما ، وإن كانت الطهارة في العلقة في البيضة لا تخلو من رجحان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طهارته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الحيوان المأكول ، وأمّا من غيره فالأحوط الاجتناب عنه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خلافه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بانخراق الجلد ونحوه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حرمته أيضاً ، ولكن لا ينبغي ترك الاحتياط فيه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صارا مسكراً وكذا التمري ،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الغليان بنفسه موجب للسكر ، ومع الشكّ فيه يحكم بالطهارة في الجميع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 الأكل مطلقاً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يرجع جحوده إلى إنكار الرسالة ، ولكن نجاسة الخوارج والنواصب لا تتوقّف على ذلك ، بل الطائفتان نجستان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الغالي فإن كان غلوّه مستلزماً لإنكار الاُلوهية أو التوحيد أو النبوّة فهو كافر ، وإلاّ فلا يوجب شيئاً منهما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طهارة عرق ما عدا الإبل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في بعضها ممنوعة لو لم يلزم الهتك ، لكن لا يترك الاحتياط فيها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لكنّه أحوط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الإلحاق مع عدم أمارة على المسجدية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طرح الثوب النجس والصلاة عرياناً يصلّي كذلك على الأقوى ، وكذا في الفرع الآتي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ضاق الوقت أو لم يحتمل احتمالاً عقلائياً زوال العذر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الإتيان بها عارياً ، وكذا مع الضيق ولا يجب القضاء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أن يصلّي عارياً ويقضي خارج الوقت في ثوب طاهر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فلا يترك الاحتياط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لم ترد شهادتهما على موضوع واحد إشكال ، ولا يترك الاحتياط فيما إذا كانت شهادتهما بنحو الإجمال حتّى لديهما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تأمّل ؛ لأنّ في اعتبار قول المولى بالنسبة إلى نجاسة بدن عبده أو جاريته ولباسهما الذي تحت يديهما إشكالاً ، بل عدم اعتباره لا يخلو من قوّة ، خصوصاً إذا أخبرا بالطهارة فإنّ الأقوى اعتبار قولهما لا قوله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إخباره بالطهارة مستنداً إلى الأصل ، وكذا في الفرعين الآتيين ، فلو أخبرت البيّنة بالطهارة مستندة إلى الأصل لا تعارض البيّنة القائمة بالنجاسة المستندة إلى الوجدان وكذا العكس ، ولا تقدّم البيّنة المستندة إلى الأصل على قول ذي اليد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اعتباره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ويراعى الاحتياط في المميّز مطلقاً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قلّة الواسطة كالاثنتين والثلاثة ، وفيما زادت على الأحوط وإن كان الأقرب مع كثرتها عدم التنجيس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إجراؤها ، فيغسل الملاقي لملاقي البول مرّتين ، وكذا الإناء الملاقي للإناء الذي ولغ فيه الكلب خصوصاً إذا صبّ ماء الولوغ فيه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لزومه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ممّا لا مشقّة في تطهيره أو تبديله على النوع فالأحوط إزالته أو تبديل ثوبه ، إلاّ أن يكون حرجاً عليه فلا يجب بمقدار الخروج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فالميزان في العفو أحد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يكون في التطهير والتبديل مشقّة على النوع فلا يجب مطلقاً ، أو يكونا حرجياً عليه مع عدم المشقّة النوعية فلا يجب بمقدار التخلّص عنه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دم البواسير منها وكذا كلّ قرح وجرح باطني خرج دمهما إلى الظاهر لا يخلو من قوّة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سعته غير معلومة يقتصر على القدر المتيقّن وهو سعة عقد السبّابة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 وإن كان العفو عمّا بعده لا يخلو من وجه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العفو عن شبه النضح مطلقاً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 لكن لا ينبغي ترك الاحتياط في الغليظ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وإن لا يخلو من وجه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العفو عنه إلاّ إذا كان مسبوقاً بالأكثر من مقدار العفو وشكّ في صيرورته بمقداره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الجواز من رجحان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تغسل كلّ يوم لأوّل صلاة ابتلت بنجاسة الثوب فتصلّي معه الصلاة بطهر ثمّ صلّت فيه بقيّة الصلوات من غير لزوم التطهير ، بل لا يخلو من وجه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اعتبار التعفير في الولوغ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بمثل العصر أو ما يقوم مقامه من الفرك والغمز ونحوهما فيما يقبله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الإناء المتنجّس بالولوغ إشكال ، فالأحوط تطهيره بهما كتطهيره بالقليل ، وكذا في شرب الخنزير وموت الجرذ بل في مطلق الإناء المتنجّس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المتنجّس بالبول التعدّد في الكرّ كالقليل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نفوذ الرطوبة فيها بل لا بدّ من نفوذ الماء المطلق بحيث يصدق أ نّه غسل به ، وتحقّق ذلك في غاية الإشكال في غالبها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بعيد والأقوى بقاء نجاسة البواطن إلاّ بما تقدّم ، ومع الشكّ في النفوذ أو تحقّق الغسل يحكم ببقاء النجاسة ، نعم مع القطع بهما والشكّ في بقاء الإطلاق يحكم بالطهارة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التعفير به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ضعيف جدّاً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قوّته تأمّل ، لكن لا يترك الاحتياط ، وكذا لا يترك في مباشرة لعابه من غير ولوغ ، ولا يلحق به مباشرته بباقي أعضائه على الأقوى ، والاحتياط حسن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يتّضح وجه معتدّ به للاحتياط بثلاث غسلات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الاكتفاء به تأمّل إذا لم يصدق الغسل بالتراب والتعفير به ، نعم لو وضع خرقة على رأس عود وأدخل فيه وحرّكها عنيفاً ليحصل التعفير كفى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كما مرّ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عدم سقوط التعفير فيه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يفعل ذلك ثلاثاً على الأحوط كما مرّ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يعتبر على الأحوط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الإشكال في أمثالهما ، وأمّا تطهير بواطنها بالقليل فلا يمكن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مع بقاء إطلاقه وإخراج الغسالة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علم عدم منعه وصول الماء إلى الثوب ، وفي الاكتفاء بالاحتمال إشكال ، بل في الحكم بطهارته أيضاً لا بدّ من العلم بانغساله ولا يكفي الاحتمال على الأحوط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شرائط التطهير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أحوطه ذلك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المحتاج إليها في البناء المستدخلة فيه ، لا مطلق ما في الجدار على الأحوط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الأشجار وما بعدها من الإشكال حتّى الأواني المثبتة ، وكذا السفينة والطرّادة وإن لا يخلو من قوّة ، ولا ينبغي ترك الاحتياط بل لا يترك في الأخيرة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تطهيرهما بها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وجفّ باطنه بسبب إشراقها على الظاهر ويكون باطنه المتنجّس متّصلاً بظاهره المتنجّس على الأحوط ، فلو كان الباطن فقط نجساً أو كان بين الظاهر والباطن فصل بالجزء الطاهر بقي الباطن على نجاسته على الأحوط ، بل لا يخلو من قوّة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جزءاً منها عرفاً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الإشكال في مثله ، والتفصيل بين المسامير والأوتاد المستدخلة في البناء وغيرها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رماداً أو دخاناً كما صار كذلك بالقوّة البرقية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الحكم بالنجاسة وتوقّف زوالها على الانقلاب خلاًّ موقوف على إحراز أ نّه مع الغليان بنفسه يصير مسكراً ، ومع الشكّ محكوم بالطهارة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التبعية لا يخلو من قوّة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والخرقة الملفوفة بها حين غسله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اعتباره ، بل يعامل معه معاملة الطهارة إلاّ مع العلم ببقاء النجاسة ؛ كان عالماً بها أم لا ، معتقداً لنجاسة ما أصابه أم لا ، والاحتياط حسن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الإبل بما ذكر ، وفي البقر عشرون يوماً ، وفي الغنم بما ذكر ، وفي البطّة خمسة أيّام ، وفي الدجاجة بما ذكر ، بل لا يخلو كلّ ذلك من قوّة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المحرّم الأكل والشرب فيها أو منها ؛ لا تناول المأكول والمشروب منها ولا نفس المأكول والمشروب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الأكل والشرب ، وأمّ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في غيرهما فالمحرّم استعمالها ، فإذا اغترف منها للوضوء يكون الاغتراف محرّماً لا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التناول الذي هو مقدّمة للأكل والشرب أيضاً محرّم من باب حرمة مطلق الاستعمال حتّى يكون في الأكل والشرب محرّمان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والشرب ، والاستعمال بالتناول ؟ فيه تأمّ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وإشكال ، وإن كان عدم حرمة الثاني لا يخلو من قوّة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عدم الحرمة لا يخلو من قرب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حرمته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المأمور ؛ باستعمال الآنية ، والآمر ؛ بالأمر بالمنكر بناءً على حرمته كما لا تبعد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أدرج قضاء ولد الأكبر عن والده في اليومية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وقتهما بعد مقدار إتيان صلاة الليل من انتصافها ، ولكن الأحوط عدم الإتيان بهما قبل الفجر الأوّل إلاّ بالدسّ في صلاة الليل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ضيق الوقت ، وفي غيره يأتي به رجاءً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 منه التفريق ، كما كان يصنعه النبي صلى‌الله‌عليه‌و‌آله‌وسلم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الإتيان بها رجاءً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بين صلاة المغرب وسقوط الشفق الغربي على الأقوى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لا يخلو من قوّة ، ومع العلم بعدم التمكّن من إتيانهما في وقتهما فالأحوط الإتيان بهما رجاءً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بالإتيان بعده بقصد ما في الذمّة وكذا في العامد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مبدؤها بعد مقدار أداء الظهر وإن كان ما ذكره أظهر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الحمرة المغربية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حدوثها يساوق مع زمان التجلّل والإسفار وتنوّر الصبح المنصوص بها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وقع تمامها في وقت الظهر تصحّ على الأقوى ، كما لو اعتقد أ نّه صلّى الظهر فصلّى العصر ثمّ تبيّن عدم الإتيان بالظهر وأنّ تمام العصر وقع في الوقت المختصّ بالظهر ، لكن لا يترك الاحتياط في أمثاله ممّا لم يدرك جزءاً من الوقت المشترك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بالإتمام ثمّ الإتيان بالمغرب ثمّ العشاء ، بل بطلانها لا يخلو من قوّة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كونها أداءً وإن كان الأحوط عدم نيّة الأداء والقضاء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الأذان ظنّاً معتبراً على الأحوط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وتحصيل المقدّمات كالطهارة المائية أو الترابية وغيرهما على حسب حاله ، فإن كانت المقدّمات حاصلة أوّل الوقت كفى مقدار أداء الصلاة حسب حاله وتكليفه الفعلي ، وإذا ارتفع العذر في آخر الوقت فإن وسع الطهارة والصلاتين وجبتا أو الطهارة وصلاة واحدة وجبت صاحبة الوقت ، وكذا الحال في إدراك ركعة مع الطهور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شهادتهما عن حسّ ، كالشهادة بزيادة الظلّ بعد نقصه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وتقوم مقامه البيّنة على الأقوى مع استنادها إلى المبادئ الحسّية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الجهة العرفية محرزة ؛ بأن يكون التوجّه إليها توجّهاً إلى القبلة عرفاً فهو داخل في العلم بالقبلة ، وإن كان المراد بالجهة العرفية ما هي أوسع من ذلك كأن تكون محرزة في نصف الدائرة ؛ أي لا تكون القبلة خارجة عنه ، فيدخل في الصورة الآتية من سقوط اعتبار سائر المحتملات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جواز إتيان الثانية عقيب الاُولى في كلّ جهة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انكشف في الأثناء إنحرافه عمّا بين اليمين والشمال فإن وسع الوقت حتّى لإدراك ركعة قطع الصلاة وأعادها مستقبلاً ، وإلاّ استقام للباقي وتصحّ صلاته على الأقوى ولو مع الاستدبار ، والأحوط قضاؤها أيضاً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كالركعة الاحتياطية ، وقضاء الأجزاء المنسيّة على الأقوى ، وسجدتي السهو على الأحوط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الستر فيه على نحو ما وجب في الصلاة محلّ إشكال ، ولكن لا يترك الاحتياط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يتوقَّع وجود ناظر تحتها ، وأمّا الشبّاك على مثل البئر فلا يجب على الأقوى إلاّ مع وجود ناظر فيه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بعيدة ، فالأقوى لمن لا يجد شيئاً يصلّي فيه حتّى مثل الحشيش والورق إتيان صلاة فاقد الساتر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في ترك الصلاة في الأوّلين مع الاختيار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هو الغاصب فلا يخلو من إشكال ، فلا يترك الاحتياط بالإعادة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جريانه في المصبوغ إذا لم يبق في الثوب إلاّ اللون ، وأمّا مع بقاء الجوهر الذي صبغ به فالأقوى جريان حكمه عليه ، كما أنّ الأقوى جريانه في المخيط وإن لم يمكن ردّ الخيط بالفتق ، فضلاً عمّا يمكن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في هذه الصورة الاقتصار على ما عمل المسلم معه معاملة المذكّى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 ولكن لا ينبغي ترك الاحتياط فيه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التغطّي به عند النوم ، لا التلبّس به فوق الشعار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لزومه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بل لا يبعد الصحّة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 نّه إذا لم يجد ساتراً حتّى الحشيش يصلّي عرياناً قائماً إن كان يأمن من ناظر محترم وإن لم يأمن صلّى جالساً ، وفي الحالين يومئ للركوع والسجود ويجعل إيماءه للسجود أخفض ، وإذا صلّى قائماً يستر قبله بيده وإذا صلّى جالساً يستره بفخذيه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الوجوب لا يخلو من قوّة ، لكن لا ينبغي ترك الاحتياط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بأقوى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الإشكال فيما إذا كان الناسي هو الغاصب ، فلا يترك الاحتياط بالإعادة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بطلانها فيها ، وكذا لا يجوز التصرّف مطلقاً في تركته إذا كانت متعلّقة للزكاة والخمس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استرضاء وليّ الميّت أيضاً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الجواز في الأراضي المتّسعة جدّاً ، كالصحاري التي من مرافق القرى وتوابعها العرفية ومراتع دوابّها ومواشيها حتّى مع ظهور الكراهة والمنع ، وأمّا الأراضي التي لم تكن بتلك المثابة من الاتّساع كالمزارع ، فيجوز التصرّف مع الجهل بالحال ، وأمّا مع ظهور الكراهة فيشكل ذلك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بالتساوي ، والتقدّم سوء الأدب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المعفوّ عنها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هو الجواز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جميع أصنافه إلاّ ما هو مصنوع ولا يعلم أنّ مادّته ممّا يصحّ السجود عليها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ففي مثل قشر التفّاح والخيار ممّا هو مأكول ولو بالتبع أو يؤكل أحياناً أو يأكله بعض الأشخاص لا يجوز على الأقوى ، ويلحق به قشور الحبوب ممّا هي مأكولة معها تبعاً على الأحوط ، نعم لا بأس بقشر نوى الأثمار إذا انفصل عن اللبّ المأكول ومع عدم مأكولية 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بالسجود عليه مطلقاً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 السجود عليه مطلقاً ، لكن لا ينبغي ترك الاحتياط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الإيماء للسجود قائماً ، وكذا إتيان التشهّد قائماً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فقدان ثوب من القطن والكتّان يسجد على ثوبه من غير جنسهما ، ومع فقده يسجد على ظهر كفّه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الترتيب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هي أ نّه قال رسول اللّه صلى‌الله‌عليه‌و‌آله‌وسلم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بنى مسجداً في الدنيا أعطاه اللّه بكلّ شبر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ذراع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مسيرة أربعين ألف عام مدينة من ذهب وفضّة ودرّ وياقوت وزمرّد وزبرجد ولؤلؤ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الكراهة في بعض تلك الموارد محلّ نظر والأمر سهل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استحبابها ، لكن في تركها بل في ترك الأذان حرمان عن ثواب جزيل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في غير عصر يوم عرفة وعشاء ليلة العيد بمزدلفة ممنوعة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 مطلق الجمع ، لكن لا يبعد عدم الاختصاص بالمسجد ، بل لا يبعد أن يكون السقوط لمريد هذه الجماعة لأجل بقاء حكم الداخل فيها من الاكتفاء بأذانهم وإقامتهم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التفصيل في بعضها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وأعلى منه مراتب اُخر تشير إلى بعضها ما وردت في كيفية صلاة المعراج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كونه مبطلاً فيها ، وكذا في الأوصاف المتّحدة معها خارجاً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جميع موارد اشتراك الداعي حتّى مع تبعية داعي الضميمة ، فضلاً عن كونهما مستقلّين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التعيّن بالتعيين ، ولا يحتاج إلى العدول ، بل القصر يحصل بالتسليم بعد الركعتين ، كما أنّ الإتمام يحصل بضمّ الركعتين إليهما خارجاً من غير دخل للقصد فيهما ، فلا يبعد أن يكون العلاج مجدياً ؛ عدل أم لم يعدل ، ولا يبعد أن يتعيّن العمل بحكم الشكّ ، ولا ينبغي ترك الاحتياط بما ذكر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إلى منافاته للصلاة ، وإلاّ فالأقوى عدم البطلان مع الإتمام أو الإتيان ببعض الأجزاء في هذا الحال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الوقت المختصّ بالعصر ، وكذا إذا شكّ في إتيان الظهر على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الوقت المختصّ إن علم أ نّه لم يأتِ بالظهر رفع اليد عنها واستأنف العصر إن أدرك ركعة من الوقت وقضى الظهر بعده ، وإن لم يدرك رفع اليد عنها وقضى الصلاتين ، والأحوط الذي لا يترك إتمامها عصراً مع إدراك بعض الركعة ثمّ قضاؤهما ، وإن لم يدر إتيان الظهر فلا يبعد جواز عدم اعتنائه بشكّه ، لكن الأحوط قضاؤه أيضاً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فيما إذا تجاوز محلّ العدول الإتمام ثمّ الإتيان بالمغرب والعشاء مرتّباً ، وكذا في الفرع الآتي وإن كان ما في المتن لا يخلو من قوّة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الصلوات القضائية على الأحوط ، لو لم يكن الأقوى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 العدول إذا خاف فوت وقت فضيلة ما بيده تأمّل ، بل عدمه لا يخلو من قوّة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القول بصحّة المعدول عنه إذا تذكّر قبل الدخول في ركن ، فعليه الإتيان بما أتى بغير عنوانه بعنوانه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ترك الاستقرار سهواً أتى بالمنافي احتياطاً ، ثمّ كبّر مستقرّاً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وعدم التفريج الغير المتعارف وإن صدق عليه القيام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الوقوف عليهما على الأقوى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بعض مراتبهما الميسورة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السقوط على وجه العزيمة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 الاكتفاء بالإيماء والاجتزاء بهذه السورة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غير العامد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بالإخفات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ترك مثله ؛ خصوصاً في المقارب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لا تبعد أرجحية الأوّل ، كما أ نّه لا تبعد أرجحية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مع الواو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الأفضل للإمام القراءة وللمأموم التسبيح وهما للمنفرد سواء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إن لم يتحقّق القصد منه ولو ارتكازاً إلى عنوان القراءة ، وإلاّ فالأقوى هو الصحّة ، وكذا في الفرع الآتي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اختيار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الركعة الاُولى من العشاءين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الثانية منهما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يأتي في محلّه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به لا يخلو من شوب إشكال ، لكن تكفي الكيفيتان المذكورتان ، والأحوط الثانية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ومع عدم تمكّنه من الإيماء يجعل غمض العينين ركوعاً وفتحهما رفعاً على الأحوط ، وأحوط منه أن ينوي الركوع بالانحناء مع الإيماء وغمض العين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وجه آخر هو السجود بلا انتصاب وهو الأقوى من بين الوجوه ، إذا عرض النسيان بعد وقوفه في حدّ الركوع آناً ما ، وإلاّ فلا يترك الاحتياط برفع الرأس ثمّ الهويّ إلى السجود وإتمام الصلاة وإعادتها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الاجتزاء بمطلق الذكر ، والأحوط كونه بمقدار الثلاث من الصغرى أو الكبرى الواحدة ، كما أنّ الأحوط مع اختيار التسبيح هو اختيار الثلاث من الصغرى أو الكبرى الواحدة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البطلان مطلقاً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بأنقص منه ، حتّى مثل رأس الأنملة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والمطبوخة على الأقوى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حاله ، فلا بأس بتغيير المحلّ فيما عدا الجبهة بين الذكر الواجب حال عدم اشتغاله به ، فلو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رفع يده ووضع ، وأتى بالبقيّة لا يضرّ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ملاحظة الركبتين والإبهامين حين السجدة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الأولى ، بل الأحوط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عمد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المفروض عدم إمكان الجرّ إلى ما يصحّ السجود عليه فلا وجه لإعادة الذكر ، بل الأحوط إتمام الصلاة والإعادة وإن فرض إمكانه فالواجب جرّه إليه وإعادة الذكر ولا يلزم إعادة الصلاة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تحصيل هيئة السجود بوضع بعض الوجه على الأرض أو مقدّم الرأس ، ومع تعذّره تحصيل ما هو الأقرب إلى هيئته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تحقّقه بمجرّد الوضع وأن يكون العود القهري عوداً إلى السجدة الاُولى عرفاً ، فيجب الإتيان بالذكر الواجب ، وحينئذٍ مع القدرة على إمساكها يحسب هذا الوضع سجدة مطلقاً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إذا لم يمكنه تحصيل بعض المراتب الميسورة من السجود ، ومع إمكانه يجب وضع ما يتمكّن من المساجد في محلّه على الأقوى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وبعدهما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التكرّر مع التعاقب لا يخلو من قوّة ولو لم يتخلّل السجود ، ومع عدم التعاقب لا يبعد عدمه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 ولعلّ الاحتياط في قراءة النائم أشدّ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لزوم وضع ما عدا الجبهة ، وعدم اعتبار ما يصحّ السجود عليه ، والأحوط تركه على المأكول والملبوس ، بل عدم الجواز لا يخلو من وجه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تعيّن هذه الصورة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قصد التوظيف والخصوصية في التشهّد الثاني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كراهته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الثانية جزءاً واجباً على تقدير عدم الإتيان بالاُولى ومستحبّاً لو أتى بها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استحبابه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الاجتزاء به كما مرّ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قدّم غير ركن على ركن ، كما لو قدّم التشهّد على السجدتين فلا بأس ، لكن مع إمكان التدارك يعود إلى ما يحصل به الترتيب وتصحّ صلاته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الإبطال مع العمد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لزم من تحصيل الموالاة زيادة مبطلة على الأقوى ، وفي غيره على الأحوط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استحبابه فيها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ولا يبعد التخيير بين تقديم التسبيح على التحميد وتأخيره عنه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الأقوى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يسيراً ، وأمّا إذا كان فاحشاً بحيث يجعل صفحة وجهه مقابلاً ليمين القبلة أو شمالها فالأقوى كونه مبطلاً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استعمل اللفظ المهمل المركّب من حرفين في معنىً كنوعه وصنفه يكون مبطلاً على الأقوى ، ومع عدمه كذلك على الأحوط ، وكذا الحرف الواحد المستعمل في المعنى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 إلى أوّل بعض الأسماء بقصد إفهامه كما هو المتعارف بل لا يخلو إبطاله من قوّة ، فالحرف المفهم مطلقاً وإن لم يكن موضوعاً إذا كان بقصد الحكاية لا تخلو مبطليته من قوّة ، كما أنّ اللفظ الموضوع إذا تلفّظ به لا بقصد الحكاية وكان حرفاً واحداً لا يبطل على الأقوى ، وإن كان حرفين فصاعداً فالأحوط مبطليته ما لم يصل إلى حدّ محو اسم الصلاة وإلاّ فهي الأقوى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إبطال مطلق مخاطبة غير اللّه تعالى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المماثلة في تقديم السلام على الظرف واجبة ، لا في غيره وإن كان الأحوط مراعاة ما ذكر ، ولو قدّم المسلّم الظرف على السلام قدّم المجيب السلام على الظرف على الأقوى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يخرج عن صدق سلام التحيّة ، وإلاّ فلا يجوز في الصلاة ردّه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عدم قصده ، بل عدم جوازه قويّ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المسلّم بعيداً لا يمكن إسماعه الجواب لا يجب جوابه على الظاهر ، فلا يجوز ردّه في الصلاة ، وإذا كان بعيداً بحيث يحتاج إسماعه إلى رفع الصوت يجب رفعه إلاّ إذا كان حرجياً ، فلا يجب الردّ فإذا كان في الصلاة ففي وجوب رفعه وإسماعه تردّد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في غير حال الصلاة فضلاً عن حالها ؛ للشكّ في الموضوع ، وعدم جريان الأصل الموضوعي بنحو التعليق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الاحتياط ضعيف الوجه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الضحك المشتمل على الصوت والترجيع ، والمشتمل على الصوت ملحق به حكماً على الأحوط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يبطلها إلاّ مع محو صورة الصلاة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إبطاله لا يخلو من قوّة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تلك الأمثلة مناقشة ، 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الاسم عند المتشرّعة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لزم من تحصيل الموالاة زيادة مبطلة ، وإلاّ فعلى الأحوط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عنه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الالتفات مع إتيانها حال المشي ، وفي غيرها الأحوط الإبطال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الاقتصار عليها ، وأحوط منه الاقتصار على ما إذا حدث العطش بين الاشتغال بالوتر ، بل الأقوى عدم استثناء من كان عطشاناً فدخل في الوتر ليشرب بين الدعاء قبيل الفجر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الركن مطلقاً ، وفي غيره عمداً ، وكذا في النقصان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يحدث منه حرفان ، وإلاّ فالأحوط الاجتناب عنه ، وكذا الحال في التأوّه والأنين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جوازه فيها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سريع الزوال ، كمرور بعض الأحجار الجوّية عن مقابلهما بحيث ينطمس نورهما عن البصر لكن زال بسرعة ، فإنّه لا اعتبار به أيضاً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القضاء عليهما في الموقّت ، وعدم لزوم أداء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الحيض والنفاس المستوعبين ، وأمّا غيره ففيه تفصيل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وجوبها لا يخلو من قوّة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بركوع الخامسة عن آخر السورة وافتتاح السورة في الثانية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يأتي في محلّه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إذا تذكّر في الأثناء ، فإنّه لا ينبغي ترك الاحتياط فيه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الاحتياط والرجاء في نسيان الطمأنينة ، وكذا في نسيانها في الانتصاب من السجود في الفرع الآتي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كان وضع أحد المساجد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سجدتي السهو احتياطاً فيه وفي نسيان التشهّد ، وإن كان الأقوى فوت محلّ التدارك فيهما بعد السلام مطلقاً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يتلبّس بتكبيره على فرض الإتيان به ، وقبل الهويّ على فرض عدمه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الشروع في تكبيره ، والأقوى في هذه الصورة هو الاكتفاء بالقراءة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الفرعين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الاكتفاء بالتشهّد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هذه الصورة قضاء الظهر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قضاء الظهر وكذا المغرب في الفرع الآتي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على الأقوى ، نعم يجب التدارك في الشكّ في السجود في حال الأخذ بالقيام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جريان الحكم في مطلق ما ذكر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كونه في هيئته لا يكفي ، نعم إذا اشتغل بفعل مترتّب على التكبيرة ولو كان مثل الإنصات المستحبّ في الجماعة ونحوه كفى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هو الإعادة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صور الهدم يثبت عمل الشكّ ؛ لكونه مندرجاً في الموضوع حال القيام ، فيجب الهدم للعمل بالشكّ لا أ نّه يهدمه لانقلاب شكّه ، ففي الشكّ بين الأربع والخمس حال القيام يصدق عليه أ نّه لم يدر ثلاثاً صلّى أو أربعاً ، فيجب عليه التسليم والانصراف وصلاة ركعتين جالساً أو ركعة قائماً ، فلا بدّ له من هدم القيام مقدّمة للتسليم ، وكذا الحال في سائر الصور الآتية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وجوباً للشكّ بين الأربع والخمس ، ومرّة احتياطاً لزيادة القيام ، وإن كان عدم وجوبها لزيادته لا يخلو من قوّة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إحراز الركعتين الاُوليين اللتين لا يقع فيهما الوهم حال القيام ، فلا يجب الهدم بل تبطل حال حدوث الشكّ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بالبناء والإعادة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البطلان فيه وفي الفرع الآتي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شوب إشكال ، فلا يترك الاحتياط الآتي في الفرعين ، نعم لو حدث شكّه بعد الإتيان بالركعة المفصولة لا يعتني به وبنى على الصحّة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هذه الصورة أيضاً العمل بموجب الشكوك ، ثمّ الإعادة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لزوم ركعة متّصلة في الفرع الأوّل ولزوم عمل الشكّ الثاني في الفرع الثاني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تعيّن الجلوسية التي تكون إحدى طرفي التخيير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الصحّة في غير الشكّ في الاُوليين ، والأحوط في الشكّ فيهما الإعادة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 العلاج يجديه من غير حاجة إلى العدول ، وأ نّه لا يبعد تعيّن العمل بحكم الشكّ وأ نّه لا ينبغي ترك الاحتياط بالعمل بحكمه وإعادة الصلاة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فيه وفي الفرع الآتي وجوب المضيّ وقضاؤه بعد الصلاة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الشبهة من جهة الاُمور الخارجية، وأمّا في الشبهة المفهومية فيعمل عمل الشكّ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الإتيان ولو بقصد القربة من جهة مراعاة الواقع رجاءً ، فالأحوط تركه ، بل لا يخلو عدم الجواز من قوّة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جريانه لا يخلو من وجه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يعمل الظانّ على طبق ظنّه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الرجوع في هذه الصورة والعمل بشكّه هو الأقوى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تذكّر بعد الصلاة يأتي به رجاءً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اعتباره في الركعات مطلقاً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والعلاج بالاحتياط لا يترك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النقص أحد طرفي شكّه كالفرض المذكور ، وأمّا مجرّد موافقة الاحتياط للنقص في المقدار ففي جبره إشكال ، كما لو شكّ بين الاثنين والأربع وبنى على الأربع وأتى بصلاة الاحتياط ركعة اشتباهاً فتبيّن النقص بركعة ، فالأحوط في مثله الإعادة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إتيان ركعة أو ركعتين متّصلة وفي الفرع الآتي بعد الإتيان بركعة متّصلة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الاكتفاء بما جعل الشارع جبراً ولو كان مخالفاً في الكمّ والكيف ، فمن شكّ بين الثلاث والأربع وبنى على الأربع وشرع في الركعتين جالساً فتبيّن كون صلاته ثلاث ركعات أتمّهما واكتفى بهما ، لكن لا ينبغي ترك الاحتياط مطلقاً بالإعادة ، خصوصاً في صورة المخالفة ، وأمّا في غير صورة ما جعله جبراً كما لو شكّ بين الثلاث والأربع واشتغل بصلاة ركعتين جالساً فتبيّن كونها ثنتين ، فالأحوط قطعها وجبر الصلاة بركعتين موصولتين ثمّ إعادتها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الأقوى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يخلّ بالفورية ، وإلاّ فلا يبعد وجوب العدول إلى أصل الصلاة إن كانت مرتّبة ، والأحوط إعادتها بعد ذلك أيضاً ، ومع عدم الترتّب يرفع اليد عنها ويعيد أصل الصلاة ، والأحوط الإتيان بصلاة الاحتياط ثمّ الإعادة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وأمّا أبعاضه حتّى الصلاة على النبي وآله فلا يجب قضاؤها على الأقوى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وجوب الإعادة ، بل يأتي بهما ، لكن لا ينبغي ترك الاحتياط في الترك العمدي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الأحوط إتيان سجدة السهو فيه وفي الفرع الآتي ، لكن الأقوى كونها قضاءً ووقوع التشهّد والسلام في محلّهما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وجوبه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قطعها إشكال ، خصوصاً إذا كان المنسيّ التشهّد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تقديم العصر لا يخلو من قوّة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 وفي نسيان التشهّد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وجوبه لا يخلو من قوّة ، لكن لا ينبغي ترك الاحتياط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بل وجوب تقديمها لا يخلو من رجحان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شيء ممّا لا يتوقّف مسمّى السجود عليه لا يخلو من قوّة ، نعم لا يترك الاحتياط في ترك السجود على الملبوس والمأكول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عدم الوجوب سيّما المخصوص منه لا يخلو من قوّة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الجمعة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فيقضي على الأحوط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الطهارة ولو كانت ترابية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سقوط الأداء عنه ولا ينبغي ترك الاحتياط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وسوى بعض صور صلاة الآيات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الأحوط في المنذورة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بالجمع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وتتأكّد كراهة تركه إذا شغله عنها جمع الدنيا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طوله ، وأدنى ذلك ما ذكر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وجوبه مطلقاً مع العلم بالترتيب ، وأمّا مع الجهل فالأحوط ذلك وإن كان عدمه لا يخلو من قوّة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يأتي بأربع مردّدة بين العصر والعشاء ، ولا يجوز الاكتفاء بالعشاء ؛ لاحتمال أن يكون المتروك الظهر والعصر ، وله أن يأتي بأربع مردّدة بين الظهر والعصر والعشاء وأربع مردّدة بين العصر والعشاء ، وإذا علم أ نّه في السفر أتى بركعتين مردّدتين بين الأربع وبمغرب وركعتين مردّدتين بين الثلاث ما عدا الاُولى ، وله أن يأتي بركعتين مردّدتين بين الصبح والظهر والعصر وركعتين مردّدتين بين الظهرين والعشاء ، ولا يجوز الاكتفاء بما في المتن ؛ لاحتمال أن يكون المتروك الصبح والظهر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يعلم أ نّه كان مسافراً أو حاضراً أتى بركعتين مردّدتين بين الأربع وبمغرب وركعتين مردّدتين بين الثلاث ما عدا الاُولى وأربع مردّدة بين الظهرين والعشاء وأربع مردّدة بين العصر والعشاء ، ولا يجوز الاكتفاء بما في المتن ؛ لاحتمال أن يكون المتروك هو الصبح والظهر في السفر أو العصر والعشاء في 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علم أنّ عليه ثلاثاً من الخمس يأتي بالخمس إن كان في الحضر وإن كان في السفر يأتي بركعتين مردّدتين بين الصبح والظهرين وركعتين مردّدتين بين الظهرين والعشاء وبمغرب وركعتين مردّدتين بين العصر والعشاء ، ولا يجوز الاكتفاء بما في المتن ؛ لاحتمال أن يكون المتروك الصبح والظهر وتتصوّر طرق اُخر للتخلّص ، 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بإتيان جميع المحتملات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 لكن ينبغي أن يأتي بها مكرّراً حتّى يغلب على ظنّه الإتيان ، ولو كرّرها حتّى حصل العلم بالفراغ مطلقاً فهو أحسن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بظهور أماراته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مع الرجاء وإن كان له وجه ، فالأحوط تأخيره إلى الوجدان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تركه وكذا ترك العدول منها إلى الفائتة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المرض عذراً يسوّغ ترك الصلاة رأساً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الإلحاق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الفرق بين العمد وغيره ، نعم لا يبعد عدم إلحاق ما تركه عصياناً وطغياناً ، وإن كان الأحوط إلحاقه أيضاً ، بل لا يترك هذا الاحتياط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وجوبه عليه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يعتبر فيه قصد تقرّب المنوب عنه ، فإنّ النائب أجير لإتيان ما في ذمّة المنوب عنه لتقرّبه لا لتقرّب نفسه ، نعم لو قصد في تحصيل هذا التقرّب للمنوب عنه الإحسان إليه للّه تعالى يحصل له القرب أيضاً كالمتبرّع إذا كان قصده ذلك ، وأمّا إعطاء الثواب على الأجير كما يظهر من بعض الأخبار فهو لمحض التفضّل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مباشرة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كان أو 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أوصى إليه بالمباشرة ولم يكن حرجاً عليه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إجارة نفسه لعمل يرى بحسب اجتهاده أو تقليده أ نّه باطل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وجوبه في صورة العلم ، فلو علم بأنّ الميّت كان عالماً به فالأقوى وجوب تحصيل الترتيب وتعيين الوقت لهم ، ولو علم بأ نّه لم يكن عالماً أو شكّ فيه لا يجب تحصيله ويجوز المقارنة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 في المتن من أنّ المسلّم مع القول به عدم جواز تقديم اللاحق لا وجوب تقديم السابق فلا يضرّ المقارنة ضعيف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انصراف في البين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كونها متعارفة عند نوع المكلّفين تأمّل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اجتماع سائر الشرائط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إتيانها فرادى في عصر الغيبة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يأتي به رجاءً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ترك الجماعة فيها ، فلا موضوع للخطبة ولا لبعض الفروع المتفرّعة على الجماعة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في المحلّ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وكذا الحال في قضاء التشهّد والسجدة المنسيّين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والأحوط أن يأتي بها رجاءً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 وزياد القندي ضعيف على الظاهر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تكون المحلاّت كالقرى المتقاربة ، وإلاّ ففيه الإشكال الآتي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لوحظ من منزله وإن كان القول بأنّ مبدأ الحساب في مثلها من منزله ليس ببعيد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يتمكّن من التقليد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كون الذهاب هو السير إلى النقطة المقابلة للبلد ، فإذا كان إليها أربعة تحصل المسافة وإن كان شغله فيما قبلها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بالشرط المتقدّم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العود إلى القصر ، خصوصاً إذا كان القطع يسيراً ، لكن لا ينبغي ترك الاحتياط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لا يعتني به العقلاء ، كاحتمال حدوث مرض أو غيره ممّا يكون مخالفاً للأصل العقلائي ، وأمّا مع احتمال عروض عارض يعتني به فمن قبيل التردّد في النيّة ، وكذا الحال في احتمال عروض المقتضي لنيّة الإقامة أو المرور بالوطن في الفرع الآتي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 نّه لا يبعد العود إلى التقصير ، خصوصاً إذا كان القطع يسيراً ، ولا ينبغي ترك الاحتياط المزبور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كانت تقويتها محرّمة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 هذه الصورة وبين ما إذا كانا مستقلّين ، والأظهر فيهما التمام وإن كان ترك الاحتياط لا ينبغي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انقطاعه بمجرّد قصد المعصية قبل أن يتلبّس بالسير مع قصدها إشكال ، بل عدم الانقطاع أوجه ، والأحوط الجمع ما دام في المنزل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التمام لا يخلو من قوّة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الفرع مع سابقه مشترك في الإشكال وإن كان البقاء على التمام فيه أيضاً لا يخلو من قوّة ، ولا ينبغي ترك الاحتياط بالجمع فيهما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البقيّة مسافة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فلا يترك الاحتياط بالصوم والقضاء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عروض ما يخرج العود عن جزئية سفر المعصية ، كما لو كان محرّكه للرجوع غاية اُخرى مستقلّة لا الرجوع إلى وطنه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الملاّحين وأصحاب السفن الذين كانت منازلهم فيها معهم من هذا القبيل لا من الصنف الآتي ، نعم إذا كان منزل الملاّح خارج السفينة واتّخذ الملاحة صنعة يكون من الآتي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وجوب القصر في السفر الأوّل مع صدق العناوين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وغير منويّة ، ولا ينبغي ترك الاحتياط في هذه الصورة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كان له ذلك ولكن كان الرعي عمله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فيهما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مراعاة رفع الأمارتين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تأمّل فالأحوط تقديرها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استلزم محذوراً كمخالفة العلم الإجمالي أو التفصيلي ببطلان صلاته ، كمن صلّى الظهر تماماً في الذهاب في مكان وأراد إتيان العصر في الإياب فيه قصراً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اعتقد إتمامها قبل حدّ الترخّص ، وإلاّ فإن لم يدخل في الركعة الثالثة ووصل إلى الحدّ أتمّها قصراً وصحّت ، ومع الدخول فيها فمحلّ إشكال ، فالأحوط إتمامها قصراً ثمّ إعادتها تماماً ، أو تماماً ثمّ إعادتها قصراً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اعتبار هذه القيود في الوطن الأصلي ، بل المكان الذي هو مسقط رأسه ووطن أبويه وطنه ولو قصد الإعراض عنه والتوقيت في السكنى فيه ، ولا يخرج عن الوطنية إلاّ بالإعراض العملي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بل في الثلاثة أيضاً إشكال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المناط فيه الصغر والكبر الشرعيين ، بل المناط هو الاستقلال في الإرادة والتعيّش وعدمه ، فربما يكون الصغير المميّز مستقلاًّ فيهما عرفاً وربما يكون بعض الكبار غير مستقلّ كالبنات في أوائل بلوغهنّ الشرعي ، بل بعض البنين أيضاً ، ولا يختصّ ذلك بأبويهما بل الميزان هو التبعية وإن كانت لسائر قراباته أو لأجنبيّ ، هذا كلّه في الوطن المستجدّ ، وأمّا الوطن الأصلي فقد مرّ الكلام فيه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بقاؤه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عدم كفايته ، ولكن لا يترك الاحتياط حتّى الإمكان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كان تعيّن القصر فيهما لا يخلو من وجه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بالعزم على الإقامة وإتيان صلاة صحيحة تامّة ، كما تقدّم من غير مدخل لبقاء العشرة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إذا كان المقصد في طريق بلده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وبالأخصّ إذا كان محلّ الإقامة في طريق بلده ، بل لا ينبغي تركه في هذه الصورة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في الذهاب والمقصد ، بل لا يبعد وجوب التمام فيهما ، لكن لا يترك الاحتياط بالجمع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البقاء على التمام ما لم ينشئ سفراً جديداً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البطلان والرجوع إلى القصر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المستقرّ عليه التمام بعد ثلاثين يوماً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الإتيان بها رجاءً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الجهل لا في النسيان ، فمعه يجب عليه القضاء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بالجمع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فلا يترك الاحتياط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إتيانها فرادى في عصر الغيبة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صلاة الاحتياط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فروض المعادة بناءً على المشروعية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مجرّد هيئة الائتمام لا يكفي في البناء عليه ، بل لا بدّ فيه من الاشتغال بشيء من أفعال المؤتمّين ولو مثل الإنصات المستحبّ في الجماعة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بطلان صلاته لا يخلو من قوّة إذا لم يزد ركناً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جماعته وصلاته في الصورتين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ولو كان لا يخلو من قوّة ، خصوصاً في الصورة الاُولى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أدرك بعض الركعة قبل الركوع ، وإلاّ ففيه إشكال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الصحّة فرادى في الفرعين ، والأحوط الإتمام والإعادة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بالدخول فيها رجاءً على الأقوى ، فإن أدركه صحّت صلاته وإلاّ بطلت لو ركع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إذا كان الإمام بطيئاً يخرج به عن صدق القدوة ، نعم لا بأس به مع صدقها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عدم الدخول في هذه الجماعة ، فإن نوى لا يترك الاحتياط بإتمام صلاته بعد تسليم الإمام وإعادتها ، وإن كان الاكتفاء بالنيّة والتكبير وإلقاء ما زاد تبعاً للإمام وعدم بطلان صلاته لا يخلو من وجه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تأتمّ بالرجل ، وفي السترة بين صفوف النساء بعضهنّ مع بعض إشكال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المقدار اليسير الذي لا يرى العرف أ نّه أرفع منهم ولو مسامحة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متعارفة كسطح الدكّان والبيت ، لا كالأبنية العالية المتداولة في هذا العصر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بل الجواز لا يخلو من قرب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بطلان صلاة من على جانبيه ممّن كان بينهم وبين الإمام أو الصفّ المتقدّم حائل ، بل البطلان لا يخلو من قوّة ، وكذا الحال في المحراب الداخل ، نعم تصحّ صلاة الصفوف المتأخّرة أجمع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فلا يترك الاحتياط بالعدول إلى الانفراد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وإشكال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تهيّؤاً مشرفاً على العمل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القراءة في الجهرية مع سماع قراءة الإمام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جوازها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ينجرّ إلى التأخّر الفاحش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جواز إتمام القراءة واللحوق بالسجود ولعلّه أحوط أيضاً وإن كان قصد الانفراد جائزاً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الواجب فيها عدم التقدّم والتقارن ، والأحوط عدم الشروع فيها قبل تمامية تكبير الإمام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مشكلة ، بل ممنوعة فيما إذا ركع حال اشتغال الإمام بالقراءة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بذكر ركوعه وسائر واجباته ، وإلاّ فالأحوط بطلانها ، وأحوط منه الإتمام ثمّ الإعادة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الإتيان بواجباته ، وإلاّ بطلت صلاته إن كان الإخلال عمداً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فلا يترك الاحتياط فيه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حسبت ثانية ، فله قصد الانفراد وإتمام الصلاة ولا يبعد جواز المتابعة في السجدة الثانية وجواز الاستمرار إلى اللحوق بالإمام ، والأوّل أحوط ، كما أ نّه مع المتابعة إعادة الصلاة أحوط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محلّ إشكال وإن لا يخلو من وجه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استحبّ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لمثله أيضاً محلّ إشكال ، بل عدمه لا يخلو من قرب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والصغائر على الأقوى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الاجتناب عن منافيات المروءة فيها ممنوع ، كما أنّ تفسير منافياتها بما ذكر محلّ منع ، نعم ارتكاب أعمال دالّة عرفاً على عدم مبالاة فاعلها بالدين مضرّ بها لا من حيث اعتبار المروءة فيها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بالعقاب أو شدّد عليه تشديداً عظيماً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دلّ على كونها أكبر من بعض الكبائر أو مثله أو حكم العقل عليه أو كان في ارتكاز المتشرّعة كذلك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 ذلك وما يليه ومحاربة الأولياء من الكبائر التي يعتبر اجتنابها في العدالة مسامحة ، كما أنّ التحديد بهذا العدد غير معلوم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لم يحصل الظنّ منه على الأقوى ، فمجرّد حسن الظاهر كافٍ في جواز الاقتداء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الاقتداء بالمعذور في غير إمامة القاعد لمثله والمتيمّم لغيره وذي الجبيرة لغيره مشكل لا يترك الاحتياط بتركه ، وإن كان إمامة المعذور لمثله أو لمن هو متأخّر عنه رتبةً كالقاعد للمضطجع لا يخلو من وجه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الاقتداء إذا رأى المأموم صحّة صلاته مع خطائه في الاجتهاد ولو لم يكن متّحداً معه في العمل ، نعم يشكل الاقتداء فيما يتعلّق بالقراءة ولو رأى صحّة صلاته مع بطلان قراءته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الجهل بتخالفهما في الرأي ، وأمّا مع العلم به والشكّ في تخالفهما في العمل فالأقوى عدم الجواز في المسائل التي لا يجوز معها الاقتداء مع وضوح الحال ، كما أ نّه يعرض الإشكال فيه في المسائل المحكومة بالإشكال معه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الإمام على وجه يحكم بصحّة صلاته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الأولى ترك الاقتداء بهم جميعاً ، نعم إذا تشاحّوا في تقديم الغير وكلّ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يا فلان ، ينبغي للقوم وللأئمّة ملاحظة المرجّحات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قبيح بل مخالف للمروءة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فيهما وفي المحدود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 والأظهر صحّة صلاته جماعةً ، فيغتفر فيها ما يغتفر في الجماعة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شرعاً ، بل المعيار حصول الصوم عن عزم باقٍ في النفس ولو ذهل عنه بنوم وغيره ، ولا فرق في حدوث هذا العزم مقارناً لطلوع الفجر أو قبله في أجزاء ليلة اليوم الذي يريد صومه أو قبلها ، فلو عزم على صوم الغد من اليوم الماضي ونام على هذا العزم إلى آخر النهار صحّ على الأصحّ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وفي المرض لا يخلو من إشكال وإن لا يخلو من قرب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الصحّة في هذا الفرع ولو على وجه الترديد في النيّة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وكذا لو رفع اليد عنه لزعم اختلال صومه ثمّ بان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 نيّة القطع ، وأمّا نيّة القاطع ؛ بمعنى نيّة ارتكاب المفطر ، فليس بمفطر على الأقوى وإن كانت مستلزمة لنيّة القطع تبعاً ، نعم لو نوى القاطع والتفت إلى استلزامها ذلك فنواه استقلالاً بطل على الأقوى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التردّد في إدامة الصوم أو رفع اليد عنه ، وكذا لو استتبع ذلك تردّده في البطلان لعروض ما لم يدر أ نّه مبطل أو لا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قهراً وبلا اختيار ، لا مكرهاً فإنّه مبطل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مبطليتها ، فلا يبطل مع القصد إن لم يتحقّق الدخول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إبطال مسمّى الدخول في المقطوع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الغسل ، وأمّا بعده فمع العلم بحدوث جنابة جديدة فالأحوط تركه ، بل لا يخلو لزومه من قوّة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خلافه ، نعم لا يترك الاحتياط في قضاء شهر رمضان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ولا يترك الاحتياط بإتيان ليلية الليلة الماضية ، ويكفي عنها الغسل قبل الفجر لإتيان صلاة الليل أو الفجر ، فصحّ صومها حينئذٍ على الأقوى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قضاء شهر رمضان الإتيان به وبعوضه ؛ وإن كان جواز الاكتفاء بالعوض بعد شهر رمضان الآتي لا يخلو من قوّة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ناوٍ له وإن لم يكن متردّداً ولا ذاهلاً وغافلاً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أن يترك المحتلم الاحتياط ، لو استيقظ ثمّ نام ولم يستيقظ ؛ بالجمع بين صوم يومه وقضائه وإن كان الأقوى صحّته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فيهما ، وعلى الأقوى في اللّه ورسوله صلى‌الله‌عليه‌و‌آله‌وسلم والأئمّة عليهم‌السلام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ومن غير فرق بين الكذب عليهم في أقوالهم أو غيرها ، كالإخبار كاذباً بأ نّه فعل كذا أو كان كذا على الأحوط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صومه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الإلحاق ، نعم لا يترك في مثل الجلاّب خصوصاً مع ذهاب رائحته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تقض العادة برمسه ، وإلاّ فمع الالتفات فالأحوط إلحاقه بالعمد إلاّ مع العلم بعدمه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منافٍ لما اختاره من مفطرية نيّة المفطر ، نعم هو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عدمها كما هو الأقوى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تاب ونوى الغسل بالخروج صحّ غسله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مفطريته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لحوق البخار به ، إلاّ إذا انقلب في الحلق ماءً وابتلعه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الأقوى في الدخان أيضاً عدم اللحوق ، نعم يلحق به شرب الأدخنة على الأحوط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مثل الشياف للتداوي ، وأمّا إدخال نحو الترياك للمعتادين به وغيرهم للتغذّي والاستنعاش ففيه إشكال ، فلا يترك الاحتياط باجتنابه وكذا كلّ ما يحصل به التغذّي من هذا المجرى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الفساد في مثل المغصوب ممّا يجب عليه ردّه ويكون القيء مقدّمة له ، فصحّ الصوم لو عصى ولم يردّه ولو قلنا بأنّ ترك القيء جزء للصوم فضلاً عن القول بأنّ القيء ضدّه ، نعم لو فرض ابتلاع ما حكم الشارع بقيئه بعنوانه ففي الصحّة والبطلان تردّد ، والصحّة أشبه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من عادته ذلك ، وإلاّ ففيه إشكال ولا يترك الاحتياط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المقصّر ، وعلى الأحوط في القاصر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اتّقى من المخالفين في أمر يرجع إلى فتواهم أو حكمهم فلا يكون مفطراً ، فلو ارتكب تقيّةً ما لا يرى المخالف مفطراً صحّ صومه على الأقوى ، وكذا لو أفطر قبل ذهاب الحمرة ، وكذا لو أفطر يوم الشكّ تقيّةً لحكم قضاتهم بحسب الموازين الشرعية التي عندهم لا يجب عليه القضاء على الأقوى مع بقاء الشكّ ، نعم لو علم بأنّ حكمهم بالعيد مخالف للواقع يجب عليه الإفطار تقيّةً ، ويجب عليه القضاء على الأحوط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الظاهر ، نعم للشابّ الشبق ومن يتحرّك شهوته أشدّ كراهةً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كراهته ما لم يكن بالذرّ وما يتلوه ممّا ذكر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الكذب على اللّه ورسوله صلى‌الله‌عليه‌و‌آله‌وسلم والأئمّة عليهم‌السلام وفي الارتماس والحقنة ، وعلى الأقوى في البقيّة ، بل في الكذب عليهم لا يخلو من قوّة ، نعم القيء لا يوجبها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تكرّرها ، لكن لا ينبغي ترك الاحتياط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لو سافر فراراً من الكفّارة ، أو سافر بعد الزوال وعلى الأحوط في غيره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أكرهها في الابتداء على وجه سلب منها الاختيار والإرادة ثمّ طاوعته في الأثناء ، فالأقوى ثبوت كفّارتين له وكفّارة لها ، وإن كان الإكراه على وجه صدر الفعل بإرادتها وإن كانت مكرهة فيه ، فالأقوى ثبوت الكفّارتين له وعدم كفّارة عليها ، وكذا الحال في التعزير على الظاهر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شوب إشكال ، فلا يترك الاحتياط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التمكّن من الستّين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الوثوق بإعطائهم أو إطعامهم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اليوم الأوّل من الشهر الثاني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تعيّن عليه التصدّق بما يطيق ومع عدم التمكّن يستغفر اللّه ولو مرّة ، والأحوط الإتيان بالكفّارة إن تمكّن بعد ذلك في الأخيرة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الذي مرّ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أبطله بالرياء أو نيّة القطع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القضاء فيه مبنيّ على الاحتياط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مع حصول الظنّ بعد المراعاة عدم وجوب القضاء ، بل عدمه مع الشكّ أيضاً لا يخلو من قوّة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القضاء لمطلق الوضوء ، بل لمطلق الطهارة لا يخلو من قوّة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والأحوط لمن يفيق من السكر مع سبق النيّة الإتمام ثمّ القضاء ، ومن الإغماء الإتمام وإلاّ فالقضاء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له منشأ عقلائي يعتني به العقلاء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عدمها لا يخلو من قربٍ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 بل التعميم لا يخلو من قوّة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فيه وفي تاليه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مرّ من لزوم الإفطار في سفر الصيد للتجارة ، والاحتياط بالجمع في الصلاة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جوازه في النذر المعيّن ، كما أنّ الأقوى عدم وجوب الإقامة فيه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الكفّارة على الشيخين وذي العطاش في صورة تعذّر الصوم عليهم محلّ إشكال ، بل عدمه لا يخلو من قوّة ، كما أ نّه على الحامل المقرب والمرضعة القليلة اللبن إذا أضرّ بهما لا بولدهما محلّ تأمّل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يصفاه بما يخالف الواقع ؛ ككون تحدّبه إلى فوق الاُفق ، أو متمائلاً إليه ، أو متمائلاً إلى الجنوب في بلاد تقرب الشمس في شمال القمر ، أو في أشهر كانت كذلك أو بالعكس ، ولا يبعد قبول شهادتهما إذا اختلفا في بعض الأوصاف الخارجة ممّا يحتمل فيه اختلاف تشخيصهما ، ككونه مرتفعاً أو مطوّقاً أو له عرض شمالي أو جنوبي إذا لم يكن فاحشاً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حجّيتهما مطلقاً ، إلاّ مع الصحو واجتماع الناس للرؤية وحصول الاختلاف والتكاذب بينهم بحيث يقوى احتمال الاشتباه في العدلين ، ففي هذه الصورة محلّ إشكال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بكون المخابر بيّنةً شرعية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الوجوب في الفرعين ، فلا يجب القضاء عليهما لو أفطرا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لو سبقت منه النيّة وأتمّ الصوم ، وعلى الأقوى في غيره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مذهب الحقّ إذا تحقّق منه قصد القربة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وجوب القضاء فقط ، وكذا في الفرعين الآتيين ، ولا ينبغي ترك الاحتياط خصوصاً إذا كان العذر هو السفر ، وكذا في الفرع الأخير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الفرق بين أسباب الترك إلاّ الترك على وجه الطغيان ، فإنّه لا يبعد فيه عدم الإلحاق بالترك العذري وإن كان الأحوط الإلحاق أيضاً ، بل لا يترك هذا الاحتياط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على الأحوط في الثاني ، وعلى الأقوى في الأوّل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عجز عنها يفض ثمنها على الطعام ، ويتصدّق به على ستّين مسكيناً ؛ لكلّ مسكين مدّ على الأقوى ، والأحوط مدّان ، ولو زاد عن الستّين اقتصر عليهم ، ولو نقص لم يجب الإتمام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والاحتياط بالمدّين إنّما هو فيما لا يوجب النقص عن الستّين وإلاّ اقتصر على المدّ ويتمّ الستّين ، ولو عجز عن التصدّق صام على الأحوط لكلّ مدّ يوماً إلى الستّين وهو غاية كفّارته ، ولو عجز صام ثمانية عشر يوماً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عجز عنه يفض ثمنها على الطعام ويتصدّق به على ثلاثين مسكيناً ؛ لكلّ واحد مدّ على الأقوى ، والأحوط مدّان ، فإن زاد فله وإن نقص لا يجب الإتمام ولا يحتاط بالمدّين مع إيجاب النقص كما تقدّم ، ولو عجز عنه صام على الأحوط عن كلّ مدّ يوماً إلى الثلاثين وهي غاية الكفّارة ، ولو عجز صام تسعة أيّام ، وحمار الوحش كذلك والأحوط أ نّه كالنعامة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عجز عنها يفض ثمنها على الطعام ويتصدّق على عشرة مساكين ؛ لكلٍّ مدّ على الأقوى ، ومدّان على الأحوط وحكم الزيادة والنقيصة ومورد الاحتياط كما تقدّم ، ولو عجز صام على الأحوط عن كلّ مدٍّ يوماً إلى عشرة أيّام غاية كفّارته ، ولو عجز صام ثلاثة أيّام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ولده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الترتيب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بقصد القربة المطلقة ، وشكراً لإظهار النبي صلى‌الله‌عليه‌و‌آله‌وسلم فضيلة عظيمة من فضائل أمير المؤمنين عليه‌السلام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دليله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استحبابها بالخصوص تأمّل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أو للرجحان المطلق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كراهة صومه بالمعنى المصطلح في العبادات أيضاً في الموردين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جوازه مع عدم الإيذاء ، نعم لا يترك مع النهي وكذا في الوالدة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تأمّل فيه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نعم لا يترك الاحتياط في هذه الصورة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انصراف في البين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المساجد الأربعة محلّ إشكال ، فلا يترك الاحتياط بإتيانه رجاءً في غيرها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الإجارة بحيث ملك منفعة الاعتكاف ، وإلاّ فغير معلوم ، بل في بعض فروعه معلوم العدم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لكن لا يترك الاحتياط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في المسجدين ويجب عليه التيمّم والخروج للاغتسال ، وفي غيرهما لا يجوز إذا استلزم اللبث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الثالث الأوّل والثاني ، وعلى الأحوط في البقيّة كما مرّ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الأحوط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فروع جواز الاعتكاف في كلّ مسجد جامع وقد مرّ الإشكال فيه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تشكل الصحّة في بعض الفروض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مكّة محلّ إشكال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فيها وفيما بعدها ، بل من كان له نحو تعلّق به حتّى يعدّ ذلك من ضرورياته العرفية ، والميزان هو الذي يذكره قريباً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جوازه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لبث وتلويث ، وإلاّ يجب الخروج كما مرّ ، ومرّ حكم المسجدين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لا يخلو من قوّة ، وكذا في الفرع الآتي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شرط الرجوع متى شاء من غير عروض عارض محلّ إشكال بل منع ، نعم العارض أعمّ من الأعذار العرفية العادية كقدوم الزوج من السفر ، ولا تختصّ بالضرورات التي تبيح المحظورات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جوازهما مع إمكان التوكيل ، والأحوط مع تعذّره النقل بغير البيع ، نعم لا بأس بهما مع تعذّره أيضاً إذا مسّت الحاجة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التفرقة بينها وبين الجماع محلّ إشكال ، فالأحوط في صورة ارتكابها عمداً أو سهواً إتمامه وقضاؤه إذا كان واجباً معيّناً واستئنافه في غيره إذا كان في اليومين الأوّلين ، وإتمامه واستئنافه إذا كان في اليوم الثالث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جامع من غير رفع اليد عن الاعتكاف ، وأمّا معه فالأقوى عدم الكفّارة عليه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مرّ في كتاب الطهارة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الزكاة فيها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معه أيضاً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مثل الخيار المشروط بردّ الثمن ؛ ممّا تكون المعاملة مبنيّة على إبقاء العين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في استحباب الزكاة لسنة واحدة إذا تمكّن بعد السنين أيضاً إشكال ، وفي دعوى الإجماع مناقشة بعد معلومية المستند والخدشة فيه ، نعم لا يبعد القول بالاستحباب في الدين بعد الأخذ لكلّ ما مرّ من السنين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استحبابها في الحبوب لا يخلو من إشكال ، وكذا في مال التجارة والخيل الإناث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أربع شياه فيها مبنيّ على الاحتياط ، والمسألة مشكلة جدّاً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ما وجب في النصاب السابق يتعلّق بما بين النصابين إلى النصاب اللاحق ، فما بين النصابين عفو بمعنى عدم تعلّق شيء به أكثر ممّا تعلّق بالنصاب السابق ، لا بمعنى عدم تعلّق شيء به رأساً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الإجزاء في حال الاختيار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بشراء بنت المخاض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القدح ، بل عدم قدح أيّام قلائل إذا كانت متفرّقة جدّاً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 بالسوم هو الرعي في الأراضي المعدّة للزرع إذا كان مزروعاً على النحو المتعارف المألوف ، وأمّا لو فرض بذر البذور التي هي من جنس كلأ المرعى في المراتع من غير عمل في نمائها فلا يبعد عدم إخلاله بالسوم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الزكاة تنتقل إلى أربابها بحلول الشهر الثاني عشر ، فتصير ملكاً متزلزلاً لهم فيتبعه الوجوب الغير المستقرّ ، فلا يجوز للمالك التصرّف في النصاب تصرّفاً معدماً لحقّهم ولو فعل ضمن ، نعم لو اختلّ أحد الشروط من غير اختيار كأن نقص من النصاب بالتلف في خلال الشهر الثاني عشر يرجع الملك إلى صاحبه الأوّل وينقطع الوجوب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الظاهر أنّ الخمس من الإبل مكمّلة الخمس السابقة وليست مستقلّة ، فالخمس نصاب ، والعشر نصاب واحد آخر لا نصابان ، وخمسة عشر نصاب واحد فيها ثلاث شياه وهكذا ، فحينئذٍ يكون حكمه حكم القسم الآتي ، نعم لو ملك في أوّل السنة خمساً وبعد ستّة أشهر ستّاً وعشرين يجب عليه في آخر سنة الخمس شاة وفي آخر سنة الجديد بنت مخاض ، ثمّ يترك سنة الخمس ويستأنف للمجموع حولاً وكذا لو ملك بعد الخمس في أثناء السنة نصاباً مستقلاًّ كستّ وثلاثين وستّ وأربعين وهكذا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إخراجها من غير الجنس فيما عدا الدرهم والدينار محلّ تأمّل ، إلاّ إذا كان خيراً للفقراء ، وإن كان الجواز لا يخلو من وجه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زاد عليها حتّى يبلغ أربعة دنانير متعلّق للفرض الأوّل ؛ أي نصف الدينار ، فالعشرون مبدأ النصاب الأوّل إلى أربعة وعشرين ، فإذا بلغت أربعة وعشرين زاد قيراطان إلى ثمانية وعشرين فزاد قيراطان وهكذا ، وهذا معنى العفو بين النصابين ، لا عدم التعلّق رأساً كما قبل العشرين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يتغيّر ، فلا تجب فيه الزكاة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فلا يجوز الاجتزاء بالفرد الأدون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الإلحاق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لكن لا يترك الاحتياط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الحبوب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فيما إذا نمت مع ذلك في ملكه ، وعلى الأحوط في غيره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المتأخّرين ، وأمّا لدى القدماء فلم تثبت الشهرة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أنّ المدار على التسمية ، لكن لا يترك الاحتياط في الزبيب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مشكل ، بل الأقوى عدمه إذا انجرّ الإخراج إلى الفساد ولو قلنا بأنّ وقت التعلّق حين بدوّ الصلاح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عدم الوجوب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التعلّق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قبل التعلّق فيما إذا نمت في ملكه على الأقوى ، وفي غيره على الأحوط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فضولي يحتاج إلى إجازة الحاكم إذا أحرز عدم التأدية ، فإن أجازه ردّ الثمن بالنسبة ورجع إلى البائع به ، وإن ردّه أدّى الزكاة وله الرجوع إلى البائع بثمنه بالنسبة إن أدّاه إليه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فيما إذا احتمل أنّ الشراء في زمان تمّ نماء الزرع ولم ينم في ملكه ، وعلى الأقوى في غيره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الزكوي ؛ أي ما تعلّق به الزكاة إن كان موجوداً ، ومن تركته إن تلف مضموناً عليه ، نعم لورثته أداء قيمة الزكوي مع بقائه أيضاً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فيما إذا انتقل إليهم بعد تمام نموّه وقبل تعلّق الوجوب ، وعلى الأقوى إذا كان الانتقال قبل تمامه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بعض الفروض ، لكن لا يترك الاحتياط بالإخراج مطلقاً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استيعاب الدين التركة وكونه زائداً عليها بحيث يستوعب النماءات لا تجب على الورثة الزكاة ، بل تكون كأصل التركة بحكم مال الميّت على الأقوى يؤدّى منها دينه ، ومع استيعابه إيّاها وعدم زيادته عليها لو ظهرت الثمرة بعد الموت يصير مقدار الدين بعد ظهورها من التركة أصلاً ونماءً بحكم مال الميّت ؛ بنحو الإشاعة بينه وبين مال الورثة ، ولا تجب الزكاة فيما يقابله ويحسب النصاب بعد توزيع الدين على الأصل والثمرة ، فإن زادت حصّة الوارث من الثمرة بعد التوزيع وبلغت النصاب تجب عليه الزكاة ، ولو تلف بعض الأعيان من التركة يكشف عن عدم كونه ممّا يؤدّى منه الدين وعدم كونه بحكم مال الميّت وكان ماله فيما سوى التالف واقعاً والتفصيل في محلّه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التخريص هاهنا كالتخريص في المزارعة وغيرها ممّا وردت فيها النصوص ، وهو معاملة عقلائية برأسها ، وفائدتها صيرورة المال المشاع معيّناً على النحو الكلّي في المعيّن في مال المتقبّل ، ولا بدّ في صحّتها وقوعها بين المالك ووليّ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يبعثه لعمل الخرص ، فلا يجوز للمالك الاستبداد بالخرص والتصرّف بعده كيف شاء ، والظاهر أنّ التلف بآفة سماوية وظلم ظالم على المتقبّل إلاّ أن يكون مستغرقاً أو بمقدار صارت البقيّة أنقص من الكلّي ، فلا يضمن ما تلف ويجب ردّ ما بقي على الحاكم إن كان المتقبّل هو المالك دون الحاكم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مضروباً على الأرض باعتبار الجنس الزكوي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احتسابه ، لكن يقسّط على التبن والحنطة بالنسبة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صيرورة الفقراء شريكاً مع الزارع بمقدار حصّتهم ، وتحسب البقيّة من المؤونة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مضروباً على الأرض باعتبار مطلق الزرع ، لا خصوص الزكوي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التفصيل بين ما إذا عمل للسنين العديدة فيوزّع عليها ، وبين ما إذا عمل للسنة الاُولى وإن انتفع منه في سائر السنين قهراً ، فيحسب من مؤونة الاُولى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بإخراج العشر ، إذا كان الأكثر بغير علاج ولو مع صدق السقي بهما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المسبوق بالسقي بغير علاج ، والشكّ في سلب ذلك فيجب الأكثر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الزكاة فيه لا يخلو من تأمّل وإشكال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الشرط على ما ذكروه محلّ إشكال ، بل عدمه لا يخلو من قوّة ، والإجماع أو الشهرة لدى القدماء غير ثابتين والأدلّة على خلافه أدلّ ، نعم لو طلب بالنقيصة طول الحول تسقط الزكاة ، ولو بقي على هذا الحال سنتين أو أكثر فإذا باعه يزكّي سنة واحدة استحباباً ، ويشترط بقاء النصاب طول الحول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شوب إشكال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عدم الجواز لا يخلو من قوّة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يترك الاحتياط بعدم الإعطاء والأخذ أزيد من مؤونة السنة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سهم سبيل اللّه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كونها زكاة فالظاهر ضمانه ، نعم مع إعطائه بغير عنوانها سقط الضمان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 إعطاؤه بإذن شرعي كدعوى الفقر بناءً على اعتبارها ، فالأقوى عدم الضمان ، نعم لو كان إحراز الفقر بأمارة عقلية كالقطع فالظاهر ضمانه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سقوطه مع بسط يد الحاكم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وجوده أيضاً على الأقوى ، فهذا الصنف عامّ لكلّ عتق رقبة ، لكن يشترط في المكاتبين ما ذكر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سبيل اللّه هو المصالح العامّة للمسلمين والإسلام كبناء القناطر ، وتعمير الطرق والشوارع ، وما يحصل به تعظيم الشعائر وعلوّ كلمة الإسلام ، أو دفع الفتن والمفاسد عن حوزة الإسلام وبين القبيلتين من المسلمين وأشباه ذلك ، لا مطلق القربات كالإصلاح بين الزوجين والولد والوالد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تعذّر الإيصال إلى الدافع أو وكيله أو حرجيته ، وإلاّ فيجب إيصاله إليه ، بل على الحاكم أيضاً إيصاله إليه أو الاستئذان منه في صرفه على الأحوط ، لو لم يكن أقوى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يعطى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 الأب مؤمناً دون الاُمّ مع عدم إيمان الأب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بعدم الإعطاء لشارب الخمر ، بل المتجاهر بمثل هذه الكبيرة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عمله ولا تبعد كفاية الوثوق والاطمئنان به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الزوجة ، وأمّا في غيرها فلا بأس بتركه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زاد على نفقته الواجبة في الحضر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مؤونة التزويج من سبيل اللّه محلّ إشكال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من غير جنسها قيمة فيوزّع عليها بالنسبة ، وأمّا إذا كان من أحدها فينصرف إليه إلاّ مع نيّة كونه بدلاً أو قيمةً ، نعم لو كان عنده أربعون من الغنم وخمس من الإبل فأخرج شاة زكاة من غير تعيين يوزّع بينهما إلاّ مع الترديد في كونه إمّا من الإبل أو من الغنم ، فإنّ الظاهر عدم الصحّة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على المالك أن ينوي كون ما أوصله الوكيل إلى الفقير زكاة ويكفي بقاؤها في خزانة نفسه وإن لم يحضرها وقت الأداء تفصيلاً، ولا أثر في النيّة حين الدفع إلى الوكيل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لم يكن معصية اللّه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ويحتمل أن يكون وقت الوجوب هو وقت الاستقرار بمضيّ السنة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أزيد في خلال السنة ، والأحوط عدم التأخير عن أربعة أشهر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على نحو الحكم لمصلحة المسلمين لا يجوز التخطّي عنه ولو لم يكن مقلّداً له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وإن لا يخلو من وجه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والتأخير مع وجود المستحقّ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الاتّجار لمصلحة الزكاة فأجاز الوليّ ، وكذا في الاتّجار بالنصاب على الأقرب ، وأمّا إذا اتّجر بهما لنفسه وأوقع التجارة بالعين الخارجي فتصحيحهما بالإجازة محلّ إشكال فيقع باطلاً في الأوّل وبالنسبة في الثاني ، وإن أوقع التجارة بالذمّة وأدّى من المعزول أو النصاب يكون ضامناً والربح له ، إلاّ إذا أراد الأداء بهما حال التجارة فإنّه حينئذٍ محلّ إشكال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أداء الوصيّ الزكاة إلى الوارث من مال الميّت أو أخذه منه ، لكن جواز أخذه مشروط بعدم انصراف في الوصيّة إلى أدائها بالغير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الاستحباب غير ثابت فيما إذا أخذ الوصيّ وكان أجنبيّاً ؛ أي غير وارث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زوال الكراهة غير معلوم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دور جنونه عند دخول ليلة العيد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يحلّ في هذه السنة دون غيره على الأحوط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يقتصر في الإدارة بين المكلّفين ومع أخذ الوليّ عن القاصر يصرفها له ولا يردّها على غيره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قبله ولو بلحظة ؛ بأن كان واجداً للشرائط فأدرك الغروب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مع صدق كونه ممّن يعوله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يقوى سقوطها عنه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الوجوب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على صدق كونه ممّن يعوله وإن لم يصدق أ نّه عياله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وجوبها على الضيف ، لكن لا ينبغي تركه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موثوقاً بهم في الأداء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الصورتين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أثر في قصد التقرّب في التوكيل ، بل إذا وكّل غيره في تأديتها لا بدّ للوكيل من نيّة التقرّب ، وإذا وكّله في الإيصال يجب على الموكّل أن ينوي كون ما أوصله الوكيل إلى الفقير زكاة ، ويكفي بقاء النيّة في خزانة نفسه ولا يجب خطورها تفصيلاً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التوكيل في التبرّع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جميع ما ذكرها ما غلب في القوت لغالب الناس ممنوع ، كما أنّ كون الضابط ذلك محلّ إشكال ولا يبعد أن يكون الضابط ما يتعارف في كلّ قوم أو قطر التغذّي به وإن لم يكتفوا به كالبرّ والشعير والأرز في أقطارنا ، والتمر والاُقط واللبن في مثل الحجاز ، والأرز في مثل الجيلان وإن كان الأقوى الجواز في الغلاّت الأربع مطلقاً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غلب التغذّي به في قطر بالنسبة إليه ، وفي غير هذه الصورة فالأحوط إخراج ما غلب التغذّي به أو إخراج الغلاّت الأربع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في دفع القيمة بالأثمان، بل لايخلو عدم اجتزاء غيرها قيمة من وجه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 بل لو قلنا بجواز إخراج غير الأثمان قيمة يشكل إعطاء المعيب والممزوج من الأجناس الأصلية قيمة عن الصحيح وغير الممزوج منها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وإشكال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الأولى التأخير إلى النهار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إشكال ، لكن لا يترك الاحتياط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بل الأوجه الاقتصار على الأثمان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أنّ مصرفها مصرف زكاة المال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فالأحوط عدم الإعطاء والأخذ أزيد من مؤونة سنته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شارب الخمر والمتجاهر بمثل هذه الكبيرة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وسرقةً وغيلةً إذا كانتا في الحرب ومن شؤونه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التفصيل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مائتي درهم عيناً أو قيمةً على الأحوط ، وإذا اختلفا في القيمة يلاحظ أقلّهما على الأحوط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هذا الاحتياط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قويّ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الأقوى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يضمّ على الأقوى ، إلاّ مع عدّها معدناً واحداً تخلّل بين أبعاضها الأجزاء الأرضية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إذن والي المسلمين وبدونه محلّ إشكال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المخالفين ، دون من لا يعتقد وجوب بعض أقسام ما يتعلّق به الخمس من الإمامية اجتهاداً أو تقليداً ، ودون من يعتقد عدم وجوبه مطلقاً بأدلّة التحليل بزعم أ نّهم عليهم‌السلامأباحوا الخمس مطلقاً لشيعتهم ، فمن وصل إليه ما يتعلّق به الخمس ممّن لا يعتقد به من الإمامية يجب عليه التخميس مع عدم تخميسه ، نعم مع الشكّ في رأيه لا يجب عليه الفحص ولا الأداء مع احتمال أدائه ، ولكن مع العلم بمخالفة اجتهادهما فالأحوط بل الأقوى التجنّب حتّى يخمّس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يحتمل أ نّه له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يتعارف إخراجه بالغوص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ذلك شغله ، وأمّا لو عثر عليه من باب الاتّفاق فيدخل في مطلق الفائدة ويجيء حكمه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من الجواهر ، وأمّا غيرها فالأقوى عدم الإجراء عليه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 نّه من أرباح المكاسب إذا أخذه المشتغل بذلك ، ومع العثور الاتّفاقي دخل في مطلق الفائدة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التعلّق بغير ما تقدّم من أرباح الصناعات وما يتلوها لا يخلو من قوّة ، لكن لا ينبغي ترك الاحتياط وكذا الحال فيما يملك بالصدقة المندوبة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 بإبقائها الاسترباح والاستنماء لا مطلقاً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وأخذه ، ولا يكفي مجرّد التملّك إلاّ إذا كان كالموجود ؛ بأن يستحصل بالمطالبة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غير اللائق بحاله الغير المتعارف من مثله ، بل لا يخلو من قوّة ، نعم التوسعة المتعارفة من مثله من المؤونة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احتاج إلى مجموعه في حفظ وجاهته أو إعاشته ممّا يليق بحاله ، كما لو فرض أ نّه مع إخراج خمسه يتنزّل إلى كسب لا يليق بحاله أو لا يفي بمؤونته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جبرانها فيما إذا تعارف الاتّجار بالأنواع المختلفة من الأجناس في مركز واحد أو شعبه ، كما لو كان لتجارة واحدة بحسب الدفتر والجمع والخرج شعب كثيرة مختلفة كلّ شعبة تختصّ بنوع تجمعها شعبة مركزية بحسب المحاسبات والدخل والخرج ، نعم لو كانت أنواع مختلفة من التجارة ومراكز متعدّدة غير مربوطة بعضها ببعض فالظاهر عدم جبر نقص بعض بالآخر ، بل يمكن أن يقال إنّ المعيار استقلال التجارات لا اختلاف أنواعها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 نّه من المؤونة إن اشترى في كلّ سنة بعض ما يحتاج إليه الدار ؛ فاشترى في سنة أرضها وفي اُخرى أحجارها وفي ثالثة أخشابها وهكذا ؛ إذا لم يمكنه بغير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إبقاء الثمن للاشتراء فلا يعدّ من المؤونة فيجب إخراج خمسه ، كما أنّ جمع صوف غنمه من سنين متعدّدة لفراشه اللازم أو لباسه إذا لم يمكنه بغيره يعدّ من المؤونة على الأقوى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 نّه من المؤونة إذا أدّاه في سنة الربح ، خصوصاً إذا كانت تلك السنة وقت أدائه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وإن كان التخيير لا يخلو من قرب إلاّ في الحلال المختلط بالحرام ، فلا يترك الاحتياط فيه بإخراج خمس العين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علم الآخذ بأ نّه من باب التعجيل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التعلّق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الصحّة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الخمس فيهما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عدمه فيما إذا قوّمت الأرض التي تعلّقت بها الخمس وأدّى قيمتها ، نعم لو ردّ الأرض إلى صاحب الخمس أو وليّه ، ثمّ بدا له اشتراؤها فالظاهر تعلّقه بها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الاستخراج بالقرعة هو الأقوى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الحاكم على الأحوط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وأحوط منه تسليم المقدار المتيقّن إلى الحاكم والمصالحة معه في المشكوك فيه ، ويحتاط الحاكم بتطبيقه على المصرفين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 أقواها القرعة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الاكتفاء بإخراج خمس القدر المتيقّن من الحلال إن كان أقلّ من خمس البقيّة بعد تخميس التحليل ، وبخمس البقيّة إن كان بمقداره أو أكثر على الأقوى ، والأحوط المصالحة مع الحاكم في موارد الدوران بين الأقلّ والأكثر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ممنوعة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 لو علم الزيادة ولم يعلم مقدارها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الحاكم على الأحوط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أداء خمسه من مال آخر محلّ إشكال وتأثيره في تصحيح البيع كذلك وإن لا يخلو من وجه ، وكذا أداء المشتري خمسه من الخارج محلّ إشكال ، فالأحوط مع بقاء العين أداء الخمس منها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الدفع إلى المتهتّك المتجاهر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يعمل على طبق نظر مقلّده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الاحتياط في مثله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ضامن إلاّ إذا تعيّن عليه النقل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المصرف في نظر مجتهد بلده موافقاً مع نظر المقلّد ، أو كان يعمل على طبق نظره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اعتبار رضاهما ، وإن كان عدمه لا يخلو من وجه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الاحتياط فيه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يرجى زواله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الجملة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كلّ ما لم يوجف عليها بخيل ولا ركاب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لا يخلو من إشكال وإن لا يخلو من قرب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الأقوى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عمومه من إشكال ، لكن لا يترك الاحتياط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 فلا يترك الاحتياط فيها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يثبت أ نّها من ذوات أنفس سائلات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يبيع المادّة ممّن يثق به أ نّه يكسرها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وقعت المعاملة على مادّتها ويشترط على المتعامل كسرها ، أو يكون الموثوق به فيه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جدّاً ، بل عدمه لا يخلو من وجه قويّ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تفصيل لا يقتضي المقام ذكره ، وليس موضوع الحكم مطلق الهدنة ولا بدّ في ذلك من ملاحظة مصالح اليوم والأمر موكول إلى والي المسلمين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التحريم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الأشدّية والآكدية غير ثابتتين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زفّ العرائس والمجلس المعدّ له مقدّماً ومؤخّراً ، لا مطلق المجالس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ذلك موجباً لازدياد شوكتهم وقوّتهم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الاستقلال أو الاشتراك مع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عمّا يقول الظالمون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مطلق التأثير ولو بإعطاء اللّه تعالى إيّاها إذا كان عن دليل قطعي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أفضليتها من الزرع محلّ تأمّل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حرمة نفس المعاملة أيضاً ، كما هو كذلك على الأحوط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مستثنيات ربح المؤمن على المؤمن لا ربح من وعده بالإحسان ، فإنّ الظاهر كراهته مطلقاً ، ويستثنى من ربح المؤمن ما إذا اشترى أكثر من مائة درهم ؛ فإنّ ربح قوت اليوم منه غير مكروه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اعتباره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تحقّقه إلاّ في الغلاّت والسمن والزيت ، نعم هو أمر مرغوب عنه في مطلق ما يحتاج إليه الناس ، لكن لا تثبت له أحكام الاحتكار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عدم تعيينه يعيّن الحاكم بما يرى المصلحة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بالنسبة إلى تولّي بعض أنواع الظلم كهتك أعراض طائفة من المسلمين ونهب أموالهم وإيقاعهم في الحرج مع خوفه على عرضه ببعض مراتبه الضعيفة أو على ماله إذا لم يقع في الحرج إشكال بل منع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شرائطها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كراهة في هذه الصورة إلاّ أن يحدث فيها حدثاً ، كحفر نهر أو عمل فيها يعين المستأجر به ، بل الأحوط ترك التقبيل بالزيادة إلاّ معه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ينصرف اللفظ عنه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اُريد به إنشاء الشراء لا المعنى المطاوعي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الصحّة إذا أراد كلّ نصف مشاعاً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مع إمكان التوكيل بل والمعاطاة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تحقّقها به لا يخلو من قوّة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ما هو الأقوى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لزومها من الطرفين من وجه ، فيسقط ما يتفرّع على جوازها ، ولكن لا ينبغي ترك الاحتياط فيحتاط كلّ من المتعاملين بعدم إلزام الطرف على الاسترجاع وبإرجاع ما عنده بفسخ الطرف حتّى تتحقّق الإقالة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شقوق المسألة ، وأمّا التعليق على معلوم الحصول فالأقوى جوازه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الأشياء الخطيرة ، وعلى الأحوط في غيرها ، وإن كانت الصحّة في هذه ممّا جرت عليها السيرة لا تخلو من وجه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ظاهر المشهور محلّ تأمّل وإشكال ، وعدم مسلوبية عبارته لا يخلو من قرب ، ولا ينبغي ترك الاحتياط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التفاته إليها حين العمل وسهولتها له محلّ إشكال ، بل اعتبار عدم سهولة التفصّي كذلك لا يخلو من وجه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قصد إطاعة المكره بالثاني يقع الأوّل صحيحاً ، فهل الثاني يقع صحيحاً أو لا ؟ وجهان ، أوجههما الأوّل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وإن كان ما ذكر هو الأقرب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مشكلة لا يترك الاحتياط بالتخلّص بالصلح بالنسبة إلى النماءات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بحيث لا تجدي الإجازة لا يخلو من قوّة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 هذا بالنسبة إلى الردّ القولي ، وأمّا الردّ الفعلي بما مثّل به ؛ من إتلاف المحلّ وعتق العبد ، فعدم تأثير الإجازة ليس لأجل الردّ بل لفوات المحلّ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المستوفاة على الأقوى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مطالبة المشتري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بل الظاهر أنّ له الرجوع إليه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يلزم من التبعيض محذور كلزوم الربا ونحوه ، وإلاّ بطل من أصله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يصحّ في نوع البيوع المتعارفة التي لا يختلف فيها المبتاعان حال الانفراد والانضمام ، وأمّا مع اختلافهما فيهما زيادة ونقيصة أو بالاختلاف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الضابطة هو تقويم كلّ منهما منفرداً بلحاظ حال الانضمام ، ثمّ يؤخذ من الثمن جزء ؛ نسبته إليه كنسبة قيمته إلى مجموع القيمتين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بمراعاتها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فيه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محلّ إشكال ، نعم تكفي المشاهدة فيما تعارف بيعه حملاً كالتبن والعشب والرطبة وكبعض أنواع الحطب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تعارف في بعض البلدان بيعه مطلقاً حملاً تكفي فيه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ما جرت العادة على عدم تغيّرها إشكال ، بل عدم الجواز قريب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يرجى العود ، وإلاّ فالأقوى عدم الجواز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خصوصاً فيما إذا كان أداؤه مظنوناً ، بل عدم الجواز فيه لا يخلو من قوّة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تحتاج إلى زيادة مراجعة وتأمّل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من الأخير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تحقّق الافتراق بها عرفاً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عدم الثبوت لا يخلو من قوّة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نوعية وكاشفاً غالبياً ، فمثل لمس الجارية وتقبيلها والنظر إلى ما كان محرّماً عليه قبل الشراء يدلّ عليه ؛ لخصوصية فيها ، دون مثل ركوب الدابّة ركوباً غير معتدّ به وتعليفها وسقيها ، نعم مثل نعلها وأخذ حافرها يدلّ عليه ، وكذا إحداث سائر الأحداث كقرض شعرها بل وصبغه ، إلى غير ذلك ، وليس مطلق التصرّف إحداث الحدث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الكلّية محلّ إشكال بل منع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المشروط السلطنة على فسخ العقد فلا يبعد جوازهما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إشكال في عدم الكفاية بعد سلب ولايته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كفاية الردّ إلى حاكم آخر مع إمكان الردّ إلى الأوّل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التحديد غير مطّرد ، فإنّ خمسة آلاف دينار من الذهب غبن في معاملة مائة ألف دينار وأكثر ، والتحديد بالعشر أسوء حالاً ، فالأولى هو الإيكال إلى العرف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السقوط لا يخلو من قوّة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الإسقاط بنحو التقييد ؛ بأن يسقط الخيار الآتي من قبل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العنوان الكلّي المنطبق على الخارج بحسب وعائه المناسب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أسقط الخيار الخارجي بتوهّم أ نّه مسبّب من العشر فالظاهر سقوطه ؛ سواء وصفه بالوصف المتوهّم أم لا ، فلو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الخيار المتحقّق في العقد الذي هو آتٍ من قبل العشر ، فتخلّف الوصف ، سقط خياره على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وأولى بذلك ما لو أسقطه بتوهّم أ نّه آتٍ منه ، وكذا الحال في اشتراط سقوطه وإن كان فاحشاً بل أفحش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إسقاطه بعد العقد ، بل وكذا يأتي ما ذكر فيما صالح عن خياره فبطل إذا كان بنحو التقييد كما تقدّم دون النحوين الآخرين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 عقلائياً عن الالتزام بالبيع وإسقاط الخيار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له عين عرفاً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كونه شريكاً معه في القيمة ولا يكون البائع ملزماً بالبيع ، بل له أخذ المبيع وتأدية ما للمشتري بالنسبة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صورة الاستهلاك في عدّه تالفاً ، والظاهر أ نّه كذلك فيما إذا انقلبا إلى حقيقة اُخرى عرفاً ، وفي غيرهما لا يترك الاحتياط المذكور وإن كان جريان حكم التالف في الخلط الذي يرفع به الامتياز غير بعيد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يسلّم المبيع إلى المشتري ، ولم يشترط تأخير تسليم أحد العوضين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إذا باع شيئاً بوصف غيره ثمّ وجده زائداً على ما وصف أو وجده زائداً على ما يراه سابقاً ، فإنّه يثبت معه للبائع خيار الرؤية ، وكذا يثبت له إذا وجد الثمن على خلاف ما وصف ؛ أي ناقصاً عنه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ناقصاً عنه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إذا لم يحصل الاطمئنان بالبقاء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 بأن حصل له الوثوق من توصيفه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يرفع به الوثوق الرافع للجهالة وإلاّ فيفسد ويفسد العقد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لم يسقط الردّ قولاً أو بفعل دالّ عليه وما لم يطأ الجارية الغير الحبلى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خيار المشتري المضمون على البائع كخيار الحيوان وكخيار المجلس والشرط إذا كانا له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الميزان في سقوطه عدم قيام المبيع قائماً بعينه بتلف أو ما بحكمه أو عيب أو نقص وإن لم يكن 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الظاهر أنّ التغيير بالزيادة لا يسقط إذا لم يستلزم نقصاً ولو بمثل حصول الشركة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سقوطه بإسقاطه في ضمن العقد أو بعده تابع للجعل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خيار المشتري المضمون على البائع كما مرّ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الثبوت لا يخلو من قرب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 قول الواحد الموثوق به من أهل الخبرة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والأحوط التخلّص بالتصالح ، ولا تبعد القرعة خصوصاً في بعض الصور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 في زمان خيار المشتري المضمون على البائع كما مرّ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ثبوته لأجله إشكال ، بل عدمه لا يخلو من قرب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تحقّق الخيار ، وأمّا قبله كخيار التأخير في الثلاثة ، فقد مرّ أنّ الأقوى عدم سقوطه بالإسقاط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جرت العادة بدخوله فيه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تعارف يوجب التقييد ، كما أ نّه كذلك نوعاً وكذا في ثمر الشجر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تعارف يوجب التقييد ، كما هو كذلك غالباً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يلزم محذور بيع الكالي بالكالي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شرطه ، وأمّا لو اتّفق التأخير إلى حلول الأجل ، فالظاهر أنّ له ذلك إذا امتنع المشروط له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 بها عن الضمان محلّ إشكال ، بل لا يبعد عدمه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ينبغي ترك الاحتياط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الكفاية ضعيف ، فالأقوى هو العدم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ولو قيل بصحّته وأنّ للبائع أقلّ الثمنين ولو عند الأجل ، فليس ببعيد ، لكن لا يترك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إشكال في البطلان فيما لو باع بثمن إلى أجل وبأزيد منه إلى آخر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غير ثابتة في شرط المشتري على البائع ، ولا يترك الاحتياط في الفرعين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نعم هو من الكبائر العظيمة أعاذنا اللّه منها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الضابط الاتّحاد في الجنس عرفاً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أحوطه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قوبل بين النقدين اللذين فيهما ، وأمّا إذا قوبل بين الثوبين فالظاهر عدم جريان الصرف فيه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الكفاية إذا وقعت المعاملة بين عشر روبيات من الفضّة وليرة من الذهب ، نعم لو وقعت بين الجامع بين نوت عشر روبيات والفضّة منها فالظاهر أ نّها ليست صرفاً ، كما أ نّه يكفي تسليم أيّهما شاء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حصل التقابض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 ولهذا وقوع المعاملة بمجرّد ما ذكره مشكل ، بل لا بدّ من إيقاعها بنفسه ، أو بجهة التوكيل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ولو علموا ، ولا يلزم العلم الفعلي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بعد إبانة حالها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إبقائها غير ثابتة ، ولكن كسرها أحوط ، ولا فرق بين ما يعمل للغشّ وغيره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وللبائع أيضاً مع جهله بالحال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كذلك في مثل خشونة الجوهر واضطراب السكّة ، وأمّا الغشّ الزائد على المتعارف فهو خارج عن المورد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ولا يبعد أن يكون مخيّراً بين إمساك المعيب بالثمن ومطالبة البدل قبل التفرّق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ثبوت الأرش فيه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الشرط الخامس هو غلبة الوجود وقت الحلول ، بحيث يكون مأمون الانقطاع ومقدور التسليم عادة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الكراهة غير معلومة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كان مصداق الموصوف مع كمال زائد وفي غير ذلك فالظاهر عدم وجوبه ، كما إذا أسلم في العبد الجاهل وأراد إعطاء العالم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عدم أخذ الزائد على رأس المال مطلقاً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لا يخلو من قوّة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تكون للكراهة مراتب إلى بلوغ الثمرة وترتفع به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وصيرورته مأموناً من الآفة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يعتبر كون الثمرة تابعة ، أو لا ؟ الأقوى عدمه ، ولعلّ مراده ذلك وزيادة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النسّاخ وإن كان له وجه غير وجيه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الوجه الذي مرّ في باب القبض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بالتصالح في الثاني منهما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الإلحاق ، نعم الأقوى عدم جواز بيعها بمقدار منها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وأرش نقصها على فرضه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لكن لا يترك الاحتياط خصوصاً في بيع سنبل الشعير بالحنطة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جريانه فيها لكنّه أحوط ، نعم الأقوى عدم جواز بيع كلّ بمقدار ممّا حصل منه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النخل والشجر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علون كاُخت الجدّ والجدّة ، لا خالة الخالة وعمّة العمّة ولا خالة العمّة وعمّة الخالة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والاُمّهات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اختياري لا غيره كالإرث ، فإنّه يرثه ويجبر على بيعه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سماع دعواه إذا أوّل إقراره بتأويل ممكن في حقّه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بمعنى جواز وطئها حال صغرها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تركه حتّى تضع حملها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الانتزاع بمعنى التملّك لا يخلو من إشكال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قابلاً للتذكية يجوز بيع جلده وكذا إذا لم يكن المقصود منه اللحم كالفرس والحمار ، لكن يراد ذبحه لإهابه ، فإنّه يجوز بيعه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قيامه مقامهما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فيه وفيما بعده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الشفعة إلاّ بين الشريكين والعبارة توهم خلافه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يترك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له ؛ لضعفه جدّاً ، بل لاحتمال قصور الأدلّة عن إثبات الشفعة فيه ، لكنّه مدفوع بإطلاق بعضها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الثبوت حينئذٍ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البلد بعيداً جدّاً يتضرّر المشتري بتأجيله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الأخذ بها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لهما ترك الاحتياط بمراعاة المصلحة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في الفرعين ، بل في مثل الوليّ والوكيل المطلق لا يخلو عدم الجواز من وجه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 نّه يجوز له الأخذ بها وإعطاء الثمن عاجلاً والتأخير في الأخذ والإعطاء إلى وقته ، لكن الأحوط الأخذ عاجلاً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ثانيهما هو الأقوى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تردّد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بغير فعله مع المماطلة في التسليم بعد الأخذ بها بشروطه ، وكذا الحكم في الفرع الآتي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أوّلهما فيه أيضاً إن كان المراد به تركه مع بقاء الحقّ ، لا جعله كناية عن سقوطه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أشبه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استثني كما يأتي بعضها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ثبوت الردّ من أحداث السنة ، بل الأقوى عدمه ، كما أنّ عدم ثبوت الأرش لا يخلو من قوّة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اغتفارها فيه أيضاً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الحال لو لم يعلم مقدارهما لكن علم إجمالاً زيادة المصالح عنه عن مال الصلح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جريان حكمه فيه كما مرّ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ما هو الأقوى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على ذمّته ولو كان محقّاً بحسب اعتقاده ، وأمر الآخرة موكول إلى الآخرة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كونه إقراراً بعدم كونه ملكاً له ، وأمّا كونه إقراراً بملكية المدّعي فلا يخلو من إشكال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الحكم كما ذكره في شقوق المسألة ، لكن لا ينبغي ترك الاحتياط بالتصالح فيها ، خصوصاً في غير ما استودع رجل رجلاً دينارين واستودعه آخر ديناراً فضاع دينار منها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المثليان ممّا يقبل الامتزاج كالحنطة والزيت وامتزجا ، فتلف بعضه يكون التلف بنسبة المالين ؛ ففي المنّين والمنّ إذا امتزجا وتلف منّ تكون البقيّة بين المالكين تثليثاً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يبعد جريان حكم الدرهم والدينار فيما إذا كانا ممتازين فتلف منّ واشتبه الأمر ، لكن لا ينبغي ترك الاحتياط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الجواز إلاّ بإذنه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وكذا في الفرع الآتي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الرجوع بلا أرش هو الأقرب ، لكن لا يترك الاحتياط المذكور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يرفع أمره إلى الحاكم كالجدار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الدالّ على إيقاع الإضافة الخاصّة المستتبعة للتمليك المذكور ، فلفظ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القبيل ، فهما صريحان في إفادة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تصحّ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ملّكتك منفعة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مريداً به الإجارة ، لكنّه ليس من العبارة الصريحة في إفادتها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مملوكة أو مستأجرة ، فلا تصحّ إجارة مال الغير إلاّ بإذنه أو إجازته ، وكذا العوض لا بدّ وأن يكون مملوكاً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الانتفاع بها ، فلا تصحّ إجارة الحائض لكنس المسجد مباشرة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دخل له في الرغبات وإلاّ فلا بدّ من تعيين منتهاه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هو الجعالة المعروفة ، ولكن لا تبعد صحّته ، ولعلّه يرجع إلى الإباحة بالعوض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في عدم الاستحقاق عدم الإيصال ولو لم يكن عن تقصير ، كما لو ضلّ الطريق فلم يوصله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انصراف موجب للتقييد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التعيين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تكن مستأجرة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بطلانها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لزومها كما مرّ في البيع ، ولا ينبغي ترك الاحتياط المذكور هناك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ذلك على الأقوى ، نعم لو اقتضت المصلحة اللازمة المراعاة فيما قبل الرشد الإجارة مدّة زائدة على زمانه ؛ بحيث تكون بأقلّ منها خلاف مصلحته ليس له فسخها بعد البلوغ والرشد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مضموناً بوصف المخيطية لا يكون من متفرّعات الوجه الأوّل ، بل 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مضموناً بوصفها ؛ لكون الوصف مملوكاً له تبعاً للعين ، وبعد الخروج عن عهدة الموصوف مع وصفه تكون له المطالبة باُجرة المسمّى لتسليم العمل ببدله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بتقصير من المستأجر في حفظها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لا يخلو ثانيهما من رجحان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معه قبل مجيء زمان الإجارة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مدخل للاستيفاء فيه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أثنائها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الانتفاع الذي هو مورد الإجارة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سنخ مورد الإجارة بوجه يعتدّ به عرفاً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تلفت تحت يده ، أو في ضمانه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استحقاقها في غير الإجارة بلا اُجرة ، أو بما لا يتموّل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فيهما بين العلم ببطلانها والجهل به في عدم الاستحقاق على الأقوى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التناوب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والأجير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جوازها إذا كانت الاُجرة من غير جنس الاُجرة السابقة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الإلحاق لا يخلو من قوّة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جواز دفع متعلّق العمل وكذا العين المستأجرة إليه بدون الإذن إشكال ، وإن لا يخلو من وجه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يؤدّ إلى ضعفه في العمل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معيّن ، فركبها في ذلك الوقت إليه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كونه مانعاً يعتبر إذنه ، أو إجازته في صحّتها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الصحّة فيها أيضاً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حصول الملكية للمستأجر ، إلاّ إذا قصد المؤجر العمل له ، فلو قصد ملكيتها لنفسه تصير ملكاً له ، ولو لم يقصد شيئاً فالظاهر بقاؤها على إباحتها على إشكال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ولا بما يحصل منها مطلقاً ؛ سواء كان بمقدار معيّن من حاصلها أو مع اشتراط أدائه منه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تكن بحاصلها ولا يشترط ذلك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الضمان في التطبّب على النحو المتعارف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إنشاء الالتزام بعوض معلوم على عمل محلّل مقصود ، أو جعل عوض معلوم على عمل محلّل مقصود ، والأمر سهل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الفروق بينهما ولهما فروق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الإجارة من العقود وهي من الإيقاعات على الأقوى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تكن فيه وفي سائر المذكورات أغراض عقلائية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 نّه الأحوط في الكفائية وكذا هاهنا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ينافي ما يأتي في المسألة العاشرة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 فلا يعتبر اطّلاعه على التزامه ، نعم يعتبر فيه أن لا يكون متبرّعاً بعمله ، فلو عمله خطأً وغفلةً بل من غير 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كالطفل الغير المميّز والمجنون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استحقاقه له كما مرّ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في يده على وجه الغصب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الجعل على إتمامهما ، وإلاّ يكون الحكم كردّ الضالّة والآبق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الفرق في الصورتين إذا كان الفسخ من الجاعل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للعامل من المسمّى بالنسبة في الاُولى ، وله اُجرة المثل في الثانية ، فإذا كان العمل مثل الخياطة والبناء فأوجد بعضه فرجع الجاعل ، يكون للعامل من المسمّى بالنسبة ، وإذا كان مثل ردّ الضالّة وكذا إتمام الخياطة تكون له اُجرة المثل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الجعل في أمثاله إنّما هو على إتمام العمل ، وإلاّ فلو فرض كونه على العمل فالظاهر استحقاقه على ما عمل بالنسبة ، وعليه غرامة الضرر الوارد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117641</Words>
  <Characters>461302</Characters>
  <CharactersWithSpaces>576839</CharactersWithSpaces>
  <Paragraphs>2656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2026-08-24T19:53:20Z</dcterms:created>
  <dc:creator>ghaemiyeh.com</dc:creator>
  <dc:description/>
  <dc:language>en-US</dc:language>
  <cp:lastModifiedBy/>
  <dcterms:modified xsi:type="dcterms:W3CDTF">2026-08-24T23:23:49Z</dcterms:modified>
  <cp:revision>1</cp:revision>
  <dc:subject/>
  <dc:title>موسوعة الامام الخمینی قدس سرة الشریف المجلد 26 و 27 وسیلة النجاة جلد 1</dc:title>
</cp:coreProperties>
</file>

<file path=docProps/custom.xml><?xml version="1.0" encoding="utf-8"?>
<Properties xmlns="http://schemas.openxmlformats.org/officeDocument/2006/custom-properties" xmlns:vt="http://schemas.openxmlformats.org/officeDocument/2006/docPropsVTypes"/>
</file>