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آسیب شناسی مطبوعات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8125_73047245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88127_73047245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88129_730472459">
            <w:r>
              <w:rPr>
                <w:webHidden/>
                <w:rStyle w:val="IndexLink"/>
                <w:rtl w:val="true"/>
              </w:rPr>
              <w:t>مقاله‌ي مورد نقد</w:t>
            </w:r>
            <w:r>
              <w:rPr>
                <w:rStyle w:val="IndexLink"/>
                <w:rtl w:val="true"/>
              </w:rPr>
              <w:t xml:space="preserve">: </w:t>
            </w:r>
            <w:r>
              <w:rPr>
                <w:rStyle w:val="IndexLink"/>
                <w:rtl w:val="true"/>
              </w:rPr>
              <w:t>اسلام، وحي و نبوت</w:t>
            </w:r>
            <w:r>
              <w:rPr>
                <w:rStyle w:val="IndexLink"/>
                <w:rtl w:val="true"/>
              </w:rPr>
              <w:tab/>
            </w:r>
            <w:r>
              <w:rPr>
                <w:rStyle w:val="IndexLink"/>
              </w:rPr>
              <w:t>7</w:t>
            </w:r>
          </w:hyperlink>
        </w:p>
        <w:p>
          <w:pPr>
            <w:pStyle w:val="Contents3"/>
            <w:tabs>
              <w:tab w:val="clear" w:pos="8459"/>
              <w:tab w:val="right" w:pos="9026" w:leader="dot"/>
            </w:tabs>
            <w:rPr/>
          </w:pPr>
          <w:hyperlink w:anchor="__RefHeading___Toc1788131_73047245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788133_730472459">
            <w:r>
              <w:rPr>
                <w:webHidden/>
                <w:rStyle w:val="IndexLink"/>
                <w:rtl w:val="true"/>
              </w:rPr>
              <w:t>چكيده</w:t>
            </w:r>
            <w:r>
              <w:rPr>
                <w:rStyle w:val="IndexLink"/>
                <w:rtl w:val="true"/>
              </w:rPr>
              <w:t>:</w:t>
              <w:tab/>
            </w:r>
            <w:r>
              <w:rPr>
                <w:rStyle w:val="IndexLink"/>
              </w:rPr>
              <w:t>7</w:t>
            </w:r>
          </w:hyperlink>
        </w:p>
        <w:p>
          <w:pPr>
            <w:pStyle w:val="Contents3"/>
            <w:tabs>
              <w:tab w:val="clear" w:pos="8459"/>
              <w:tab w:val="right" w:pos="9026" w:leader="dot"/>
            </w:tabs>
            <w:rPr/>
          </w:pPr>
          <w:hyperlink w:anchor="__RefHeading___Toc1788135_730472459">
            <w:r>
              <w:rPr>
                <w:webHidden/>
                <w:rStyle w:val="IndexLink"/>
                <w:rtl w:val="true"/>
              </w:rPr>
              <w:t>نقد و بررسي</w:t>
            </w:r>
            <w:r>
              <w:rPr>
                <w:rStyle w:val="IndexLink"/>
                <w:rtl w:val="true"/>
              </w:rPr>
              <w:t xml:space="preserve">: </w:t>
            </w:r>
            <w:r>
              <w:rPr>
                <w:rStyle w:val="IndexLink"/>
                <w:rtl w:val="true"/>
              </w:rPr>
              <w:t>قبضي در بسط تجربه‌ي نبوي</w:t>
            </w:r>
            <w:r>
              <w:rPr>
                <w:rStyle w:val="IndexLink"/>
                <w:rtl w:val="true"/>
              </w:rPr>
              <w:tab/>
            </w:r>
            <w:r>
              <w:rPr>
                <w:rStyle w:val="IndexLink"/>
              </w:rPr>
              <w:t>8</w:t>
            </w:r>
          </w:hyperlink>
        </w:p>
        <w:p>
          <w:pPr>
            <w:pStyle w:val="Contents3"/>
            <w:tabs>
              <w:tab w:val="clear" w:pos="8459"/>
              <w:tab w:val="right" w:pos="9026" w:leader="dot"/>
            </w:tabs>
            <w:rPr/>
          </w:pPr>
          <w:hyperlink w:anchor="__RefHeading___Toc1788137_730472459">
            <w:r>
              <w:rPr>
                <w:webHidden/>
                <w:rStyle w:val="IndexLink"/>
                <w:rtl w:val="true"/>
              </w:rPr>
              <w:t>چيستي وحي</w:t>
            </w:r>
            <w:r>
              <w:rPr>
                <w:rStyle w:val="IndexLink"/>
                <w:rtl w:val="true"/>
              </w:rPr>
              <w:tab/>
            </w:r>
            <w:r>
              <w:rPr>
                <w:rStyle w:val="IndexLink"/>
              </w:rPr>
              <w:t>8</w:t>
            </w:r>
          </w:hyperlink>
        </w:p>
        <w:p>
          <w:pPr>
            <w:pStyle w:val="Contents3"/>
            <w:tabs>
              <w:tab w:val="clear" w:pos="8459"/>
              <w:tab w:val="right" w:pos="9026" w:leader="dot"/>
            </w:tabs>
            <w:rPr/>
          </w:pPr>
          <w:hyperlink w:anchor="__RefHeading___Toc1788139_730472459">
            <w:r>
              <w:rPr>
                <w:webHidden/>
                <w:rStyle w:val="IndexLink"/>
                <w:rtl w:val="true"/>
              </w:rPr>
              <w:t>الف</w:t>
            </w:r>
            <w:r>
              <w:rPr>
                <w:rStyle w:val="IndexLink"/>
                <w:rtl w:val="true"/>
              </w:rPr>
              <w:t xml:space="preserve">) </w:t>
            </w:r>
            <w:r>
              <w:rPr>
                <w:rStyle w:val="IndexLink"/>
                <w:rtl w:val="true"/>
              </w:rPr>
              <w:t>ماهيت وحي</w:t>
            </w:r>
            <w:r>
              <w:rPr>
                <w:rStyle w:val="IndexLink"/>
                <w:rtl w:val="true"/>
              </w:rPr>
              <w:t>:</w:t>
              <w:tab/>
            </w:r>
            <w:r>
              <w:rPr>
                <w:rStyle w:val="IndexLink"/>
              </w:rPr>
              <w:t>11</w:t>
            </w:r>
          </w:hyperlink>
        </w:p>
        <w:p>
          <w:pPr>
            <w:pStyle w:val="Contents3"/>
            <w:tabs>
              <w:tab w:val="clear" w:pos="8459"/>
              <w:tab w:val="right" w:pos="9026" w:leader="dot"/>
            </w:tabs>
            <w:rPr/>
          </w:pPr>
          <w:hyperlink w:anchor="__RefHeading___Toc1788141_730472459">
            <w:r>
              <w:rPr>
                <w:webHidden/>
                <w:rStyle w:val="IndexLink"/>
                <w:rtl w:val="true"/>
              </w:rPr>
              <w:t>نقد ادلّه، روش و پيامدها</w:t>
            </w:r>
            <w:r>
              <w:rPr>
                <w:rStyle w:val="IndexLink"/>
                <w:rtl w:val="true"/>
              </w:rPr>
              <w:tab/>
            </w:r>
            <w:r>
              <w:rPr>
                <w:rStyle w:val="IndexLink"/>
              </w:rPr>
              <w:t>16</w:t>
            </w:r>
          </w:hyperlink>
        </w:p>
        <w:p>
          <w:pPr>
            <w:pStyle w:val="Contents3"/>
            <w:tabs>
              <w:tab w:val="clear" w:pos="8459"/>
              <w:tab w:val="right" w:pos="9026" w:leader="dot"/>
            </w:tabs>
            <w:rPr/>
          </w:pPr>
          <w:hyperlink w:anchor="__RefHeading___Toc1788143_730472459">
            <w:r>
              <w:rPr>
                <w:webHidden/>
                <w:rStyle w:val="IndexLink"/>
                <w:rtl w:val="true"/>
              </w:rPr>
              <w:t>ب</w:t>
            </w:r>
            <w:r>
              <w:rPr>
                <w:rStyle w:val="IndexLink"/>
                <w:rtl w:val="true"/>
              </w:rPr>
              <w:t xml:space="preserve">) </w:t>
            </w:r>
            <w:r>
              <w:rPr>
                <w:rStyle w:val="IndexLink"/>
                <w:rtl w:val="true"/>
              </w:rPr>
              <w:t>روش اثبات و مقدمات نظريه‌ي بسط تجربه نبوي</w:t>
            </w:r>
            <w:r>
              <w:rPr>
                <w:rStyle w:val="IndexLink"/>
                <w:rtl w:val="true"/>
              </w:rPr>
              <w:t>:</w:t>
              <w:tab/>
            </w:r>
            <w:r>
              <w:rPr>
                <w:rStyle w:val="IndexLink"/>
              </w:rPr>
              <w:t>16</w:t>
            </w:r>
          </w:hyperlink>
        </w:p>
        <w:p>
          <w:pPr>
            <w:pStyle w:val="Contents3"/>
            <w:tabs>
              <w:tab w:val="clear" w:pos="8459"/>
              <w:tab w:val="right" w:pos="9026" w:leader="dot"/>
            </w:tabs>
            <w:rPr/>
          </w:pPr>
          <w:hyperlink w:anchor="__RefHeading___Toc1788145_730472459">
            <w:r>
              <w:rPr>
                <w:webHidden/>
                <w:rStyle w:val="IndexLink"/>
                <w:rtl w:val="true"/>
              </w:rPr>
              <w:t>ج</w:t>
            </w:r>
            <w:r>
              <w:rPr>
                <w:rStyle w:val="IndexLink"/>
                <w:rtl w:val="true"/>
              </w:rPr>
              <w:t xml:space="preserve">) </w:t>
            </w:r>
            <w:r>
              <w:rPr>
                <w:rStyle w:val="IndexLink"/>
                <w:rtl w:val="true"/>
              </w:rPr>
              <w:t>لوازم و پيامدهاي نظريه‌ي بسط تجربه نبوي</w:t>
            </w:r>
            <w:r>
              <w:rPr>
                <w:rStyle w:val="IndexLink"/>
                <w:rtl w:val="true"/>
              </w:rPr>
              <w:tab/>
            </w:r>
            <w:r>
              <w:rPr>
                <w:rStyle w:val="IndexLink"/>
              </w:rPr>
              <w:t>21</w:t>
            </w:r>
          </w:hyperlink>
        </w:p>
        <w:p>
          <w:pPr>
            <w:pStyle w:val="Contents2"/>
            <w:tabs>
              <w:tab w:val="clear" w:pos="8743"/>
              <w:tab w:val="right" w:pos="9026" w:leader="dot"/>
            </w:tabs>
            <w:rPr/>
          </w:pPr>
          <w:hyperlink w:anchor="__RefHeading___Toc1788147_730472459">
            <w:r>
              <w:rPr>
                <w:webHidden/>
                <w:rStyle w:val="IndexLink"/>
                <w:rtl w:val="true"/>
              </w:rPr>
              <w:t>مقاله‌ي مورد نقد</w:t>
            </w:r>
            <w:r>
              <w:rPr>
                <w:rStyle w:val="IndexLink"/>
                <w:rtl w:val="true"/>
              </w:rPr>
              <w:t xml:space="preserve">: </w:t>
            </w:r>
            <w:r>
              <w:rPr>
                <w:rStyle w:val="IndexLink"/>
                <w:rtl w:val="true"/>
              </w:rPr>
              <w:t>سخن‌راني آغاجري نشان داد كه هنوز شريعتي حرفي براي گفتن دارد</w:t>
            </w:r>
            <w:r>
              <w:rPr>
                <w:rStyle w:val="IndexLink"/>
                <w:rtl w:val="true"/>
              </w:rPr>
              <w:tab/>
            </w:r>
            <w:r>
              <w:rPr>
                <w:rStyle w:val="IndexLink"/>
              </w:rPr>
              <w:t>27</w:t>
            </w:r>
          </w:hyperlink>
        </w:p>
        <w:p>
          <w:pPr>
            <w:pStyle w:val="Contents3"/>
            <w:tabs>
              <w:tab w:val="clear" w:pos="8459"/>
              <w:tab w:val="right" w:pos="9026" w:leader="dot"/>
            </w:tabs>
            <w:rPr/>
          </w:pPr>
          <w:hyperlink w:anchor="__RefHeading___Toc1788149_73047245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788151_730472459">
            <w:r>
              <w:rPr>
                <w:webHidden/>
                <w:rStyle w:val="IndexLink"/>
                <w:rtl w:val="true"/>
              </w:rPr>
              <w:t>چكيده</w:t>
            </w:r>
            <w:r>
              <w:rPr>
                <w:rStyle w:val="IndexLink"/>
                <w:rtl w:val="true"/>
              </w:rPr>
              <w:t>:</w:t>
              <w:tab/>
            </w:r>
            <w:r>
              <w:rPr>
                <w:rStyle w:val="IndexLink"/>
              </w:rPr>
              <w:t>27</w:t>
            </w:r>
          </w:hyperlink>
        </w:p>
        <w:p>
          <w:pPr>
            <w:pStyle w:val="Contents2"/>
            <w:tabs>
              <w:tab w:val="clear" w:pos="8743"/>
              <w:tab w:val="right" w:pos="9026" w:leader="dot"/>
            </w:tabs>
            <w:rPr/>
          </w:pPr>
          <w:hyperlink w:anchor="__RefHeading___Toc1788153_730472459">
            <w:r>
              <w:rPr>
                <w:webHidden/>
                <w:rStyle w:val="IndexLink"/>
                <w:rtl w:val="true"/>
              </w:rPr>
              <w:t>مقاله‌ي مورد نقد</w:t>
            </w:r>
            <w:r>
              <w:rPr>
                <w:rStyle w:val="IndexLink"/>
                <w:rtl w:val="true"/>
              </w:rPr>
              <w:t xml:space="preserve">: </w:t>
            </w:r>
            <w:r>
              <w:rPr>
                <w:rStyle w:val="IndexLink"/>
                <w:rtl w:val="true"/>
              </w:rPr>
              <w:t>دين و دولت در انديشه‌ي شريعتي</w:t>
            </w:r>
            <w:r>
              <w:rPr>
                <w:rStyle w:val="IndexLink"/>
                <w:rtl w:val="true"/>
              </w:rPr>
              <w:tab/>
            </w:r>
            <w:r>
              <w:rPr>
                <w:rStyle w:val="IndexLink"/>
              </w:rPr>
              <w:t>43</w:t>
            </w:r>
          </w:hyperlink>
        </w:p>
        <w:p>
          <w:pPr>
            <w:pStyle w:val="Contents3"/>
            <w:tabs>
              <w:tab w:val="clear" w:pos="8459"/>
              <w:tab w:val="right" w:pos="9026" w:leader="dot"/>
            </w:tabs>
            <w:rPr/>
          </w:pPr>
          <w:hyperlink w:anchor="__RefHeading___Toc1788155_730472459">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788157_730472459">
            <w:r>
              <w:rPr>
                <w:webHidden/>
                <w:rStyle w:val="IndexLink"/>
                <w:rtl w:val="true"/>
              </w:rPr>
              <w:t>چكيده</w:t>
            </w:r>
            <w:r>
              <w:rPr>
                <w:rStyle w:val="IndexLink"/>
                <w:rtl w:val="true"/>
              </w:rPr>
              <w:t>:</w:t>
              <w:tab/>
            </w:r>
            <w:r>
              <w:rPr>
                <w:rStyle w:val="IndexLink"/>
              </w:rPr>
              <w:t>43</w:t>
            </w:r>
          </w:hyperlink>
        </w:p>
        <w:p>
          <w:pPr>
            <w:pStyle w:val="Contents3"/>
            <w:tabs>
              <w:tab w:val="clear" w:pos="8459"/>
              <w:tab w:val="right" w:pos="9026" w:leader="dot"/>
            </w:tabs>
            <w:rPr/>
          </w:pPr>
          <w:hyperlink w:anchor="__RefHeading___Toc1788159_730472459">
            <w:r>
              <w:rPr>
                <w:webHidden/>
                <w:rStyle w:val="IndexLink"/>
                <w:rtl w:val="true"/>
              </w:rPr>
              <w:t>نقد و بررسي</w:t>
            </w:r>
            <w:r>
              <w:rPr>
                <w:rStyle w:val="IndexLink"/>
                <w:rtl w:val="true"/>
              </w:rPr>
              <w:t xml:space="preserve">: </w:t>
            </w:r>
            <w:r>
              <w:rPr>
                <w:rStyle w:val="IndexLink"/>
                <w:rtl w:val="true"/>
              </w:rPr>
              <w:t>دين و دولت در شريعت ناب محمدي</w:t>
            </w:r>
            <w:r>
              <w:rPr>
                <w:rStyle w:val="IndexLink"/>
                <w:rtl w:val="true"/>
              </w:rPr>
              <w:tab/>
            </w:r>
            <w:r>
              <w:rPr>
                <w:rStyle w:val="IndexLink"/>
              </w:rPr>
              <w:t>43</w:t>
            </w:r>
          </w:hyperlink>
        </w:p>
        <w:p>
          <w:pPr>
            <w:pStyle w:val="Contents3"/>
            <w:tabs>
              <w:tab w:val="clear" w:pos="8459"/>
              <w:tab w:val="right" w:pos="9026" w:leader="dot"/>
            </w:tabs>
            <w:rPr/>
          </w:pPr>
          <w:hyperlink w:anchor="__RefHeading___Toc1788161_730472459">
            <w:r>
              <w:rPr>
                <w:webHidden/>
                <w:rStyle w:val="IndexLink"/>
                <w:rtl w:val="true"/>
              </w:rPr>
              <w:t>بخش اول، عدم جدايي دين از حكومت</w:t>
            </w:r>
            <w:r>
              <w:rPr>
                <w:rStyle w:val="IndexLink"/>
                <w:rtl w:val="true"/>
              </w:rPr>
              <w:tab/>
            </w:r>
            <w:r>
              <w:rPr>
                <w:rStyle w:val="IndexLink"/>
              </w:rPr>
              <w:t>44</w:t>
            </w:r>
          </w:hyperlink>
        </w:p>
        <w:p>
          <w:pPr>
            <w:pStyle w:val="Contents3"/>
            <w:tabs>
              <w:tab w:val="clear" w:pos="8459"/>
              <w:tab w:val="right" w:pos="9026" w:leader="dot"/>
            </w:tabs>
            <w:rPr/>
          </w:pPr>
          <w:hyperlink w:anchor="__RefHeading___Toc1788163_730472459">
            <w:r>
              <w:rPr>
                <w:webHidden/>
                <w:rStyle w:val="IndexLink"/>
                <w:rtl w:val="true"/>
              </w:rPr>
              <w:t>نقد و بررسي</w:t>
            </w:r>
            <w:r>
              <w:rPr>
                <w:rStyle w:val="IndexLink"/>
                <w:rtl w:val="true"/>
              </w:rPr>
              <w:tab/>
            </w:r>
            <w:r>
              <w:rPr>
                <w:rStyle w:val="IndexLink"/>
              </w:rPr>
              <w:t>48</w:t>
            </w:r>
          </w:hyperlink>
        </w:p>
        <w:p>
          <w:pPr>
            <w:pStyle w:val="Contents3"/>
            <w:tabs>
              <w:tab w:val="clear" w:pos="8459"/>
              <w:tab w:val="right" w:pos="9026" w:leader="dot"/>
            </w:tabs>
            <w:rPr/>
          </w:pPr>
          <w:hyperlink w:anchor="__RefHeading___Toc1788165_730472459">
            <w:r>
              <w:rPr>
                <w:webHidden/>
                <w:rStyle w:val="IndexLink"/>
                <w:rtl w:val="true"/>
              </w:rPr>
              <w:t>نقد و بررسي</w:t>
            </w:r>
            <w:r>
              <w:rPr>
                <w:rStyle w:val="IndexLink"/>
                <w:rtl w:val="true"/>
              </w:rPr>
              <w:tab/>
            </w:r>
            <w:r>
              <w:rPr>
                <w:rStyle w:val="IndexLink"/>
              </w:rPr>
              <w:t>52</w:t>
            </w:r>
          </w:hyperlink>
        </w:p>
        <w:p>
          <w:pPr>
            <w:pStyle w:val="Contents3"/>
            <w:tabs>
              <w:tab w:val="clear" w:pos="8459"/>
              <w:tab w:val="right" w:pos="9026" w:leader="dot"/>
            </w:tabs>
            <w:rPr/>
          </w:pPr>
          <w:hyperlink w:anchor="__RefHeading___Toc1788167_730472459">
            <w:r>
              <w:rPr>
                <w:webHidden/>
                <w:rStyle w:val="IndexLink"/>
                <w:rtl w:val="true"/>
              </w:rPr>
              <w:t>نقد و بررسي</w:t>
            </w:r>
            <w:r>
              <w:rPr>
                <w:rStyle w:val="IndexLink"/>
                <w:rtl w:val="true"/>
              </w:rPr>
              <w:tab/>
            </w:r>
            <w:r>
              <w:rPr>
                <w:rStyle w:val="IndexLink"/>
              </w:rPr>
              <w:t>53</w:t>
            </w:r>
          </w:hyperlink>
        </w:p>
        <w:p>
          <w:pPr>
            <w:pStyle w:val="Contents2"/>
            <w:tabs>
              <w:tab w:val="clear" w:pos="8743"/>
              <w:tab w:val="right" w:pos="9026" w:leader="dot"/>
            </w:tabs>
            <w:rPr/>
          </w:pPr>
          <w:hyperlink w:anchor="__RefHeading___Toc1788169_730472459">
            <w:r>
              <w:rPr>
                <w:webHidden/>
                <w:rStyle w:val="IndexLink"/>
                <w:rtl w:val="true"/>
              </w:rPr>
              <w:t>مقاله‌ي مورد نقد</w:t>
            </w:r>
            <w:r>
              <w:rPr>
                <w:rStyle w:val="IndexLink"/>
                <w:rtl w:val="true"/>
              </w:rPr>
              <w:t xml:space="preserve">: </w:t>
            </w:r>
            <w:r>
              <w:rPr>
                <w:rStyle w:val="IndexLink"/>
                <w:rtl w:val="true"/>
              </w:rPr>
              <w:t>دوگانگي در حاكميت، دوگانگي در ساختار</w:t>
            </w:r>
            <w:r>
              <w:rPr>
                <w:rStyle w:val="IndexLink"/>
                <w:rtl w:val="true"/>
              </w:rPr>
              <w:tab/>
            </w:r>
            <w:r>
              <w:rPr>
                <w:rStyle w:val="IndexLink"/>
              </w:rPr>
              <w:t>58</w:t>
            </w:r>
          </w:hyperlink>
        </w:p>
        <w:p>
          <w:pPr>
            <w:pStyle w:val="Contents3"/>
            <w:tabs>
              <w:tab w:val="clear" w:pos="8459"/>
              <w:tab w:val="right" w:pos="9026" w:leader="dot"/>
            </w:tabs>
            <w:rPr/>
          </w:pPr>
          <w:hyperlink w:anchor="__RefHeading___Toc1788171_73047245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788173_730472459">
            <w:r>
              <w:rPr>
                <w:webHidden/>
                <w:rStyle w:val="IndexLink"/>
                <w:rtl w:val="true"/>
              </w:rPr>
              <w:t>چكيده</w:t>
            </w:r>
            <w:r>
              <w:rPr>
                <w:rStyle w:val="IndexLink"/>
                <w:rtl w:val="true"/>
              </w:rPr>
              <w:t>:</w:t>
              <w:tab/>
            </w:r>
            <w:r>
              <w:rPr>
                <w:rStyle w:val="IndexLink"/>
              </w:rPr>
              <w:t>58</w:t>
            </w:r>
          </w:hyperlink>
        </w:p>
        <w:p>
          <w:pPr>
            <w:pStyle w:val="Contents3"/>
            <w:tabs>
              <w:tab w:val="clear" w:pos="8459"/>
              <w:tab w:val="right" w:pos="9026" w:leader="dot"/>
            </w:tabs>
            <w:rPr/>
          </w:pPr>
          <w:hyperlink w:anchor="__RefHeading___Toc1788175_730472459">
            <w:r>
              <w:rPr>
                <w:webHidden/>
                <w:rStyle w:val="IndexLink"/>
                <w:rtl w:val="true"/>
              </w:rPr>
              <w:t>نقد و بررسي</w:t>
            </w:r>
            <w:r>
              <w:rPr>
                <w:rStyle w:val="IndexLink"/>
                <w:rtl w:val="true"/>
              </w:rPr>
              <w:t>:</w:t>
            </w:r>
            <w:r>
              <w:rPr>
                <w:rStyle w:val="IndexLink"/>
                <w:rtl w:val="true"/>
              </w:rPr>
              <w:t>نقد تفكّر دوگانگي در حاكميّت</w:t>
            </w:r>
            <w:r>
              <w:rPr>
                <w:rStyle w:val="IndexLink"/>
                <w:rtl w:val="true"/>
              </w:rPr>
              <w:tab/>
            </w:r>
            <w:r>
              <w:rPr>
                <w:rStyle w:val="IndexLink"/>
              </w:rPr>
              <w:t>58</w:t>
            </w:r>
          </w:hyperlink>
        </w:p>
        <w:p>
          <w:pPr>
            <w:pStyle w:val="Contents2"/>
            <w:tabs>
              <w:tab w:val="clear" w:pos="8743"/>
              <w:tab w:val="right" w:pos="9026" w:leader="dot"/>
            </w:tabs>
            <w:rPr/>
          </w:pPr>
          <w:hyperlink w:anchor="__RefHeading___Toc1788177_730472459">
            <w:r>
              <w:rPr>
                <w:webHidden/>
                <w:rStyle w:val="IndexLink"/>
                <w:rtl w:val="true"/>
              </w:rPr>
              <w:t>مقاله‌ي مورد نقد</w:t>
            </w:r>
            <w:r>
              <w:rPr>
                <w:rStyle w:val="IndexLink"/>
                <w:rtl w:val="true"/>
              </w:rPr>
              <w:t xml:space="preserve">: </w:t>
            </w:r>
            <w:r>
              <w:rPr>
                <w:rStyle w:val="IndexLink"/>
                <w:rtl w:val="true"/>
              </w:rPr>
              <w:t>مردم‌سالاري و وفاق ملي، خودكامگي و نفاق ملّي</w:t>
            </w:r>
            <w:r>
              <w:rPr>
                <w:rStyle w:val="IndexLink"/>
                <w:rtl w:val="true"/>
              </w:rPr>
              <w:tab/>
            </w:r>
            <w:r>
              <w:rPr>
                <w:rStyle w:val="IndexLink"/>
              </w:rPr>
              <w:t>72</w:t>
            </w:r>
          </w:hyperlink>
        </w:p>
        <w:p>
          <w:pPr>
            <w:pStyle w:val="Contents3"/>
            <w:tabs>
              <w:tab w:val="clear" w:pos="8459"/>
              <w:tab w:val="right" w:pos="9026" w:leader="dot"/>
            </w:tabs>
            <w:rPr/>
          </w:pPr>
          <w:hyperlink w:anchor="__RefHeading___Toc1788179_730472459">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788181_730472459">
            <w:r>
              <w:rPr>
                <w:webHidden/>
                <w:rStyle w:val="IndexLink"/>
                <w:rtl w:val="true"/>
              </w:rPr>
              <w:t>چكيده</w:t>
            </w:r>
            <w:r>
              <w:rPr>
                <w:rStyle w:val="IndexLink"/>
                <w:rtl w:val="true"/>
              </w:rPr>
              <w:t>:</w:t>
              <w:tab/>
            </w:r>
            <w:r>
              <w:rPr>
                <w:rStyle w:val="IndexLink"/>
              </w:rPr>
              <w:t>72</w:t>
            </w:r>
          </w:hyperlink>
        </w:p>
        <w:p>
          <w:pPr>
            <w:pStyle w:val="Contents3"/>
            <w:tabs>
              <w:tab w:val="clear" w:pos="8459"/>
              <w:tab w:val="right" w:pos="9026" w:leader="dot"/>
            </w:tabs>
            <w:rPr/>
          </w:pPr>
          <w:hyperlink w:anchor="__RefHeading___Toc1788183_730472459">
            <w:r>
              <w:rPr>
                <w:webHidden/>
                <w:rStyle w:val="IndexLink"/>
                <w:rtl w:val="true"/>
              </w:rPr>
              <w:t>نقد و بررسي</w:t>
            </w:r>
            <w:r>
              <w:rPr>
                <w:rStyle w:val="IndexLink"/>
                <w:rtl w:val="true"/>
              </w:rPr>
              <w:t xml:space="preserve">: </w:t>
            </w:r>
            <w:r>
              <w:rPr>
                <w:rStyle w:val="IndexLink"/>
                <w:rtl w:val="true"/>
              </w:rPr>
              <w:t>وفاق ملي در پرتو عزت و افتخار حسيني</w:t>
            </w:r>
            <w:r>
              <w:rPr>
                <w:rStyle w:val="IndexLink"/>
                <w:rtl w:val="true"/>
              </w:rPr>
              <w:tab/>
            </w:r>
            <w:r>
              <w:rPr>
                <w:rStyle w:val="IndexLink"/>
              </w:rPr>
              <w:t>72</w:t>
            </w:r>
          </w:hyperlink>
        </w:p>
        <w:p>
          <w:pPr>
            <w:pStyle w:val="Contents2"/>
            <w:tabs>
              <w:tab w:val="clear" w:pos="8743"/>
              <w:tab w:val="right" w:pos="9026" w:leader="dot"/>
            </w:tabs>
            <w:rPr/>
          </w:pPr>
          <w:hyperlink w:anchor="__RefHeading___Toc1788185_730472459">
            <w:r>
              <w:rPr>
                <w:webHidden/>
                <w:rStyle w:val="IndexLink"/>
                <w:rtl w:val="true"/>
              </w:rPr>
              <w:t>مقاله‌ي مورد نقد</w:t>
            </w:r>
            <w:r>
              <w:rPr>
                <w:rStyle w:val="IndexLink"/>
                <w:rtl w:val="true"/>
              </w:rPr>
              <w:t xml:space="preserve">: </w:t>
            </w:r>
            <w:r>
              <w:rPr>
                <w:rStyle w:val="IndexLink"/>
                <w:rtl w:val="true"/>
              </w:rPr>
              <w:t>اصلاحات يك حركت دموكراتيك در جامعه‌ي مدني و برنامه‌ريزي دولت</w:t>
            </w:r>
            <w:r>
              <w:rPr>
                <w:rStyle w:val="IndexLink"/>
                <w:rtl w:val="true"/>
              </w:rPr>
              <w:tab/>
            </w:r>
            <w:r>
              <w:rPr>
                <w:rStyle w:val="IndexLink"/>
              </w:rPr>
              <w:t>78</w:t>
            </w:r>
          </w:hyperlink>
        </w:p>
        <w:p>
          <w:pPr>
            <w:pStyle w:val="Contents3"/>
            <w:tabs>
              <w:tab w:val="clear" w:pos="8459"/>
              <w:tab w:val="right" w:pos="9026" w:leader="dot"/>
            </w:tabs>
            <w:rPr/>
          </w:pPr>
          <w:hyperlink w:anchor="__RefHeading___Toc1788187_73047245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788189_730472459">
            <w:r>
              <w:rPr>
                <w:webHidden/>
                <w:rStyle w:val="IndexLink"/>
                <w:rtl w:val="true"/>
              </w:rPr>
              <w:t>چكيده</w:t>
            </w:r>
            <w:r>
              <w:rPr>
                <w:rStyle w:val="IndexLink"/>
                <w:rtl w:val="true"/>
              </w:rPr>
              <w:t>:</w:t>
              <w:tab/>
            </w:r>
            <w:r>
              <w:rPr>
                <w:rStyle w:val="IndexLink"/>
              </w:rPr>
              <w:t>78</w:t>
            </w:r>
          </w:hyperlink>
        </w:p>
        <w:p>
          <w:pPr>
            <w:pStyle w:val="Contents3"/>
            <w:tabs>
              <w:tab w:val="clear" w:pos="8459"/>
              <w:tab w:val="right" w:pos="9026" w:leader="dot"/>
            </w:tabs>
            <w:rPr/>
          </w:pPr>
          <w:hyperlink w:anchor="__RefHeading___Toc1788191_730472459">
            <w:r>
              <w:rPr>
                <w:webHidden/>
                <w:rStyle w:val="IndexLink"/>
                <w:rtl w:val="true"/>
              </w:rPr>
              <w:t>نقد و بررسي</w:t>
            </w:r>
            <w:r>
              <w:rPr>
                <w:rStyle w:val="IndexLink"/>
                <w:rtl w:val="true"/>
              </w:rPr>
              <w:t xml:space="preserve">: </w:t>
            </w:r>
            <w:r>
              <w:rPr>
                <w:rStyle w:val="IndexLink"/>
                <w:rtl w:val="true"/>
              </w:rPr>
              <w:t>انتخابات اصلي‌ترين شاخص دموكراسي</w:t>
            </w:r>
            <w:r>
              <w:rPr>
                <w:rStyle w:val="IndexLink"/>
                <w:rtl w:val="true"/>
              </w:rPr>
              <w:tab/>
            </w:r>
            <w:r>
              <w:rPr>
                <w:rStyle w:val="IndexLink"/>
              </w:rPr>
              <w:t>78</w:t>
            </w:r>
          </w:hyperlink>
        </w:p>
        <w:p>
          <w:pPr>
            <w:pStyle w:val="Contents3"/>
            <w:tabs>
              <w:tab w:val="clear" w:pos="8459"/>
              <w:tab w:val="right" w:pos="9026" w:leader="dot"/>
            </w:tabs>
            <w:rPr/>
          </w:pPr>
          <w:hyperlink w:anchor="__RefHeading___Toc1788193_730472459">
            <w:r>
              <w:rPr>
                <w:webHidden/>
                <w:rStyle w:val="IndexLink"/>
                <w:rtl w:val="true"/>
              </w:rPr>
              <w:t>شاخصه‌ي اول</w:t>
            </w:r>
            <w:r>
              <w:rPr>
                <w:rStyle w:val="IndexLink"/>
                <w:rtl w:val="true"/>
              </w:rPr>
              <w:t>:</w:t>
              <w:tab/>
            </w:r>
            <w:r>
              <w:rPr>
                <w:rStyle w:val="IndexLink"/>
              </w:rPr>
              <w:t>80</w:t>
            </w:r>
          </w:hyperlink>
        </w:p>
        <w:p>
          <w:pPr>
            <w:pStyle w:val="Contents3"/>
            <w:tabs>
              <w:tab w:val="clear" w:pos="8459"/>
              <w:tab w:val="right" w:pos="9026" w:leader="dot"/>
            </w:tabs>
            <w:rPr/>
          </w:pPr>
          <w:hyperlink w:anchor="__RefHeading___Toc1788195_730472459">
            <w:r>
              <w:rPr>
                <w:webHidden/>
                <w:rStyle w:val="IndexLink"/>
                <w:rtl w:val="true"/>
              </w:rPr>
              <w:t>شاخصه‌ي دوم</w:t>
            </w:r>
            <w:r>
              <w:rPr>
                <w:rStyle w:val="IndexLink"/>
                <w:rtl w:val="true"/>
              </w:rPr>
              <w:t>:</w:t>
              <w:tab/>
            </w:r>
            <w:r>
              <w:rPr>
                <w:rStyle w:val="IndexLink"/>
              </w:rPr>
              <w:t>81</w:t>
            </w:r>
          </w:hyperlink>
        </w:p>
        <w:p>
          <w:pPr>
            <w:pStyle w:val="Contents3"/>
            <w:tabs>
              <w:tab w:val="clear" w:pos="8459"/>
              <w:tab w:val="right" w:pos="9026" w:leader="dot"/>
            </w:tabs>
            <w:rPr/>
          </w:pPr>
          <w:hyperlink w:anchor="__RefHeading___Toc1788197_730472459">
            <w:r>
              <w:rPr>
                <w:webHidden/>
                <w:rStyle w:val="IndexLink"/>
                <w:rtl w:val="true"/>
              </w:rPr>
              <w:t>شاخصه‌ي سوم</w:t>
            </w:r>
            <w:r>
              <w:rPr>
                <w:rStyle w:val="IndexLink"/>
                <w:rtl w:val="true"/>
              </w:rPr>
              <w:t>:</w:t>
              <w:tab/>
            </w:r>
            <w:r>
              <w:rPr>
                <w:rStyle w:val="IndexLink"/>
              </w:rPr>
              <w:t>82</w:t>
            </w:r>
          </w:hyperlink>
        </w:p>
        <w:p>
          <w:pPr>
            <w:pStyle w:val="Contents3"/>
            <w:tabs>
              <w:tab w:val="clear" w:pos="8459"/>
              <w:tab w:val="right" w:pos="9026" w:leader="dot"/>
            </w:tabs>
            <w:rPr/>
          </w:pPr>
          <w:hyperlink w:anchor="__RefHeading___Toc1788199_730472459">
            <w:r>
              <w:rPr>
                <w:webHidden/>
                <w:rStyle w:val="IndexLink"/>
                <w:rtl w:val="true"/>
              </w:rPr>
              <w:t>شاخصه‌ي چهارم</w:t>
            </w:r>
            <w:r>
              <w:rPr>
                <w:rStyle w:val="IndexLink"/>
                <w:rtl w:val="true"/>
              </w:rPr>
              <w:t>:</w:t>
              <w:tab/>
            </w:r>
            <w:r>
              <w:rPr>
                <w:rStyle w:val="IndexLink"/>
              </w:rPr>
              <w:t>83</w:t>
            </w:r>
          </w:hyperlink>
        </w:p>
        <w:p>
          <w:pPr>
            <w:pStyle w:val="Contents2"/>
            <w:tabs>
              <w:tab w:val="clear" w:pos="8743"/>
              <w:tab w:val="right" w:pos="9026" w:leader="dot"/>
            </w:tabs>
            <w:rPr/>
          </w:pPr>
          <w:hyperlink w:anchor="__RefHeading___Toc1788201_730472459">
            <w:r>
              <w:rPr>
                <w:webHidden/>
                <w:rStyle w:val="IndexLink"/>
                <w:rtl w:val="true"/>
              </w:rPr>
              <w:t>مقاله‌ي مورد نقد</w:t>
            </w:r>
            <w:r>
              <w:rPr>
                <w:rStyle w:val="IndexLink"/>
                <w:rtl w:val="true"/>
              </w:rPr>
              <w:t xml:space="preserve">: </w:t>
            </w:r>
            <w:r>
              <w:rPr>
                <w:rStyle w:val="IndexLink"/>
                <w:rtl w:val="true"/>
              </w:rPr>
              <w:t>انحراف مشروطه</w:t>
            </w:r>
            <w:r>
              <w:rPr>
                <w:rStyle w:val="IndexLink"/>
                <w:rtl w:val="true"/>
              </w:rPr>
              <w:tab/>
            </w:r>
            <w:r>
              <w:rPr>
                <w:rStyle w:val="IndexLink"/>
              </w:rPr>
              <w:t>87</w:t>
            </w:r>
          </w:hyperlink>
        </w:p>
        <w:p>
          <w:pPr>
            <w:pStyle w:val="Contents3"/>
            <w:tabs>
              <w:tab w:val="clear" w:pos="8459"/>
              <w:tab w:val="right" w:pos="9026" w:leader="dot"/>
            </w:tabs>
            <w:rPr/>
          </w:pPr>
          <w:hyperlink w:anchor="__RefHeading___Toc1788203_73047245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788205_730472459">
            <w:r>
              <w:rPr>
                <w:webHidden/>
                <w:rStyle w:val="IndexLink"/>
                <w:rtl w:val="true"/>
              </w:rPr>
              <w:t>چكيده</w:t>
            </w:r>
            <w:r>
              <w:rPr>
                <w:rStyle w:val="IndexLink"/>
                <w:rtl w:val="true"/>
              </w:rPr>
              <w:t>:</w:t>
              <w:tab/>
            </w:r>
            <w:r>
              <w:rPr>
                <w:rStyle w:val="IndexLink"/>
              </w:rPr>
              <w:t>87</w:t>
            </w:r>
          </w:hyperlink>
        </w:p>
        <w:p>
          <w:pPr>
            <w:pStyle w:val="Contents3"/>
            <w:tabs>
              <w:tab w:val="clear" w:pos="8459"/>
              <w:tab w:val="right" w:pos="9026" w:leader="dot"/>
            </w:tabs>
            <w:rPr/>
          </w:pPr>
          <w:hyperlink w:anchor="__RefHeading___Toc1788207_730472459">
            <w:r>
              <w:rPr>
                <w:webHidden/>
                <w:rStyle w:val="IndexLink"/>
                <w:rtl w:val="true"/>
              </w:rPr>
              <w:t>نقد و بررسي</w:t>
            </w:r>
            <w:r>
              <w:rPr>
                <w:rStyle w:val="IndexLink"/>
                <w:rtl w:val="true"/>
              </w:rPr>
              <w:t>:</w:t>
            </w:r>
            <w:r>
              <w:rPr>
                <w:rStyle w:val="IndexLink"/>
                <w:rtl w:val="true"/>
              </w:rPr>
              <w:t>حكمت سياسي در انديشه و عمل شيخ شهيد</w:t>
            </w:r>
            <w:r>
              <w:rPr>
                <w:rStyle w:val="IndexLink"/>
                <w:rtl w:val="true"/>
              </w:rPr>
              <w:tab/>
            </w:r>
            <w:r>
              <w:rPr>
                <w:rStyle w:val="IndexLink"/>
              </w:rPr>
              <w:t>87</w:t>
            </w:r>
          </w:hyperlink>
        </w:p>
        <w:p>
          <w:pPr>
            <w:pStyle w:val="Contents3"/>
            <w:tabs>
              <w:tab w:val="clear" w:pos="8459"/>
              <w:tab w:val="right" w:pos="9026" w:leader="dot"/>
            </w:tabs>
            <w:rPr/>
          </w:pPr>
          <w:hyperlink w:anchor="__RefHeading___Toc1788209_730472459">
            <w:r>
              <w:rPr>
                <w:webHidden/>
                <w:rStyle w:val="IndexLink"/>
                <w:rtl w:val="true"/>
              </w:rPr>
              <w:t>بخش دوّم</w:t>
            </w:r>
            <w:r>
              <w:rPr>
                <w:rStyle w:val="IndexLink"/>
                <w:rtl w:val="true"/>
              </w:rPr>
              <w:tab/>
            </w:r>
            <w:r>
              <w:rPr>
                <w:rStyle w:val="IndexLink"/>
              </w:rPr>
              <w:t>93</w:t>
            </w:r>
          </w:hyperlink>
        </w:p>
        <w:p>
          <w:pPr>
            <w:pStyle w:val="Contents2"/>
            <w:tabs>
              <w:tab w:val="clear" w:pos="8743"/>
              <w:tab w:val="right" w:pos="9026" w:leader="dot"/>
            </w:tabs>
            <w:rPr/>
          </w:pPr>
          <w:hyperlink w:anchor="__RefHeading___Toc1788211_730472459">
            <w:r>
              <w:rPr>
                <w:webHidden/>
                <w:rStyle w:val="IndexLink"/>
                <w:rtl w:val="true"/>
              </w:rPr>
              <w:t>مقاله‌ي مورد نقد</w:t>
            </w:r>
            <w:r>
              <w:rPr>
                <w:rStyle w:val="IndexLink"/>
                <w:rtl w:val="true"/>
              </w:rPr>
              <w:t xml:space="preserve">: </w:t>
            </w:r>
            <w:r>
              <w:rPr>
                <w:rStyle w:val="IndexLink"/>
                <w:rtl w:val="true"/>
              </w:rPr>
              <w:t>مراتب فقهي مخاطبان سينما</w:t>
            </w:r>
            <w:r>
              <w:rPr>
                <w:rStyle w:val="IndexLink"/>
                <w:rtl w:val="true"/>
              </w:rPr>
              <w:tab/>
            </w:r>
            <w:r>
              <w:rPr>
                <w:rStyle w:val="IndexLink"/>
              </w:rPr>
              <w:t>97</w:t>
            </w:r>
          </w:hyperlink>
        </w:p>
        <w:p>
          <w:pPr>
            <w:pStyle w:val="Contents3"/>
            <w:tabs>
              <w:tab w:val="clear" w:pos="8459"/>
              <w:tab w:val="right" w:pos="9026" w:leader="dot"/>
            </w:tabs>
            <w:rPr/>
          </w:pPr>
          <w:hyperlink w:anchor="__RefHeading___Toc1788213_73047245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788215_730472459">
            <w:r>
              <w:rPr>
                <w:webHidden/>
                <w:rStyle w:val="IndexLink"/>
                <w:rtl w:val="true"/>
              </w:rPr>
              <w:t>چكيده</w:t>
            </w:r>
            <w:r>
              <w:rPr>
                <w:rStyle w:val="IndexLink"/>
                <w:rtl w:val="true"/>
              </w:rPr>
              <w:t>:</w:t>
              <w:tab/>
            </w:r>
            <w:r>
              <w:rPr>
                <w:rStyle w:val="IndexLink"/>
              </w:rPr>
              <w:t>97</w:t>
            </w:r>
          </w:hyperlink>
        </w:p>
        <w:p>
          <w:pPr>
            <w:pStyle w:val="Contents3"/>
            <w:tabs>
              <w:tab w:val="clear" w:pos="8459"/>
              <w:tab w:val="right" w:pos="9026" w:leader="dot"/>
            </w:tabs>
            <w:rPr/>
          </w:pPr>
          <w:hyperlink w:anchor="__RefHeading___Toc1788217_730472459">
            <w:r>
              <w:rPr>
                <w:webHidden/>
                <w:rStyle w:val="IndexLink"/>
                <w:rtl w:val="true"/>
              </w:rPr>
              <w:t>نقد و بررسي</w:t>
            </w:r>
            <w:r>
              <w:rPr>
                <w:rStyle w:val="IndexLink"/>
                <w:rtl w:val="true"/>
              </w:rPr>
              <w:t xml:space="preserve">: </w:t>
            </w:r>
            <w:r>
              <w:rPr>
                <w:rStyle w:val="IndexLink"/>
                <w:rtl w:val="true"/>
              </w:rPr>
              <w:t>تأملي در برداشت‌هاي فقهي</w:t>
            </w:r>
            <w:r>
              <w:rPr>
                <w:rStyle w:val="IndexLink"/>
                <w:rtl w:val="true"/>
              </w:rPr>
              <w:tab/>
            </w:r>
            <w:r>
              <w:rPr>
                <w:rStyle w:val="IndexLink"/>
              </w:rPr>
              <w:t>97</w:t>
            </w:r>
          </w:hyperlink>
        </w:p>
        <w:p>
          <w:pPr>
            <w:pStyle w:val="Contents3"/>
            <w:tabs>
              <w:tab w:val="clear" w:pos="8459"/>
              <w:tab w:val="right" w:pos="9026" w:leader="dot"/>
            </w:tabs>
            <w:rPr/>
          </w:pPr>
          <w:hyperlink w:anchor="__RefHeading___Toc1788219_730472459">
            <w:r>
              <w:rPr>
                <w:webHidden/>
                <w:rStyle w:val="IndexLink"/>
                <w:rtl w:val="true"/>
              </w:rPr>
              <w:t>مقدمه</w:t>
            </w:r>
            <w:r>
              <w:rPr>
                <w:rStyle w:val="IndexLink"/>
                <w:rtl w:val="true"/>
              </w:rPr>
              <w:tab/>
            </w:r>
            <w:r>
              <w:rPr>
                <w:rStyle w:val="IndexLink"/>
              </w:rPr>
              <w:t>97</w:t>
            </w:r>
          </w:hyperlink>
        </w:p>
        <w:p>
          <w:pPr>
            <w:pStyle w:val="Contents2"/>
            <w:tabs>
              <w:tab w:val="clear" w:pos="8743"/>
              <w:tab w:val="right" w:pos="9026" w:leader="dot"/>
            </w:tabs>
            <w:rPr/>
          </w:pPr>
          <w:hyperlink w:anchor="__RefHeading___Toc1788221_730472459">
            <w:r>
              <w:rPr>
                <w:webHidden/>
                <w:rStyle w:val="IndexLink"/>
                <w:rtl w:val="true"/>
              </w:rPr>
              <w:t>مقاله‌ي مورد نقد</w:t>
            </w:r>
            <w:r>
              <w:rPr>
                <w:rStyle w:val="IndexLink"/>
                <w:rtl w:val="true"/>
              </w:rPr>
              <w:t xml:space="preserve">: </w:t>
            </w:r>
            <w:r>
              <w:rPr>
                <w:rStyle w:val="IndexLink"/>
                <w:rtl w:val="true"/>
              </w:rPr>
              <w:t>زنان موسيقي ايران از اسطوره تا امروز</w:t>
            </w:r>
            <w:r>
              <w:rPr>
                <w:rStyle w:val="IndexLink"/>
                <w:rtl w:val="true"/>
              </w:rPr>
              <w:tab/>
            </w:r>
            <w:r>
              <w:rPr>
                <w:rStyle w:val="IndexLink"/>
              </w:rPr>
              <w:t>107</w:t>
            </w:r>
          </w:hyperlink>
        </w:p>
        <w:p>
          <w:pPr>
            <w:pStyle w:val="Contents3"/>
            <w:tabs>
              <w:tab w:val="clear" w:pos="8459"/>
              <w:tab w:val="right" w:pos="9026" w:leader="dot"/>
            </w:tabs>
            <w:rPr/>
          </w:pPr>
          <w:hyperlink w:anchor="__RefHeading___Toc1788223_73047245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788225_730472459">
            <w:r>
              <w:rPr>
                <w:webHidden/>
                <w:rStyle w:val="IndexLink"/>
                <w:rtl w:val="true"/>
              </w:rPr>
              <w:t>چكيده</w:t>
            </w:r>
            <w:r>
              <w:rPr>
                <w:rStyle w:val="IndexLink"/>
                <w:rtl w:val="true"/>
              </w:rPr>
              <w:t>:</w:t>
              <w:tab/>
            </w:r>
            <w:r>
              <w:rPr>
                <w:rStyle w:val="IndexLink"/>
              </w:rPr>
              <w:t>107</w:t>
            </w:r>
          </w:hyperlink>
        </w:p>
        <w:p>
          <w:pPr>
            <w:pStyle w:val="Contents3"/>
            <w:tabs>
              <w:tab w:val="clear" w:pos="8459"/>
              <w:tab w:val="right" w:pos="9026" w:leader="dot"/>
            </w:tabs>
            <w:rPr/>
          </w:pPr>
          <w:hyperlink w:anchor="__RefHeading___Toc1788227_730472459">
            <w:r>
              <w:rPr>
                <w:webHidden/>
                <w:rStyle w:val="IndexLink"/>
                <w:rtl w:val="true"/>
              </w:rPr>
              <w:t>نقد و بررسي</w:t>
            </w:r>
            <w:r>
              <w:rPr>
                <w:rStyle w:val="IndexLink"/>
                <w:rtl w:val="true"/>
              </w:rPr>
              <w:t xml:space="preserve">: </w:t>
            </w:r>
            <w:r>
              <w:rPr>
                <w:rStyle w:val="IndexLink"/>
                <w:rtl w:val="true"/>
              </w:rPr>
              <w:t>تحريف و توهين، با كدامين هدف؟</w:t>
            </w:r>
            <w:r>
              <w:rPr>
                <w:rStyle w:val="IndexLink"/>
                <w:rtl w:val="true"/>
              </w:rPr>
              <w:tab/>
            </w:r>
            <w:r>
              <w:rPr>
                <w:rStyle w:val="IndexLink"/>
              </w:rPr>
              <w:t>107</w:t>
            </w:r>
          </w:hyperlink>
        </w:p>
        <w:p>
          <w:pPr>
            <w:pStyle w:val="Contents2"/>
            <w:tabs>
              <w:tab w:val="clear" w:pos="8743"/>
              <w:tab w:val="right" w:pos="9026" w:leader="dot"/>
            </w:tabs>
            <w:rPr/>
          </w:pPr>
          <w:hyperlink w:anchor="__RefHeading___Toc1788229_730472459">
            <w:r>
              <w:rPr>
                <w:webHidden/>
                <w:rStyle w:val="IndexLink"/>
                <w:rtl w:val="true"/>
              </w:rPr>
              <w:t>مقاله‌ي مورد نقد</w:t>
            </w:r>
            <w:r>
              <w:rPr>
                <w:rStyle w:val="IndexLink"/>
                <w:rtl w:val="true"/>
              </w:rPr>
              <w:t xml:space="preserve">: </w:t>
            </w:r>
            <w:r>
              <w:rPr>
                <w:rStyle w:val="IndexLink"/>
                <w:rtl w:val="true"/>
              </w:rPr>
              <w:t>دختراني كه با لباس پسرانه به استاديوم فوتبال مي‌روند</w:t>
            </w:r>
            <w:r>
              <w:rPr>
                <w:rStyle w:val="IndexLink"/>
                <w:rtl w:val="true"/>
              </w:rPr>
              <w:tab/>
            </w:r>
            <w:r>
              <w:rPr>
                <w:rStyle w:val="IndexLink"/>
              </w:rPr>
              <w:t>115</w:t>
            </w:r>
          </w:hyperlink>
        </w:p>
        <w:p>
          <w:pPr>
            <w:pStyle w:val="Contents3"/>
            <w:tabs>
              <w:tab w:val="clear" w:pos="8459"/>
              <w:tab w:val="right" w:pos="9026" w:leader="dot"/>
            </w:tabs>
            <w:rPr/>
          </w:pPr>
          <w:hyperlink w:anchor="__RefHeading___Toc1788231_73047245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788233_730472459">
            <w:r>
              <w:rPr>
                <w:webHidden/>
                <w:rStyle w:val="IndexLink"/>
                <w:rtl w:val="true"/>
              </w:rPr>
              <w:t>چكيده</w:t>
            </w:r>
            <w:r>
              <w:rPr>
                <w:rStyle w:val="IndexLink"/>
                <w:rtl w:val="true"/>
              </w:rPr>
              <w:t>:</w:t>
              <w:tab/>
            </w:r>
            <w:r>
              <w:rPr>
                <w:rStyle w:val="IndexLink"/>
              </w:rPr>
              <w:t>115</w:t>
            </w:r>
          </w:hyperlink>
        </w:p>
        <w:p>
          <w:pPr>
            <w:pStyle w:val="Contents3"/>
            <w:tabs>
              <w:tab w:val="clear" w:pos="8459"/>
              <w:tab w:val="right" w:pos="9026" w:leader="dot"/>
            </w:tabs>
            <w:rPr/>
          </w:pPr>
          <w:hyperlink w:anchor="__RefHeading___Toc1788235_730472459">
            <w:r>
              <w:rPr>
                <w:webHidden/>
                <w:rStyle w:val="IndexLink"/>
                <w:rtl w:val="true"/>
              </w:rPr>
              <w:t>نقد و بررسي</w:t>
            </w:r>
            <w:r>
              <w:rPr>
                <w:rStyle w:val="IndexLink"/>
                <w:rtl w:val="true"/>
              </w:rPr>
              <w:t xml:space="preserve">: </w:t>
            </w:r>
            <w:r>
              <w:rPr>
                <w:rStyle w:val="IndexLink"/>
                <w:rtl w:val="true"/>
              </w:rPr>
              <w:t>زنان و حضور در ورزشگاه مردان</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92_139507"/>
      <w:bookmarkStart w:id="1" w:name="pg14792_139507"/>
      <w:bookmarkEnd w:id="1"/>
    </w:p>
    <w:p>
      <w:pPr>
        <w:pStyle w:val="Heading2"/>
        <w:numPr>
          <w:ilvl w:val="1"/>
          <w:numId w:val="1"/>
        </w:numPr>
        <w:rPr/>
      </w:pPr>
      <w:bookmarkStart w:id="2" w:name="pg14792_139507"/>
      <w:bookmarkStart w:id="3" w:name="__RefHeading___Toc1788125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واحد مطبوعات؛ ویراستار مهدی زارعی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مطالعات و پژوهش‌های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9647</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9647</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Pathology of the press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مطبوعات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مطبوعات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مطبوعات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PN5449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079/55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11378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8127_73047245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14792_139509"/>
    </w:p>
    <w:p>
      <w:pPr>
        <w:pStyle w:val="Heading2"/>
        <w:numPr>
          <w:ilvl w:val="1"/>
          <w:numId w:val="1"/>
        </w:numPr>
        <w:rPr/>
      </w:pPr>
      <w:bookmarkStart w:id="8" w:name="__RefHeading___Toc1788129_730472459"/>
      <w:bookmarkStart w:id="9" w:name="_Toc3"/>
      <w:bookmarkEnd w:id="7"/>
      <w:bookmarkEnd w:id="8"/>
      <w:r>
        <w:rPr>
          <w:rtl w:val="true"/>
        </w:rPr>
        <w:t>مقاله‌ي مورد نقد</w:t>
      </w:r>
      <w:r>
        <w:rPr>
          <w:rtl w:val="true"/>
        </w:rPr>
        <w:t xml:space="preserve">: </w:t>
      </w:r>
      <w:r>
        <w:rPr>
          <w:rtl w:val="true"/>
        </w:rPr>
        <w:t>اسلام، وحي و نبوت</w:t>
      </w:r>
      <w:bookmarkEnd w:id="9"/>
    </w:p>
    <w:p>
      <w:pPr>
        <w:pStyle w:val="Heading3"/>
        <w:numPr>
          <w:ilvl w:val="2"/>
          <w:numId w:val="1"/>
        </w:numPr>
        <w:rPr/>
      </w:pPr>
      <w:bookmarkStart w:id="10" w:name="__RefHeading___Toc1788131_730472459"/>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اسلام، وحي و نبوت</w:t>
      </w:r>
      <w:r>
        <w:rPr>
          <w:rStyle w:val="FootnoteAnchor"/>
          <w:rtl w:val="true"/>
        </w:rPr>
        <w:footnoteReference w:id="2"/>
      </w:r>
    </w:p>
    <w:p>
      <w:pPr>
        <w:pStyle w:val="Heading3"/>
        <w:numPr>
          <w:ilvl w:val="2"/>
          <w:numId w:val="1"/>
        </w:numPr>
        <w:rPr/>
      </w:pPr>
      <w:bookmarkStart w:id="12" w:name="__RefHeading___Toc1788133_730472459"/>
      <w:bookmarkStart w:id="13" w:name="_Toc5"/>
      <w:bookmarkEnd w:id="12"/>
      <w:r>
        <w:rPr>
          <w:rtl w:val="true"/>
        </w:rPr>
        <w:t>چكيده</w:t>
      </w:r>
      <w:r>
        <w:rPr>
          <w:rtl w:val="true"/>
        </w:rPr>
        <w:t>:</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تجربه‌ي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نظريه‌اي است درباره‌ي چگونگي شكل‌گيري وحي ماهيت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آقاي سروش، وحي پديده‌اي است كه با محيط منطبق است و كاملاً رنگ محيط را به خود مي‌گيرد؛ نه مطالب پيش‌ساخته‌اي كه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وي، تجربه‌ي نبوي با اين خصوصيتش كاملاً قطع نمي‌شود و هر كس ممكن است چنين تجربه‌اي كسب نمايد براي خودش نبي باشد؛ زيرا تجلّي خداوند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شاهد بر اين مدعا را مطابقت اكثر احكام با عصر پيامبر ذكر مي‌كند و كمال دين را به كمال ذاتياتش معرفي مي‌كند نه عرضياتش؛ مانند زبان عربي و احكام هماهنگ با دوره‌ي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بيان مي‌كند كه تفسير و تأويل متن داراي مباني و پيش‌فرض‌هايي است كه يكي از پيش‌فرض‌هاي مهم آن رابطه‌ي متن با پيامبر است وي هم‌چنين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سخنان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سخنان وحياني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مدعياتي است كه پذيرش آن‌ها متوقف بر ارزيابي است نه اين‌كه به صرف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ملزم به پذيرش آن‌ها باشيم</w:t>
      </w:r>
      <w:r>
        <w:rPr>
          <w:rFonts w:eastAsia="IRNazanin" w:cs="IRNazanin"/>
          <w:color w:val="111111"/>
          <w:sz w:val="28"/>
          <w:szCs w:val="28"/>
          <w:rtl w:val="true"/>
          <w:lang w:bidi="fa-IR"/>
        </w:rPr>
        <w:t xml:space="preserve">. </w:t>
      </w:r>
      <w:bookmarkStart w:id="14" w:name="pg14792_139510"/>
    </w:p>
    <w:p>
      <w:pPr>
        <w:pStyle w:val="Heading3"/>
        <w:numPr>
          <w:ilvl w:val="2"/>
          <w:numId w:val="1"/>
        </w:numPr>
        <w:rPr/>
      </w:pPr>
      <w:bookmarkStart w:id="15" w:name="__RefHeading___Toc1788135_730472459"/>
      <w:bookmarkStart w:id="16" w:name="_Toc6"/>
      <w:bookmarkEnd w:id="14"/>
      <w:bookmarkEnd w:id="15"/>
      <w:r>
        <w:rPr>
          <w:rtl w:val="true"/>
        </w:rPr>
        <w:t>نقد و بررسي</w:t>
      </w:r>
      <w:r>
        <w:rPr>
          <w:rtl w:val="true"/>
        </w:rPr>
        <w:t xml:space="preserve">: </w:t>
      </w:r>
      <w:r>
        <w:rPr>
          <w:rtl w:val="true"/>
        </w:rPr>
        <w:t>قبضي در بسط تجربه‌ي نبوي</w:t>
      </w:r>
      <w:bookmarkEnd w:id="16"/>
    </w:p>
    <w:p>
      <w:pPr>
        <w:pStyle w:val="BookText"/>
        <w:rPr/>
      </w:pPr>
      <w:r>
        <w:rPr>
          <w:rFonts w:ascii="IRNazanin" w:hAnsi="IRNazanin" w:eastAsia="IRNazanin"/>
          <w:color w:val="111111"/>
          <w:sz w:val="28"/>
          <w:sz w:val="28"/>
          <w:szCs w:val="28"/>
          <w:rtl w:val="true"/>
          <w:lang w:bidi="fa-IR"/>
        </w:rPr>
        <w:t>سيد محمد علي داعي‌نژاد</w:t>
      </w:r>
    </w:p>
    <w:p>
      <w:pPr>
        <w:pStyle w:val="Heading3"/>
        <w:numPr>
          <w:ilvl w:val="2"/>
          <w:numId w:val="1"/>
        </w:numPr>
        <w:rPr/>
      </w:pPr>
      <w:bookmarkStart w:id="17" w:name="__RefHeading___Toc1788137_730472459"/>
      <w:bookmarkStart w:id="18" w:name="_Toc7"/>
      <w:bookmarkEnd w:id="17"/>
      <w:r>
        <w:rPr>
          <w:rtl w:val="true"/>
        </w:rPr>
        <w:t>چيستي وحي</w:t>
      </w:r>
      <w:bookmarkEnd w:id="18"/>
    </w:p>
    <w:p>
      <w:pPr>
        <w:pStyle w:val="BookText"/>
        <w:rPr/>
      </w:pPr>
      <w:r>
        <w:rPr>
          <w:rFonts w:ascii="IRNazanin" w:hAnsi="IRNazanin" w:eastAsia="IRNazanin"/>
          <w:color w:val="111111"/>
          <w:sz w:val="28"/>
          <w:sz w:val="28"/>
          <w:szCs w:val="28"/>
          <w:rtl w:val="true"/>
          <w:lang w:bidi="fa-IR"/>
        </w:rPr>
        <w:t>بي‌شك پايه و قوام بعثت انبيا و مرز تمايز اديان الهي از انديشه‌هاي برساخته‌ي بشري و ذوقيات عارفان، 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چيزي نيست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كلام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سوي خدا به انسان مبعوث به رسالت القا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ماهيّت وحي، چنان‌كه هست براي ساير آدميان ممكن نيست و از مصاديق مختلف نمي‌توان به حقيقت آن واقف گرديد و تنها راه شناخت آن بهره بردن از رهاورد وحي، يعني كتب آسماني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آقاي سروش در كتاب بسط تجربه‌ي نبوي و نيز در گفت‌وگويي در زمينه‌ي اسلام، وحي و نبوت، تلاش كرده است با ارائه‌ي شواهد و قرايني اين فرضيه را به اثبات برساند كه وحي همان تجربه‌ي ديني است و لذا لوازم تجربه بودن وحي را بايد پذيرفت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اهميت موضوع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رابطه‌ي پيامبر با متني كه توليد كرده، در معنايي كه از متن برمي‌گيريم تأثير بسزايي دارد و آنگاه تلاش مي‌كند تا نشان دهد كه رابطه‌ي پيامبر با متن و وحي، رابطه‌اي طبيعي است و در حقيقت وحي همان تجربه‌ي ديني پيامبر و تابع پيامبر است؛ زيرا اين مطالب به صورت پيش‌ساخته و پخته شده در ذهن و ضمير و قلب پيامبر ريخته نشده است و ايشان مأمور نيست آنها را با مردم در ميان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بسياري از اين آموزه‌ها متناسب با حوادثي بود كه در حيات پيامبر رخ داد و رابطه‌ي پيامبر با قومش رابطه‌ي ديالوگي بود؛ چيزي مي‌گفت و چيزي مي‌شنيد؛ شاهد ديگر آن‌كه احكام اسلامي اصلاً نوي ندارد اگر هم دارد به زحمت به يك درصد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نيستم خداوند مي‌دانست كه فلان كس فلان سؤال را از پيامبر خواهد كرد و پيشاپيش آيه‌اي را حاضر كرده بود كه تا او آن سؤال را كرد، آن آيه را همان‌جا به پيامبر وحي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اين مسأله را به اين صورت ديد كه پيامبر با سؤالي روبرو مي‌شد نفس اين سؤال آنچه را كه به منزله‌ي جواب به سؤال‌كننده داده مي‌شد، توليد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رويه‌ي طبيعي مطلب را نگاه مي‌كنيد، نوعي انطباق با محيط را مي‌بينيد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 پديده‌اي است كه با محيط منطبق مي‌شود و كاملاً رنگ محيط را به خود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روش اثبات مدعا در باب حقيقت وحي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درباره‌ي وحي بحث مي‌كنيم، در واقع بحث بيرون وحي مي‌كنيم و بايد قراين ما بيرون از وحي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درون 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نفياً يا اثباتاً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متدلوژيك كار نادرستي است؛ زيرا همه‌ي آن آيات مشمول همان تئوري مي‌شود كه ما از بيرون طرح كرده‌ايم؛ يعني تناسب وحي با محيط و رابطه‌ي ديالوگي با محيط و مردم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آقاي سروش با بهره جستن از كلمات غزالي در باب وحي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و رؤيا از يك جنس‌اند؛ چنان‌كه وسوسه‌هاي شيطاني نيز نوعي وحي است؛ تدبر در يكي فهم ديگري را امكان‌پذير مي‌سازد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همان‌طور كه تمثيل وحي شيطاني مقتبس از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الشَّياطِينَ لَيُوحُونَ إِلى أَوْلِيائِهِمْ</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پيامبران هم در معرض وسوسه‌ي ملكي قرار مي‌گرفتند و خواب‌هاي صادق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 به جاي تجربه‌ي نبوي كشف نبوي بگوييد، مانند كشف عرفا، منتها كشف پيامبر تام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سوم در اين گفت‌وگو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تجربه‌انگاري وحي و انطباق آن با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دليلي نداريم كه عرف جامعه پيامبر بايد جدي گرفته شود و آن بهترين عرف ممكن در تاريخ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احكام فقهي اسلام موقت و متعلق به جامعه‌ي پيامبر و جوامع شبيه به آن است، مگر خلافش ثابت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تجربه‌ي نبوي كاملاً قطع نمي‌شود كه البته اين قول رسمي كلام شيعي است؛ زيرا آنان عقيده دارند اين تجربه در مورد معصومان ادامه دارد و اهل‌سنت هم براي عارفان چنين شايستگي و تواني را قايل‌اند؛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كسي مي‌تواند رسولي باشد، البته نبايد اظهار كند؛ زيرا جامعه‌ي اسلامي بر او سخت‌گيري خواهد كرد؛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همسان با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تناسب با آن جامعه مي‌باشد؛ </w:t>
      </w:r>
      <w:bookmarkStart w:id="19" w:name="pg14792_139513"/>
    </w:p>
    <w:p>
      <w:pPr>
        <w:pStyle w:val="BookText"/>
        <w:rPr/>
      </w:pPr>
      <w:bookmarkEnd w:id="1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ذاتيات و عرضياتي دارد و ذاتي آن گوهر دين، يعني عبوديت يا اعتقادات است و عرضيات همگي قابل تغييرند و تنها گوهر دين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در اين گفت‌وگو به سه محور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وحي؛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تشخيص ماهيت وحي و دليل تجربه‌انگاري وحي؛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نظريه‌ي تجربه‌انگاري وحي و ديالوگ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نقد و بررسي اين محورها مي‌پردازيم</w:t>
      </w:r>
      <w:r>
        <w:rPr>
          <w:rFonts w:eastAsia="IRNazanin" w:cs="IRNazanin"/>
          <w:color w:val="111111"/>
          <w:sz w:val="28"/>
          <w:szCs w:val="28"/>
          <w:rtl w:val="true"/>
          <w:lang w:bidi="fa-IR"/>
        </w:rPr>
        <w:t>:</w:t>
      </w:r>
    </w:p>
    <w:p>
      <w:pPr>
        <w:pStyle w:val="Heading3"/>
        <w:numPr>
          <w:ilvl w:val="2"/>
          <w:numId w:val="1"/>
        </w:numPr>
        <w:rPr/>
      </w:pPr>
      <w:bookmarkStart w:id="20" w:name="__RefHeading___Toc1788139_730472459"/>
      <w:bookmarkStart w:id="21" w:name="_Toc8"/>
      <w:bookmarkEnd w:id="20"/>
      <w:r>
        <w:rPr>
          <w:rtl w:val="true"/>
        </w:rPr>
        <w:t>الف</w:t>
      </w:r>
      <w:r>
        <w:rPr>
          <w:rtl w:val="true"/>
        </w:rPr>
        <w:t xml:space="preserve">) </w:t>
      </w:r>
      <w:r>
        <w:rPr>
          <w:rtl w:val="true"/>
        </w:rPr>
        <w:t>ماهيت وحي</w:t>
      </w:r>
      <w:r>
        <w:rPr>
          <w:rtl w:val="true"/>
        </w:rPr>
        <w:t>:</w:t>
      </w:r>
      <w:bookmarkEnd w:id="21"/>
    </w:p>
    <w:p>
      <w:pPr>
        <w:pStyle w:val="BookText"/>
        <w:rPr/>
      </w:pPr>
      <w:r>
        <w:rPr>
          <w:rFonts w:ascii="IRNazanin" w:hAnsi="IRNazanin" w:eastAsia="IRNazanin"/>
          <w:color w:val="111111"/>
          <w:sz w:val="28"/>
          <w:sz w:val="28"/>
          <w:szCs w:val="28"/>
          <w:rtl w:val="true"/>
          <w:lang w:bidi="fa-IR"/>
        </w:rPr>
        <w:t>مهم‌ترين چالشي كه نظريه‌ي جناب آقاي سروش گرفتار آن است مدلي مي‌باشد كه انتخاب كرده است يعني همسان انگاشتن وحي با تجربه‌ي ديني و ناديده انگاشتن تفاوت‌هاي اساسي ميان وحي و تجربه‌ي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پاره‌اي از تفاوت‌ها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هدايت انسان‌ها و نياز آدميان به هدايتگري خداوند، مبناي اصلي ضرورت بعثت انبيا و در نتيجه، لزوم 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توجه به اين ضرورت، آدميان را از علم سرشار و معصومانه‌ي خويش بهره‌مند ساخته و صراط مستقيم را به آنها نمايانده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مشخصه‌هاي وحي كه در متون ديني نيز بيان شده‌اند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 از جانب خداوند به عالم آدميان فرود آمده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أَرْسَلْنا مِنْ قَبْلِكَ مِنْ رَسُولٍ إِلاَّ نُوحِي إِلَيْهِ ؛ هيچ رسولي را پيش از تو نفرستاديم مگر آن‌كه ما به او وحي كرديم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يا أَيُّهَا النَّاسُ قَدْ جاءَكُمْ بُرْهانٌ مِنْ رَبِّكُمْ وَ أَنْزَلْنا إِلَيْكُمْ نُوراً مُبِيناً؛ اي مردم دليل از پروردگارتان به سوي شما آمده است و ما به سوي شما نوري روشن را فرود آورديم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خداوند كه به تمام هستي عالم است مي‌تواند راه سعادت و شقاوت را به انسان‌ها بنمايد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 عامل هدايت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بعثت مستلزم ضرورت وحي شد و راز بعثتْ نياز بشر به هدايتگري بود؛ از اين رو قرآن كتب آسماني را هدايتگر ناميده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الَّذِي أُنْزِلَ فِيهِ الْقُرْآنُ هُدىً لِلنَّاسِ؛</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براي هدايت انسان‌ها نازل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التَّوْراةَ وَ الْإِنْجِيلَ مِنْ قَبْلُ هُدىً لِلنَّاسِ؛</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قرآن براي هدايت مردم تورات و انجيل را فرستاديم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هدايت قرآن كامل‌تر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8"/>
      </w:r>
      <w:r>
        <w:rPr>
          <w:rFonts w:ascii="Amiri" w:hAnsi="Amiri" w:eastAsia="Amiri" w:cs="Amiri"/>
          <w:color w:val="111111"/>
          <w:sz w:val="28"/>
          <w:sz w:val="28"/>
          <w:szCs w:val="28"/>
          <w:rtl w:val="true"/>
          <w:lang w:bidi="ar-SA"/>
        </w:rPr>
        <w:t>اين قرآن به راهي كه استوارترين راه‌هاست هدايت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اين رو مهيمن و محيط بر ساير كتب آسماني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حق بر تو نازل كرديم در </w:t>
      </w:r>
    </w:p>
    <w:p>
      <w:pPr>
        <w:pStyle w:val="BookText"/>
        <w:rPr/>
      </w:pPr>
      <w:r>
        <w:rPr>
          <w:rFonts w:ascii="IRNazanin" w:hAnsi="IRNazanin" w:eastAsia="IRNazanin"/>
          <w:color w:val="111111"/>
          <w:sz w:val="28"/>
          <w:sz w:val="28"/>
          <w:szCs w:val="28"/>
          <w:rtl w:val="true"/>
          <w:lang w:bidi="fa-IR"/>
        </w:rPr>
        <w:t>حالي كه كتب پيشين را تصديق مي‌كند و حافظ و نگاهبان آنهاست پس بر طبق احكامي كه خدا نازل كرده در ميان آن‌ها حكم كن از هوي و هوس‌هاي آن‌ها پيروي مكن و از احكام الهي روي مگردان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ماهيت وحي خطا و لغزش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دچار نقص و كاستي است نمي‌تواند تكيه‌گاه آدمي و عامل هدايت او باشد از اين رو وحي معصوم از خطا و لغزش مي‌باشد؛ و اين عصمت تمام مراحل، تا رسيدن به دست آدميان را شامل مي‌شود و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اطلاقش شامل تمام مراحل مي‌شود و مصونيت الهي از نزول تا ابلاغ وحي را در برمي‌گيرد؛ يا اين‌كه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 لِيَعْلَمَ أَنْ قَدْ أَبْلَغُوا رِسالاتِ رَبِّهِمْ وَ أَحاطَ بِما لَدَيْهِمْ وَ أَحْصى كُلَّ شَيْ‌ءٍ عَدَداً؛</w:t>
      </w:r>
      <w:r>
        <w:rPr>
          <w:rStyle w:val="FootnoteAnchor"/>
          <w:rtl w:val="true"/>
        </w:rPr>
        <w:footnoteReference w:id="10"/>
      </w:r>
      <w:r>
        <w:rPr>
          <w:rFonts w:ascii="IRNazanin" w:hAnsi="IRNazanin" w:eastAsia="IRNazanin"/>
          <w:color w:val="111111"/>
          <w:sz w:val="28"/>
          <w:sz w:val="28"/>
          <w:szCs w:val="28"/>
          <w:rtl w:val="true"/>
          <w:lang w:bidi="fa-IR"/>
        </w:rPr>
        <w:t xml:space="preserve">او داناي غيب عالم است و هيچ كس بر عالم غيب او آگاه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كس آگاهست به وحي كه از رسولان خود برگزيده است كه بر محافظت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رو و پشت سر مي‌فرستد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كه آن رسولان پيغام‌هاي پروردگار خود را به خلق كاملاً رسانيده‌اند و البتّه خدا به آنچه از اسرار نزد رسولانست احاطة كامل دارد و به شماره‌ي هر چيز در عالم به خوبي آگاهست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دلالت بر مصونيت وحي و نيز حامل آن مي‌كند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 ناشي از علم و حكمت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نياز انسان‌ها، خداوند آنها را از علم خود بهره‌مند مي‌سازد؛ لذا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انك لتلقي القرآن من لدن حكيم عليم؛</w:t>
      </w:r>
      <w:r>
        <w:rPr>
          <w:rStyle w:val="FootnoteAnchor"/>
          <w:rtl w:val="true"/>
        </w:rPr>
        <w:footnoteReference w:id="11"/>
      </w:r>
      <w:r>
        <w:rPr>
          <w:rFonts w:ascii="Amiri" w:hAnsi="Amiri" w:eastAsia="Amiri" w:cs="Amiri"/>
          <w:color w:val="111111"/>
          <w:sz w:val="28"/>
          <w:sz w:val="28"/>
          <w:szCs w:val="28"/>
          <w:rtl w:val="true"/>
          <w:lang w:bidi="ar-SA"/>
        </w:rPr>
        <w:t>اين قرآن را از نزد صاحب حكمت و علم دريافت كرده‌اي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مِنْ أَنْباءِ الْغَيْبِ نُوحِيها إِلَيْكَ ما كُنْتَ تَعْلَمُها أَنْتَ وَ لا قَوْمُكَ مِنْ قَبْلِ؛</w:t>
      </w:r>
      <w:r>
        <w:rPr>
          <w:rStyle w:val="FootnoteAnchor"/>
          <w:rtl w:val="true"/>
        </w:rPr>
        <w:footnoteReference w:id="12"/>
      </w:r>
      <w:r>
        <w:rPr>
          <w:rFonts w:ascii="Amiri" w:hAnsi="Amiri" w:eastAsia="Amiri" w:cs="Amiri"/>
          <w:color w:val="111111"/>
          <w:sz w:val="28"/>
          <w:sz w:val="28"/>
          <w:szCs w:val="28"/>
          <w:rtl w:val="true"/>
          <w:lang w:bidi="ar-SA"/>
        </w:rPr>
        <w:t>اين علوم غيبي را خداوند بر تو وحي مي‌كند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سنلقي عليك قولاً ثقيلاً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اين ما هستيم كه بر تو اين سخنان ثقيل را مي‌خوانيم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 در تناسب با مخاطبان است و اگر مخاطب وحي جهانيان باشند خطابات وحي نيز بر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براي هدايت نيازمندان به هدايت است و اسلام چنين است؛ از اين‌رو، قرآن جهانيان را مخاطب خود مي‌داند و به پيامبر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أَرْسَلْناكَ إِلاَّ كَافَّةً لِلنَّاسِ بَشِيراً وَ نَذِيراً؛</w:t>
      </w:r>
      <w:r>
        <w:rPr>
          <w:rStyle w:val="FootnoteAnchor"/>
          <w:rtl w:val="true"/>
        </w:rPr>
        <w:footnoteReference w:id="14"/>
      </w:r>
      <w:r>
        <w:rPr>
          <w:rFonts w:ascii="IRNazanin" w:hAnsi="IRNazanin" w:eastAsia="IRNazanin"/>
          <w:color w:val="111111"/>
          <w:sz w:val="28"/>
          <w:sz w:val="28"/>
          <w:szCs w:val="28"/>
          <w:rtl w:val="true"/>
          <w:lang w:bidi="fa-IR"/>
        </w:rPr>
        <w:t>ما تو را نفرستاديم مگر براي جميع مردم، تا آنان را بشارت و انذار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را رحمت براي تمام جهانيان دانسته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أَرْسَلْناكَ إِلاَّ رَحْمَةً لِلْعالَمِينَ؛</w:t>
      </w:r>
      <w:r>
        <w:rPr>
          <w:rStyle w:val="FootnoteAnchor"/>
          <w:rtl w:val="true"/>
        </w:rPr>
        <w:footnoteReference w:id="15"/>
      </w:r>
      <w:r>
        <w:rPr>
          <w:rFonts w:ascii="IRNazanin" w:hAnsi="IRNazanin" w:eastAsia="IRNazanin"/>
          <w:color w:val="111111"/>
          <w:sz w:val="28"/>
          <w:sz w:val="28"/>
          <w:szCs w:val="28"/>
          <w:rtl w:val="true"/>
          <w:lang w:bidi="fa-IR"/>
        </w:rPr>
        <w:t>واي رسول ما تو را نفرستاديم مگر آن‌كه رحمت براي اهل عالم باشي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اين‌كه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إِلاَّ ذِكْرٌ لِلْعالَمِينَ؛</w:t>
      </w:r>
      <w:r>
        <w:rPr>
          <w:rStyle w:val="FootnoteAnchor"/>
          <w:rtl w:val="true"/>
        </w:rPr>
        <w:footnoteReference w:id="16"/>
      </w:r>
      <w:r>
        <w:rPr>
          <w:rFonts w:ascii="Amiri" w:hAnsi="Amiri" w:eastAsia="Amiri" w:cs="Amiri"/>
          <w:color w:val="111111"/>
          <w:sz w:val="28"/>
          <w:sz w:val="28"/>
          <w:szCs w:val="28"/>
          <w:rtl w:val="true"/>
          <w:lang w:bidi="ar-SA"/>
        </w:rPr>
        <w:t>قرآن براي جهانيان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 الَّذِي نَزَّلَ الْفُرْقانَ عَلى عَبْدِهِ لِيَكُونَ لِلْعالَمِينَ نَذِيراً؛</w:t>
      </w:r>
      <w:r>
        <w:rPr>
          <w:rStyle w:val="FootnoteAnchor"/>
          <w:rtl w:val="true"/>
        </w:rPr>
        <w:footnoteReference w:id="17"/>
      </w:r>
      <w:r>
        <w:rPr>
          <w:rFonts w:ascii="IRNazanin" w:hAnsi="IRNazanin" w:eastAsia="IRNazanin"/>
          <w:color w:val="111111"/>
          <w:sz w:val="28"/>
          <w:sz w:val="28"/>
          <w:szCs w:val="28"/>
          <w:rtl w:val="true"/>
          <w:lang w:bidi="fa-IR"/>
        </w:rPr>
        <w:t>بزرگوار است پاك خداوندي كه قرآن را به بنده خاص خود نازل فرمود تا اهل عالم را متذكر و خداترس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مهم‌ترين ويژگي‌هاي وحي بود، در حالي كه تجربه‌ي ديني كه در حقيقت شهودي دروني است و در اثر تزكيه و رياضت از درون آدمي مي‌جوشد و از اين‌رو تابع شخصيت تجربه‌گر مي‌باشد، به طوركلي داراي ويژگي‌هاي متفاوتي است كه برخي از آنها به شرح ذيل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تجربه‌ي ديني از آدمي سرچشمه مي‌گيرد؛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تجربه‌ي ديني توسط شخص صورت مي‌پذيرد؛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تجربه‌ي ديني محدود به شخصيت تجربه‌كننده و در تناسب با شخصيت اوست؛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تجربه‌ي ديني هم در مقام كشف و هم در هنگام تعبير مصون از خطا و لغزش نيست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شكي نيست كه تجربه‌ي ديني با اين ويژگي‌ها نمي‌تواند تكيه‌گاه آدميان براي سعادت باشد و انسان‌ها را از علم الهي بهره‌مند و نيازهايشان </w:t>
      </w:r>
      <w:bookmarkStart w:id="22" w:name="pg14792_139518"/>
    </w:p>
    <w:p>
      <w:pPr>
        <w:pStyle w:val="BookText"/>
        <w:rPr/>
      </w:pPr>
      <w:bookmarkEnd w:id="22"/>
      <w:r>
        <w:rPr>
          <w:rFonts w:ascii="IRNazanin" w:hAnsi="IRNazanin" w:eastAsia="IRNazanin"/>
          <w:color w:val="111111"/>
          <w:sz w:val="28"/>
          <w:sz w:val="28"/>
          <w:szCs w:val="28"/>
          <w:rtl w:val="true"/>
          <w:lang w:bidi="fa-IR"/>
        </w:rPr>
        <w:t>را برآورده سازد؛ رسالات و هدايت‌هاي الهي پيام‌هايي هستند كه بايد به انسان‌ها برسند و نمي‌توان منتظر تجارب آدميان شد؛ بلكه خداوند از ميان بندگانش آن‌كه را شايسته‌ي حمل رسالت الهي است برمي‌گزيند؛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امتي پيامبري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أُمَّةٍ رَسُولٌ</w:t>
      </w:r>
      <w:r>
        <w:rPr>
          <w:rStyle w:val="FootnoteAnchor"/>
          <w:rtl w:val="true"/>
        </w:rPr>
        <w:footnoteReference w:id="19"/>
      </w:r>
      <w:r>
        <w:rPr>
          <w:rFonts w:ascii="Amiri" w:hAnsi="Amiri" w:eastAsia="Amiri" w:cs="Amiri"/>
          <w:color w:val="111111"/>
          <w:sz w:val="28"/>
          <w:sz w:val="28"/>
          <w:szCs w:val="28"/>
          <w:rtl w:val="true"/>
          <w:lang w:bidi="ar-SA"/>
        </w:rPr>
        <w:t>وَ لَقَدْ بَعَثْنا فِي كُلِّ أُمَّةٍ رَسُولاً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يعني خداوند در هدايت بشر در انتظار تجارب آدميان نمي‌ماند تا شايد آن تجارب مقصود الهي را برآورده سازد؛ بلكه خود در هر امتي رسولي را برمي‌انگيزد</w:t>
      </w:r>
      <w:r>
        <w:rPr>
          <w:rFonts w:eastAsia="IRNazanin" w:cs="IRNazanin"/>
          <w:color w:val="111111"/>
          <w:sz w:val="28"/>
          <w:szCs w:val="28"/>
          <w:rtl w:val="true"/>
          <w:lang w:bidi="fa-IR"/>
        </w:rPr>
        <w:t>.</w:t>
      </w:r>
    </w:p>
    <w:p>
      <w:pPr>
        <w:pStyle w:val="Heading3"/>
        <w:numPr>
          <w:ilvl w:val="2"/>
          <w:numId w:val="1"/>
        </w:numPr>
        <w:rPr/>
      </w:pPr>
      <w:bookmarkStart w:id="23" w:name="__RefHeading___Toc1788141_730472459"/>
      <w:bookmarkStart w:id="24" w:name="_Toc9"/>
      <w:bookmarkEnd w:id="23"/>
      <w:r>
        <w:rPr>
          <w:rtl w:val="true"/>
        </w:rPr>
        <w:t>نقد ادلّه، روش و پيامدها</w:t>
      </w:r>
      <w:bookmarkEnd w:id="24"/>
    </w:p>
    <w:p>
      <w:pPr>
        <w:pStyle w:val="Heading3"/>
        <w:numPr>
          <w:ilvl w:val="2"/>
          <w:numId w:val="1"/>
        </w:numPr>
        <w:rPr/>
      </w:pPr>
      <w:bookmarkStart w:id="25" w:name="__RefHeading___Toc1788143_730472459"/>
      <w:bookmarkStart w:id="26" w:name="_Toc10"/>
      <w:bookmarkEnd w:id="25"/>
      <w:r>
        <w:rPr>
          <w:rtl w:val="true"/>
        </w:rPr>
        <w:t>ب</w:t>
      </w:r>
      <w:r>
        <w:rPr>
          <w:rtl w:val="true"/>
        </w:rPr>
        <w:t xml:space="preserve">) </w:t>
      </w:r>
      <w:r>
        <w:rPr>
          <w:rtl w:val="true"/>
        </w:rPr>
        <w:t>روش اثبات و مقدمات نظريه‌ي بسط تجربه نبوي</w:t>
      </w:r>
      <w:r>
        <w:rPr>
          <w:rtl w:val="true"/>
        </w:rPr>
        <w:t>:</w:t>
      </w:r>
      <w:bookmarkEnd w:id="26"/>
    </w:p>
    <w:p>
      <w:pPr>
        <w:pStyle w:val="BookText"/>
        <w:rPr/>
      </w:pPr>
      <w:r>
        <w:rPr>
          <w:rFonts w:ascii="IRNazanin" w:hAnsi="IRNazanin" w:eastAsia="IRNazanin"/>
          <w:color w:val="111111"/>
          <w:sz w:val="28"/>
          <w:sz w:val="28"/>
          <w:szCs w:val="28"/>
          <w:rtl w:val="true"/>
          <w:lang w:bidi="fa-IR"/>
        </w:rPr>
        <w:t>اشكال ديگر نظريه‌ي بسط تجربه‌ي نبوي در روش و مقدماتي است كه انتخاب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بررسي اين محور مي‌پردازيم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عناصري از فرهنگ عصر پيامبر اين گمان را براي جناب آقاي سروش ايجاد كرده است كه قرآن در انطباق با محيط و تحت تأثير محيط و مخاطبان حاضرش مي‌باشد؛ حال آن‌كه بايد ميان دو چيز فرق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كامل در مقام ديالوگ و تخاطب؛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گرفتن شرايط و مخاطب در هنگام ديالوگ و هدايتگري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وحي اتفاق مي‌افتد از سنخ دوم است نه از نوع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محيط و اطرافيان خود دوگونه نسبت مي‌تواند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چنان است كه تحت تأثير محيط و اطرافيان قرار مي‌گيرد؛ از اين رو گاهي به مقصود خود نمي‌رسد و پيامش ناقص مي‌ماند و يا حتي خود همراه با محيط و اطرافيان مي‌شود و برخلاف سيره و منش صحيح عمل مي‌كند و شكي نيست كه پيامبران چنين نبوده‌اند؛ زيرا در اين صورت حجت الهي بر مردم تمام نبود و مقصود از رسالت حاصل نمي‌گرديد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متذكر شده است كه اگر پيامبر مي‌خواست تابع قوم و محيط باشد، آنان او را از مسيرش منحرف مي‌كردند؛ اما وحي و رسالت به دست خداست و اوست كه رسولش را براي رسيدن به اهدافش ياري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عدم تبعيت پيامبر از اطرافيان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أَتَّبِعُ أَهْواءَكُمْ قَدْ ضَلَلْتُ إِذاً؛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اي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خواسته‌هاي نفساني شما پيروي نمي‌كنم؛ زيرا مايه‌ي گمراهي من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لَهَمَّتْ طائِفَةٌ مِنْهُمْ أَنْ يُضِلُّوكَ وَ ما يُضِلُّونَ إِلاَّ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گروهي از آنان همت بر آن گماشته بودند كه تو را از راه صواب دور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به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از راه حق و صواب دور ساخته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رسولش را حفظ مي‌كند؛ براي اين‌كه بينه و حجت الهي بر مردم تمام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لِيَهْلِكَ مَنْ هَلَكَ عَنْ بَيِّنَةٍ وَ يَحْيى مَنْ حَيَّ عَنْ بَيِّنَةٍ؛</w:t>
      </w:r>
      <w:r>
        <w:rPr>
          <w:rStyle w:val="FootnoteAnchor"/>
          <w:rtl w:val="true"/>
        </w:rPr>
        <w:footnoteReference w:id="23"/>
      </w:r>
      <w:r>
        <w:rPr>
          <w:rFonts w:ascii="IRNazanin" w:hAnsi="IRNazanin" w:eastAsia="IRNazanin"/>
          <w:color w:val="111111"/>
          <w:sz w:val="28"/>
          <w:sz w:val="28"/>
          <w:szCs w:val="28"/>
          <w:rtl w:val="true"/>
          <w:lang w:bidi="fa-IR"/>
        </w:rPr>
        <w:t>تا هر كسي گمراه مي‌شود از روي بينه باشد و آن كس كه حيات مي‌يابد با بينه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منطق قرآن پيامبران در رسالت خود تحت تأثير اطرافيان و محيطشان نيستند و رابطه‌ي آنها با محيط از سنخ دوم است؛ يعني آنان براي رساندن و ابلاغ وحي، شرايط محيط و مخاطب را در نظر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ميزاني كه خللي در مقاصد وحي و شريعت ايجاد نكند؛ و عربي بودن قرآن نمونه‌اي از استفاده‌ي بهينه از فرهنگ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تشبيه وحي به وسوسه‌هاي شيطاني و يكي انگاشتن حقيقت، آن دو نادرست و غفلت از كاربردهاي قرآني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تشبيه وحي به شهود عارفان و وسوسه‌هاي شيطاني استنباط اين مطلب است كه وحي به پيامبران از سنخ شهودهاي دروني و رؤيت‌هاي شخصي است، نه از سنخ تكلم و القاي سخن از خدا؛ حال آن‌كه بررسي كاربردهاي قرآني وحي در باب پيامبران نشان‌دهنده‌ي آن است كه وحي پيامبران از سنخ گفتار و گزاره‌هايي است كه به صورت مستقيم يا با واسطه از جانب خداوند بر نبي القا مي‌شود؛ چه اين واسطه رسولي هم‌چون جبرييل باشد، يا اين‌كه حجابي باشد ميان رسول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در وادي مقدس با</w:t>
      </w:r>
    </w:p>
    <w:p>
      <w:pPr>
        <w:pStyle w:val="BookText"/>
        <w:rPr/>
      </w:pPr>
      <w:r>
        <w:rPr>
          <w:rFonts w:ascii="IRNazanin" w:hAnsi="IRNazanin" w:eastAsia="IRNazanin"/>
          <w:color w:val="111111"/>
          <w:sz w:val="28"/>
          <w:sz w:val="28"/>
          <w:szCs w:val="28"/>
          <w:rtl w:val="true"/>
          <w:lang w:bidi="fa-IR"/>
        </w:rPr>
        <w:t>موسي از وراي حجاب سخن گفت</w:t>
      </w:r>
      <w:r>
        <w:rPr>
          <w:rStyle w:val="FootnoteAnchor"/>
          <w:rtl w:val="true"/>
        </w:rPr>
        <w:footnoteReference w:id="24"/>
      </w:r>
      <w:r>
        <w:rPr>
          <w:rFonts w:ascii="Amiri" w:hAnsi="Amiri" w:eastAsia="Amiri" w:cs="Amiri"/>
          <w:color w:val="111111"/>
          <w:sz w:val="28"/>
          <w:sz w:val="28"/>
          <w:szCs w:val="28"/>
          <w:rtl w:val="true"/>
          <w:lang w:bidi="ar-SA"/>
        </w:rPr>
        <w:t>آيه شريفه‌ي زير بر هر سه نوع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إِنَّهُ عَلِيٌّ حَكِيمٌ؛</w:t>
      </w:r>
      <w:r>
        <w:rPr>
          <w:rStyle w:val="FootnoteAnchor"/>
          <w:rtl w:val="true"/>
        </w:rPr>
        <w:footnoteReference w:id="25"/>
      </w:r>
      <w:r>
        <w:rPr>
          <w:rFonts w:ascii="IRNazanin" w:hAnsi="IRNazanin" w:eastAsia="IRNazanin"/>
          <w:color w:val="111111"/>
          <w:sz w:val="28"/>
          <w:sz w:val="28"/>
          <w:szCs w:val="28"/>
          <w:rtl w:val="true"/>
          <w:lang w:bidi="fa-IR"/>
        </w:rPr>
        <w:t xml:space="preserve">و از رسولان هيچ بشري را ياراي آن نباشد كه با خدا سخن گويد مگر به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يا از پس پرده‌ي غيب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 ملكوت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تا به امر خدا هر چه او خواهد وحي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خداي داناي بلندمرتبه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احكام اسلامي با آنچه در جامعه‌ي عربي آن روز جاري بود، مشابهت بسيار دارد و اصلاً نوي ندارد و اگر هم دارد بسيار كم است و به زحمت به يك درصد مي‌رسد، سخني است كه با مراجعه به كتب فقهي و يا حتي رساله‌هاي عمليّه و تاريخ عرب جاهليت بطلان آن روشن مي‌گردد؛ از باب نمونه، در احكام ازدواج برخي اقسام ممنوع گرديده و براي اصل ازدواج شرايطي لغو و شرايط متعددي لازم شمرده شده است و هم‌چنين طلاق و پوشش زنان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جناب آقاي سروش روش اثبات بسط تجربه‌ي نبوي تنها بايد روش برون‌ديني باشد و حال آن‌كه التزام به اين سخن هم وجهي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الهي بودن قرآن با دليل بيروني، يعني اعجاز ثابت گرديد، مي‌توان براي تبيين معارف قرآني و اثبات آنها به قرآن مراجعه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پيامبر را صاحب مدعايي هم‌چون سايرين مي‌شمارد كه بايد اين ادعا به ترازوي عقل و علم سنجيده شود و مايه‌ي تعجب آن است كه آقاي سروش غفلت ورزيده كه پيامبر كسي است كه با اعجاز، معصوميّت و مصونيّت او ثابت شده است و در نتيجه ادعاي او نيز هم‌چون شخصيتش مصون و معصوم مي‌باشد و در حقيقت با اعجاز هم حقانيت پيامبر ثابت گرديد و هم حقانيت ره‌آوردش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حقيقت آن است كه به نظر مي‌آيد سرّ تأكيد ايشان بر بروني‌كردن بحث ماهيت وحي در نظريه‌ي معرفت ديني در باب متون ديني است؛ يعني صامت بودن وحي و گويا شدن آن با طرح‌ها و نظريات بيروني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متون آسماني، از جمله قرآن كريم، از سنخ الفاظ است كه داراي وضع و دلالت‌اند و الفاظ صريح و ظاهر بيناتي هستند كه جاي شكي را باقي نمي‌گذارند؛ كه در خود قرآن نيز به اين مطلب اشاره شده است كه بخشي از قرآن محكمات است كه مرجع ساير آيات نيز مي‌باشد</w:t>
      </w:r>
      <w:r>
        <w:rPr>
          <w:rStyle w:val="FootnoteAnchor"/>
          <w:rtl w:val="true"/>
        </w:rPr>
        <w:footnoteReference w:id="26"/>
      </w:r>
      <w:r>
        <w:rPr>
          <w:rFonts w:ascii="Amiri" w:hAnsi="Amiri" w:eastAsia="Amiri" w:cs="Amiri"/>
          <w:color w:val="111111"/>
          <w:sz w:val="28"/>
          <w:sz w:val="28"/>
          <w:szCs w:val="28"/>
          <w:rtl w:val="true"/>
          <w:lang w:bidi="ar-SA"/>
        </w:rPr>
        <w:t>و حق نيز همين است؛ زيرا در غير اين صورت، قرآن نور</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بيان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هدايتگر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صامت باشد چگونه مي‌توان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يهدي للتي هي 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اشكال ديگر اين سخن آن است كه خود ايشان براي اثبات نظريه‌ي تجربه‌ي ديني بودن </w:t>
      </w:r>
      <w:bookmarkStart w:id="27" w:name="pg14792_139523"/>
    </w:p>
    <w:p>
      <w:pPr>
        <w:pStyle w:val="BookText"/>
        <w:rPr/>
      </w:pPr>
      <w:bookmarkEnd w:id="27"/>
      <w:r>
        <w:rPr>
          <w:rFonts w:ascii="IRNazanin" w:hAnsi="IRNazanin" w:eastAsia="IRNazanin"/>
          <w:color w:val="111111"/>
          <w:sz w:val="28"/>
          <w:sz w:val="28"/>
          <w:szCs w:val="28"/>
          <w:rtl w:val="true"/>
          <w:lang w:bidi="fa-IR"/>
        </w:rPr>
        <w:t>وحي به قراين و داده‌هايي از درون وحي استناد مي‌كنند و احكام و عربي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صحت نظريه‌ي خود بيان مي‌كنند و اين تناقض‌گويي در شيوه‌ي اثبات نظريه‌ي بسط تجربه‌ي نبوي در يك گفت‌وگو مايه‌ي شگفتي است</w:t>
      </w:r>
      <w:r>
        <w:rPr>
          <w:rFonts w:eastAsia="IRNazanin" w:cs="IRNazanin"/>
          <w:color w:val="111111"/>
          <w:sz w:val="28"/>
          <w:szCs w:val="28"/>
          <w:rtl w:val="true"/>
          <w:lang w:bidi="fa-IR"/>
        </w:rPr>
        <w:t>.</w:t>
      </w:r>
    </w:p>
    <w:p>
      <w:pPr>
        <w:pStyle w:val="Heading3"/>
        <w:numPr>
          <w:ilvl w:val="2"/>
          <w:numId w:val="1"/>
        </w:numPr>
        <w:rPr/>
      </w:pPr>
      <w:bookmarkStart w:id="28" w:name="__RefHeading___Toc1788145_730472459"/>
      <w:bookmarkStart w:id="29" w:name="_Toc11"/>
      <w:bookmarkEnd w:id="28"/>
      <w:r>
        <w:rPr>
          <w:rtl w:val="true"/>
        </w:rPr>
        <w:t>ج</w:t>
      </w:r>
      <w:r>
        <w:rPr>
          <w:rtl w:val="true"/>
        </w:rPr>
        <w:t xml:space="preserve">) </w:t>
      </w:r>
      <w:r>
        <w:rPr>
          <w:rtl w:val="true"/>
        </w:rPr>
        <w:t>لوازم و پيامدهاي نظريه‌ي بسط تجربه نبوي</w:t>
      </w:r>
      <w:bookmarkEnd w:id="29"/>
    </w:p>
    <w:p>
      <w:pPr>
        <w:pStyle w:val="BookText"/>
        <w:rPr/>
      </w:pPr>
      <w:r>
        <w:rPr>
          <w:rFonts w:ascii="IRNazanin" w:hAnsi="IRNazanin" w:eastAsia="IRNazanin"/>
          <w:color w:val="111111"/>
          <w:sz w:val="28"/>
          <w:sz w:val="28"/>
          <w:szCs w:val="28"/>
          <w:rtl w:val="true"/>
          <w:lang w:bidi="fa-IR"/>
        </w:rPr>
        <w:t xml:space="preserve">لوازم و پيامدهاي نظريه‌ي بسط تجربه‌ي نبوي متعدد است كه براي اختصار، تنها به نقد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عصري بودن اسلام و عدم انقطاع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عصري بودن يا جاودانگي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پيامد‌هاي نظريه‌ي بسط تجربه‌ي نبوي قول به عصري بودن دين است؛ از اين رو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 پديده‌اي است كه با محيط منطبق مي‌شود و كاملاً رنگ محيط را به خود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هيچ دليلي نداريم كه بگوييم عرف جامعه‌ي پيغمبر بهترين عرف ممكن در تاريخ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نتيجه گرفته‌اند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احكام فقهيِ اسلام موقت‌اند و متعلق به جامعه‌ي پيامبر و جوامعي شبيه به آن جامعه هستند، مگر اين‌كه خلافش ثابت بشود، به طوري كه ما بايد دليل قطعي داشته باشيم كه براي هميشه وضع شده‌اند، نه براي آن شرايط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مي‌دانم </w:t>
      </w:r>
    </w:p>
    <w:p>
      <w:pPr>
        <w:pStyle w:val="BookText"/>
        <w:rPr/>
      </w:pPr>
      <w:r>
        <w:rPr>
          <w:rFonts w:ascii="IRNazanin" w:hAnsi="IRNazanin" w:eastAsia="IRNazanin"/>
          <w:color w:val="111111"/>
          <w:sz w:val="28"/>
          <w:sz w:val="28"/>
          <w:szCs w:val="28"/>
          <w:rtl w:val="true"/>
          <w:lang w:bidi="fa-IR"/>
        </w:rPr>
        <w:t>كه رأي عموم فقها برخلاف اين است، يعني معتقدند همه‌ي اين احكام ابدي است، مگر اين‌كه خلافش ثابت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به عصري بودن دين به جهات متعددي سخني ناصواب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رو كه دين براي انسان است مطابق و هماهنگ با ساختار وجود آدمي است و انسان هم‌چنان كه نيازهايي متغير دارد، داراي نيازهايي ثابت و فطرتي تغييرناپذير است و اين مطلب علاوه بر شواهد ديني، مانند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وَجْهَكَ لِلدِّينِ حَنِيفاً فِطْرَتَ اللَّهِ الَّتِي فَطَرَ النَّاسَ عَلَيْها لا تَبْدِيلَ لِخَلْقِ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داراي دلايل روان‌شناسي نيز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عناصر ثابت وجود دارد هم عناصر متغير؛ ثانياً مقتضيات زمان به طور مطلق متغير نيست؛ يعني همه‌ي امور در زمان تغيير پيدا نمي‌كند و هر تغييري كه در زمان واقع مي‌شود پذيرفتني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تغييرات نشانه‌ي ترقي و تكامل است و برخي ديگر نشانه‌ي انحطاط و سقوط؛ و ثالثاً، نيازهاي انسان به دو دسته تقسيم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نيازهاي اولي و ثابت؛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نيازهاي ثانوي و 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نيازهاي ثابت نيازهايي است كه از لوازم ساختمان وجودي انسان است و به سه گروه عمده تقسيم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نيازهاي جسماني؛ مانند نياز به غذا و پوشاك؛</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نيازهاي روحي؛ مانند ميل به پرستش خدا، ميل به كنج‌كاوي، زيباجويي و فضيلت‌خواهي؛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نيازهاي اجتماعي؛ مانند ميل به معاشرت با ديگران، آزادي‌خواهي، عدالت‌جويي و مساوات‌طلبي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نيازهاي متغير نيازهايي است كه هرچند از نيازهاي اوليه‌ي انسان نشأت مي‌گيرد؛ اما در زمان‌هاي مختلف شيوه‌ي ارضاي آنها تغيير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نيازها مربوط به توسعه‌ي زندگي و ضرورت‌هاي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 انسان به انواع ابزار و وسايل زندگي كه در طي زمان تغيير مي‌كند از اين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قانون‌گذاري اسلام براي نيازهاي ثابت قوانين ثابت وضع شده است و براي نيازهاي متغير، قوانين 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ثابت مربوط به نوعيت انسان است كه خط سير انسانيت انسان را نشان مي‌دهد؛ مانند اين اصل اجتماعي كه بشر بايد در برابر دشمن ايتسادگي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 وَ مِنْ رِباطِ الْخَيْلِ تُرْهِبُونَ بِهِ؛</w:t>
      </w:r>
      <w:r>
        <w:rPr>
          <w:rStyle w:val="FootnoteAnchor"/>
          <w:rtl w:val="true"/>
        </w:rPr>
        <w:footnoteReference w:id="30"/>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آنچه مي‌توانيد از نيرو و اسبان بسته آماده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دشمن با تير و شمشير باشد يا با سلاح‌هاي مدرن، اصل دفاع امري ثابت است هرچند ابزارهاي جنگي امري متغير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 آن است كه بر مبناي اشتراك در احكام، اصل در احكام ثبات است نه تغيير؛ يعني چون اسلام دين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أَرْسَلْناكَ إِلاَّ كَافَّةً لِلنَّاسِ</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استثناي احكام استثنايي نيازمند دليل قطعي است و معناي اشتراك آيندگان در احكام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وحي يا تجدد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ديگر نظريه‌ي بسط تجربه‌ي نبوي عدم انقطاع وحي و نفي خاتميت دين مي‌باشد و از ين رو گفته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تجربه‌ي نبوي يا تجربه‌اي شبيه به تجربه‌ي پيامبران كاملاً قطع نمي‌شود و هميشه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اين‌كه هر كس مي‌تواند رسولي بشود، بايد اذعان داشت كه كسي ممكن است براي خودش نبي شود و احوال خاصي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آن‌كه مسأله‌ي خاتميّت از جمله مواردي است كه صراحت قرآن و متون ديني بر آن دلالت مي‌كند؛ مانند آيه‌ي شريفه‌اي 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هيچ يك از مردان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زينب زن فرزند پيغمبر نبود و پس از طلاق او را 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او رسول خدا و خاتم انبياست و خدا هميشه بر همه امور عالم آگاهست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صراحت، آمدن نبي بعد از نبي‌اكرم را نفي مي‌كند و پيامبر اسلام را آخرين نبي مي‌شمارد؛ آنگاه بايد ديد با اين صراحت چگونه يك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 مي‌تواند معتقد باشد كه كسي ممكن است براي خودش نبي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0" o:detectmouseclick="t"/>
                <v:stroke color="#3465a4" joinstyle="round" endcap="flat"/>
                <w10:wrap type="none"/>
              </v:shape>
            </w:pict>
          </mc:Fallback>
        </mc:AlternateContent>
      </w:r>
      <w:bookmarkStart w:id="30" w:name="pg14792_139529"/>
    </w:p>
    <w:p>
      <w:pPr>
        <w:pStyle w:val="Heading2"/>
        <w:numPr>
          <w:ilvl w:val="1"/>
          <w:numId w:val="1"/>
        </w:numPr>
        <w:rPr/>
      </w:pPr>
      <w:bookmarkStart w:id="31" w:name="__RefHeading___Toc1788147_730472459"/>
      <w:bookmarkStart w:id="32" w:name="_Toc12"/>
      <w:bookmarkEnd w:id="30"/>
      <w:bookmarkEnd w:id="31"/>
      <w:r>
        <w:rPr>
          <w:rtl w:val="true"/>
        </w:rPr>
        <w:t>مقاله‌ي مورد نقد</w:t>
      </w:r>
      <w:r>
        <w:rPr>
          <w:rtl w:val="true"/>
        </w:rPr>
        <w:t xml:space="preserve">: </w:t>
      </w:r>
      <w:r>
        <w:rPr>
          <w:rtl w:val="true"/>
        </w:rPr>
        <w:t>سخن‌راني آغاجري نشان داد كه هنوز شريعتي حرفي براي گفتن دارد</w:t>
      </w:r>
      <w:bookmarkEnd w:id="32"/>
    </w:p>
    <w:p>
      <w:pPr>
        <w:pStyle w:val="Heading3"/>
        <w:numPr>
          <w:ilvl w:val="2"/>
          <w:numId w:val="1"/>
        </w:numPr>
        <w:rPr/>
      </w:pPr>
      <w:bookmarkStart w:id="33" w:name="__RefHeading___Toc1788149_730472459"/>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سخن‌راني آغاجري نشان داد كه هنوز شريعتي حرفي براي گفتن دارد</w:t>
      </w:r>
      <w:r>
        <w:rPr>
          <w:rStyle w:val="FootnoteAnchor"/>
          <w:rtl w:val="true"/>
        </w:rPr>
        <w:footnoteReference w:id="34"/>
      </w:r>
    </w:p>
    <w:p>
      <w:pPr>
        <w:pStyle w:val="Heading3"/>
        <w:numPr>
          <w:ilvl w:val="2"/>
          <w:numId w:val="1"/>
        </w:numPr>
        <w:rPr/>
      </w:pPr>
      <w:bookmarkStart w:id="35" w:name="__RefHeading___Toc1788151_730472459"/>
      <w:bookmarkStart w:id="36" w:name="_Toc14"/>
      <w:bookmarkEnd w:id="35"/>
      <w:r>
        <w:rPr>
          <w:rtl w:val="true"/>
        </w:rPr>
        <w:t>چكيده</w:t>
      </w:r>
      <w:r>
        <w:rPr>
          <w:rtl w:val="true"/>
        </w:rPr>
        <w:t>:</w:t>
      </w:r>
      <w:bookmarkEnd w:id="36"/>
    </w:p>
    <w:p>
      <w:pPr>
        <w:pStyle w:val="BookText"/>
        <w:rPr/>
      </w:pPr>
      <w:r>
        <w:rPr>
          <w:rFonts w:ascii="IRNazanin" w:hAnsi="IRNazanin" w:eastAsia="IRNazanin"/>
          <w:color w:val="111111"/>
          <w:sz w:val="28"/>
          <w:sz w:val="28"/>
          <w:szCs w:val="28"/>
          <w:rtl w:val="true"/>
          <w:lang w:bidi="fa-IR"/>
        </w:rPr>
        <w:t>دكتر صادق زيبا كلام در اين گفت‌وگو با اشاره به پديده‌ي پروتستانيسم ديني و برشمردن ويژگي‌ها و اركان پروتستانيسم لوتري و كالوني، نياز دين به متولي، به ويژه نهادي هم‌چون روحانيت را مورد انتقاد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استناد تقدس‌طلبي به روحانيت، قداست در روحانيت را نيز به بوته‌ي نقد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 بررسي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پروتستانيسم، طرح واره‌ي حاكميت زدايي ديني</w:t>
      </w:r>
    </w:p>
    <w:p>
      <w:pPr>
        <w:pStyle w:val="BookText"/>
        <w:rPr/>
      </w:pPr>
      <w:r>
        <w:rPr>
          <w:rFonts w:ascii="Amiri" w:hAnsi="Amiri" w:eastAsia="Amiri" w:cs="Amiri"/>
          <w:color w:val="111111"/>
          <w:sz w:val="28"/>
          <w:sz w:val="28"/>
          <w:szCs w:val="28"/>
          <w:rtl w:val="true"/>
          <w:lang w:bidi="ar-SA"/>
        </w:rPr>
        <w:t>حسن رضايي‌مهر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گرايش‌هاي مختلف در حوزه‌ي انديشه امري گريزناپذير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زماني نتيجه‌ي اين گرايش‌ها، تعالي فكر و انديشه است كه براساس </w:t>
      </w:r>
    </w:p>
    <w:p>
      <w:pPr>
        <w:pStyle w:val="BookText"/>
        <w:rPr/>
      </w:pPr>
      <w:r>
        <w:rPr>
          <w:rFonts w:ascii="IRNazanin" w:hAnsi="IRNazanin" w:eastAsia="IRNazanin"/>
          <w:color w:val="111111"/>
          <w:sz w:val="28"/>
          <w:sz w:val="28"/>
          <w:szCs w:val="28"/>
          <w:rtl w:val="true"/>
          <w:lang w:bidi="fa-IR"/>
        </w:rPr>
        <w:t>اصول منطقي و عقلاني بنا شده باشند، در غير اين صورت، نه صبغه‌ي علمي قابل طرح داشته و نه امري ستودني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سواي آن‌كه حاصلي جز تشتت افكار و انديشه‌ها در حوزه‌ي نظري و گسيختگي نظام اجتماع در عرصه‌ي عملي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در چنين مجالي، مباحث نظري عميق، جاي خود را به سطحي‌نگري، ژورنال‌گرايي، سياست‌بازي‌ها و جناح‌بندي‌هاي غير معتدل و ناكارآمد بلكه تخريب‌گر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آسيبي كه نه مصالح عمومي جامعه آن را بر مي‌تابد و نه از رضايتمندي مردم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دفع و رفع چنين آسيبي زماني امكان‌پذير است كه نظريه‌ها، اساسي مستدل داشته و آرايه‌ها، سلوكي شفاف را در نوردد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پروتستانيسم كه گرايشي غربي و مربوط به دوره‌ي رنسانس، يا كمي متأخر از آن است، مدتي است كه در ايران اسلامي مورد مهر و محبت داعيه‌داران روشن‌فكري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افاداتي از آقاي دكتر صادق زيباكلام در دو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روزنامه‌ي آزاد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توجه اين حقير 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صدر تا ذيل كلامش به تثبيت پروتستانيسم، كه يكي از اهدافش ترويج فردگرايي ديني و حذف نقش علماي دين در هدايت انسان‌ها به خداست، به عنوان تنها نسخه‌ي شفابخش وارداتي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نيم‌نگاهي به ماهيت اين گرايش، قبل از بررسي موارد قابل تأمل در كلام ايشان، ضروري به نظر مي‌رسد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پروتستانيسم يكي از سه شاخه‌ي اصلي مسيحيت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شاخه ديگر عبارت‌اند از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شاخه 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اصلاح ديني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رفرماسيون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شانزدهم ميلادي در اروپا شكل گرفت؛ و از مهم‌ترين رهبران آن مارتين لوتر </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eastAsia="IRNazanin" w:cs="IRNazanin"/>
          <w:color w:val="111111"/>
          <w:sz w:val="28"/>
          <w:szCs w:val="28"/>
          <w:lang w:bidi="fa-IR"/>
        </w:rPr>
        <w:t>1483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كالون </w:t>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هولدريش تسوينگي </w:t>
      </w: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پروتستانيسم در ترويج فردگرايي ديني و مفاهيم فراواني كه زاييده‌ي آن است نقش عمده‌اي داشته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برخي از عقايد و ويژگي‌هاي پرتستان‌ها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مرجعيت ديني تنها از آن كتاب مقدس است و از اين رو هيچ‌گونه حجيتي براي مقام پاپ، شوراهاي كليسايي يا آراي آباي كليسا و قديسان قايل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مسيحي مي‌تواند پيام كتاب مقدس را به وجدان شخص خود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گروهي چنان راه افراط پيمودند كه متون مقدس را به دلخواه خود تعبير و تفسير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بر فردگرايي، آزادي فردي، تساهل و مدارا، تكيه بر توليد و گسترش ثروت، عبادت دانستن كار، موهبت الهي دانستن ثروت و ممدوح دانستن آن، از ويژگي‌هاي اخلاق و تفكر پروتستاني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بررسي و نقد عقايد و ويژگي‌هاي پروتستاني مجال ديگري را مي‌طلبد، ولي با توجهي اندك به موارد فوق مي‌توان دريافت كه با اصول و مباني اسلام در تغاير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اثبات و ارائه‌ي چنين گرايشي در جهت تغيير ساختار نظام ايران اسلامي، متوقف بر فراهم آوردن زمينه‌ها و مقدمات تحقق عقايد و آموزه‌هاي پروتستاني است كه يكي از آنها بلكه مهم‌ترين آنها تضعيف علماي دين و روحانيت است تا بتواند از اين طريق به فردگرايي ديني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تنها هدفي كه آقاي زيباكلام از صدر تا ذيل سخنانش در پي آن است، تضعيف و تخريب روحانيت است كه اينك به بررسي مواردي از آنها مي‌نشينيم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پس از ذكر اين مطلب كه اگر بپذيريم كه اسلام نياز به متولّي دارد و نيز اين متولّي به جهت ارتباطش با امر آسماني و قدسي كه مذهب است، داراي نوعي قداست است و از اين روي در وراي نقد و پرسش قرار دارد،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معتقدم كه هر دو فرض بالا به هيچ عنوان اموري مطلق نيست و اين است جز اين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 زيادي هم در اين دو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لحاظ تاريخي چنين پديده‌اي در اسلام نداشته‌ايم</w:t>
      </w:r>
      <w:r>
        <w:rPr>
          <w:rFonts w:eastAsia="IRNazanin" w:cs="IRNazanin"/>
          <w:color w:val="111111"/>
          <w:sz w:val="28"/>
          <w:szCs w:val="28"/>
          <w:rtl w:val="true"/>
          <w:lang w:bidi="fa-IR"/>
        </w:rPr>
        <w:t>.</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و بررسي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شريعت نياز به متولي يا متولي خاص يا متولي رسمي يا روحانيت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اختلاف تعابير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سواي آن‌كه به لحاظ </w:t>
      </w:r>
    </w:p>
    <w:p>
      <w:pPr>
        <w:pStyle w:val="BookText"/>
        <w:rPr/>
      </w:pPr>
      <w:r>
        <w:rPr>
          <w:rFonts w:ascii="IRNazanin" w:hAnsi="IRNazanin" w:eastAsia="IRNazanin"/>
          <w:color w:val="111111"/>
          <w:sz w:val="28"/>
          <w:sz w:val="28"/>
          <w:szCs w:val="28"/>
          <w:rtl w:val="true"/>
          <w:lang w:bidi="fa-IR"/>
        </w:rPr>
        <w:t xml:space="preserve">خالي نبودن آن از گرايش‌هاي سياسي، نمي‌توان آن را يك مسئله‌ي انديشه‌اي و ديني صرف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مساعدت عقل و نقل برخوردار نيست بلكه در تعاض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تعارض با عقل به جهت آن است كه عقل هر امري را كه پيگيري امور آن نيازمند متولي است، جايز بلكه لازم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هم از مقولاتي است كه تبليغ و شناسايي و احياي آن، نيازمند متولي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وقتي عقل، وجود متولي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مجتمع علمي را لازم مي‌شمارد، تا امور آن را پيگيري كند، به طريق اولي توليت ديني را مي‌پذيرد و حكم به لزوم آن مي‌نمايد؛ و حتي بلكه لزوم وجود متولي خاص را مورد تأكيد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اگر دين و شريعت فاقد مبلّغ و مروّج متخصص و آگاه به اصول و مباني آن باشد، چگونه مي‌تواند به گوش انسان‌ها برسد و آنها را هدايت كند و كساني كه به آموزه‌ها و احكام ديني آگاهي ندارند، از چه طريقي بايد به اين آگاهي برسند، آيا قايلين به چنين عقيده‌اي ترجيح مي‌دهند مؤمنان به ناآگاهان ديني مراجعه كنند و يا اصلاً صداي دين به آنها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تفكر، به اضلال مردم از صراط مستقيم نمي‌انجامد؟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تعارض با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زيادي در بيان وظيفه‌ي عالمان ديني در به عهده گرفتن امر دين و ترويج و احيا و حفظ آن از هجمه‌ها و دسيسه‌هاي دين‌ستيزان وارد شده است كه در تعارض صريح با چنين عقيده‌اي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بنگريد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وارثان پيامبران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ما اهل‌بيت در هر عصر جانشينان عادلي وجود دارند كه تغيير دادن غاليان و به خودبستگي خرابكاران و بد معنا كردن نادان را از دين برمي‌دارند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در شرح اين حديث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خرابكاري در دين طبق اين روايت سه‌گونه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كلمه يا جمله‌ي قرآن و حديث را به نفع و سليقه‌ي خويش تغيير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گاهي از غُلات و مسلمين كاسه از آش داغ‌تر سر مي‌زند؛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كساني كه مسلمان و متدين نيستند، خود را به اسلام و دين ببندند، يا مطلبي كه از دين نيست، به دين نسبت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حديث را از معناي حقيقي خود برگردانيده، طبق سليقه‌ي شخصي خويش معنا كنند و در هر دوره امامان يا علماي عادلي هستند كه از اين اعمال جلوگيري مي‌كنند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نيز حضرت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امتم بدعت‌ها هويدا گردد، بر عالم است كه علم خويش را آشكار كند، كه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نكند لعنت خدا بر او باد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عالمي متعفن‌ترين بو را در جهنم خواهد داشت و تمام جنبندگان او را لعنت مي‌كنند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يا روايت سكوني ازامام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امين رسولان الهي هستند، تا زماني كه داخل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اتباع سلطان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باشند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بديهي است فقها و علماي دين‌مدار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دنيا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صيانت و مراقبت از دين را بر عهده دارند؛ چون امناي رسل الهي‌اند و رسالت رسولان الهي هم منحصر در تبليغ و تعليم شريعت نبوده، بلكه قضاوت و زعامت سياسي نيز شأني از شؤون آنهاست پس امانت‌داري و تحفظ بر رسالت رسولان در همه‌ي عرصه‌هاي آن وظيفه‌ي عالمان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روايات ياد شده هم، حفظ دين از بدعت‌ها و انحرافات وارده از طرف دشمنان و نادانان، بر عالمان واجب شمرده شده، به طوري كه اگر عالمي چنين نكند مستحق لعنت خدا گرديده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گرديد كه لسان روايات هم وجود متولي را براي دين لازم دانسته، بلكه بر متولي عالم به دين و حقايق ديني تأكيد مي‌كند، چنان‌كه از مراجعه به جهّال در امور دين نهي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شريعت در هيچ زماني بي‌نياز از متولّي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 متولي دين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آن است كه در لسان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فقهاي دين‌شناس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قدر متيقن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ترديدي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نگاهي هرچند گذرا به قصص علما و فقهاي دين، روشن مي‌گردد كه </w:t>
      </w:r>
    </w:p>
    <w:p>
      <w:pPr>
        <w:pStyle w:val="BookText"/>
        <w:rPr/>
      </w:pPr>
      <w:r>
        <w:rPr>
          <w:rFonts w:ascii="Amiri" w:hAnsi="Amiri" w:eastAsia="Amiri" w:cs="Amiri"/>
          <w:color w:val="111111"/>
          <w:sz w:val="28"/>
          <w:sz w:val="28"/>
          <w:szCs w:val="28"/>
          <w:rtl w:val="true"/>
          <w:lang w:bidi="ar-SA"/>
        </w:rPr>
        <w:t>كلمه‌ي علما و فقهاي دين در غير از سلسله‌ي جليله‌ي روحانيت تبادر و انصرافي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خصوص تقدس علما و روحانيت بايد گفت كه اگر مراد از قداست، عصمت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از ظاهر كلام ايشان برداشت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استناد چنين ادعايي به روحانيت، امري خطا و غير واقع است؛ چرا كه اوّلاً در فرهنگ ديني ما فقط پيغمبران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عصمت برخوردارند؛ ثانياً هيچ‌گاه چنين ادعايي از هيچ‌يك از علما و بزرگان ديني و روحانيت صورت نپذيرفته است تا كساني بخواهند آن را مستمسكي براي اثبات اهداف خويش قرار دهند؛ ثالثاً، مشي علماي دين، خصوصاً تشيع، در استنباط احكام و آموزه‌هاي ديني بر تخطئه است، در مقابل تصويب؛ واين دليل ديگري بر عدم صحت اين استناد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از تقدس، پاكي و صداقت و قرب روحي و معنوي و خلاصه، تقرب الي الله باشد، البتّه چنين امري نه تنها ممكن، بلكه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علم دين داشتن، آگاه بودن به اصول و مباني دين، تهذيب نفس و در كنار اين‌ها تبليغ و ترويج دين بإذن الله و بامرالله، خود موجب بهجت و نورانيت و پاكي و تقرب در انسان مي‌شود؛ به گونه‌اي كه همين معنويت گاه جامعه‌اي را مجذوب خويش مي‌كند؛ چنان‌كه تاريخ شاهد علما و فقهاي وارسته‌اي است كه با قدرت معنوي خويش توانسته‌اند دل‌ها را مجذوب خود كرده و تحولات عظيمي در جوامع اسلامي به‌وجود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تقدسي را نمي‌توان به طايفه‌ي خاصي </w:t>
      </w:r>
    </w:p>
    <w:p>
      <w:pPr>
        <w:pStyle w:val="BookText"/>
        <w:rPr/>
      </w:pPr>
      <w:r>
        <w:rPr>
          <w:rFonts w:ascii="IRNazanin" w:hAnsi="IRNazanin" w:eastAsia="IRNazanin"/>
          <w:color w:val="111111"/>
          <w:sz w:val="28"/>
          <w:sz w:val="28"/>
          <w:szCs w:val="28"/>
          <w:rtl w:val="true"/>
          <w:lang w:bidi="fa-IR"/>
        </w:rPr>
        <w:t>منحصر كرد، بلكه همه‌ي افراد، با توجّه به اختلاف مرتبه‌ي روحي و معنوي، مي‌توانند بدين معنا مقدس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خلط ايشان در قياس علما و روحانيت اسلام با كليساييان معلوم مي‌گردد؛ چرا كه ايشان در راستاي هدف خويش با بيان مواردي از عقايد صاحب‌منصبان كليسا، از جمله اين‌كه روحانيت و سلسله مراتب اسقفي كليسا رابطه‌ي ميان مؤمنان مسيحي و روح‌القدس‌اند و بدون اين واسطه، مؤمنان نمي‌توانند به حضرت مسيح متصل شده، به رستگاري برسند كه در نهايت هم به پيدايش نهضت رفورميسم و تحول جدّي در عقايد كليسا انجاميد، به تأييد و تثبيت پروتستانيسم كه تأكيد آن بر فردگرايي ديني است، مي‌پردازد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اينجا توجّه به يك نكته ضروري است و آن اين‌كه علّت به وجود آمدن پرتستانيسم در جامعه‌ي مسيحيت، ناشي از جزم‌گرايي كليساييان در اعتقاداتي بود كه غالباً در تعارض با علم و عقل بود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تبعاً آموزه‌هاي آنها هم به چيزي بيش‌تر از آن عقايد نمي‌پرداخت؛ مثلاً اصحاب كليسا معتقد بودند كه آنها مي‌توانند گناهكاران را ببخشند و يا سعادت و بخشش به جز از طريق آنها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چنين روي‌كردي باعث پيدايش نهضت رفورميسم گرديد و بدين صورت ستون‌هاي پروتستانيسم ديني در غرب پايه‌گذاري شد؛ امّا اسراي چنين </w:t>
      </w:r>
    </w:p>
    <w:p>
      <w:pPr>
        <w:pStyle w:val="BookText"/>
        <w:rPr/>
      </w:pPr>
      <w:r>
        <w:rPr>
          <w:rFonts w:ascii="IRNazanin" w:hAnsi="IRNazanin" w:eastAsia="IRNazanin"/>
          <w:color w:val="111111"/>
          <w:sz w:val="28"/>
          <w:sz w:val="28"/>
          <w:szCs w:val="28"/>
          <w:rtl w:val="true"/>
          <w:lang w:bidi="fa-IR"/>
        </w:rPr>
        <w:t>امري نسبت به علما و فقهاي اسلام به چه دليل و منظوري موجه مي‌گردد؟</w:t>
      </w:r>
    </w:p>
    <w:p>
      <w:pPr>
        <w:pStyle w:val="BookText"/>
        <w:rPr/>
      </w:pPr>
      <w:r>
        <w:rPr>
          <w:rFonts w:ascii="IRNazanin" w:hAnsi="IRNazanin" w:eastAsia="IRNazanin"/>
          <w:color w:val="111111"/>
          <w:sz w:val="28"/>
          <w:sz w:val="28"/>
          <w:szCs w:val="28"/>
          <w:rtl w:val="true"/>
          <w:lang w:bidi="fa-IR"/>
        </w:rPr>
        <w:t>با توجّه به سيره‌ي علمي و اصول نظري آنها كه برگرفته از متون مقدس ديني است، روشن مي‌گردد كه علماي اسلام فقط دعوي تبليغ دين و فراخواني مردمان به شريعت مبين الهي را دارند بلكه خود را موظف بر اين امر مي‌دانند و در واقع هيچ فاعليتي را براي خود در جنب فاعليت خدا در آمرزندگي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قياس فضاي حاكم بر كليساييان با علماي اسلام در راستاي تثبيت فردگرايي پروتستاني، يا امري غافلانه است يا معاندانه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قسمتي ديگر از گفته‌هايش آورده كه هدف انقلاب تشكيل يك حكومت روحاني نبود ودر اين خصوص به شواهدي استناد كرده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وزيري مهندس بازرگان از سوي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رياست جمهوري بني‌صدر، مخالفت حضرت امام با نامزدي مرحوم بهشتي براي رياست جمهوري و بالاخره رفتن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انقلاب به قم و رها كردن حكومت و سپردن مملكت به دولت موقت غير روحاني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 بررسي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هيچ‌كس نگفته كه هدف انقلاب، ايجاد حكومت روحاني بوده، بلكه چنان‌كه در قانون اساسي آمده، هدف ايجاد حكومت اسلامي و ديني بوده است و به قول خود ايشان،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غير روحاني و </w:t>
      </w:r>
    </w:p>
    <w:p>
      <w:pPr>
        <w:pStyle w:val="BookText"/>
        <w:rPr/>
      </w:pPr>
      <w:r>
        <w:rPr>
          <w:rFonts w:ascii="IRNazanin" w:hAnsi="IRNazanin" w:eastAsia="IRNazanin"/>
          <w:color w:val="111111"/>
          <w:sz w:val="28"/>
          <w:sz w:val="28"/>
          <w:szCs w:val="28"/>
          <w:rtl w:val="true"/>
          <w:lang w:bidi="fa-IR"/>
        </w:rPr>
        <w:t>حتّي تحصيل‌كرده‌هاي غرب، مثل بني‌صدر، استفاده مي‌كردند؛ ولي آنچه قابل تأمل مي‌نمايد آن است كه چگونه با بيان چند مورد به عنوان دليل، كه دلالت هر كدام هم جاي بحث دارد، مي‌توان به اين نتيجه رسيد كه هيچ روحاني‌اي حق نامزدي در انتخابات و يا خدمت كردن در ساير فرصت‌هاي نظام اسلامي را ندارد، تا مبادا حكومت اسلامي به حكومت روحاني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كجا معلوم است كه مخالفت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نامزدي شهيد بهشتي براي رياست جمهوري به اين دليل بوده، و مسائل و مصالح ديگري مورد نظرشان نبوده است؟</w:t>
      </w:r>
    </w:p>
    <w:p>
      <w:pPr>
        <w:pStyle w:val="BookText"/>
        <w:rPr/>
      </w:pPr>
      <w:r>
        <w:rPr>
          <w:rFonts w:ascii="IRNazanin" w:hAnsi="IRNazanin" w:eastAsia="IRNazanin"/>
          <w:color w:val="111111"/>
          <w:sz w:val="28"/>
          <w:sz w:val="28"/>
          <w:szCs w:val="28"/>
          <w:rtl w:val="true"/>
          <w:lang w:bidi="fa-IR"/>
        </w:rPr>
        <w:t xml:space="preserve">ثانياً، در خصوص عزيمت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در اوايل انقلاب به به نكاتي چند توجّه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استفاده‌اي را از حركت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نه تنها ايشان بلكه بعضي از داعيه‌داران روشن‌فكري نيز قبل از ايشان به منظور تلقين و ترويج تفكّر سكولاريستي و جدا كردن دين و روحانيت از امور جامعه، مطرح كرده‌اند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آنچه عجيب‌تر مي‌نمايد، استفاده‌ي مخالفت حضرت امام با حضور روحانيت در صحنه‌هاي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از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رفت و حكومت را به دولت غير روحاني واگذار كرد، اوّلاً، يك قضيه‌ي جزئيه است و ارتباطي با كليت قضيه و اثبات </w:t>
      </w:r>
    </w:p>
    <w:p>
      <w:pPr>
        <w:pStyle w:val="BookText"/>
        <w:rPr/>
      </w:pPr>
      <w:r>
        <w:rPr>
          <w:rFonts w:ascii="IRNazanin" w:hAnsi="IRNazanin" w:eastAsia="IRNazanin"/>
          <w:color w:val="111111"/>
          <w:sz w:val="28"/>
          <w:sz w:val="28"/>
          <w:szCs w:val="28"/>
          <w:rtl w:val="true"/>
          <w:lang w:bidi="fa-IR"/>
        </w:rPr>
        <w:t xml:space="preserve">ادعاي ايشان ندارد، بلكه همين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مجبور شد به تهران بيايد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بعضي مدعيان روشن‌فكري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سياست شود، خود دليل محكمي بر نظارت تمام‌عيار ايشان بر امور مملكتي و حكومتي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نظارت و حضور دقيق او به عنوان يك رهبر روحاني و بنيان‌گذار جمهوري اسلامي و نيز دغدغه‌هايي كه نسبت به سلامت حكومت از ناحيه‌ي مديريت يك شخص غيرروحاني داشت، چه بسا باعث عزيمت ايشان به تهران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مستند ايشان در اين مسئله است، با مطرح كردن مسئله‌ي ولايت فقيه، مصداق حكومت اسلامي در زمان غيبت را مشخص كرد و پس از استدلال بر ضرورت وجود حكومت اسلامي، كه در رأس آن ولايت فقها به عنوان قانون‌شناسان و دين‌شناسان است، محوريت حكومت اسلامي را به دست علما و دانشمندان ديني قرار داد و مگر ايشان نبود كه بدين وسيله توطئه‌ي اسلام منهاي روحانيت را نقش بر آب كرد؟ پس چرا فقط بعضي از بيانات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 آقايان آشناست و ديگر سخنان گهربار او بر گوش آنها سنگيني دارد؟ مگر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گفتند اسلام منهاي روحاني، بدانيد با اسلام هم موافق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براي گول‌زدن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كه گوينده‌ي اسلامي ندارد، اين اسلام نيست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ادامه‌ي القاي تفكّر به حاشيه راندن روحانيت از صحنه‌ي سياست و اجتماع، و به عنوان چاشني مطالب گفته شده، به تقويت جنبه‌ي ژورنال‌گرايي مطالب خود تمسك كرده است كه به بعضي از آنها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روحانيت نشان داده است كه هم‌چون ساير مردم، تعريف، تمجيد و متأسفانه حتّي تملق را مي‌پسندد و هم‌چون ديگران از انتقاد بدشان مي‌آيد و تمايلي به اين‌كه اشتباهاتشان گفته شود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ساير گروه‌هاي اجتماعي در رويارويي با مخالفان خود كم‌تر حاضر به گذشت و عفو بوده‌اند و در مجموع هم‌چون ديگران قدرت برايشان لذت‌بخش است و حاضر نبوده‌اند به سهولت آن را كنار بزنند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القاي نقدناپذيري روحانيت و اين‌كه مدعي قداست و برخورداري از يك مقام ماورايي هستند، امري غير وجيه و استنادي ناشايست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يك از سنن و سلوك عملي و حتّي نظري علماي دين نقدناپذيري نهفته شده است؟ با نگاهي غيرمغرضانه به سيره و روش آنها در عرصه‌هاي مختلف عملي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اين ادعا ثابت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بنا باشد اعتراض روحانيت به يك روند انحرافي در جامعه و يا نپذيرفتن نقدي نامستدل از جانب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نقدناپذيري روحانيت محسوب شود، شايد بتوان موطني براي كلام ايشان پيدا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 مانند ساير مردم، تعريف و تمجيد و تملق را مي‌پسندد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سواي آن‌كه چنين اوصافي را علي الاطلاق بر مردم بار كرده است كه اين خود خلاف مروت اخلاقي و اجتماعي است، خصوصاً از جانب كساني كه داعيه‌دار مردم‌سالاري و تحفظ بر كرامت مردم بوده و از نام مردم و با نام آنها، ارتزاق سياسي مي‌نمايند، علماي دين و روحانيت نيز از گيوتين اين اطلاق‌گويي‌هاي مغرضانه در امان نمانده‌اند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 در مجموع هم‌چون ديگران قدرت برايش لذت‌بخش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مصادرات ديگري است كه گوينده‌ي محترم در راستاي اهداف خويش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افراد غير متعهد در هر قشري، امري پذيرفتني است، امّا جريان آن به نحو موجبه‌ي كليه به همه‌ي افراد، امري غيرمنطقي و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ملاك ايشان در صحت اين استنادات، همين رويه باشد، بايد به ايشان خاطرنشان كرد، همين مشكل را با ابعاد وسيع‌تر در گرو‌ه‌هاي ديگر و خصوصاً داعيه‌داران روشن‌فكري كه عمدتاً در پي گل‌آلود كردن آب و اصطياد ماهي از آن هستند،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اين همه جنجال‌پراكني‌ها كه فضاي مطبوعات مملكت را به خود اختصاص داده و در راستاي پروژه‌ي اطمينان‌زدايي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است، به چه منظوري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كسب قدرت نيست؟ اين همه زد و بند سياسي و گروهي با انواع لطايف الحيل به منظور تضعيف و انحلال نظام جمهوري اسلامي چه معنايي دارد؟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خاتمه اموري را يادآور مي‌شود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افرادي غيرمتعهد و متحجر در سلك روحانيت، مجوز تضعيف و تخريب اين نهاد شريف نيست، چنان‌كه اين اصل در قشرهاي ديگر جامعه نيز جاري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اذعان به مشكلات اقتصادي و اجتماعي و ناكارآمدي در بعضي طرح‌ها و پروژه‌ها، شرط انصاف آن است كه در مقام داوري، به موفقيت‌ها و پيش‌رفت‌ها و از طرفي، موانع و مشكلات داخلي و خارجي موجود و عدم تعهد بعضي مسئولين در انجام وظيفه و نيز وجود عناصر نفاق در بخش‌هايي از نظام توجّه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84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48" o:detectmouseclick="t"/>
                <v:stroke color="#3465a4" joinstyle="round" endcap="flat"/>
                <w10:wrap type="none"/>
              </v:shape>
            </w:pict>
          </mc:Fallback>
        </mc:AlternateContent>
      </w:r>
      <w:bookmarkStart w:id="37" w:name="pg14792_139545"/>
    </w:p>
    <w:p>
      <w:pPr>
        <w:pStyle w:val="Heading2"/>
        <w:numPr>
          <w:ilvl w:val="1"/>
          <w:numId w:val="1"/>
        </w:numPr>
        <w:rPr/>
      </w:pPr>
      <w:bookmarkStart w:id="38" w:name="__RefHeading___Toc1788153_730472459"/>
      <w:bookmarkStart w:id="39" w:name="_Toc15"/>
      <w:bookmarkEnd w:id="37"/>
      <w:bookmarkEnd w:id="38"/>
      <w:r>
        <w:rPr>
          <w:rtl w:val="true"/>
        </w:rPr>
        <w:t>مقاله‌ي مورد نقد</w:t>
      </w:r>
      <w:r>
        <w:rPr>
          <w:rtl w:val="true"/>
        </w:rPr>
        <w:t xml:space="preserve">: </w:t>
      </w:r>
      <w:r>
        <w:rPr>
          <w:rtl w:val="true"/>
        </w:rPr>
        <w:t>دين و دولت در انديشه‌ي شريعتي</w:t>
      </w:r>
      <w:bookmarkEnd w:id="39"/>
    </w:p>
    <w:p>
      <w:pPr>
        <w:pStyle w:val="Heading3"/>
        <w:numPr>
          <w:ilvl w:val="2"/>
          <w:numId w:val="1"/>
        </w:numPr>
        <w:rPr/>
      </w:pPr>
      <w:bookmarkStart w:id="40" w:name="__RefHeading___Toc1788155_730472459"/>
      <w:bookmarkStart w:id="41" w:name="_Toc16"/>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دين و دولت در انديشه‌ي شريعتي</w:t>
      </w:r>
      <w:r>
        <w:rPr>
          <w:rStyle w:val="FootnoteAnchor"/>
          <w:rtl w:val="true"/>
        </w:rPr>
        <w:footnoteReference w:id="47"/>
      </w:r>
    </w:p>
    <w:p>
      <w:pPr>
        <w:pStyle w:val="Heading3"/>
        <w:numPr>
          <w:ilvl w:val="2"/>
          <w:numId w:val="1"/>
        </w:numPr>
        <w:rPr/>
      </w:pPr>
      <w:bookmarkStart w:id="42" w:name="__RefHeading___Toc1788157_730472459"/>
      <w:bookmarkStart w:id="43" w:name="_Toc17"/>
      <w:bookmarkEnd w:id="42"/>
      <w:r>
        <w:rPr>
          <w:rtl w:val="true"/>
        </w:rPr>
        <w:t>چكيده</w:t>
      </w:r>
      <w:r>
        <w:rPr>
          <w:rtl w:val="true"/>
        </w:rPr>
        <w:t>:</w:t>
      </w:r>
      <w:bookmarkEnd w:id="43"/>
    </w:p>
    <w:p>
      <w:pPr>
        <w:pStyle w:val="BookText"/>
        <w:rPr/>
      </w:pPr>
      <w:r>
        <w:rPr>
          <w:rFonts w:ascii="Amiri" w:hAnsi="Amiri" w:eastAsia="Amiri" w:cs="Amiri"/>
          <w:color w:val="111111"/>
          <w:sz w:val="28"/>
          <w:sz w:val="28"/>
          <w:szCs w:val="28"/>
          <w:rtl w:val="true"/>
          <w:lang w:bidi="ar-SA"/>
        </w:rPr>
        <w:t>نويسنده در مقاله‌ي خود با انتقاد از برخي اصول فقهي لايتغير دين و دولت و انديشه‌ي شريعتي اظهار مي‌دارد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دخالت در امور سياسي به معناي تشكيل حكومت و پياده كردن اسلام نيست، بلكه به معناي امر به معروف و نهي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دخالت در سياست برمي‌آيد، ولي تشكيل حكومت، آن هم حكومت فقهي كه ابعادش روشن نيست و با دنياي امروزي سازگار نشده، دشواري‌هايي را به همراه داشته و با زيان‌هايي براي اصل دين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مدينه‌ي فاضله‌ي اسلامي، توسط صالحان و فقها در ذهن قابل تصور است؛ امّا بيش‌تر اتوپياست و با تاريخ تطبيق نمي‌كند و تنها در عصر ظهور، قابل تحقق است، نه در عصر غيبت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788159_730472459"/>
      <w:bookmarkStart w:id="45" w:name="_Toc18"/>
      <w:bookmarkEnd w:id="44"/>
      <w:r>
        <w:rPr>
          <w:rtl w:val="true"/>
        </w:rPr>
        <w:t>نقد و بررسي</w:t>
      </w:r>
      <w:r>
        <w:rPr>
          <w:rtl w:val="true"/>
        </w:rPr>
        <w:t xml:space="preserve">: </w:t>
      </w:r>
      <w:r>
        <w:rPr>
          <w:rtl w:val="true"/>
        </w:rPr>
        <w:t>دين و دولت در شريعت ناب محمدي</w:t>
      </w:r>
      <w:bookmarkStart w:id="46" w:name="pg14792_139546"/>
      <w:bookmarkEnd w:id="45"/>
    </w:p>
    <w:p>
      <w:pPr>
        <w:pStyle w:val="BookText"/>
        <w:rPr/>
      </w:pPr>
      <w:bookmarkEnd w:id="46"/>
      <w:r>
        <w:rPr>
          <w:rFonts w:ascii="Amiri" w:hAnsi="Amiri" w:eastAsia="Amiri" w:cs="Amiri"/>
          <w:color w:val="111111"/>
          <w:sz w:val="28"/>
          <w:sz w:val="28"/>
          <w:szCs w:val="28"/>
          <w:rtl w:val="true"/>
          <w:lang w:bidi="ar-SA"/>
        </w:rPr>
        <w:t>احمد شجاعي</w:t>
      </w:r>
    </w:p>
    <w:p>
      <w:pPr>
        <w:pStyle w:val="BookText"/>
        <w:rPr/>
      </w:pPr>
      <w:r>
        <w:rPr>
          <w:rFonts w:ascii="IRNazanin" w:hAnsi="IRNazanin" w:eastAsia="IRNazanin"/>
          <w:color w:val="111111"/>
          <w:sz w:val="28"/>
          <w:sz w:val="28"/>
          <w:szCs w:val="28"/>
          <w:rtl w:val="true"/>
          <w:lang w:bidi="fa-IR"/>
        </w:rPr>
        <w:t>مقاله‌ي دين و دولت در انديشه‌ي شريعتي شامل مطالبي قابل تبيين و نقد مي‌باشد كه در دو بخش به بررسي آن‌ها مي‌پردازيم</w:t>
      </w:r>
      <w:r>
        <w:rPr>
          <w:rFonts w:eastAsia="IRNazanin" w:cs="IRNazanin"/>
          <w:color w:val="111111"/>
          <w:sz w:val="28"/>
          <w:szCs w:val="28"/>
          <w:rtl w:val="true"/>
          <w:lang w:bidi="fa-IR"/>
        </w:rPr>
        <w:t>:</w:t>
      </w:r>
    </w:p>
    <w:p>
      <w:pPr>
        <w:pStyle w:val="Heading3"/>
        <w:numPr>
          <w:ilvl w:val="2"/>
          <w:numId w:val="1"/>
        </w:numPr>
        <w:rPr/>
      </w:pPr>
      <w:bookmarkStart w:id="47" w:name="__RefHeading___Toc1788161_730472459"/>
      <w:bookmarkStart w:id="48" w:name="_Toc19"/>
      <w:bookmarkEnd w:id="47"/>
      <w:r>
        <w:rPr>
          <w:rtl w:val="true"/>
        </w:rPr>
        <w:t>بخش اول، عدم جدايي دين از حكومت</w:t>
      </w:r>
      <w:bookmarkEnd w:id="48"/>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بخشي از اين مقاله اظهار مي‌دارد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دخالت در امور سياسي به معناي تشكيل حكومت و پياده كردن اسلام نيست، بلكه به معناي امر به معروف و نهي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دخالت در سياست بر مي‌آيد، ولي تشكيل حكومت، آن هم حكومت فقهي كه ابعادش روشن نيست و با دنياي امروزي سازگار نشده دشواري‌هايي را به همراه داشته و با زيان‌هايي براي اصل دين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اصل بحث لازم است به معرفتي از دين، هر چند مختصر، نايل شويم، تا رابطه‌ي دقيق آن با حكومت به خوبي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تعاريف گوناگوني در حوزه‌ي دين‌شناسي براي دين ارائه شده است، لكن غرض اصلي از دين در بحث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عنوان اولين منبع ديني و غني‌ترين آن، دين را تعريف و تبيين كرده است؛ چنان‌كه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الدين عندا لله الاسلام؛ همانا دين نزد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طباطبايي در ذيل همين آيه‌ي شريفه مي‌فرمايد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مراد از دين همانا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اسلامي كه عبارت از تسليم شدن در برابر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حق در مقام اعتقاد و حق در مقام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هم ايشان در جاي ديگري درباره‌ي تعريف دين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روش مخصوصي است در زندگي كه صلاح دنيا را به طوري كه موافق كمال اخروي و حيات دايمي حقيقي باشد تأمين مي‌نمايد؛ پس در شريعت بايد قانون‌هايي وجود داشته باشد كه روش زندگاني را روشن سازد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شهيد مطهري نيز درباره‌ي حقيقت دين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حقيقت دين داراي ماهيتي است كه بهترين معرف آن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بنابراين، مي‌توان گفت كه دين برنامه و پاسخي براي نيازهاي واقعي انسان در جميع شئون زندگي در تمامي زمان‌ها و مكان‌هاست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تشريع دين چيست؟ و آيا اين هدف بدون تشكيل حكومت قابل وصول است؟ خداوند در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ما رسولان خود را با دلايل روشن فرستاديم و با آنها كتاب و ميزان نازل كرديم، تا مردم به عدالت قيام كنند</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آغاز سوره‌ي ابراهيم مي‌فرمايد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أَنْزَلْناهُ إِلَيْكَ لِتُخْرِجَ النَّاسَ مِنَ الظُّلُماتِ إِلَى النُّورِ؛</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قرآن كتابي است كه ما به سوي تو فرو فرستاديم، تا مردم را از تاريكي‌ها به سوي نور خارج 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اساسي‌ترين هدف انبيا و كتاب‌هاي آسماني قيام انسان‌ها به عدل و در نهايت، وصول آنها به قله‌هاي نوراني كمال و تعالي و تقدس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اين‌كه خطاب قرآن در هر دو آيه‌ي شريفه همه‌ي آحاد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تمامي ملل در سراسر عالم است، كاملاً واضح است كه چنين هدف عظيمي بدون ايجاد يك سيستم اجتماعي و تشكيل حكومت تحقق‌پذير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بررسي احكام سياسي، اجتماعي و اقتصادي اسلام گوياي اين مطلب است كه بدون تشكيل حكومت ديني تحقق اين احكام امكان‌پذير نيست؛ از جمله‌ي اين احكام، حدود و تعزيرات الهي است كه از احكام ثابت اسلام بوده و تبديل‌پذير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مطلب ديگري ثابت مي‌شود و آن نظام قضا در اسلام است، و چون قضا در همه‌ي مشاجره‌هاي اقتصادي و سياسي و نظامي و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دريايي، فضايي، زميني، داخلي و خارجي حضور دارد، لازمه‌ي عملي شدن قضاي اسلامي، تشكيل حكومت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بسياري از احكام از قبيل ديات و حدود و قصاص، كه بايد با نظر حاكم اسلامي اجرا شود، بدون برقراري يك تشكيلات حكومتي تحقق نمي‌يابد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يكي ديگر از اين احكام كه بدون ايجاد حكومت قابل اجرا نيست، مسئله‌ي دفاع ملي و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حَتَّى لا تَكُونَ فِتْنَةٌ وَ يَكُونَ الدِّينُ لله؛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 آنها پيكار كنيد تا فتنه باقي نماند و دين مخصوص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براساس اين آيه براي پاس‌داري از اصول و ارزش‌هاي الهي و انساني و برچيده شدن فتنه از عرصه‌ي حيات بشريت، دستور مبارزه با فتنه انگيزان دوران را صادر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مصدر حاكميّت جامعه، اشخاصي باشند كه فتنه گري و چپاول و دين‌ستيزي را سرلوحه‌ي كار خود قرار داده باشند، آيا در چنين فضاي خفقان و تاريكي، انسان‌ها حتّي فرصت نفس كشيدن را خواهند داشت؟</w:t>
      </w:r>
    </w:p>
    <w:p>
      <w:pPr>
        <w:pStyle w:val="BookText"/>
        <w:rPr/>
      </w:pPr>
      <w:r>
        <w:rPr>
          <w:rFonts w:ascii="Amiri" w:hAnsi="Amiri" w:eastAsia="Amiri" w:cs="Amiri"/>
          <w:color w:val="111111"/>
          <w:sz w:val="28"/>
          <w:sz w:val="28"/>
          <w:szCs w:val="28"/>
          <w:rtl w:val="true"/>
          <w:lang w:bidi="ar-SA"/>
        </w:rPr>
        <w:t xml:space="preserve">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تمسك به آيه‌ي شريفه‌ي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قُوَّه؛</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توان داريد براي مبارزه با آنها فراهم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دستور مي‌دهد كه تا حدّ امكان نيرومند و آماده باشيد تا دشمنان نتوانند به شما ظلم و تجاوز كنند، ما متحد و نيرومند و آماده نبوديم كه دست‌خوش تجاوزات بيگانه شده و مي‌شويم و ظلم مي‌بينيم</w:t>
      </w:r>
      <w:r>
        <w:rPr>
          <w:rFonts w:eastAsia="IRNazanin" w:cs="IRNazanin"/>
          <w:color w:val="111111"/>
          <w:sz w:val="28"/>
          <w:szCs w:val="28"/>
          <w:rtl w:val="true"/>
          <w:lang w:bidi="fa-IR"/>
        </w:rPr>
        <w:t>.</w:t>
      </w:r>
      <w:r>
        <w:rPr>
          <w:rStyle w:val="FootnoteAnchor"/>
          <w:rtl w:val="true"/>
        </w:rPr>
        <w:footnoteReference w:id="5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گوهر دين، احكام و رسالت ديني و اين‌كه هرگز جامعيّت احكام و اهداف ديني بدون تشكيل حكومت جامه‌ي عمل </w:t>
      </w:r>
      <w:bookmarkStart w:id="49" w:name="pg14792_139550"/>
    </w:p>
    <w:p>
      <w:pPr>
        <w:pStyle w:val="BookText"/>
        <w:rPr/>
      </w:pPr>
      <w:bookmarkEnd w:id="49"/>
      <w:r>
        <w:rPr>
          <w:rFonts w:ascii="IRNazanin" w:hAnsi="IRNazanin" w:eastAsia="IRNazanin"/>
          <w:color w:val="111111"/>
          <w:sz w:val="28"/>
          <w:sz w:val="28"/>
          <w:szCs w:val="28"/>
          <w:rtl w:val="true"/>
          <w:lang w:bidi="fa-IR"/>
        </w:rPr>
        <w:t xml:space="preserve">نخواهد پوشيد، بسياري از مشكلات و شبهاتي كه گريبان طراح و نويسنده‌ي محترم مقاله را گرفته است برطرف خواهد شد؛ از جمله‌ي آنها اين‌كه ايشان دخالت در امور سياسي 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كرده است</w:t>
      </w:r>
      <w:r>
        <w:rPr>
          <w:rFonts w:eastAsia="IRNazanin" w:cs="IRNazanin"/>
          <w:color w:val="111111"/>
          <w:sz w:val="28"/>
          <w:szCs w:val="28"/>
          <w:rtl w:val="true"/>
          <w:lang w:bidi="fa-IR"/>
        </w:rPr>
        <w:t>!</w:t>
      </w:r>
    </w:p>
    <w:p>
      <w:pPr>
        <w:pStyle w:val="Heading3"/>
        <w:numPr>
          <w:ilvl w:val="2"/>
          <w:numId w:val="1"/>
        </w:numPr>
        <w:rPr/>
      </w:pPr>
      <w:bookmarkStart w:id="50" w:name="__RefHeading___Toc1788163_730472459"/>
      <w:bookmarkStart w:id="51" w:name="_Toc20"/>
      <w:bookmarkEnd w:id="50"/>
      <w:r>
        <w:rPr>
          <w:rtl w:val="true"/>
        </w:rPr>
        <w:t>نقد و بررسي</w:t>
      </w:r>
      <w:bookmarkEnd w:id="5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ذيل اين بيان با هم در تناقض آشكار است، به دليل اين‌كه اگر معتقد به پياده نشدن اسلام باشيم، چطور مي‌توانيم امر به 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اهم واجبات اسلامي است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گفته شود كه ما اساساً اسلام 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مي‌دانيم و لكن چون اسلام، حكومت ندارد، وجوب مرحله‌ي نهايي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كه هر چند وجوب امر به معروف و نهي از منكر مشروط به عدّه‌اي از شرايط است، لكن اين شرايط تحصيلي است نه حصولي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معني كه انسان‌ها موظف‌اند اين شرايط را ايجاد كنند نه اين‌كه دست روي دست گذاشته، نظاره‌گر رويدادهاي تلخ دوران باشند؛ بنابراين، چون تحقّق مرتبه‌ي نهايي امر به معروف منوط به تشكيل حكومت است، وجوب امر به معروف خودش اقتضا مي‌كند كه تحصيل حكومت بر مسلمانان واجب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نهي از منكر در اسلام از مهم‌ترين فرايض الهي شناخته شده و داراي مراتب گوناگون و جامعيتي تمام عيار است، به قدري كه مي‌توان گفت در اين فريضه تمام اسلام نهفته است؛ چرا كه </w:t>
      </w:r>
    </w:p>
    <w:p>
      <w:pPr>
        <w:pStyle w:val="BookText"/>
        <w:rPr/>
      </w:pPr>
      <w:r>
        <w:rPr>
          <w:rFonts w:ascii="IRNazanin" w:hAnsi="IRNazanin" w:eastAsia="IRNazanin"/>
          <w:color w:val="111111"/>
          <w:sz w:val="28"/>
          <w:sz w:val="28"/>
          <w:szCs w:val="28"/>
          <w:rtl w:val="true"/>
          <w:lang w:bidi="fa-IR"/>
        </w:rPr>
        <w:t xml:space="preserve">تمام خوبي‌ها و هنجارهاي اعتقادي و اخلاقي را مي‌توان در حوزه‌ي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و همگان را بدان امر نمود و تمام زشتي‌ها و ناهنجاري‌هاي اعتقادي و عملي را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و همگان را از آن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كارهاي نيكو و جهاد در راه خدا در برابر امر به معروف و نهي از منكر همانند قطره‌اي بر درياي مواج و پهناور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توسعه‌ي ديگري در اين واجب مهم ديني از حيث مراتب اجرايي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فريضه‌ي اساسي از مرتبه‌ي قلبي شروع شده و از مراحل لساني گذر كرده و در مرتبه‌ي نهايي به اقدامات عملي منتهي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هر انسان خردمند و فرزانه‌اي در مواجهه با هر معروف و منكري موظف است كه اوّلاً خود از حيث درون و بيرون به رعايت آن ملتزم باشد و ثانياً ديگران را نيز بر اقامه‌ي آن دعوت كند؛ بنابراين، وجوب اين فريضه و ضرورت اجراي مراحل مختلف آن خود دليل بر ضرورت ايجاد يك پايگاه مقتدر و حاكميّت اسلامي است، تا بتوان در پرتو آن با كساني كه بساط منكرات را پهن كرده و كانون‌هاي هنجارها و ارزش‌هاي الهي را به تعطيلي كشانده‌اند، بر خورد نمود و دست آنان را از سلطه‌ي بر جان و مال مردم و جامعه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معروف و نهي از منكر دعوت كردن به اسلام است همراه با مبارزه‌ي با طاغوت‌ها و كارهاي زشت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اين يعني تشكيل حكومت اسلامي؛ چرا كه بارزترين شكل طغيان و طاغوت‌منِشي را مي‌توان در ديكتاتوري بين‌المللي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چه كسي در گردن‌كلفتي و قلدري و سلطه‌ي جهنمي استكبار به ويژه آمريكا بر ساير ملل و كشورهاي جهان سوّم به خود شك و ترديد راه مي‌دهد؟</w:t>
      </w:r>
    </w:p>
    <w:p>
      <w:pPr>
        <w:pStyle w:val="BookText"/>
        <w:rPr/>
      </w:pPr>
      <w:r>
        <w:rPr>
          <w:rFonts w:ascii="IRNazanin" w:hAnsi="IRNazanin" w:eastAsia="IRNazanin"/>
          <w:color w:val="111111"/>
          <w:sz w:val="28"/>
          <w:sz w:val="28"/>
          <w:szCs w:val="28"/>
          <w:rtl w:val="true"/>
          <w:lang w:bidi="fa-IR"/>
        </w:rPr>
        <w:t>آيا افراد جامعه و كشورهاي تحت ظلم و ستم وظيفه ندارند در مقابل اين همه بيدادگري لجام گسيخته فرياد كنند؟ و آيا مبارزه با اين توحّش مدرن در عصر حاضر بدون ايجاد حكومت و اقتدار ملي و ديني امكان‌پذير است؟ و سؤال آخر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وظيفه‌ي روشن‌فكري اين‌چنين ايجاب مي‌كند كه با طرح واژه‌هايي چون دموكراسي و جامعه‌ي مدني و آزادي غربي و ده‌ها عنوان و اصطلاح فريبنده‌ي ديگر بساط سلطه‌ي اربابان خود را در ميان ملل و كشورهاي رنج‌ديده پهن كرده، با بيان جدايي دين از سياست، و سياست از حكومت بيش از پيش مايه‌ي سقوط و نابودي جامعه‌ها را فراهم آورند؟ طرح اين گونه مسائل نه تنها نشانه‌ي روشن‌فكري نيست، بلكه خود دليل بر كودن‌فكري و غلطيدن در دام تحجّر مدرن و سفسطه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اين‌كه ايشان اظهار مي‌دارد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فقهي ابعادش روشن نيست و با دنياي امروزي سازگار نشده و زيان‌ها و دشواري‌هايي را به همراه داشته است، در پاسخ بايد گفت كه </w:t>
      </w:r>
    </w:p>
    <w:p>
      <w:pPr>
        <w:pStyle w:val="BookText"/>
        <w:rPr/>
      </w:pPr>
      <w:r>
        <w:rPr>
          <w:rFonts w:ascii="IRNazanin" w:hAnsi="IRNazanin" w:eastAsia="IRNazanin"/>
          <w:color w:val="111111"/>
          <w:sz w:val="28"/>
          <w:sz w:val="28"/>
          <w:szCs w:val="28"/>
          <w:rtl w:val="true"/>
          <w:lang w:bidi="fa-IR"/>
        </w:rPr>
        <w:t>قلمرو فقه افعال مكلّفين است، و تمامي زواياي رفتارهاي قولي و فعلي، ظاهري و باطني، فردي و جمعي و دنيوي و اخروي را شامل مي‌شود؛ و اين پيوستگي رفتارهاي انسان‌ها با احكام فقهي ناشي از اتحاد و پيوستگي دنيا با آخرت، ملك با ملكوت، تن و روح، و رفتارهاي آدمي با شكل‌گيري شخصيت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طوري كه دنيا مزرعه‌ي آخرت است، معناي واقعي اين بيان اين است كه تمامي رفتارهاي آدمي مزرعه‌ي شخصيت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افعال و رفتار انسان‌ها تحت تدبير و تربيت فقه اسلامي شكل گرفته باشد، چنين انساني به سيادت و خلافت الهي در دنيا و آخرت نايل مي‌شود؛ ولي اگر درون و برون انساني بخواهد بدون تدبير فقه الهي رشد كند،همانند رشد علف‌هاي هرزه و مسمومي خواهد بود كه منشأ بدبختي و فلاكت براي خود و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جامعيت فقه اسلامي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در نظر مجتهد واقعي فلسفه‌ي عملي تمامي فقه در تمامي زواياي زندگي بشريت است، حكومت نشان دهنده‌ي جنبه‌ي عملي فقه در برخورد با تمامي معضلات اجتماعي و سياسي و نظامي و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تئوري واقعي و كامل اداره‌ي انسان و اجتماع از گهواره تا گور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اين بيان روشن مي‌شود كه اگر سخن از سازگاري است، بايد دنياي تاريك و غبارآلود غرب، خود را با پيام الهي و فقه ديني سازگار كند، تا امروز بشريت از دشواري‌هاي وحشتناك و اضطراب‌هاي سهمگيني </w:t>
      </w:r>
      <w:bookmarkStart w:id="52" w:name="pg14792_139554"/>
    </w:p>
    <w:p>
      <w:pPr>
        <w:pStyle w:val="BookText"/>
        <w:rPr/>
      </w:pPr>
      <w:bookmarkEnd w:id="52"/>
      <w:r>
        <w:rPr>
          <w:rFonts w:ascii="IRNazanin" w:hAnsi="IRNazanin" w:eastAsia="IRNazanin"/>
          <w:color w:val="111111"/>
          <w:sz w:val="28"/>
          <w:sz w:val="28"/>
          <w:szCs w:val="28"/>
          <w:rtl w:val="true"/>
          <w:lang w:bidi="fa-IR"/>
        </w:rPr>
        <w:t>كه از رفتارهاي آتش‌افروزان غربي و غرب‌زدگان، دامن‌گير دين و دنيايش شده است،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بخش ديگري از اين مقاله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بعد از خدا بيش از هر چيز به ناس يا مردم خطاب ارجاع مي‌شود؛ به طوري كه دكتر شريعتي به خود اجازه داده است بگويد در همه جا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w:t>
      </w:r>
      <w:r>
        <w:rPr>
          <w:rFonts w:eastAsia="IRNazanin" w:cs="IRNazanin"/>
          <w:color w:val="111111"/>
          <w:sz w:val="28"/>
          <w:szCs w:val="28"/>
          <w:rtl w:val="true"/>
          <w:lang w:bidi="fa-IR"/>
        </w:rPr>
        <w:t>.</w:t>
      </w:r>
    </w:p>
    <w:p>
      <w:pPr>
        <w:pStyle w:val="Heading3"/>
        <w:numPr>
          <w:ilvl w:val="2"/>
          <w:numId w:val="1"/>
        </w:numPr>
        <w:rPr/>
      </w:pPr>
      <w:bookmarkStart w:id="53" w:name="__RefHeading___Toc1788165_730472459"/>
      <w:bookmarkStart w:id="54" w:name="_Toc21"/>
      <w:bookmarkEnd w:id="53"/>
      <w:r>
        <w:rPr>
          <w:rtl w:val="true"/>
        </w:rPr>
        <w:t>نقد و بررسي</w:t>
      </w:r>
      <w:bookmarkEnd w:id="54"/>
    </w:p>
    <w:p>
      <w:pPr>
        <w:pStyle w:val="BookText"/>
        <w:rPr/>
      </w:pPr>
      <w:r>
        <w:rPr>
          <w:rFonts w:ascii="IRNazanin" w:hAnsi="IRNazanin" w:eastAsia="IRNazanin"/>
          <w:color w:val="111111"/>
          <w:sz w:val="28"/>
          <w:sz w:val="28"/>
          <w:szCs w:val="28"/>
          <w:rtl w:val="true"/>
          <w:lang w:bidi="fa-IR"/>
        </w:rPr>
        <w:t>چنانكه بيان شد مهم‌ترين رسالت دين الهي، تكامل و تعالي انسان‌ها به سوي سعادت حقيقي و نوراني شدن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بيش‌ترين خطاب خداوند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مهم اگر بخواهد دليل بر چيزي باشد، دليل بر اين است كه مردم به ديده‌ي اهتمام و دقت به اين خطاب‌ها نگاه كنند، و تكليف الهي خويش را از اين خطاب‌ها باز شناسند و بدان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توهم شود فراواني اين خطاب‌ها مردم را هم‌سنگ خدا قرار داده است؛ لذا مردم نيز رأي و نظرشان همانند رأي و نظر خدا، ميزان حق و معيار صدق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جناب دكتر شريعتي مبتلا به چنين توهّم باطل و بي‌اساسي شده، خود گواه جهل و غفلت ايشان نسبت به مباني ديني و مفاهيم عميق قرآني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تشكيل حكومت ديني در عصر غيبت</w:t>
      </w:r>
    </w:p>
    <w:p>
      <w:pPr>
        <w:pStyle w:val="BookText"/>
        <w:rPr/>
      </w:pPr>
      <w:r>
        <w:rPr>
          <w:rFonts w:ascii="IRNazanin" w:hAnsi="IRNazanin" w:eastAsia="IRNazanin"/>
          <w:color w:val="111111"/>
          <w:sz w:val="28"/>
          <w:sz w:val="28"/>
          <w:szCs w:val="28"/>
          <w:rtl w:val="true"/>
          <w:lang w:bidi="fa-IR"/>
        </w:rPr>
        <w:t>نويسنده‌ي مقاله در بخشي از گفتارش اظهار مي‌دارد كه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مدينه‌ي فاضله‌ي اسلامي توسط صالحان و فقها در ذهن قابل تصور است؛ امّا بيش‌تر اتوپياست و با تاريخ تطبيق نمي‌كند و تنها در عصر ظهور قابل تحقق است نه در عصر غيبت</w:t>
      </w:r>
      <w:r>
        <w:rPr>
          <w:rFonts w:eastAsia="IRNazanin" w:cs="IRNazanin"/>
          <w:color w:val="111111"/>
          <w:sz w:val="28"/>
          <w:szCs w:val="28"/>
          <w:rtl w:val="true"/>
          <w:lang w:bidi="fa-IR"/>
        </w:rPr>
        <w:t xml:space="preserve">. </w:t>
      </w:r>
      <w:bookmarkStart w:id="55" w:name="pg14792_139555"/>
    </w:p>
    <w:p>
      <w:pPr>
        <w:pStyle w:val="Heading3"/>
        <w:numPr>
          <w:ilvl w:val="2"/>
          <w:numId w:val="1"/>
        </w:numPr>
        <w:rPr/>
      </w:pPr>
      <w:bookmarkStart w:id="56" w:name="__RefHeading___Toc1788167_730472459"/>
      <w:bookmarkStart w:id="57" w:name="_Toc22"/>
      <w:bookmarkEnd w:id="55"/>
      <w:bookmarkEnd w:id="56"/>
      <w:r>
        <w:rPr>
          <w:rtl w:val="true"/>
        </w:rPr>
        <w:t>نقد و بررسي</w:t>
      </w:r>
      <w:bookmarkEnd w:id="57"/>
    </w:p>
    <w:p>
      <w:pPr>
        <w:pStyle w:val="BookText"/>
        <w:rPr/>
      </w:pPr>
      <w:r>
        <w:rPr>
          <w:rFonts w:ascii="IRNazanin" w:hAnsi="IRNazanin" w:eastAsia="IRNazanin"/>
          <w:color w:val="111111"/>
          <w:sz w:val="28"/>
          <w:sz w:val="28"/>
          <w:szCs w:val="28"/>
          <w:rtl w:val="true"/>
          <w:lang w:bidi="fa-IR"/>
        </w:rPr>
        <w:t>اگر مقصود اين نوشتار آن است كه مدينه‌ي فاضله‌ي اسلامي كه در آن هيچ ظلمي صورت نگيرد و هيچ حقي پايمال نشود و همگان به وظايف الهي و انساني‌شان در جميع شئون زندگي عمل كنند، تا عصر ظهور هرگز تحقق پيدا نخواهد كرد، چنين مطلبي كاملاً صادق بوده و پيش از ديگران در آيات و روايت ديني به صراحت از آن خبر داده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مراد از ذهني بودن مدينه‌ي فاضله امتناع تحقق آن در عصر غيبت ولو به صورت ايجاب جزئي است، چنين پنداري صددرصد باطل و بي‌اساس است؛ به دليل اين‌كه اوّلاً تمام دلايلي كه ضرورت تشكيل حكومت را در عصر حضور معصوم بيان مي‌كند، در عصر غيبت نيز جريان دارد؛ مثل قيام به عدل انسان‌ها، اجراي حدود و قضاي الهي، دفاع از كيان اسلام و ميهن اسلامي، و ضرورت قيام مردم به امر معروف و نهي از منكر و صدها بلكه هزاران احكام فقهي و حقوقي و اخلاقي اسلام كه بدون سيستم حكومتي امكان تحقق ندارند و همه‌ي آنها براي سعادت و كمال بشريت تشريع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بايد در عصر غيبت، انسانيت انسان و كمال و سعادت او را منكر بشويم، يا اين‌كه با قبول جايگاه عظيم خلافت الهي انسان، ضرورت تشكيل حكومت ديني را براي نيل به سعادت و آرمان‌هاي انساني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نويسنده‌ي محترم در مواجهه با اين مشكل چه طرح مدرني را انديشيده است، بايستي از خود اوسؤال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ضرورت حكومت در تمامي دوران چه نيكو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بديهي است ضرورت اجراي احكام كه تشكيل حكومت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آورده، منحصر به زمان آن حضرت نيست، احكام اسلام محدود به زمان و مكاني نيست و تا ابد باقي و لازم الاجراست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هدف كه قوانين اسلام تعطيل‌پذير يا منحصر و محدود به زمان و مكاني است، برخلاف ضروريات اعتقادي اسلام است؛ بنابراين چون اجراي احكام پس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ابد ضرورت دارد، تشكيل حكومت و برقراري دستگاه اجرا و اداره ضرورت مي‌يابد و در زمان ما لازم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قطع‌نظر از همه‌ي اين‌ها سؤالي كه از نويسنده‌ي محترم بايد پرسيد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تا عصر ظهور، حكومت صالحان و فقها به تأخير بيفتد، ايشان، در اين دوران، مردم را به چه نوع حكومتي ارجاع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در مقابل حكومت صالحان، حكومت طالحان و طاغيان بوده است؛ و فلسفه‌ي اساسي مخالفت با حكومت ديني پيوسته همين بوده است كه حاكميّت ديني هرگز اجازه‌ي طغيان و فساد و فحشا را به فتنه‌انگيزان و مفسدان دوران نمي‌داده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روشن‌فكراني كه با طرح دموكراسي و جامعه‌ي مدني با حكومت ديني مخالفت مي‌كنند، هرگز دلشان به حال مردم و جامعه نسوخته است بلكه دلسوزي آنها بدان جهت بوده كه با حضور تمام عيار دين در جامعه بساط عيش و عشرتشان به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يكي از علّت‌هاي مهمّ غيبت آقا امام </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پتانسيل‌هاي لازم در افراد و جامعه براي حضور حضرتش مي‌باشد؛ كه اين مهم با تشكيل حكومت ديني و ايجاد بسترهاي هدايت و اصلاح افراد جامعه تا حدودي جبران و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 رواج فساد و بي‌بندوباري و عدم احساس مسئوليت، حضور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مقال را با بيان نوراني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به پايان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چنان‌كه شيعيان ما در راه ايفاي پيماني كه بر دوش دارند همدل مي‌شدند، ميمنت ملاقات ما از ايشان به تأخير نمي‌افتاد و سعادت ديدار ما زودتر نصيب آنان مي‌گشت؛ ديداري بر مبناي شناختي راستين و صداقتي از آنان نسبت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كه روي خوبت، از من چرا نهان است؟</w:t>
      </w:r>
    </w:p>
    <w:p>
      <w:pPr>
        <w:pStyle w:val="BookText"/>
        <w:rPr/>
      </w:pPr>
      <w:r>
        <w:rPr>
          <w:rFonts w:ascii="IRNazanin" w:hAnsi="IRNazanin" w:eastAsia="IRNazanin"/>
          <w:color w:val="111111"/>
          <w:sz w:val="28"/>
          <w:sz w:val="28"/>
          <w:szCs w:val="28"/>
          <w:rtl w:val="true"/>
          <w:lang w:bidi="fa-IR"/>
        </w:rPr>
        <w:t>گفتا تو خود حجابي، ورنه رُخَم عيان است</w:t>
      </w:r>
    </w:p>
    <w:p>
      <w:pPr>
        <w:pStyle w:val="BookText"/>
        <w:rPr/>
      </w:pPr>
      <w:r>
        <w:rPr>
          <w:rFonts w:ascii="IRNazanin" w:hAnsi="IRNazanin" w:eastAsia="IRNazanin"/>
          <w:color w:val="111111"/>
          <w:sz w:val="28"/>
          <w:sz w:val="28"/>
          <w:szCs w:val="28"/>
          <w:rtl w:val="true"/>
          <w:lang w:bidi="fa-IR"/>
        </w:rPr>
        <w:t>گفتم مرا غم تو، خوش‌تر زشادماني</w:t>
      </w:r>
    </w:p>
    <w:p>
      <w:pPr>
        <w:pStyle w:val="BookText"/>
        <w:rPr/>
      </w:pPr>
      <w:r>
        <w:rPr>
          <w:rFonts w:ascii="IRNazanin" w:hAnsi="IRNazanin" w:eastAsia="IRNazanin"/>
          <w:color w:val="111111"/>
          <w:sz w:val="28"/>
          <w:sz w:val="28"/>
          <w:szCs w:val="28"/>
          <w:rtl w:val="true"/>
          <w:lang w:bidi="fa-IR"/>
        </w:rPr>
        <w:t>گفتا كه در ره ما، غم نيز شادمان‌است</w:t>
      </w:r>
      <w:r>
        <w:rPr>
          <w:rStyle w:val="FootnoteAnchor"/>
          <w:rtl w:val="true"/>
        </w:rPr>
        <w:footnoteReference w:id="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بيان شد كه حقيقت دين براي هدايت فرد و جامعه به سوي عدل و رسيدن به كمال انسانيت در تمامي زمان‌ها تشريع شده است و دست‌يابي به اين هدف مهم و گسترده هرگز بدون تشكيل حكومت ديني ميسّر نيست؛ و ثانياً، همه‌ي علل و عواملي كه ايجاد و شكل‌گيري حكومت اسلامي را در عصر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تأكيد قرار مي‌دهد،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غيبت نيز جريان دارد؛ لذا تشكيل حكومت در عصر غيبت نيز ضرورتي اجتناب‌ناپذير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5" o:detectmouseclick="t"/>
                <v:stroke color="#3465a4" joinstyle="round" endcap="flat"/>
                <w10:wrap type="none"/>
              </v:shape>
            </w:pict>
          </mc:Fallback>
        </mc:AlternateContent>
      </w:r>
      <w:bookmarkStart w:id="58" w:name="pg14792_139560"/>
    </w:p>
    <w:p>
      <w:pPr>
        <w:pStyle w:val="Heading2"/>
        <w:numPr>
          <w:ilvl w:val="1"/>
          <w:numId w:val="1"/>
        </w:numPr>
        <w:rPr/>
      </w:pPr>
      <w:bookmarkStart w:id="59" w:name="__RefHeading___Toc1788169_730472459"/>
      <w:bookmarkStart w:id="60" w:name="_Toc23"/>
      <w:bookmarkEnd w:id="58"/>
      <w:bookmarkEnd w:id="59"/>
      <w:r>
        <w:rPr>
          <w:rtl w:val="true"/>
        </w:rPr>
        <w:t>مقاله‌ي مورد نقد</w:t>
      </w:r>
      <w:r>
        <w:rPr>
          <w:rtl w:val="true"/>
        </w:rPr>
        <w:t xml:space="preserve">: </w:t>
      </w:r>
      <w:r>
        <w:rPr>
          <w:rtl w:val="true"/>
        </w:rPr>
        <w:t>دوگانگي در حاكميت، دوگانگي در ساختار</w:t>
      </w:r>
      <w:bookmarkEnd w:id="60"/>
    </w:p>
    <w:p>
      <w:pPr>
        <w:pStyle w:val="Heading3"/>
        <w:numPr>
          <w:ilvl w:val="2"/>
          <w:numId w:val="1"/>
        </w:numPr>
        <w:rPr/>
      </w:pPr>
      <w:bookmarkStart w:id="61" w:name="__RefHeading___Toc1788171_730472459"/>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دوگانگي در حاكميت، دوگانگي در ساختار</w:t>
      </w:r>
      <w:r>
        <w:rPr>
          <w:rStyle w:val="FootnoteAnchor"/>
          <w:rtl w:val="true"/>
        </w:rPr>
        <w:footnoteReference w:id="63"/>
      </w:r>
    </w:p>
    <w:p>
      <w:pPr>
        <w:pStyle w:val="Heading3"/>
        <w:numPr>
          <w:ilvl w:val="2"/>
          <w:numId w:val="1"/>
        </w:numPr>
        <w:rPr/>
      </w:pPr>
      <w:bookmarkStart w:id="63" w:name="__RefHeading___Toc1788173_730472459"/>
      <w:bookmarkStart w:id="64" w:name="_Toc25"/>
      <w:bookmarkEnd w:id="63"/>
      <w:r>
        <w:rPr>
          <w:rtl w:val="true"/>
        </w:rPr>
        <w:t>چكيده</w:t>
      </w:r>
      <w:r>
        <w:rPr>
          <w:rtl w:val="true"/>
        </w:rPr>
        <w:t>:</w:t>
      </w:r>
      <w:bookmarkEnd w:id="64"/>
    </w:p>
    <w:p>
      <w:pPr>
        <w:pStyle w:val="BookText"/>
        <w:rPr/>
      </w:pPr>
      <w:r>
        <w:rPr>
          <w:rFonts w:ascii="IRNazanin" w:hAnsi="IRNazanin" w:eastAsia="IRNazanin"/>
          <w:color w:val="111111"/>
          <w:sz w:val="28"/>
          <w:sz w:val="28"/>
          <w:szCs w:val="28"/>
          <w:rtl w:val="true"/>
          <w:lang w:bidi="fa-IR"/>
        </w:rPr>
        <w:t>گوينده در چند محور به ايراد سخن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اوّل به بررسي دوگانگي در حاكميّت در قانون اساسي پرداخته، آن را باعث تناقض در حاكميّت دانسته است و همان را علّت اجرا نشدن قانون اساسي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محورهاي بعدي، گوينده به بحث درباره‌ي تعريف دموكراسي و رابطه‌ي آن با دين مي‌پردازد و با تضعيف ديدگاه محتوا بودن اسلام و شكل و قالب بودن جمهوريت، با نگاهي ابزاري به دين، به دموكراسي اصالت بخشيده، دليل خود را اين مي‌داند كه عصر دين سپري شده است؛ لذا از اسلام تفسيري به مقتضاي جايگاه دين در غرب عرضه مي‌كند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788175_730472459"/>
      <w:bookmarkStart w:id="66" w:name="_Toc26"/>
      <w:bookmarkEnd w:id="65"/>
      <w:r>
        <w:rPr>
          <w:rtl w:val="true"/>
        </w:rPr>
        <w:t>نقد و بررسي</w:t>
      </w:r>
      <w:r>
        <w:rPr>
          <w:rtl w:val="true"/>
        </w:rPr>
        <w:t>:</w:t>
      </w:r>
      <w:r>
        <w:rPr>
          <w:rtl w:val="true"/>
        </w:rPr>
        <w:t>نقد تفكّر دوگانگي در حاكميّت</w:t>
      </w:r>
      <w:bookmarkEnd w:id="66"/>
    </w:p>
    <w:p>
      <w:pPr>
        <w:pStyle w:val="BookText"/>
        <w:rPr/>
      </w:pPr>
      <w:r>
        <w:rPr>
          <w:rFonts w:ascii="IRNazanin" w:hAnsi="IRNazanin" w:eastAsia="IRNazanin"/>
          <w:color w:val="111111"/>
          <w:sz w:val="28"/>
          <w:sz w:val="28"/>
          <w:szCs w:val="28"/>
          <w:rtl w:val="true"/>
          <w:lang w:bidi="fa-IR"/>
        </w:rPr>
        <w:t>نقد تفكّر دوگانگي در حاكميّت</w:t>
      </w:r>
    </w:p>
    <w:p>
      <w:pPr>
        <w:pStyle w:val="BookText"/>
        <w:rPr/>
      </w:pPr>
      <w:r>
        <w:rPr>
          <w:rFonts w:ascii="Amiri" w:hAnsi="Amiri" w:eastAsia="Amiri" w:cs="Amiri"/>
          <w:color w:val="111111"/>
          <w:sz w:val="28"/>
          <w:sz w:val="28"/>
          <w:szCs w:val="28"/>
          <w:rtl w:val="true"/>
          <w:lang w:bidi="ar-SA"/>
        </w:rPr>
        <w:t>محمد جواد نوروزي</w:t>
      </w:r>
    </w:p>
    <w:p>
      <w:pPr>
        <w:pStyle w:val="BookText"/>
        <w:rPr/>
      </w:pPr>
      <w:r>
        <w:rPr>
          <w:rFonts w:ascii="IRNazanin" w:hAnsi="IRNazanin" w:eastAsia="IRNazanin"/>
          <w:color w:val="111111"/>
          <w:sz w:val="28"/>
          <w:sz w:val="28"/>
          <w:szCs w:val="28"/>
          <w:rtl w:val="true"/>
          <w:lang w:bidi="fa-IR"/>
        </w:rPr>
        <w:t xml:space="preserve">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مردم‌سالاري در جامعه‌ي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مورخه‌ي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برگزار گرديد، يكي از سخن‌رانان مطالبي را ايراد كرد كه جاي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كلي سخنان وي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در خلال سخن‌راني كوشيده است واژگان و اصطلاحاتي را به كار برد كه به لحاظ روش‌شناسي و تئوريك فاقد پشتوانه‌ي منطقي و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كاربرد اين واژگان تداعي‌كننده‌ي، سخنان بي‌پايه‌اي است كه چندي پيش رهبران امريكا در ارتباط با مسائل ايران متعرض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همگامي بيانگر آن است كه گويي اين افراد، توجيه‌گر سياست‌ها و اقدامات امريكايي‌ها در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سويي دم از مذاكره با امريكا مي‌زنند، و از سوي ديگر سياست‌ها و سخنان بي‌پايه و اساس رهبران امريكا را، به اصطلاح، در قالبي علمي و تئوريك عرضه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به برخي از اين اصطلاحات جعلي اشاره خواهيم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حاكميت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دوگانگي در حاكميت كه سخن‌ران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در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آن را علّت اجرا نشدن قانون اساسي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مي‌داند، مهم‌ترين محور سخن‌راني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امريكايي‌ها در شانتاژ تبليغي خود، از حاكميّت دوگانه در ايران سخن گفتند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تندرو اصلاح‌طلبي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درتئوريزه كردن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p>
    <w:p>
      <w:pPr>
        <w:pStyle w:val="BookText"/>
        <w:rPr/>
      </w:pPr>
      <w:r>
        <w:rPr>
          <w:rFonts w:ascii="IRNazanin" w:hAnsi="IRNazanin" w:eastAsia="IRNazanin"/>
          <w:color w:val="111111"/>
          <w:sz w:val="28"/>
          <w:sz w:val="28"/>
          <w:szCs w:val="28"/>
          <w:rtl w:val="true"/>
          <w:lang w:bidi="fa-IR"/>
        </w:rPr>
        <w:t>نشانه‌ي فقدان توليد و بازانديشي در جريان اصلاح طلبي از سويي و وابستگي آن به غرب و جريان‌هاي فكري وابسته در غرب از سوي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منظري كه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بنگريم، مي‌توانيم به سستي سخنان بي‌پايه‌ي سخن‌ران پي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ذكر سه نكته حايز اهميت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زاويه‌ي نگرش غربيان به حاكميّت بنگريم، بايد بگوييم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برني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نويسنده‌ي فرانسوي،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تبيين حاكميّت به ويژگي‌هايي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تجزيه‌ناپذيري، غيرقابل انتقال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حال جاي پرسش است كه با توجّه به ويژگي‌هاي مزبور، آيا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حاكميّت دوگانه قابل تصور است؟ آيا اصطلاح ياد شده، گامي در جهت شانتاژ تبليغي در راستاي تضعيف نظام 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 ديگر، از جهت كاربرد نيز حاكميّت دوگانه ممكن نيست؛ چرا كه حاكميّت در نظام جمهوري اسلامي در مراكز تصميم‌سازي متجلي مي‌گردد، و مهم‌ترين اركان تصميم‌سازي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تشخيص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امنيت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كه تصميمات كلان و سياست‌هاي كلي و به تعبير ديگر، استراتژي نظام را طراحي و تدوين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اركان ياد</w:t>
      </w:r>
    </w:p>
    <w:p>
      <w:pPr>
        <w:pStyle w:val="BookText"/>
        <w:rPr/>
      </w:pPr>
      <w:r>
        <w:rPr>
          <w:rFonts w:ascii="IRNazanin" w:hAnsi="IRNazanin" w:eastAsia="IRNazanin"/>
          <w:color w:val="111111"/>
          <w:sz w:val="28"/>
          <w:sz w:val="28"/>
          <w:szCs w:val="28"/>
          <w:rtl w:val="true"/>
          <w:lang w:bidi="fa-IR"/>
        </w:rPr>
        <w:t>شده، رييس جمهور و سران قوا مشاركت دارند؛ بنابراين، معنا ندارد كه از حاكميّت دوگانه و يا تناقض در حاكميّت سخني به ميان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منظر ديني به حاكميّت بنگريم به نتايج ديگري نيز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مباني اعتقادي اسلام، ذات حاكميّت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هستي از او آغاز و به سوي او كشيده مي‌شود و هيچ موجودي از دايره‌ي قدرتش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حاكميّت تكويني بر جهان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اَمْرُهُ إِذا أَرادَ شَيْئاً أَنْ يَقُولَ لَهُ كُنْ فَيَكُونُ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اعمال حاكميّت الهي، كه همان حاكميّت تشريعي است، به اطاعت مردم مسلمان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فقيه عادل محقق مي‌گردد؛ از اين رو، حاكميّت در قانون اساسي كه برگرفته از وحي و شريعت اسلامي مي‌باشد، يگانه و از آن خداوند است و هموست كه انسان‌ها را بر سرنوشت خود مسلط كرده، تا در راستاي خواست الهي كه همانا حاكميّت فقيه در عصر غيبت است، آن را محقّق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الاُمُورِ بيَدِالْعُلَماءِ بِاللهِ الأُمَناءِ‌عَلي حَلالِهِ وَ حَرامِهِ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چون موجودي مختار و آزاد است، بر سرنوشت خود مسلط است؛ و چون به خداوند ايمان دارد، سرنوشت خود را براساس مشيّت و خواست الهي رقم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انسان در قبال خداوند مستلزم اطاعت از خواسته‌هاي الهي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نتيجه، با توجّه به سه نكته‌ي فوق درباره‌ي حاكميّت، حاكميّت دوگانه و تعارض در حاكميّت را در فضايي مي‌توان به تصوير كشيد كه كساني بخواهند به ناحق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 كنند و براي به چالش كشاندن حاكميّت اسلامي، و بر پايه‌ي تحليل‌هاي ناروا، فضايي را ترسيم كنند كه در نهايت منجر به استحاله‌ي نظام گردد؛ به ديگر سخن، اگر تحول در يك جامعه را ناشي از تحول در مبناي مشروعيت و فرهنگ بپنداريم، هرگاه گروهي فرهنگِ حاكم جامعه‌اي را به چالش بكشانند، به 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فضا مي‌توان از تقابل خواسته‌هاي مردمي و حاكميّت سخن به ميان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 است كه اين امر تحليلي جامعه‌شناختي است و هيچ ارتباطي به قانون اساسي و حاكميّت در نظام جمهوري اسلامي ايران نداشته، از سوي ديگر خوابي تأويل نشدني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محور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درباره‌ي دموكراسي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سه تعريف از دموكراسي، يعني دموكراسي به مثابه ساختار، دموكراسي به عنوان فرهنگ و دموكراسي گفتماني اشاره مي‌كند و سپس به ارتباط آن با دين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توجّه به نكات ذيل ضروري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شكلي به دموكراسي و جمهوريت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باوريم، در اين رهيافت، دين اسلام اصالت دارد و دموكراسي يا جمهوريت يك شكل، ساختار و يا مدل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w:t>
      </w:r>
    </w:p>
    <w:p>
      <w:pPr>
        <w:pStyle w:val="BookText"/>
        <w:rPr/>
      </w:pPr>
      <w:r>
        <w:rPr>
          <w:rFonts w:ascii="IRNazanin" w:hAnsi="IRNazanin" w:eastAsia="IRNazanin"/>
          <w:color w:val="111111"/>
          <w:sz w:val="28"/>
          <w:sz w:val="28"/>
          <w:szCs w:val="28"/>
          <w:rtl w:val="true"/>
          <w:lang w:bidi="fa-IR"/>
        </w:rPr>
        <w:t>شهيد مطهري، منافاتي ميان اسلاميّت و جمهوريّت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محتوا و جمهوريت شكل و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و اصل حفظ محتواست و مي‌توان آن را در ساختارهاي متنوع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همايش در جهت تضعيف اين رهيافت، كه برپايه‌ي فقه جواهري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سخنران در تضعيف اين روي‌كرد به چند نكته اشاره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راستاي تضعيف اين نگرش،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گوينده در اين نگرش تفسيري ناروا از دين عرضه مي‌كند و مدعي مي‌گردد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مناسبات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يك مجموعه‌ي بسته‌ي فراتاريخي است، كه در مرحله‌اي بيان و تمام شده است؛ در حالي كه دين يك مجموعه‌ي بسته‌ي فراتاريخي نيست، بلكه چشمه‌سار زلالي است كه با بعثت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گرديده و در گذر تاريخي تا هم اينك ساري و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اصول ثابت دين، حاكي از ثبات گوهر دين و به اقتضاي نيازهاي ثابت بشر در صدر اسلام تنظيم گشته است، امّا در راستاي اعمال جاوادنگي دين و پاسخ‌گويي به نيازهاي متغير، كه ناشي از قطور زماني و مكاني است، عنصر اجتهاد در گفتمان شيعي طرح شده كه در هر زمان و براساس روش‌هاي متداول در بررسي‌هاي فقهي، پاسخ‌گوي نيازهاي زمانه است؛ از اين رو، در شرايط متغير قرن بيستم، با دخالت در </w:t>
      </w:r>
    </w:p>
    <w:p>
      <w:pPr>
        <w:pStyle w:val="BookText"/>
        <w:rPr/>
      </w:pPr>
      <w:r>
        <w:rPr>
          <w:rFonts w:ascii="Amiri" w:hAnsi="Amiri" w:eastAsia="Amiri" w:cs="Amiri"/>
          <w:color w:val="111111"/>
          <w:sz w:val="28"/>
          <w:sz w:val="28"/>
          <w:szCs w:val="28"/>
          <w:rtl w:val="true"/>
          <w:lang w:bidi="ar-SA"/>
        </w:rPr>
        <w:t xml:space="preserve">عنصر زمان و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مورد تأكيد 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قادر به اداره‌ي جامعه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بينش چون مسلمانان به اصالت دين پايبندند، اسلام مرجعيت دارد و مؤمنين رفتار فردي و جمعي خود را بر مبناي آن ارزيابي و تحليل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 است در اين روي‌كرد مسلمانان يا خود بايد اسلام‌شناس باشند و يا از اسلام‌شناسان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اسلام را فارغ از پيش‌داوري و دخالت اغراض، تحليل و تفسير مي‌كنند فراگيرند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طبيعي است با توجّه به اصالت دين و مرجعيت آن، مردم‌سالاري در چارچوب دين تحليل گردد و قلمرو مردم‌سالاري و شرايط و ويژگي‌هاي آن را اسلام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با توجّه به حاكميت انگاره‌ها و پيش‌فرض‌هاي فكر غربي، بر افكار و عقايدش، مي‌كوشد به نوعي در سنجش رابطه‌ي ميان دين و دموكراسي تأويلي از دين عرضه كند كه با دموكراسي و جمهوريت سازگاري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با اين اقدام، گوهر دين طرد و نگرشي ابزاري به دين شده، به دموكراسي، كه بر انگاره‌هاي فكر غربي استوار است، اصالت بخشيده مي‌شود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مي‌كوشد اسلام را در چارچوب نظريه‌ي گفتمان تحليل كند؛ از اين رو به ناروا و برخلاف اعتقادات مسلّم شيعه، دين را داراي يك غايت و ارزش نهايي مي‌بيند كه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نزول و تحقق كامل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گوينده امر تازه‌اي نيست، بلكه </w:t>
      </w:r>
    </w:p>
    <w:p>
      <w:pPr>
        <w:pStyle w:val="BookText"/>
        <w:rPr/>
      </w:pPr>
      <w:r>
        <w:rPr>
          <w:rFonts w:ascii="IRNazanin" w:hAnsi="IRNazanin" w:eastAsia="IRNazanin"/>
          <w:color w:val="111111"/>
          <w:sz w:val="28"/>
          <w:sz w:val="28"/>
          <w:szCs w:val="28"/>
          <w:rtl w:val="true"/>
          <w:lang w:bidi="fa-IR"/>
        </w:rPr>
        <w:t xml:space="preserve">نكته‌اي است كه پيش از وي برخي روشن‌فكران نيز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خلاصه‌ي سخن گوينده و اسلاف وي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دين سپري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جهان قرن بيستم، به تبع پيش‌رفت علم و عقل بشري، بايد دين را به مقتضاي علم جديد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نظريه‌ي گفتمان، ساختارهاي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تاريخيِ عصر ظهور، اقتضاي ديني تاريخي را داشته است؛ و اينك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اقتضاي رشد علم، عقل، صنعت و تكنولوژي، نيازمند يك روش‌شناسي هستيم كه فارغ از ساختارهاي مشروط و نازل تاريخي، فهم جديد از دين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نتيجه‌ي اين رويكرد به دين، سيّاليّت، نسبي‌گرايي، شك‌گرايي و كثرت‌گرايي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نگرش گفتماني به دين اسلام، به ناحق، خواهان تفسيري نو از دين و كشف افق‌هاي جديدي در دين به اقتضاي گسترش افق‌هاي تاريخي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گوينده به صراحت در ادامه بر تلاش غرب‌زدگان پيشين در تفسير دين و خاتميت در اسلام صحه گذاشته و به اين نكته اشاره مي‌كند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آن دوره‌ي تاريخي سخن گفته‌اند و اتمام پروسه‌ي غايت دين به عهده‌ي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نويسندگان پيشين كه چه بسا از روي ناآگاهي و يا غرض‌ورزي در اين ورطه قدم نهاده‌اند، مي‌توان اقبال لاهوري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تفسيري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به تعبير شهيد مطهري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ديانت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مي‌انجامد، آنجا كه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به اين فكر اساسي اسلام توجّه كنيم كه پس از اين ديگر وحيي نخواهد رسيد كه مايه‌ي محدوديت آدمي شود، بايستي كه ما، از لحاظ روحي، آزادترين مردمان روي زمين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نخستين كه تازه از قيد اسارت روحي آراي پيش از اسلام بيرون آمده بودند، در وضعي نبودند كه اهمّيّت واقعي اين فكر اساسي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شايسته است كه مسلمانان امروز وضع خود را بازشناسند و زندگي اجتماعي خود را در روشني اصول اساسي بنا كنند و از هدف اسلام كه تاكنون به صورت جزئي آشكار شده، آن دموكراسي مردمي را كه غرض نهايي اسلام است بيرون بياورند و به كامل كردن و گستردن آن بپردازند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يا دكتر علي شريعتي در اين 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مجموعه‌ي آنچه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واقعيتي است ثابت و علمي و لايتغيّر و اين علم ماست به اين واقعيت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برداشت و فهميدن و تفسير كردن و عمل و تبليغ كردنمان كه بايد به حسب تكامل تغيير بشر و اختلاف وضع نظام‌ها و دردها و نيازها تحول و تكامل پيدا كند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با تأويل گوهر دين در قالب نظريه‌ي گفتمان مي‌كوشد با تفسيري عصري از دين اسلام، كه سنخيتي با اسلام راستين ندارد، آشكارا آن را به نفع مدرنيسم تفسير كند و با دموكراسي هماهنگ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وي دموكراسي را نيز در چارچوب گفتمان تحليل مي‌كند و از آن دموكراسي در ساختار و فرايند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نتيجه مي‌گيرد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سوي ديگر، به زعم گوينده تحليل دين در قالب گفتمان موجب مي‌شود تحولاتي كه در سايه‌ي نهضت اصلاح ديني در غرب رخ داد، در اسلام نيز مجاز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با الهام از سخن لوتر و كالون و به مدد ديدگاه‌هاي حاكم در تحليل دين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تجربه‌ي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 فهم دين در انحصار فرد يا افراد خاصي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نهاد مرجعيت و اجتهاد به كناري نهاده مي‌شود، دين از حوزه‌ي عمومي و اجتماعي به امري فردي تنزّل مي‌يابد و فهم هر فرد حجت قلمداد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فردي قلمداد كردن دين، نگرش نسبي‌گرايانه به دين، عدم وجود قواعد و اصول ثابت در دين و كاستن قلمرو دين از عرصه‌ي حيات اجتماعي و انحصار آن در قلمر حيات خصوصي و طرد مرجعيت و قداست ديني، زمينه‌ي مناسب سازش ميان اسلام و دموكراسي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بدين‌سان دين اسلام با تفسير گفتماني در سايه دموكراسي با خضوع تسليم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نگرش گوينده و نگرش متفكران اسلامي در آن است كه در منظر گوينده دموكراسي مرجعيت نام دارد، چرا كه محصول عقل بشر در قرن بيستم است و هيچ انديشه‌اي، ولو دين اسلام، ياراي مقاومت در برابر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مرجعيت دموكراسي آن است كه هر انديشه‌اي مي‌بايست در برابر آن سر تعظيم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انديشه‌ي متفكران اسلامي كه در آن دين از اصالت و مرجعيت برخوردار بوده و دموكراسي با دين سنجيده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سخن‌ران محترم براي جمع ميان دموكراسي و اسلام، از اسلام تفسيري به مقتضاي جايگاه دين در غرب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تفسير سكولار از دين اسلام، عرضه مي‌كرد، خصوصي سازي در دين اسلام صورت مي‌گيرد و نهاد مرجعيت به كناري نهاده مي‌شود و تفسير هر فرد، به مقتضاي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خودكشيشي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مبناي عملي افراد قلمداد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تحول كثرت‌گرايي، شكاكيت و فقدان اصول ثابت، جاي‌گزين نگرش رايج در انديشه‌ي اسلامي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هيچ مسلماني بدان پايبند نيست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براي تفسير نارواي خود از اسلام در قالب گفتمان، كوشيده است اسلام را، در نگرشي سنّتي، به گونه‌اي وارونه و متحجرانه تبيين كند كه بتواند تفسير خود را موجّه جلوه دهد؛ يعني گويي اسلام يا با اين است، يا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تفسير از اسلام نادرست مي‌باشد و تفسير سومي از اسلام كه در تاريخ بر فراز و نشيب فقه شيعه همواره مبناي عملي عالمان راستين اسلام بوده، شاخصه‌ي دين اسلام است؛ يعني ديني كه، برخلاف سخن گوينده، به هيچ وجه متضمن نگاه مكانيكي به آن نيست، ضمن دارا بودن اصول ثابت، داراي بخش متغير به تناسب نيازهاي هر زمان و مكان است، آيين پوياست و نه ساكن و جامد، و به خاطر پويايي قادر به حل مسائل متغير است، بدون آن‌كه از اصول ثابت خود دست بشويد و دچار تأويل، گفتمان، كثرت‌گرايي، فردي شدن و در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طبيعي است در اين نگرش هيچ تناقضي </w:t>
      </w:r>
    </w:p>
    <w:p>
      <w:pPr>
        <w:pStyle w:val="BookText"/>
        <w:rPr/>
      </w:pPr>
      <w:r>
        <w:rPr>
          <w:rFonts w:ascii="IRNazanin" w:hAnsi="IRNazanin" w:eastAsia="IRNazanin"/>
          <w:color w:val="111111"/>
          <w:sz w:val="28"/>
          <w:sz w:val="28"/>
          <w:szCs w:val="28"/>
          <w:rtl w:val="true"/>
          <w:lang w:bidi="fa-IR"/>
        </w:rPr>
        <w:t>ميان اسلاميت و دموكراسي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دين گفتماني، دين مدني را در پي دارد، خواست مردم در آن اصالت مي‌يابد و دين نيز براساس خواست شهروندان تفسير مي‌گردد؛ و اين انديشه با آيات صريح قرآن كه خواست خداوند را مبناي قانونِ مشروعيت حاكم برمي‌شمرد، منافات دارد؛ آياتي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أَنْ تَكْرَهُوا شَيْئاً وَ هُوَ خَيْرٌ لَكُمْ؛</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چيزي را خوش نمي‌داريد و آن براي شما خوب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لَمْ يَحْكُمْ بِما أَنْزَلَ اللَّهُ فَأُولئِكَ هُمُ الْكافِرُونَ؛</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به موجب آنچه خدا نازل كرده داوري نكرده‌اند، آنان خود كافرانند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كساني كه ايمان آورده‌ايد، خدا را اطاعت كنيد و پيامبر و اولياي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بر مبناي آيات قرآني، مرجع حاكميّت سياسي، را قانون خداوند بدانيم، در اين صورت، براساس دلايل عقلي و نقلي، در عصر غيبت، فقيه عادل عهده‌دار مديريت جامعه‌ي اسلامي است؛ و اگر در مسائل شخصي تشخيص موضوع به افراد واگذار مي‌گردد، در مسائل سياسي و حكومتي مرجعِ تشخيصِ موضوع، فقيه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 ديگر، برخلاف ديدگاه گوينده، در حكومت اسلامي، مسائل به دو حوزه‌ي شرعي و عرفي تقسيم نمي‌گردد تا اولاً بوي تناقض از آن </w:t>
      </w:r>
    </w:p>
    <w:p>
      <w:pPr>
        <w:pStyle w:val="BookText"/>
        <w:rPr/>
      </w:pPr>
      <w:r>
        <w:rPr>
          <w:rFonts w:ascii="IRNazanin" w:hAnsi="IRNazanin" w:eastAsia="IRNazanin"/>
          <w:color w:val="111111"/>
          <w:sz w:val="28"/>
          <w:sz w:val="28"/>
          <w:szCs w:val="28"/>
          <w:rtl w:val="true"/>
          <w:lang w:bidi="fa-IR"/>
        </w:rPr>
        <w:t>استشمام گردد و ثانياً در پي آن باشيم كه مرجع هر يك را مشخص كنيم و به نوعي به دوگانگي در حاكميّت، كه سخن بي‌پايه‌اي است،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سخنران نظري بر اصول قانون اساسي بيفكند، به يقين درخواهد يافت كه تناقض در قانون اساسي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اساسي، رهبري بالاترين مقام جامعه‌ي اسلامي است كه مبناي مشروعيت نظام قلمداد مي‌گردد و سه قوه‌ي مجريه، مقننه و قضاييه، زيرنظر او به حل معضلات نظام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اساسي، سياست‌هاي كلان نظام توسط رهبري و با مشاوره با كارشناسان طراحي مي‌گردد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قانون اساسي را مبناي سخن خود قرار دهيم، در ساختار قدرت نظام اسلامي چنان نيست كه دو مبناي مشروعيت در نظر گرفته شود؛ بلكه دين مبنا و منشأ مشروعيت است، و رييس جمهور و مجلس نيز اعتبارشان ناشي از تنفيذ رهبري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اول انقلاب تاكنون در جامعه جريان داشته است و تنفيذ رأي مردم به دست رهبري در زمان حضرت امام و نيز مقام معظم رهبري، در حقيقت به مثابه مشروعيت‌بخشي است؛ و رأي مردم تنها ترجمان مقبوليّت مردمي است كه در كارآمدي نظام اسلامي مؤثر 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87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0"/>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81" o:detectmouseclick="t"/>
                <v:stroke color="#3465a4" joinstyle="round" endcap="flat"/>
                <w10:wrap type="none"/>
              </v:shape>
            </w:pict>
          </mc:Fallback>
        </mc:AlternateContent>
      </w:r>
      <w:bookmarkStart w:id="67" w:name="pg14792_139574"/>
    </w:p>
    <w:p>
      <w:pPr>
        <w:pStyle w:val="Heading2"/>
        <w:numPr>
          <w:ilvl w:val="1"/>
          <w:numId w:val="1"/>
        </w:numPr>
        <w:rPr/>
      </w:pPr>
      <w:bookmarkStart w:id="68" w:name="__RefHeading___Toc1788177_730472459"/>
      <w:bookmarkStart w:id="69" w:name="_Toc27"/>
      <w:bookmarkEnd w:id="67"/>
      <w:bookmarkEnd w:id="68"/>
      <w:r>
        <w:rPr>
          <w:rtl w:val="true"/>
        </w:rPr>
        <w:t>مقاله‌ي مورد نقد</w:t>
      </w:r>
      <w:r>
        <w:rPr>
          <w:rtl w:val="true"/>
        </w:rPr>
        <w:t xml:space="preserve">: </w:t>
      </w:r>
      <w:r>
        <w:rPr>
          <w:rtl w:val="true"/>
        </w:rPr>
        <w:t>مردم‌سالاري و وفاق ملي، خودكامگي و نفاق ملّي</w:t>
      </w:r>
      <w:bookmarkEnd w:id="69"/>
    </w:p>
    <w:p>
      <w:pPr>
        <w:pStyle w:val="Heading3"/>
        <w:numPr>
          <w:ilvl w:val="2"/>
          <w:numId w:val="1"/>
        </w:numPr>
        <w:rPr/>
      </w:pPr>
      <w:bookmarkStart w:id="70" w:name="__RefHeading___Toc1788179_730472459"/>
      <w:bookmarkStart w:id="71" w:name="_Toc28"/>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مردم‌سالاري و وفاق ملي، خودكامگي و نفاق ملّي</w:t>
      </w:r>
      <w:r>
        <w:rPr>
          <w:rStyle w:val="FootnoteAnchor"/>
          <w:rtl w:val="true"/>
        </w:rPr>
        <w:footnoteReference w:id="69"/>
      </w:r>
    </w:p>
    <w:p>
      <w:pPr>
        <w:pStyle w:val="Heading3"/>
        <w:numPr>
          <w:ilvl w:val="2"/>
          <w:numId w:val="1"/>
        </w:numPr>
        <w:rPr/>
      </w:pPr>
      <w:bookmarkStart w:id="72" w:name="__RefHeading___Toc1788181_730472459"/>
      <w:bookmarkStart w:id="73" w:name="_Toc29"/>
      <w:bookmarkEnd w:id="72"/>
      <w:r>
        <w:rPr>
          <w:rtl w:val="true"/>
        </w:rPr>
        <w:t>چكيده</w:t>
      </w:r>
      <w:r>
        <w:rPr>
          <w:rtl w:val="true"/>
        </w:rPr>
        <w:t>:</w:t>
      </w:r>
      <w:bookmarkEnd w:id="73"/>
    </w:p>
    <w:p>
      <w:pPr>
        <w:pStyle w:val="BookText"/>
        <w:rPr/>
      </w:pPr>
      <w:r>
        <w:rPr>
          <w:rFonts w:ascii="Amiri" w:hAnsi="Amiri" w:eastAsia="Amiri" w:cs="Amiri"/>
          <w:color w:val="111111"/>
          <w:sz w:val="28"/>
          <w:sz w:val="28"/>
          <w:szCs w:val="28"/>
          <w:rtl w:val="true"/>
          <w:lang w:bidi="ar-SA"/>
        </w:rPr>
        <w:t>ايشان با بررسي جامعه‌شناسانه و تاريخي نسبت به مردم ايران و با تحليلي يك جانبه نسبت به مسائل ايران مدعي‌اند كه رفتار حاكميّت در مسائل داخلي و خارجي به خواست و رضايت اكثريت در تضاد است و وضعيت نظام جمهوري اسلامي ايران را متزلزل و بنا شده بر روي شن‌هاي روان توصيف مي‌كند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788183_730472459"/>
      <w:bookmarkStart w:id="75" w:name="_Toc30"/>
      <w:bookmarkEnd w:id="74"/>
      <w:r>
        <w:rPr>
          <w:rtl w:val="true"/>
        </w:rPr>
        <w:t>نقد و بررسي</w:t>
      </w:r>
      <w:r>
        <w:rPr>
          <w:rtl w:val="true"/>
        </w:rPr>
        <w:t xml:space="preserve">: </w:t>
      </w:r>
      <w:r>
        <w:rPr>
          <w:rtl w:val="true"/>
        </w:rPr>
        <w:t>وفاق ملي در پرتو عزت و افتخار حسيني</w:t>
      </w:r>
      <w:bookmarkEnd w:id="75"/>
    </w:p>
    <w:p>
      <w:pPr>
        <w:pStyle w:val="BookText"/>
        <w:rPr/>
      </w:pPr>
      <w:r>
        <w:rPr>
          <w:rFonts w:ascii="Amiri" w:hAnsi="Amiri" w:eastAsia="Amiri" w:cs="Amiri"/>
          <w:color w:val="111111"/>
          <w:sz w:val="28"/>
          <w:sz w:val="28"/>
          <w:szCs w:val="28"/>
          <w:rtl w:val="true"/>
          <w:lang w:bidi="ar-SA"/>
        </w:rPr>
        <w:t>محمد ملك‌زاده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با تحليلي يك جانبه نسبت به مسائل ايران مدعي است كه رفتار حاكميت با خواست و رضايت اكثريت در تضاد است و در واقع، </w:t>
      </w:r>
    </w:p>
    <w:p>
      <w:pPr>
        <w:pStyle w:val="BookText"/>
        <w:rPr/>
      </w:pPr>
      <w:r>
        <w:rPr>
          <w:rFonts w:ascii="IRNazanin" w:hAnsi="IRNazanin" w:eastAsia="IRNazanin"/>
          <w:color w:val="111111"/>
          <w:sz w:val="28"/>
          <w:sz w:val="28"/>
          <w:szCs w:val="28"/>
          <w:rtl w:val="true"/>
          <w:lang w:bidi="fa-IR"/>
        </w:rPr>
        <w:t>تصويري از نظام ارائه مي‌دهد كه گويا خواست اكثريت مردم ايران مخالف با سياست نظام وعمل‌كرد آن در قبال مسائل داخلي و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ادامه‌ي اين تحليل، با توجّه به روي‌كرد سياست خارجي جمهوري اسلامي ايران در قبال مردم مظلوم فلسطين، تأكيد مي‌كند هيچ ملتي از جانب كسي مسئول نجات بشريّت نيست، خصوصاً آن‌كه خود آن ملّت ريشه‌اي سست و متزلزل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به راستي واقعيت چنين است؟ معلوم نيست نويسنده‌ي محترم با كدام تحقيق و بررسي به اين نتايج رسيده است؟ آيا بيان اين ادعاها كه چيزي جز تكرار اتهامات رسانه‌هاي استكباري و تبليغات شوم آنان بر ضد مردم ايران نمي‌باشد، ضدّ وفاق ملّي نيست؟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 جاي تعجب است كه ايشان دقيقاً در مقطعي از زمان به مخالفت با سياست خارجي جمهوري اسلامي ايران در قبال حمايت از مردم ستم‌ديده‌ي فلسطين برخاسته كه خشم جهاني نسبت به تجاوزات و غارتگري‌هاي رژيم صهيونيستي به اوج رسيده است و هر ناظر بي‌طرفي نسبت به جنايات اين رژيم اعلام انزجار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وضعيت فعلي غير از دولت آمريكا كشوري را سراغ نداريم كه از جنايات رژيم صهيونيستي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دولت‌هايي هم كه تا ديروز نسبت به اين قضيه سكوت اختيار مي‌كردند، اكنون تحت فشار افكار عمومي، در قبال اسراييل موضعي منفي اتخاذ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مي‌توان خصوصاً در اين شرايط كه جامعه‌ي جهاني مخالفت خود را با قتل‌عام فلسطينيان اعلام كرده‌اند، </w:t>
      </w:r>
    </w:p>
    <w:p>
      <w:pPr>
        <w:pStyle w:val="BookText"/>
        <w:rPr/>
      </w:pPr>
      <w:r>
        <w:rPr>
          <w:rFonts w:ascii="IRNazanin" w:hAnsi="IRNazanin" w:eastAsia="IRNazanin"/>
          <w:color w:val="111111"/>
          <w:sz w:val="28"/>
          <w:sz w:val="28"/>
          <w:szCs w:val="28"/>
          <w:rtl w:val="true"/>
          <w:lang w:bidi="fa-IR"/>
        </w:rPr>
        <w:t>ادعا كرد كه اعلام حمايت از مردم مظلوم فلسطين در تضاد با منافع ملي و وفاق عمومي است؟ آيا به‌راستي مردم ايران مخالف سياست نظام و خواهان اعلام بي‌طرفي نسبت به قضيه‌ي فلسطين هستند؟ اگر چنين است، پس تظاهرات ميليوني مردم ايران در روز قدس و اجتماعات گسترده و مكرر بعد از آن همگام با ساير كشور‌ها براي حمايت از مردم داغ‌ديده‌ي فلسطين و اعلام انزجار عمومي نسبت به جنايات اسراييل را چگونه بايد توجيه كرد؟</w:t>
      </w:r>
    </w:p>
    <w:p>
      <w:pPr>
        <w:pStyle w:val="BookText"/>
        <w:rPr/>
      </w:pPr>
      <w:r>
        <w:rPr>
          <w:rFonts w:ascii="IRNazanin" w:hAnsi="IRNazanin" w:eastAsia="IRNazanin"/>
          <w:color w:val="111111"/>
          <w:sz w:val="28"/>
          <w:sz w:val="28"/>
          <w:szCs w:val="28"/>
          <w:rtl w:val="true"/>
          <w:lang w:bidi="fa-IR"/>
        </w:rPr>
        <w:t xml:space="preserve">اگر خواست ميليوني مردم ايران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بسياري از رسانه‌هاي خارجي </w:t>
      </w:r>
      <w:r>
        <w:rPr>
          <w:rFonts w:eastAsia="IRNazanin" w:cs="IRNazanin"/>
          <w:color w:val="111111"/>
          <w:sz w:val="28"/>
          <w:szCs w:val="28"/>
          <w:rtl w:val="true"/>
          <w:lang w:bidi="fa-IR"/>
        </w:rPr>
        <w:t>-</w:t>
      </w:r>
      <w:r>
        <w:rPr>
          <w:rStyle w:val="FootnoteAnchor"/>
          <w:rtl w:val="true"/>
        </w:rPr>
        <w:footnoteReference w:id="7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رفراندوم عمومي در جهت حمايت از عمل‌كرد سياسي نظام و تأئيد آن ندانيم، پس چه نامي برازنده‌ي آن خواهد بود؟ مگر اين‌كه بخواهيم نظر تعداد معدودي به اصطلاح روشن‌فكر را جاي‌گزين خواست عموم كنيم لكن اكثريت و عموم جامعه را نمي‌توان در قالب خواص گنجانيد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به حق معتقدند كنار آمدن با دولت غاصب صهيونيستي كه ايده‌ي تشكيل اسراييل بزرگ و تصرف از نيل تا فرات را جزو اهداف اساسي خود مي‌پندارد</w:t>
      </w:r>
      <w:r>
        <w:rPr>
          <w:rStyle w:val="FootnoteAnchor"/>
          <w:rtl w:val="true"/>
        </w:rPr>
        <w:footnoteReference w:id="71"/>
      </w:r>
      <w:r>
        <w:rPr>
          <w:rFonts w:ascii="IRNazanin" w:hAnsi="IRNazanin" w:eastAsia="IRNazanin"/>
          <w:color w:val="111111"/>
          <w:sz w:val="28"/>
          <w:sz w:val="28"/>
          <w:szCs w:val="28"/>
          <w:rtl w:val="true"/>
          <w:lang w:bidi="fa-IR"/>
        </w:rPr>
        <w:t xml:space="preserve">برخلاف منافع و آرمان‌هاي انقلاب و نظام اسلامي است و اين مطلب را به كرّات در تجمعات گسترده‌ي خود در سراسر خاك ايران اسلامي به اثبات رسانيده‌اند؛ پس چگونه مي‌توان مخالفت با اين دولت غاصب را در تضاد با منافع ملي ارزيابي كرد؟ علاوه </w:t>
      </w:r>
    </w:p>
    <w:p>
      <w:pPr>
        <w:pStyle w:val="BookText"/>
        <w:rPr/>
      </w:pPr>
      <w:r>
        <w:rPr>
          <w:rFonts w:ascii="Amiri" w:hAnsi="Amiri" w:eastAsia="Amiri" w:cs="Amiri"/>
          <w:color w:val="111111"/>
          <w:sz w:val="28"/>
          <w:sz w:val="28"/>
          <w:szCs w:val="28"/>
          <w:rtl w:val="true"/>
          <w:lang w:bidi="ar-SA"/>
        </w:rPr>
        <w:t>بر اين، آيا با صرف وجود مسائل و مشكلات داخلي مي‌توان نسبت به جريانات خارجي بي‌تفاوت ماند؟</w:t>
      </w:r>
    </w:p>
    <w:p>
      <w:pPr>
        <w:pStyle w:val="BookText"/>
        <w:rPr/>
      </w:pPr>
      <w:r>
        <w:rPr>
          <w:rFonts w:ascii="IRNazanin" w:hAnsi="IRNazanin" w:eastAsia="IRNazanin"/>
          <w:color w:val="111111"/>
          <w:sz w:val="28"/>
          <w:sz w:val="28"/>
          <w:szCs w:val="28"/>
          <w:rtl w:val="true"/>
          <w:lang w:bidi="fa-IR"/>
        </w:rPr>
        <w:t>ملّت مسلمان ايران معتقد به آييني است كه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صلح كند در حالي كه نسبت به امور مسلمين بي‌اهتمام بماند مسلمان نيست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مگر پيروي از حق و حمايت از مظلوم جزو اهداف و آرمان‌هاي اصيل انقلاب و اسلام نيست؟</w:t>
      </w:r>
      <w:r>
        <w:rPr>
          <w:rStyle w:val="FootnoteAnchor"/>
          <w:rtl w:val="true"/>
        </w:rPr>
        <w:footnoteReference w:id="73"/>
      </w:r>
      <w:r>
        <w:rPr>
          <w:rFonts w:ascii="IRNazanin" w:hAnsi="IRNazanin" w:eastAsia="IRNazanin"/>
          <w:color w:val="111111"/>
          <w:sz w:val="28"/>
          <w:sz w:val="28"/>
          <w:szCs w:val="28"/>
          <w:rtl w:val="true"/>
          <w:lang w:bidi="fa-IR"/>
        </w:rPr>
        <w:t>ويژگي بنيادين انقلاب اسلامي ايران، با تأكيد قانون اساسي،</w:t>
      </w:r>
      <w:r>
        <w:rPr>
          <w:rStyle w:val="FootnoteAnchor"/>
          <w:rtl w:val="true"/>
        </w:rPr>
        <w:footnoteReference w:id="74"/>
      </w:r>
      <w:r>
        <w:rPr>
          <w:rFonts w:ascii="Amiri" w:hAnsi="Amiri" w:eastAsia="Amiri" w:cs="Amiri"/>
          <w:color w:val="111111"/>
          <w:sz w:val="28"/>
          <w:sz w:val="28"/>
          <w:szCs w:val="28"/>
          <w:rtl w:val="true"/>
          <w:lang w:bidi="ar-SA"/>
        </w:rPr>
        <w:t xml:space="preserve">مكتبي و اسلامي بودن آن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بي‌تفاوتي نسبت به ظلم و بي‌عدالتي در هر نقطه از جهان مخالف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ديگري كه قابل تأمل است اين است كه ايشان وضعيت فعلي نظام جمهوري اسلامي ايران را متزلزل و به زعم خود، بنا شده بر روي شن‌هاي روان توصيف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يا ردّ اين ادعا، با مقايسه‌ي وضعيت كنوني نسبت به دو دهه‌ي گذشته به خوبي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بعد از پيروزي، دوران بسيار سخت‌تر و بحراني‌تري را پشت‌سر گذاشته است كه از ديد هيچ ناظري پوشيده نيست؛ لكن علي‌رغم دشمني‌هاي مخالفان، هرچه از عمر انقلاب مي‌گذرد قدرت و استحكام پايه‌هاي آن محكم‌تر مي‌شود و به لحاظ حمايت مردمي، استوارتر از گذشته به راه خود ادامه مي‌دهد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دشمني آمريكا و حاميانش نسبت به مردم ايران چيز تازه‌اي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آمريكا با انقلاب اسلامي بلافاصله پس از پيروزي انقلاب آغاز شد تنها تفاوتِ وضعيت فعلي با گذشته، عجز و زبوني بيش‌تر آمريكا در مقابله با مردم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دولت‌مردان آمريكا در هيچ زماني بيش از امروز مورد نفرت و انزجار قرار نگرفته است و هيچ‌گاه تا به اين حد كشورهاي جهان در برابر يكه‌تازي‌هاي آمريكا موضع يكساني اتخاذ نكرده‌اند؛ حتي هم‌پيمانان سرسخت اين دولت نيز هم‌اينك در ادامه‌ي همكاري با آمريكا دچار تزلزل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در طول تاريخ ديني خود نشان داده‌اند كه هرگز حاضر نيستند زير بار ظلم و ذلت بروند، و با الهام از ظلم ستيزي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 عزت و افتخار را بر ذلت پذيرش سلطه‌ي بيگانگان و تسليم در برابر آنان ترجيح داده‌اند و قطعاً منافع ملي هم ايجاب مي‌كند كه مسئولين نظام با توجّه به فرهنگ ديني مردم، كه ريشه در عمق جان اين مرز و بوم دارد به دنبال پيروي از حق و حقيقت باشند، نه همكاري با ظلم و جور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تَعاوَنُوا عَلَى الْإِثْمِ وَ الْعُدْوانِ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تصویر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10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8"/>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89" o:detectmouseclick="t"/>
                <v:stroke color="#3465a4" joinstyle="round" endcap="flat"/>
                <w10:wrap type="none"/>
              </v:shape>
            </w:pict>
          </mc:Fallback>
        </mc:AlternateContent>
      </w:r>
      <w:bookmarkStart w:id="76" w:name="pg14792_139580"/>
    </w:p>
    <w:p>
      <w:pPr>
        <w:pStyle w:val="Heading2"/>
        <w:numPr>
          <w:ilvl w:val="1"/>
          <w:numId w:val="1"/>
        </w:numPr>
        <w:rPr/>
      </w:pPr>
      <w:bookmarkStart w:id="77" w:name="__RefHeading___Toc1788185_730472459"/>
      <w:bookmarkStart w:id="78" w:name="_Toc31"/>
      <w:bookmarkEnd w:id="76"/>
      <w:bookmarkEnd w:id="77"/>
      <w:r>
        <w:rPr>
          <w:rtl w:val="true"/>
        </w:rPr>
        <w:t>مقاله‌ي مورد نقد</w:t>
      </w:r>
      <w:r>
        <w:rPr>
          <w:rtl w:val="true"/>
        </w:rPr>
        <w:t xml:space="preserve">: </w:t>
      </w:r>
      <w:r>
        <w:rPr>
          <w:rtl w:val="true"/>
        </w:rPr>
        <w:t>اصلاحات يك حركت دموكراتيك در جامعه‌ي مدني و برنامه‌ريزي دولت</w:t>
      </w:r>
      <w:bookmarkEnd w:id="78"/>
    </w:p>
    <w:p>
      <w:pPr>
        <w:pStyle w:val="Heading3"/>
        <w:numPr>
          <w:ilvl w:val="2"/>
          <w:numId w:val="1"/>
        </w:numPr>
        <w:rPr/>
      </w:pPr>
      <w:bookmarkStart w:id="79" w:name="__RefHeading___Toc1788187_730472459"/>
      <w:bookmarkStart w:id="80" w:name="_Toc32"/>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اصلاحات يك حركت دموكراتيك در جامعه‌ي مدني و برنامه‌ريزي دولت</w:t>
      </w:r>
      <w:r>
        <w:rPr>
          <w:rStyle w:val="FootnoteAnchor"/>
          <w:rtl w:val="true"/>
        </w:rPr>
        <w:footnoteReference w:id="76"/>
      </w:r>
    </w:p>
    <w:p>
      <w:pPr>
        <w:pStyle w:val="Heading3"/>
        <w:numPr>
          <w:ilvl w:val="2"/>
          <w:numId w:val="1"/>
        </w:numPr>
        <w:rPr/>
      </w:pPr>
      <w:bookmarkStart w:id="81" w:name="__RefHeading___Toc1788189_730472459"/>
      <w:bookmarkStart w:id="82" w:name="_Toc33"/>
      <w:bookmarkEnd w:id="81"/>
      <w:r>
        <w:rPr>
          <w:rtl w:val="true"/>
        </w:rPr>
        <w:t>چكيده</w:t>
      </w:r>
      <w:r>
        <w:rPr>
          <w:rtl w:val="true"/>
        </w:rPr>
        <w:t>:</w:t>
      </w:r>
      <w:bookmarkEnd w:id="82"/>
    </w:p>
    <w:p>
      <w:pPr>
        <w:pStyle w:val="BookText"/>
        <w:rPr/>
      </w:pPr>
      <w:r>
        <w:rPr>
          <w:rFonts w:ascii="IRNazanin" w:hAnsi="IRNazanin" w:eastAsia="IRNazanin"/>
          <w:color w:val="111111"/>
          <w:sz w:val="28"/>
          <w:sz w:val="28"/>
          <w:szCs w:val="28"/>
          <w:rtl w:val="true"/>
          <w:lang w:bidi="fa-IR"/>
        </w:rPr>
        <w:t>آقاي عليرضا رجايي از نيروهاي ملي مذهبي، حركت اصلاحات را حركتي دموكراتيك به معناي دموكراسي سازي نظام و ايجاد نظم موجود در جامعه‌ي مدني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ادامه مي‌افزايد در دهه‌هاي گذشته، اساساً فضاي دموكراتيك در ايران جاري نبوده است؛ فلذا براي ايجاد كادرهاي حركت دموكراتيك، بايد حداقل يك دهه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 اين اعتقاد است كه ايران بعد از انقلاب داراي فضاي دموكراتيك نبوده و اساساً دموكراسي را تنها در قالب جريان اصلاحات مي‌توان مشاهده نمود؛ به عبارت ديگر ايشان اعتقادي به حضور مردم و مردم‌سالاري در بعد از انقلاب اسلامي ندارد؛ حتي معتقد است كه بايستي يك دهه‌ي ديگر نيز براي رسيدن به دموكراسي صبر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منظور ايشان از دموكراسي چيست جاي بحث و بررسي است</w:t>
      </w:r>
      <w:r>
        <w:rPr>
          <w:rFonts w:eastAsia="IRNazanin" w:cs="IRNazanin"/>
          <w:color w:val="111111"/>
          <w:sz w:val="28"/>
          <w:szCs w:val="28"/>
          <w:rtl w:val="true"/>
          <w:lang w:bidi="fa-IR"/>
        </w:rPr>
        <w:t>!)</w:t>
      </w:r>
    </w:p>
    <w:p>
      <w:pPr>
        <w:pStyle w:val="Heading3"/>
        <w:numPr>
          <w:ilvl w:val="2"/>
          <w:numId w:val="1"/>
        </w:numPr>
        <w:rPr/>
      </w:pPr>
      <w:bookmarkStart w:id="83" w:name="__RefHeading___Toc1788191_730472459"/>
      <w:bookmarkStart w:id="84" w:name="_Toc34"/>
      <w:bookmarkEnd w:id="83"/>
      <w:r>
        <w:rPr>
          <w:rtl w:val="true"/>
        </w:rPr>
        <w:t>نقد و بررسي</w:t>
      </w:r>
      <w:r>
        <w:rPr>
          <w:rtl w:val="true"/>
        </w:rPr>
        <w:t xml:space="preserve">: </w:t>
      </w:r>
      <w:r>
        <w:rPr>
          <w:rtl w:val="true"/>
        </w:rPr>
        <w:t>انتخابات اصلي‌ترين شاخص دموكراسي</w:t>
      </w:r>
      <w:bookmarkEnd w:id="8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اكبري </w:t>
      </w:r>
    </w:p>
    <w:p>
      <w:pPr>
        <w:pStyle w:val="BookText"/>
        <w:rPr/>
      </w:pPr>
      <w:r>
        <w:rPr>
          <w:rFonts w:ascii="IRNazanin" w:hAnsi="IRNazanin" w:eastAsia="IRNazanin"/>
          <w:color w:val="111111"/>
          <w:sz w:val="28"/>
          <w:sz w:val="28"/>
          <w:szCs w:val="28"/>
          <w:rtl w:val="true"/>
          <w:lang w:bidi="fa-IR"/>
        </w:rPr>
        <w:t>آقاي عليرضا رجايي در ضمن گفت وگو با باشگاه خبرنگار جوان در مورد روند اصلاحات درجامعه مطالبي را ابراز كرده‌اند كه به برخي از آنها اشاره و مورد نقد و بررسي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اصلاحات يك حركت دموكراتيك به معناي دموكراسي‌سازي نظام سياسي و ايجاد نظم موجود در جامعه‌ي مدني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دهه‌هاي گذشته اساساً فضاي دموكراتيك در ايران جاري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اساساً مورد چالش مي‌باشد؛ چون به دلايل عديده و روشني، پس از انقلاب اسلامي دموكراسي در ايران موجود بوده است و كماكان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آن است به تنقيح مسئله‌ي مذكور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دموكراسي از ريشه‌ي يوناني </w:t>
      </w:r>
      <w:r>
        <w:rPr>
          <w:rFonts w:eastAsia="Times New Roman" w:cs="Times New Roman" w:ascii="Times New Roman" w:hAnsi="Times New Roman"/>
          <w:color w:val="111111"/>
          <w:sz w:val="28"/>
          <w:szCs w:val="28"/>
          <w:lang w:val="en-US" w:bidi="en-US"/>
        </w:rPr>
        <w:t>Demos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معناي مردم، و </w:t>
      </w:r>
      <w:r>
        <w:rPr>
          <w:rFonts w:eastAsia="Times New Roman" w:cs="Times New Roman" w:ascii="Times New Roman" w:hAnsi="Times New Roman"/>
          <w:color w:val="111111"/>
          <w:sz w:val="28"/>
          <w:szCs w:val="28"/>
          <w:lang w:val="en-US" w:bidi="en-US"/>
        </w:rPr>
        <w:t>Kratos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معناي حكومت گرفته شده است؛ يعني حكومت مردمي</w:t>
      </w:r>
      <w:r>
        <w:rPr>
          <w:rFonts w:eastAsia="IRNazanin" w:cs="IRNazanin"/>
          <w:color w:val="111111"/>
          <w:sz w:val="28"/>
          <w:szCs w:val="28"/>
          <w:rtl w:val="true"/>
          <w:lang w:bidi="fa-IR"/>
        </w:rPr>
        <w:t>.</w:t>
      </w:r>
      <w:r>
        <w:rPr>
          <w:rStyle w:val="FootnoteAnchor"/>
          <w:rtl w:val="true"/>
        </w:rPr>
        <w:footnoteReference w:id="7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اين واژه به سيستمي از حكومت اطلاق مي‌شود كه به وسيله‌ي مردم و از طريق نمايندگان آنان اداره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فرضيه‌ي دموكراسي بر پايه‌ي برابري و مساوات و عدل اجتماعي و حضور فعال مردم در صحنه‌هاي سياسي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اين تعريف، دموكراسي كه عبارت بود از اراده‌ي آزاد انسان‌ها در انتخاب حاكمان خود و يا بركناري آنها و تعيين سرنوشت خود به دست خويش، و در واقع، شيوه‌ي حكومتِ مبتني بر رأي اكثريت، با روند حكومتي نظام اسلام تفاوتي ندارد و حضرت امام خميني بنيان‌گذار نظام جمهوري اسلامي در اين رابطه مي‌فرمايند</w:t>
      </w:r>
      <w:r>
        <w:rPr>
          <w:rFonts w:eastAsia="IRNazanin" w:cs="IRNazanin"/>
          <w:color w:val="111111"/>
          <w:sz w:val="28"/>
          <w:szCs w:val="28"/>
          <w:rtl w:val="true"/>
          <w:lang w:bidi="fa-IR"/>
        </w:rPr>
        <w:t xml:space="preserve">: </w:t>
      </w:r>
      <w:bookmarkStart w:id="85" w:name="pg14792_139582"/>
    </w:p>
    <w:p>
      <w:pPr>
        <w:pStyle w:val="BookText"/>
        <w:rPr/>
      </w:pPr>
      <w:bookmarkEnd w:id="85"/>
      <w:r>
        <w:rPr>
          <w:rFonts w:ascii="IRNazanin" w:hAnsi="IRNazanin" w:eastAsia="IRNazanin"/>
          <w:color w:val="111111"/>
          <w:sz w:val="28"/>
          <w:sz w:val="28"/>
          <w:szCs w:val="28"/>
          <w:rtl w:val="true"/>
          <w:lang w:bidi="fa-IR"/>
        </w:rPr>
        <w:t>اين‌جا آراي ملت حكومت مي‌كند، اين‌جا ملت است كه حكومت را در دست دارد و ارگان‌ها را ملت تعيين كرده است و تخلف از حكم ملت براي هيچ‌يك از ما جايز نيست و امكان ندارد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با توجه به فرمايش مذكور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وصيت‌نامه‌ي ايشان، روشن گرديد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دموكراسي واقعي و حقيقي در اعتقادات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تأكيد مكرر بر آراي ملت، كاملاً جاي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جمهوري اسلامي مورد نظر ايشان از رويه‌ي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و متكي بر آراي عمومي است و نيز شكل حكومت با مراجعه به آراي عمومي ملت تعيين گرديد و سپس حتي قانون اساسي كه فقهاي دين در تدوين آن نقش اساسي داشتند به رفراندوم عمومي گذاشته 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امّا دموكراسي داراي شاخصه‌هايي است كه لازم است با بررسي آنها به ميزان اجراي دموكراسي درنظام جمهوري اسلامي ايران بعد از انقلاب پي ببريم</w:t>
      </w:r>
      <w:r>
        <w:rPr>
          <w:rFonts w:eastAsia="IRNazanin" w:cs="IRNazanin"/>
          <w:color w:val="111111"/>
          <w:sz w:val="28"/>
          <w:szCs w:val="28"/>
          <w:rtl w:val="true"/>
          <w:lang w:bidi="fa-IR"/>
        </w:rPr>
        <w:t>:</w:t>
      </w:r>
    </w:p>
    <w:p>
      <w:pPr>
        <w:pStyle w:val="Heading3"/>
        <w:numPr>
          <w:ilvl w:val="2"/>
          <w:numId w:val="1"/>
        </w:numPr>
        <w:rPr/>
      </w:pPr>
      <w:bookmarkStart w:id="86" w:name="__RefHeading___Toc1788193_730472459"/>
      <w:bookmarkStart w:id="87" w:name="_Toc35"/>
      <w:bookmarkEnd w:id="86"/>
      <w:r>
        <w:rPr>
          <w:rtl w:val="true"/>
        </w:rPr>
        <w:t>شاخصه‌ي اول</w:t>
      </w:r>
      <w:r>
        <w:rPr>
          <w:rtl w:val="true"/>
        </w:rPr>
        <w:t>:</w:t>
      </w:r>
      <w:bookmarkEnd w:id="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فعال مردم در صحنه‌هاي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در تمامي ابعاد سياست‌گذاري كشور، مردم حضور بالفعل داشته باشند و به صلاح‌ديد آنان و به دست نمايندگان برگزيده‌ي مردم، چرخ </w:t>
      </w:r>
      <w:bookmarkStart w:id="88" w:name="pg14792_139583"/>
    </w:p>
    <w:p>
      <w:pPr>
        <w:pStyle w:val="BookText"/>
        <w:rPr/>
      </w:pPr>
      <w:bookmarkEnd w:id="88"/>
      <w:r>
        <w:rPr>
          <w:rFonts w:ascii="Amiri" w:hAnsi="Amiri" w:eastAsia="Amiri" w:cs="Amiri"/>
          <w:color w:val="111111"/>
          <w:sz w:val="28"/>
          <w:sz w:val="28"/>
          <w:szCs w:val="28"/>
          <w:rtl w:val="true"/>
          <w:lang w:bidi="ar-SA"/>
        </w:rPr>
        <w:t>سياست به حركت در آيد و نيروي محرك، همان اراده‌ي مردمي باشد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با مروري بر روند حضور مردم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انتخابات در كشور جمهوري اسلامي ايران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نشان‌دهنده‌ي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انتخابات رياست جمهوري،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 انتخابات مجلس شوراي اسلامي،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انتخابات خبرگان تعيين رهبري و يك دوره انتخابات شوراهاي اسلامي كشوري است و ميزان متوسط حضور مردم در تمام اين انتخابات </w:t>
      </w:r>
      <w:r>
        <w:rPr>
          <w:rFonts w:eastAsia="IRNazanin" w:cs="IRNazanin"/>
          <w:color w:val="111111"/>
          <w:sz w:val="28"/>
          <w:szCs w:val="28"/>
          <w:lang w:bidi="fa-IR"/>
        </w:rPr>
        <w:t>88/60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مي‌باشد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كه به گفته‌ي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 رولو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 برجسته‌ي فرانسوي در گفت‌وگويي با نوروز </w:t>
      </w:r>
      <w:r>
        <w:rPr>
          <w:rFonts w:eastAsia="IRNazanin" w:cs="IRNazanin"/>
          <w:color w:val="111111"/>
          <w:sz w:val="28"/>
          <w:szCs w:val="28"/>
          <w:lang w:bidi="fa-IR"/>
        </w:rPr>
        <w:t>26/1/80</w:t>
      </w:r>
      <w:r>
        <w:rPr>
          <w:rFonts w:ascii="IRNazanin" w:hAnsi="IRNazanin" w:eastAsia="IRNazanin"/>
          <w:color w:val="111111"/>
          <w:sz w:val="28"/>
          <w:sz w:val="28"/>
          <w:szCs w:val="28"/>
          <w:rtl w:val="true"/>
          <w:lang w:bidi="fa-IR"/>
        </w:rPr>
        <w:t xml:space="preserve">، گرايش مردم ايران به مشاركت سياسي و دموكراسي منحصر به فرد است و حتي مردم فرانسه و آمريكا نيز به اين شدت به مشاركت سياسي و دموكراسي گرايش و توجه نشان نمي‌دهند؛ مثلاً در آمريكا فقط نيمي از مردم به انتخابات توجه نشان مي‌دهند ودر فرانسه نيز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در انتخابات شركت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رولو، كه هم اكنون به عنوان استاد دانشگاه پرينستون آمريكا در حال تدريس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قابل ملاحظه اين است كه در ايران علي‌رغم يك سابقه‌ي طولاني مدت، حضور خودكامگي و استبداد، اكنون مردم خيلي آرام و به طور مسالمت‌آميز، با حضور در پاي صندوق‌هاي رأي، اعتقاد خود را به دموكراسي و نقش تعيين‌كننده‌ي خودشان در اداره‌ي امور نشان مي‌دهند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1788195_730472459"/>
      <w:bookmarkStart w:id="90" w:name="_Toc36"/>
      <w:bookmarkEnd w:id="89"/>
      <w:r>
        <w:rPr>
          <w:rtl w:val="true"/>
        </w:rPr>
        <w:t>شاخصه‌ي دوم</w:t>
      </w:r>
      <w:r>
        <w:rPr>
          <w:rtl w:val="true"/>
        </w:rPr>
        <w:t>:</w:t>
      </w:r>
      <w:bookmarkStart w:id="91" w:name="pg14792_139584"/>
      <w:bookmarkEnd w:id="90"/>
    </w:p>
    <w:p>
      <w:pPr>
        <w:pStyle w:val="BookText"/>
        <w:rPr/>
      </w:pPr>
      <w:bookmarkEnd w:id="91"/>
      <w:r>
        <w:rPr>
          <w:rFonts w:ascii="IRNazanin" w:hAnsi="IRNazanin" w:eastAsia="IRNazanin"/>
          <w:color w:val="111111"/>
          <w:sz w:val="28"/>
          <w:sz w:val="28"/>
          <w:szCs w:val="28"/>
          <w:rtl w:val="true"/>
          <w:lang w:bidi="fa-IR"/>
        </w:rPr>
        <w:t>برابري و مساوات همه‌ي افراد ملت در برابر قانون است و سايه‌ي عدالت، همه آحاد ملت را يكسان زير پوشش خود قرار مي‌دهد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كه اين شاخصه نيز با مراجعه به قانون اساسي جمهوري اسلامي به وضوح قابل رؤيت است و حتي اقليت‌هاي مذهبي نيز داراي حقوق برابر با شهروندان مسلمان ايران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ايران از هر قوم و قبيله كه باشند از حقوق مساوي برخوردارند و رنگ، نژاد، زبان، اين‌ها امتياز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اساسي نيز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همه‌ي افراد ملت اعم از زن و مرد يكسان در حمايت قانون قرار دارند</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788197_730472459"/>
      <w:bookmarkStart w:id="93" w:name="_Toc37"/>
      <w:bookmarkEnd w:id="92"/>
      <w:r>
        <w:rPr>
          <w:rtl w:val="true"/>
        </w:rPr>
        <w:t>شاخصه‌ي سوم</w:t>
      </w:r>
      <w:r>
        <w:rPr>
          <w:rtl w:val="true"/>
        </w:rPr>
        <w:t>:</w:t>
      </w:r>
      <w:bookmarkEnd w:id="93"/>
    </w:p>
    <w:p>
      <w:pPr>
        <w:pStyle w:val="BookText"/>
        <w:rPr/>
      </w:pPr>
      <w:r>
        <w:rPr>
          <w:rFonts w:ascii="IRNazanin" w:hAnsi="IRNazanin" w:eastAsia="IRNazanin"/>
          <w:color w:val="111111"/>
          <w:sz w:val="28"/>
          <w:sz w:val="28"/>
          <w:szCs w:val="28"/>
          <w:rtl w:val="true"/>
          <w:lang w:bidi="fa-IR"/>
        </w:rPr>
        <w:t>كارگزاران دولت در هر سه بعد، قانون‌گذاري، قضايي و مجريه و در رأس آن، مقام رهبري، مستقيم يا غير مستقيم، از سوي مردم انتخاب مي‌شوند و اين حق انتخاب براي همه‌ي افراد ملت به طور مساوي و ثابت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در اين راستا در اصل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قانوني اساسي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جمهوري اسلامي ايران امور كشور بايد به اتكاي آراي عمومي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رييس جمهور، نمايندگان مجلس شوراي اسلامي، اعضاي شوراها و نظاير اين‌ها، يا از راه همه‌پرسي در مواردي كه در اصول ديگر قانون معين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در مورد تعيين رهبر مي‌گويد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رهبر به عهده‌ي خبرگان منتخب مردم است</w:t>
      </w:r>
      <w:r>
        <w:rPr>
          <w:rFonts w:eastAsia="IRNazanin" w:cs="IRNazanin"/>
          <w:color w:val="111111"/>
          <w:sz w:val="28"/>
          <w:szCs w:val="28"/>
          <w:rtl w:val="true"/>
          <w:lang w:bidi="fa-IR"/>
        </w:rPr>
        <w:t xml:space="preserve">. </w:t>
      </w:r>
      <w:bookmarkStart w:id="94" w:name="pg14792_139585"/>
    </w:p>
    <w:p>
      <w:pPr>
        <w:pStyle w:val="Heading3"/>
        <w:numPr>
          <w:ilvl w:val="2"/>
          <w:numId w:val="1"/>
        </w:numPr>
        <w:rPr/>
      </w:pPr>
      <w:bookmarkStart w:id="95" w:name="__RefHeading___Toc1788199_730472459"/>
      <w:bookmarkStart w:id="96" w:name="_Toc38"/>
      <w:bookmarkEnd w:id="94"/>
      <w:bookmarkEnd w:id="95"/>
      <w:r>
        <w:rPr>
          <w:rtl w:val="true"/>
        </w:rPr>
        <w:t>شاخصه‌ي چهارم</w:t>
      </w:r>
      <w:r>
        <w:rPr>
          <w:rtl w:val="true"/>
        </w:rPr>
        <w:t>:</w:t>
      </w:r>
      <w:bookmarkEnd w:id="96"/>
    </w:p>
    <w:p>
      <w:pPr>
        <w:pStyle w:val="BookText"/>
        <w:rPr/>
      </w:pPr>
      <w:r>
        <w:rPr>
          <w:rFonts w:ascii="IRNazanin" w:hAnsi="IRNazanin" w:eastAsia="IRNazanin"/>
          <w:color w:val="111111"/>
          <w:sz w:val="28"/>
          <w:sz w:val="28"/>
          <w:szCs w:val="28"/>
          <w:rtl w:val="true"/>
          <w:lang w:bidi="fa-IR"/>
        </w:rPr>
        <w:t xml:space="preserve">تأمين مصالح و منافع همگاني است كه اين نيز با توجه به برگزاري انتخابات براي تعيين مسئولين از طرف مردم، مبرهن است؛ چنان‌كه در اصل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حق دارد شغلي را كه بدان مايل است و مخالف اسلام و مصالح عمومي و حقوقي ديگران نيست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شاخصه‌هاي مذكور دموكراسي، واضح است كه نظام جمهوري اسلامي يك نظام دموكراتيك، يعني متكي بر آراي مردمي، و انتخابات به عنوان اصلي‌ترين شاخص دموكراسي، بزرگ‌ترين دغدغه‌ي نظام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به اعتقاد عالمان سياست، عناصر دموكراسي كه از انتخابات منتج مي‌شوند، به طور خلاصه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مشاركت مسالمت‌آميز؛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عقلاني‌سازي رفتار جمعي؛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مباني مشروعيت نظام؛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قاعده‌مند نمودن انتقال قدرت سياسي؛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روابط اپوزيسيون و دولت؛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نهادمندي گروه‌هاي سياسي؛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رقابت سياسي؛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 نخبگان سياسي؛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و حفظ جامعه‌ي مدني؛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سياسي مشاركتي؛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جامعه‌پذيري سياسي؛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احساس مسئوليت حاكمان در مقابل مردم؛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خشونت‌زدايي از زندگي سياسي</w:t>
      </w:r>
      <w:r>
        <w:rPr>
          <w:rFonts w:eastAsia="IRNazanin" w:cs="IRNazanin"/>
          <w:color w:val="111111"/>
          <w:sz w:val="28"/>
          <w:szCs w:val="28"/>
          <w:rtl w:val="true"/>
          <w:lang w:bidi="fa-IR"/>
        </w:rPr>
        <w:t>.</w:t>
      </w:r>
      <w:r>
        <w:rPr>
          <w:rStyle w:val="FootnoteAnchor"/>
          <w:rtl w:val="true"/>
        </w:rPr>
        <w:footnoteReference w:id="8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عناوين مذكور كه منتج از انتخابات است و به دليل وجود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انتخابات، براي تعيين مسئولين نظام به وسيله‌ي مردم، </w:t>
      </w:r>
    </w:p>
    <w:p>
      <w:pPr>
        <w:pStyle w:val="BookText"/>
        <w:rPr/>
      </w:pPr>
      <w:r>
        <w:rPr>
          <w:rFonts w:ascii="IRNazanin" w:hAnsi="IRNazanin" w:eastAsia="IRNazanin"/>
          <w:color w:val="111111"/>
          <w:sz w:val="28"/>
          <w:sz w:val="28"/>
          <w:szCs w:val="28"/>
          <w:rtl w:val="true"/>
          <w:lang w:bidi="fa-IR"/>
        </w:rPr>
        <w:t>درجه‌ي بالاي دموكراسي در ايران اسلامي پس از انقلاب، كاملاً واضح و بديهي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آخر بايد اين نكته را گوشزد نماييم كه اين دموكراسي كه مطرح گرديد، در قالب نظام جمهوري اسلامي ايران مي‌باشد و با دموكراسي ليبرال تفاوت بسياري دارد</w:t>
      </w:r>
    </w:p>
    <w:p>
      <w:pPr>
        <w:pStyle w:val="BookText"/>
        <w:rPr/>
      </w:pPr>
      <w:r>
        <w:rPr>
          <w:rFonts w:ascii="IRNazanin" w:hAnsi="IRNazanin" w:eastAsia="IRNazanin"/>
          <w:color w:val="111111"/>
          <w:sz w:val="28"/>
          <w:sz w:val="28"/>
          <w:szCs w:val="28"/>
          <w:rtl w:val="true"/>
          <w:lang w:bidi="fa-IR"/>
        </w:rPr>
        <w:t>چه، ويژگي مهم دموكراسي ليبرال اباحي‌گري در امر قانون‌گذاري و دور افتادن آن جوامع از اخلاقيات است و در اين نظام سياسي تقنين و تشريح و قانون‌گذاري از آنِ ملت و منتخبان آن است و به هيچ وجه ملاحظه‌ي اوامر و نواهي الهي نمي‌شود، بلكه صرفاً ملاحظه‌اي بشري براي نيل به يك سلسله اهداف عقلايي، محور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جمهوري اسلامي از آغاز بر پايه‌ي بينش ويژه‌اي از اسلام، حكومت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جمهوريت كنوني در ايران حاصل و دستاورد انقلاب اسلامي است؛ انقلابي كه اسلام و ايدئولوژي شيعي نيروي محركه و عامل بسيج و تهييج رهبران و گردانندگان آن بود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اصل دوم قانون اساسي نيز بيانگر اين است كه اين نظام نظامي مبتني بر پايه‌ي ايمان به خداي يكتا و اختصاص حاكميت و تشريع به او، وحي الهي، معاد، عدل، امامت و رهبري مستمر، كرامت و ارزش والاي انسان و آزادي توأم با مسئوليت او در برابر خداست، پس در اين نظام شاهد پيوندي غليظ بين خدا و مردم هستيم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خاتمه‌ي كلام اين‌كه، آگاهي از دستاورهاي انقلاب و ميزان مشاركت و دموكراسي در نظام جمهوري اسلامي ايران نياز به دقت و توجه علمي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بلكه با نگاهي به اطراف خود نيز مي‌توان به اين امر روشن دست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10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9"/>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100" o:detectmouseclick="t"/>
                <v:stroke color="#3465a4" joinstyle="round" endcap="flat"/>
                <w10:wrap type="none"/>
              </v:shape>
            </w:pict>
          </mc:Fallback>
        </mc:AlternateContent>
      </w:r>
      <w:bookmarkStart w:id="97" w:name="pg14792_139589"/>
    </w:p>
    <w:p>
      <w:pPr>
        <w:pStyle w:val="Heading2"/>
        <w:numPr>
          <w:ilvl w:val="1"/>
          <w:numId w:val="1"/>
        </w:numPr>
        <w:rPr/>
      </w:pPr>
      <w:bookmarkStart w:id="98" w:name="__RefHeading___Toc1788201_730472459"/>
      <w:bookmarkStart w:id="99" w:name="_Toc39"/>
      <w:bookmarkEnd w:id="97"/>
      <w:bookmarkEnd w:id="98"/>
      <w:r>
        <w:rPr>
          <w:rtl w:val="true"/>
        </w:rPr>
        <w:t>مقاله‌ي مورد نقد</w:t>
      </w:r>
      <w:r>
        <w:rPr>
          <w:rtl w:val="true"/>
        </w:rPr>
        <w:t xml:space="preserve">: </w:t>
      </w:r>
      <w:r>
        <w:rPr>
          <w:rtl w:val="true"/>
        </w:rPr>
        <w:t>انحراف مشروطه</w:t>
      </w:r>
      <w:bookmarkEnd w:id="99"/>
    </w:p>
    <w:p>
      <w:pPr>
        <w:pStyle w:val="Heading3"/>
        <w:numPr>
          <w:ilvl w:val="2"/>
          <w:numId w:val="1"/>
        </w:numPr>
        <w:rPr/>
      </w:pPr>
      <w:bookmarkStart w:id="100" w:name="__RefHeading___Toc1788203_730472459"/>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انحراف مشروطه</w:t>
      </w:r>
      <w:r>
        <w:rPr>
          <w:rStyle w:val="FootnoteAnchor"/>
          <w:rtl w:val="true"/>
        </w:rPr>
        <w:footnoteReference w:id="86"/>
      </w:r>
    </w:p>
    <w:p>
      <w:pPr>
        <w:pStyle w:val="Heading3"/>
        <w:numPr>
          <w:ilvl w:val="2"/>
          <w:numId w:val="1"/>
        </w:numPr>
        <w:rPr/>
      </w:pPr>
      <w:bookmarkStart w:id="102" w:name="__RefHeading___Toc1788205_730472459"/>
      <w:bookmarkStart w:id="103" w:name="_Toc41"/>
      <w:bookmarkEnd w:id="102"/>
      <w:r>
        <w:rPr>
          <w:rtl w:val="true"/>
        </w:rPr>
        <w:t>چكيده</w:t>
      </w:r>
      <w:r>
        <w:rPr>
          <w:rtl w:val="true"/>
        </w:rPr>
        <w:t>:</w:t>
      </w:r>
      <w:bookmarkEnd w:id="103"/>
    </w:p>
    <w:p>
      <w:pPr>
        <w:pStyle w:val="BookText"/>
        <w:rPr/>
      </w:pPr>
      <w:r>
        <w:rPr>
          <w:rFonts w:ascii="IRNazanin" w:hAnsi="IRNazanin" w:eastAsia="IRNazanin"/>
          <w:color w:val="111111"/>
          <w:sz w:val="28"/>
          <w:sz w:val="28"/>
          <w:szCs w:val="28"/>
          <w:rtl w:val="true"/>
          <w:lang w:bidi="fa-IR"/>
        </w:rPr>
        <w:t xml:space="preserve">ايشان با تقسيم گروه‌هاي اصلي و مؤثر در تكوين مشروطه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شرع‌مدار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منوّرالفكرها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مهم‌ترين و اصلي‌ترين نقطه‌ي درگيري اين نيروها به كيفيت تفسير حقوق ملت تصريح كرده، در اين زمينه روحانيون شرع‌مدار را متهم به عمل‌كرد سياسي و جناحي مي‌كند و مخالفت آنان را از نوع معرفتي قلمداد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انحراف مشروطه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 طرح آن و نيز علل و مناديان آن، سعي در تطهير منورالفكرها و متهم كردن روحانيت به طرح اين بحث در زمان رضاخان به علّت اقدامات شرع ستيزانه‌ي او كرده است كه با واقعيات تاريخي منطبق نيست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1788207_730472459"/>
      <w:bookmarkStart w:id="105" w:name="_Toc42"/>
      <w:bookmarkEnd w:id="104"/>
      <w:r>
        <w:rPr>
          <w:rtl w:val="true"/>
        </w:rPr>
        <w:t>نقد و بررسي</w:t>
      </w:r>
      <w:r>
        <w:rPr>
          <w:rtl w:val="true"/>
        </w:rPr>
        <w:t>:</w:t>
      </w:r>
      <w:r>
        <w:rPr>
          <w:rtl w:val="true"/>
        </w:rPr>
        <w:t>حكمت سياسي در انديشه و عمل شيخ شهيد</w:t>
      </w:r>
      <w:bookmarkEnd w:id="105"/>
    </w:p>
    <w:p>
      <w:pPr>
        <w:pStyle w:val="BookText"/>
        <w:rPr/>
      </w:pPr>
      <w:r>
        <w:rPr>
          <w:rFonts w:ascii="Amiri" w:hAnsi="Amiri" w:eastAsia="Amiri" w:cs="Amiri"/>
          <w:color w:val="111111"/>
          <w:sz w:val="28"/>
          <w:sz w:val="28"/>
          <w:szCs w:val="28"/>
          <w:rtl w:val="true"/>
          <w:lang w:bidi="ar-SA"/>
        </w:rPr>
        <w:t>حكمت سياسي در انديشه و عمل شيخ شهيد</w:t>
      </w:r>
    </w:p>
    <w:p>
      <w:pPr>
        <w:pStyle w:val="BookText"/>
        <w:rPr/>
      </w:pPr>
      <w:r>
        <w:rPr>
          <w:rFonts w:ascii="Amiri" w:hAnsi="Amiri" w:eastAsia="Amiri" w:cs="Amiri"/>
          <w:color w:val="111111"/>
          <w:sz w:val="28"/>
          <w:sz w:val="28"/>
          <w:szCs w:val="28"/>
          <w:rtl w:val="true"/>
          <w:lang w:bidi="ar-SA"/>
        </w:rPr>
        <w:t>محمد امين</w:t>
      </w:r>
    </w:p>
    <w:p>
      <w:pPr>
        <w:pStyle w:val="BookText"/>
        <w:rPr/>
      </w:pPr>
      <w:r>
        <w:rPr>
          <w:rFonts w:ascii="IRNazanin" w:hAnsi="IRNazanin" w:eastAsia="IRNazanin"/>
          <w:color w:val="111111"/>
          <w:sz w:val="28"/>
          <w:sz w:val="28"/>
          <w:szCs w:val="28"/>
          <w:rtl w:val="true"/>
          <w:lang w:bidi="fa-IR"/>
        </w:rPr>
        <w:t>در اين مصاحبه متأسفانه مواردي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لحاظ اوضاع سياسي اجتماعي و اقتصادي عصر مشروطه، نيروهاي شركت كننده در اين نهضت، تصوير جامع از رهبران شركت كننده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غفلت و يا تغافل قرار گرفته‌اند؛ لذا ملاحظاتي درباره‌ي برخي از مطالب مطروحه، در دو بخش ارائه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 xml:space="preserve">ايشان با تقسيم گروه‌هاي اصلي و مؤثر در تكوين مشروطه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شرع‌مدار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منوّرالفكرها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مهم‌ترين و اصلي‌ترين نقطه‌ي درگيري اين نيروها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بايد بگويم كه هيچيك از اين گروه‌ها با شرع مخالفت نداشتند و حتي از مفاهيمي استفاده مي‌كردند كه طنين شرعي و ديني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عرصه‌ي تنازع اين گروه‌ها، بحث بر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اشاره به تلاش‌هاي صورت گرفته براي تأمين نظريات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شرع‌مدار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به جد معتقدم كه نظر روحانيون تأمين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مخالفت‌هاي مرحوم شيخ نوري و ساير روحانيون شرع‌مدار ربطي به صورت مطالبات ايشان نداشت و منازعات، عمدتاً، صبغه‌ي سياسي و جناحي داشت نه معرفتي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البتّه دليل ايشان بر اين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تصويب اصل دوّم متمم قانون اساسي و مقيد شدن اصول مربوط به حقوق ملت به حدود و موازين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مي‌باشد؛ لذا مدعي مي‌شوند كه با اين دو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دغدغه‌هاي روحانيّت شرع‌مدار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نظر مي‌رسد توجه به نكات ذيل مفيد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سوگمندانه بايد گفت كه تاريخ مشروطيّت، غالباً نه از منظري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بي‌طرفانه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واقع‌بينانه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به ويژه كساني كه سنگ‌بنايِِ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تاريخ ايران را نهاده‌اند، بيش و پيش از آن‌كه بخواهند حقايق را كشف و شناسايي نمايند، ملكوت‌سازيِ چهره‌ي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توجيه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عبرت‌زدايي تاريخي را مدّنظر داشته‌اند و البتّه كاملاً پيداست كه اين امر،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واقعيات، شدني نبوده است و بيش از همه، در مورد شيخ شهيد، اين شخصيّت تأثيرگذار تاريخي، مصداق دارد؛ لذا بايد چراغي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مشروطيّت برافروخت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سرنوشت‌ساز و به حكمت سياسي شيخ شهيد در عرصه‌ي انديشه و عمل نزديك و نزديك‌تر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مفاهيم شرعي و ديني نمي‌تواند دليلي بر عدم مخالفت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كه ملاحظه‌ي اسناد تاريخي درباره‌ي انديشه‌گران تجددخواه و مدعيان قانون‌خواهي و مروّجان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دموكراسي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دوره‌ي ناصري، ما را بر اين نكته ره‌نمون مي‌سازد كه آنها، با درك اين حقيقت كه </w:t>
      </w:r>
    </w:p>
    <w:p>
      <w:pPr>
        <w:pStyle w:val="BookText"/>
        <w:rPr/>
      </w:pPr>
      <w:r>
        <w:rPr>
          <w:rFonts w:ascii="IRNazanin" w:hAnsi="IRNazanin" w:eastAsia="IRNazanin"/>
          <w:color w:val="111111"/>
          <w:sz w:val="28"/>
          <w:sz w:val="28"/>
          <w:szCs w:val="28"/>
          <w:rtl w:val="true"/>
          <w:lang w:bidi="fa-IR"/>
        </w:rPr>
        <w:t xml:space="preserve">در ايران براي تحقّق اهداف بايد با ادبيات اسلامي و ديني به بيان و توجيه مراد خود بپردازند، در دو جهت اقدام خود را آغاز كردند؛ يعني از سويي با آماده‌سازي فضاي فرهنگي و از سوي ديگر زمينه‌سازي فكري، اقدام به جاي‌گزيني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اسلام كردند؛ لذا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ميرزا ملكم‌خان نقشي مستقيم در مشروطيّت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اين نهضت عملاً در سال‌هاي پايان عمر او و پس از درگذشت او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نقش او را نمي‌توان در موارد ذيل ناديده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هسته‌اي از مردان به اصلاح نخبه و برجسته براساس باورهاي غرب‌گرايانه؛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اصولي كه شالوده‌ي ساختار فكري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الفكرها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مشروطيت گرديد؛</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نفوذ در روحانيت و مردم و سوء استفاده از حُسن ظنّ آنان در جهت حمايت از تفكر پيش‌نهادي و باوراندن هماهنگي و هم‌خواني اصول و عقايد اسلامي با اصول تفكر غربي</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كل بايد گفت كه با تمام افتراق‌هايي كه گونه‌ها و نحله‌هاي مختلف روشن‌فكري در ايران داشته‌اند، شايد بتوان ويژگي‌هاي مشتركي را براي آنان برشمرد كه در </w:t>
      </w:r>
    </w:p>
    <w:p>
      <w:pPr>
        <w:pStyle w:val="BookText"/>
        <w:rPr/>
      </w:pPr>
      <w:r>
        <w:rPr>
          <w:rFonts w:ascii="IRNazanin" w:hAnsi="IRNazanin" w:eastAsia="IRNazanin"/>
          <w:color w:val="111111"/>
          <w:sz w:val="28"/>
          <w:sz w:val="28"/>
          <w:szCs w:val="28"/>
          <w:rtl w:val="true"/>
          <w:lang w:bidi="fa-IR"/>
        </w:rPr>
        <w:t xml:space="preserve">طول استمرار و استقرار تفكرات و اقدام‌هاي آنان ديده مي‌شود و يكي از مهم‌ترين آن ويژگي‌ها استفاده از ابزارهاي فرهنگي و علمي و ادعاي ترجمه شده‌ي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البتّه بر صاحبان انديشه مخفي نيست كه اگرچه اين‌گونه ادعاهاي موهوم و چندپهلو تاريخ معاصر ايران را پر كرده است، ولي به خاطر عدم هم‌سويي متون ترجمه شده با فرهنگ و تمدن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 نه تنها مشكل و بحراني را در كشور درمان نكرد، بلكه بر انبوه بحران‌هاي اقتصادي، سياسي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ديگر و مهم‌تري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در اين دوره، برخلاف دوره‌ي حيرت، تجددخواهان و مدعيان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ادّعاي آگاهي از تمدن جديد، در زمينه‌هاي حقوق فردي و اجتماعي و آزادي‌هاي مدني به بحث نظري پرداخته، كوشيدند آراي خود را در قالب رسائل و كتابچه‌ها ارائه كنند؛ لذا سه شعار را به تدريج مطرح كردند كه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پارلمانتيسم، مدرنيسم، سكولاريزم</w:t>
      </w:r>
      <w:r>
        <w:rPr>
          <w:rFonts w:eastAsia="IRNazanin" w:cs="IRNazanin"/>
          <w:color w:val="111111"/>
          <w:sz w:val="28"/>
          <w:szCs w:val="28"/>
          <w:rtl w:val="true"/>
          <w:lang w:bidi="fa-IR"/>
        </w:rPr>
        <w:t>.</w:t>
      </w:r>
      <w:r>
        <w:rPr>
          <w:rStyle w:val="FootnoteAnchor"/>
          <w:rtl w:val="true"/>
        </w:rPr>
        <w:footnoteReference w:id="8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مجلس شوراي صدر مشروطه و ماهيّت و عمل‌كرد آن، شيخ شهيد، گذشته از اشكالات فكري و اعتقادي كه به اساس پارلمانيسم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مجلس شوراي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از نظر شكلي و ظاهري نيز به مجلس شوراي صدر مشروطه، و اعضاي آن ايرادات اساسي داشت كه آنها را مي‌توان علّت مخالفت شيخ با مجلس صدر </w:t>
      </w:r>
    </w:p>
    <w:p>
      <w:pPr>
        <w:pStyle w:val="BookText"/>
        <w:rPr/>
      </w:pPr>
      <w:r>
        <w:rPr>
          <w:rFonts w:ascii="Amiri" w:hAnsi="Amiri" w:eastAsia="Amiri" w:cs="Amiri"/>
          <w:color w:val="111111"/>
          <w:sz w:val="28"/>
          <w:sz w:val="28"/>
          <w:szCs w:val="28"/>
          <w:rtl w:val="true"/>
          <w:lang w:bidi="ar-SA"/>
        </w:rPr>
        <w:t>مشروطه علي‌رغم تصويب متمّم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دانست كه به برخي ذيلاً اشاره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شيخ شهيد، اوّلاً، تمام اصلاحات پيش‌نهادي وي در متمّم قانون اساسي اعمال نشده بود؛ ثانياً، وي از مشروطه‌خواهان مي‌خواست كه اصل دوم را عيناً با همان تعابير و عباراتي كه توافق شده بود در متمّم قانون اساسي بگنجانند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آري، با گذشت زمان،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ملاحظه كرد كه مجلسيان به انجام خواسته‌هاي وي، علي‌رغم ارائه‌ي دلايل محكم، بي‌توجهي مي‌كنند، كوشيد تا، از طريق كناره‌گيري از مجلس و تشكيل مجالس روضه‌خواني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را براي انجام خواسته‌هاي مشروعه‌خواهانه فراهم كند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ديگر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نحوه‌ي انتخاب وكلا در 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 اعتبارِ 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نمايندگان از نظر او مورد ترديد جدي قرار داشت؛ چنانچه شيخ در گفت‌وگويي كه با سيّدَين سَنَدين در تحصّن عبدالعظيم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تأكيد بر موافقت خويش با وجود مجلس شورا به عنوان مركز قانون‌گذاري كشور، اين سؤال را پيش كشيد كه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نوع وكيلي براي اين مجلس لازم است؟ داراي چه صفاتي بايد باشند كه وكيل سي كرور مردم ايران باشند؟ از تمام صفات كه صرف‌نظر كنيم، لااقل بايد مسلمان و داراي طريقه‌ي جعفري باشد، از خدا بترسد، </w:t>
      </w:r>
      <w:bookmarkStart w:id="106" w:name="pg14792_139595"/>
    </w:p>
    <w:p>
      <w:pPr>
        <w:pStyle w:val="BookText"/>
        <w:rPr/>
      </w:pPr>
      <w:bookmarkEnd w:id="106"/>
      <w:r>
        <w:rPr>
          <w:rFonts w:ascii="IRNazanin" w:hAnsi="IRNazanin" w:eastAsia="IRNazanin"/>
          <w:color w:val="111111"/>
          <w:sz w:val="28"/>
          <w:sz w:val="28"/>
          <w:szCs w:val="28"/>
          <w:rtl w:val="true"/>
          <w:lang w:bidi="fa-IR"/>
        </w:rPr>
        <w:t>دين به دنيا نفروشد، براي اجانب كار نكند و واضح‌تر و ساده‌تر بگويم؛ يعني بهايي نباشد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ديگر شيخ به مجلس شوراي مشروطه، انفعال اكثريّت اعضاي آن مجلس در برابر اقلّيّت تندرو و شهرآشوب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كراراً در اظهارات خويش به اين معنا اشاره و از آن شديداً انتقاد كرده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نكات فوق و نكات ديگر كه بيان آن در اين مقاله نمي‌گنجد، آيا ادعاي اين‌كه شيخ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پرداخت، كم‌توجهي به اسناد و منابع تاريخي نيست؟</w:t>
      </w:r>
    </w:p>
    <w:p>
      <w:pPr>
        <w:pStyle w:val="BookText"/>
        <w:rPr/>
      </w:pPr>
      <w:r>
        <w:rPr>
          <w:rFonts w:ascii="IRNazanin" w:hAnsi="IRNazanin" w:eastAsia="IRNazanin"/>
          <w:color w:val="111111"/>
          <w:sz w:val="28"/>
          <w:sz w:val="28"/>
          <w:szCs w:val="28"/>
          <w:rtl w:val="true"/>
          <w:lang w:bidi="fa-IR"/>
        </w:rPr>
        <w:t>آيا توجه به حكمت سياسي در انديشه و عمل شيخ شهيد در زمينه‌ي فوق، نمي‌تواند بهترين راه‌نما در تحليل وقايع باشد؟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شهيد هرچه بود و هرگونه كه مي‌انديشيد، قاطعانه، تا پايان عمر بر سر عقيده‌ي خويش ايستاد؛ پس ما نيز اين درس را بياموزيم و راست بگوييم و راستي‌ها را بگوييم</w:t>
      </w:r>
      <w:r>
        <w:rPr>
          <w:rFonts w:eastAsia="IRNazanin" w:cs="IRNazanin"/>
          <w:color w:val="111111"/>
          <w:sz w:val="28"/>
          <w:szCs w:val="28"/>
          <w:rtl w:val="true"/>
          <w:lang w:bidi="fa-IR"/>
        </w:rPr>
        <w:t>!!</w:t>
      </w:r>
    </w:p>
    <w:p>
      <w:pPr>
        <w:pStyle w:val="Heading3"/>
        <w:numPr>
          <w:ilvl w:val="2"/>
          <w:numId w:val="1"/>
        </w:numPr>
        <w:rPr/>
      </w:pPr>
      <w:bookmarkStart w:id="107" w:name="__RefHeading___Toc1788209_730472459"/>
      <w:bookmarkStart w:id="108" w:name="_Toc43"/>
      <w:bookmarkEnd w:id="107"/>
      <w:r>
        <w:rPr>
          <w:rtl w:val="true"/>
        </w:rPr>
        <w:t>بخش دوّم</w:t>
      </w:r>
      <w:bookmarkEnd w:id="10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انحراف مشروطه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 طرح آن و نيز علل و مناديان آن مطالبي ارائه كرده‌اند كه تذكّر نكته‌اي درباره‌ي آن ضروري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متأسفانه درباره‌ي قضيّه‌ي فوق در مصاحبه‌ي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 بيان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كه اين خود دليل روشني بر عدم جامع‌نگري ايشان در مقام تحليل وقايع است؛ چرا كه در ابتدا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مشروطه اصلاً بحث انحراف مشروطه مطرح نبود اما طرح موضوع انحراف مشروطه، به شكل حادّ، زماني صورت گرفت كه دولت رضاشاه سركار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مدعي‌اند كه منورالفكرها از اوّلِ به قدرت رسيدن او و به خاطر نقض آرمان مشروطه، يعني تأسيس دولت دموكراتيك مدرن به طرح اين بحث پرداختند و روحانيان از زمان اقدامات شرع‌ستيز او به منورالفكرها در اين بحث پيوستند؛ ولي در عين حال در پاراگراف ديگر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وقتي ديدند بسيج توده‌ها از دست‌شان خارج شد از انحراف مشروطه حرف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در نهايت نيز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انحراف مشروطه بحثي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مصارف گروهي و سياسي خود طرح مي‌كنند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اين‌گونه تشتّت در سخن بر محقّق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بهترين دليل بر اين نيست كه نسبت دادن منازعات و مخالفت‌هاي برخي از </w:t>
      </w:r>
    </w:p>
    <w:p>
      <w:pPr>
        <w:pStyle w:val="BookText"/>
        <w:rPr/>
      </w:pPr>
      <w:r>
        <w:rPr>
          <w:rFonts w:ascii="IRNazanin" w:hAnsi="IRNazanin" w:eastAsia="IRNazanin"/>
          <w:color w:val="111111"/>
          <w:sz w:val="28"/>
          <w:sz w:val="28"/>
          <w:szCs w:val="28"/>
          <w:rtl w:val="true"/>
          <w:lang w:bidi="fa-IR"/>
        </w:rPr>
        <w:t xml:space="preserve">روحانيون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وجهه‌ي سياسي و جناحي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آينه‌وار كيفيّت ورود و خروج تحليلگر محترم مي‌باشد؟</w:t>
      </w:r>
    </w:p>
    <w:p>
      <w:pPr>
        <w:pStyle w:val="BookText"/>
        <w:rPr/>
      </w:pPr>
      <w:r>
        <w:rPr>
          <w:rFonts w:ascii="IRNazanin" w:hAnsi="IRNazanin" w:eastAsia="IRNazanin"/>
          <w:color w:val="111111"/>
          <w:sz w:val="28"/>
          <w:sz w:val="28"/>
          <w:szCs w:val="28"/>
          <w:rtl w:val="true"/>
          <w:lang w:bidi="fa-IR"/>
        </w:rPr>
        <w:t>همه‌ي اين‌ها در حالي است كه اگر پرونده‌ي رژيم پهلوي را ورق بزنيم، با اسم‌هايي از رجال مشروطه برمي‌خوريم كه جزو ستايندگان و مؤيدان، بلكه پديدآورندگان و گردانندگان و بعضاً اركان آن رژيم بوده‌اند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حال جاي اين سؤال باقي است كه علي‌رغم وجود اسناد مختلف و بديهي بر همكاري وسيع رجال مشروطه با رژيم پهلوي، چرا و چگونه ايشان، كه از پژوهشگران تاريخ ايران معاصرند، اقدام به انكار آن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دولت رضاخان همان دولت دموكراتيك و مدرن خواست منورالفكرهاي تجددخواه نبود؟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آخر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زمينه‌ي تأمّل جدّي و عالمانه در انديشه‌ي سياسي شيخ شهيد و مباني نظري ايشان را با وجود نظريات انديشمندان و بزرگاني چون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و مدارك تاريخي، مغتنم شمرده، در معرفي ايشان براي نسل جوان و تحليل وقايع، حقيقت‌جويي و حقيقت‌گويي را فراموش نكنيم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16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1"/>
                        <a:stretch/>
                      </pic:blipFill>
                      <pic:spPr>
                        <a:xfrm>
                          <a:off x="0" y="0"/>
                          <a:ext cx="5334120" cy="4216320"/>
                        </a:xfrm>
                        <a:prstGeom prst="rect">
                          <a:avLst/>
                        </a:prstGeom>
                        <a:ln w="0">
                          <a:noFill/>
                        </a:ln>
                      </pic:spPr>
                    </pic:pic>
                  </a:graphicData>
                </a:graphic>
              </wp:inline>
            </w:drawing>
          </mc:Choice>
          <mc:Fallback>
            <w:pict>
              <v:shape id="shape_0" stroked="f" o:allowincell="f" style="position:absolute;margin-left:0pt;margin-top:-332.05pt;width:419.95pt;height:331.95pt;mso-wrap-style:none;v-text-anchor:middle;mso-position-horizontal:left;mso-position-vertical:top" type="_x0000_t75">
                <v:imagedata r:id="rId112" o:detectmouseclick="t"/>
                <v:stroke color="#3465a4" joinstyle="round" endcap="flat"/>
                <w10:wrap type="none"/>
              </v:shape>
            </w:pict>
          </mc:Fallback>
        </mc:AlternateContent>
      </w:r>
      <w:bookmarkStart w:id="109" w:name="pg14792_139599"/>
    </w:p>
    <w:p>
      <w:pPr>
        <w:pStyle w:val="Heading2"/>
        <w:numPr>
          <w:ilvl w:val="1"/>
          <w:numId w:val="1"/>
        </w:numPr>
        <w:rPr/>
      </w:pPr>
      <w:bookmarkStart w:id="110" w:name="__RefHeading___Toc1788211_730472459"/>
      <w:bookmarkStart w:id="111" w:name="_Toc44"/>
      <w:bookmarkEnd w:id="109"/>
      <w:bookmarkEnd w:id="110"/>
      <w:r>
        <w:rPr>
          <w:rtl w:val="true"/>
        </w:rPr>
        <w:t>مقاله‌ي مورد نقد</w:t>
      </w:r>
      <w:r>
        <w:rPr>
          <w:rtl w:val="true"/>
        </w:rPr>
        <w:t xml:space="preserve">: </w:t>
      </w:r>
      <w:r>
        <w:rPr>
          <w:rtl w:val="true"/>
        </w:rPr>
        <w:t>مراتب فقهي مخاطبان سينما</w:t>
      </w:r>
      <w:bookmarkEnd w:id="111"/>
    </w:p>
    <w:p>
      <w:pPr>
        <w:pStyle w:val="Heading3"/>
        <w:numPr>
          <w:ilvl w:val="2"/>
          <w:numId w:val="1"/>
        </w:numPr>
        <w:rPr/>
      </w:pPr>
      <w:bookmarkStart w:id="112" w:name="__RefHeading___Toc1788213_730472459"/>
      <w:bookmarkStart w:id="113" w:name="_Toc45"/>
      <w:bookmarkEnd w:id="112"/>
      <w:r>
        <w:rPr>
          <w:rtl w:val="true"/>
        </w:rPr>
        <w:t>اشاره</w:t>
      </w:r>
      <w:bookmarkEnd w:id="113"/>
    </w:p>
    <w:p>
      <w:pPr>
        <w:pStyle w:val="BookText"/>
        <w:rPr/>
      </w:pPr>
      <w:r>
        <w:rPr>
          <w:rFonts w:ascii="Amiri" w:hAnsi="Amiri" w:eastAsia="Amiri" w:cs="Amiri"/>
          <w:color w:val="111111"/>
          <w:sz w:val="28"/>
          <w:sz w:val="28"/>
          <w:szCs w:val="28"/>
          <w:rtl w:val="true"/>
          <w:lang w:bidi="ar-SA"/>
        </w:rPr>
        <w:t>مراتب فقهي مخاطبان سينما</w:t>
      </w:r>
      <w:r>
        <w:rPr>
          <w:rStyle w:val="FootnoteAnchor"/>
          <w:rtl w:val="true"/>
        </w:rPr>
        <w:footnoteReference w:id="95"/>
      </w:r>
    </w:p>
    <w:p>
      <w:pPr>
        <w:pStyle w:val="Heading3"/>
        <w:numPr>
          <w:ilvl w:val="2"/>
          <w:numId w:val="1"/>
        </w:numPr>
        <w:rPr/>
      </w:pPr>
      <w:bookmarkStart w:id="114" w:name="__RefHeading___Toc1788215_730472459"/>
      <w:bookmarkStart w:id="115" w:name="_Toc46"/>
      <w:bookmarkEnd w:id="114"/>
      <w:r>
        <w:rPr>
          <w:rtl w:val="true"/>
        </w:rPr>
        <w:t>چكيده</w:t>
      </w:r>
      <w:r>
        <w:rPr>
          <w:rtl w:val="true"/>
        </w:rPr>
        <w:t>:</w:t>
      </w:r>
      <w:bookmarkEnd w:id="115"/>
    </w:p>
    <w:p>
      <w:pPr>
        <w:pStyle w:val="BookText"/>
        <w:rPr/>
      </w:pPr>
      <w:r>
        <w:rPr>
          <w:rFonts w:ascii="IRNazanin" w:hAnsi="IRNazanin" w:eastAsia="IRNazanin"/>
          <w:color w:val="111111"/>
          <w:sz w:val="28"/>
          <w:sz w:val="28"/>
          <w:szCs w:val="28"/>
          <w:rtl w:val="true"/>
          <w:lang w:bidi="fa-IR"/>
        </w:rPr>
        <w:t>در اين مقاله نويسنده درصدد است با استناد به برخي آيات و قواعد فقهي، اثبات نمايد كه روابط آزادانه‌ي زن و مرد و نمايش اين روابط، با هدف باورپذيري مخاطب نه تنها مانعي ندارد، بلكه ضرورت دارد و در اين زمينه راهكارهايي نيز ارائه نموده است</w:t>
      </w:r>
      <w:r>
        <w:rPr>
          <w:rFonts w:eastAsia="IRNazanin" w:cs="IRNazanin"/>
          <w:color w:val="111111"/>
          <w:sz w:val="28"/>
          <w:szCs w:val="28"/>
          <w:rtl w:val="true"/>
          <w:lang w:bidi="fa-IR"/>
        </w:rPr>
        <w:t>.</w:t>
      </w:r>
    </w:p>
    <w:p>
      <w:pPr>
        <w:pStyle w:val="Heading3"/>
        <w:numPr>
          <w:ilvl w:val="2"/>
          <w:numId w:val="1"/>
        </w:numPr>
        <w:rPr/>
      </w:pPr>
      <w:bookmarkStart w:id="116" w:name="__RefHeading___Toc1788217_730472459"/>
      <w:bookmarkStart w:id="117" w:name="_Toc47"/>
      <w:bookmarkEnd w:id="116"/>
      <w:r>
        <w:rPr>
          <w:rtl w:val="true"/>
        </w:rPr>
        <w:t>نقد و بررسي</w:t>
      </w:r>
      <w:r>
        <w:rPr>
          <w:rtl w:val="true"/>
        </w:rPr>
        <w:t xml:space="preserve">: </w:t>
      </w:r>
      <w:r>
        <w:rPr>
          <w:rtl w:val="true"/>
        </w:rPr>
        <w:t>تأملي در برداشت‌هاي فقهي</w:t>
      </w:r>
      <w:bookmarkEnd w:id="117"/>
    </w:p>
    <w:p>
      <w:pPr>
        <w:pStyle w:val="BookText"/>
        <w:rPr/>
      </w:pPr>
      <w:r>
        <w:rPr>
          <w:rFonts w:ascii="Amiri" w:hAnsi="Amiri" w:eastAsia="Amiri" w:cs="Amiri"/>
          <w:color w:val="111111"/>
          <w:sz w:val="28"/>
          <w:sz w:val="28"/>
          <w:szCs w:val="28"/>
          <w:rtl w:val="true"/>
          <w:lang w:bidi="ar-SA"/>
        </w:rPr>
        <w:t>علي اكبر مؤمني</w:t>
      </w:r>
    </w:p>
    <w:p>
      <w:pPr>
        <w:pStyle w:val="Heading3"/>
        <w:numPr>
          <w:ilvl w:val="2"/>
          <w:numId w:val="1"/>
        </w:numPr>
        <w:rPr/>
      </w:pPr>
      <w:bookmarkStart w:id="118" w:name="__RefHeading___Toc1788219_730472459"/>
      <w:bookmarkStart w:id="119" w:name="_Toc48"/>
      <w:bookmarkEnd w:id="118"/>
      <w:r>
        <w:rPr>
          <w:rtl w:val="true"/>
        </w:rPr>
        <w:t>مقدمه</w:t>
      </w:r>
      <w:bookmarkEnd w:id="11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انسان در زمينه‌ي اصول و ارزش‌ها، چالش‌هاي فراواني داشته، فرهنگ‌ها و تمدن‌ها به گونه‌اي با يكديگر تفاوت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اسلامي را بنا نهاد، با سه امپراطوري بزرگ معاصر خود رودررو بود كه يا بايد فرهنگ اسلامي پايدار مي‌ماند و بر اساس آن تمدني به وجود مي‌آمد و يا در برابر سه تمدن ديگر، به ويژه تمدن ايران و روم كه در نزديكي مرزهاي اسلامي قرار داشت نابود مي‌گشت؛</w:t>
      </w:r>
    </w:p>
    <w:p>
      <w:pPr>
        <w:pStyle w:val="BookText"/>
        <w:rPr/>
      </w:pPr>
      <w:r>
        <w:rPr>
          <w:rFonts w:ascii="IRNazanin" w:hAnsi="IRNazanin" w:eastAsia="IRNazanin"/>
          <w:color w:val="111111"/>
          <w:sz w:val="28"/>
          <w:sz w:val="28"/>
          <w:szCs w:val="28"/>
          <w:rtl w:val="true"/>
          <w:lang w:bidi="fa-IR"/>
        </w:rPr>
        <w:t>امّا با عنايت خداوند و سخت‌كوشي و مجاهدت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ايشان تمدن اسلامي پديد آمد و دو امپراطوري رقيب از بين رفت، و تمدن اسلامي با گذر از تمدن هندي به دروازه‌هاي تمدن چيني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حجاب، جزئي از فرهنگ الهي و تمدن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حجاب به صورت پديده‌اي فراگير در بين مسلمانان، نشانگر اين است كه فرهنگ اسلامي در عرصه‌ي تمدن‌هاي جهاني از موقعيت و جايگاه نيرومندي برخوردار است؛ از طرفي كاهش جلوه‌ي حجاب، نمايانگر اين است كه فرهنگ اسلامي در رقابت و مبارزه‌طلبي با ديگر فرهنگ‌ها ناتوان شده، و رواج بي‌حجابي دليل بر پيروزي فرهنگ‌ها و تمدن‌هاي غير اسلامي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ما حجاب با چالش‌هاي گوناگوني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شناخت اين چالش‌ها، به جاي اخضاع آيات و روايات به زانو درآوردن فرهنگ اسلام، راه صحيح پاسخ‌گويي به نيازهاي جديد را بيابيم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ورود به بحث، تذكر اين نكته لازم است كه چنانچه استنباط احكام از منابع ديني ضابطه‌مند نباشد، منجر به پيدايش مذاهب گوناگون، قرائت‌هاي ناهمگون، پلوراليسم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لذا به منظور جلوگيري از آشفتگي در فهم دين، علاوه بر خبره بودن در علوم مربوط به دين، برداشت احكام بايد با احتياط لازم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قسمتي از اين نوشته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يُبْدِينَ زِينَتَهُنَّ إِلاَّ ما ظَهَرَ مِنْها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زينت را كه در زير دامن نهان مي‌شود آشكار نسازند، جز آن‌كه در حال راه رفتن و خم و راست شدن به خودي خود ظاهر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زينتي كه در زير دامن و يا ازار خانم‌ها نهان مي‌شود و امكان آشكار شدن آن وجود دارد، ساق پاهاست كه عنوان عورت ندارد تا كشف آن حرام باشد؛ ولي چون زينت خانم‌ها محسوب مي‌شود، در برابر اجنبي بايد مستور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روي اگر در حال راه رفتن و خم و راست شدن، قسمتي از ساق پا مكشوف شود اشكالي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درباره‌ي مطالب مذكور چند نكته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آن‌گونه كه اكثر مفسّران گفته‌اند، مراد از زينت در آيه‌ي شريفه، مواضع زينت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ابداء به معناي آشكار نمودن است و مقصود از زينتهنّ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آيه‌ي 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زينت است؛ زيرا آشكار نمودن خود </w:t>
      </w:r>
    </w:p>
    <w:p>
      <w:pPr>
        <w:pStyle w:val="BookText"/>
        <w:rPr/>
      </w:pPr>
      <w:r>
        <w:rPr>
          <w:rFonts w:ascii="IRNazanin" w:hAnsi="IRNazanin" w:eastAsia="IRNazanin"/>
          <w:color w:val="111111"/>
          <w:sz w:val="28"/>
          <w:sz w:val="28"/>
          <w:szCs w:val="28"/>
          <w:rtl w:val="true"/>
          <w:lang w:bidi="fa-IR"/>
        </w:rPr>
        <w:t>زينت به تنهايي، مثل دستبند و النگو، حرام نيست؛ پس منظور از نمايان ساختن زينت، ظاهر كردن مواضع و جايگاه زينت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مكشوف شدن قسمتي از ساق پا هنگام راه رفتن، بلا اشكال بيان شده است؛ در صورتي كه بنابر آنچه گفتيم، روشن مي‌شود كه ساق پا از مواضع زينت است، نه خود زينت؛ و اين بخش از آيه، زينت‌هاي آشكار، مانند دستبند، انگشتر و النگو را استثنا نموده است نه ساق پا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مطلب، روايتي است كه در آن ابوبصير درباره‌ي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انگشتر و دستبند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 پاي زن به عنوان زينت معرفي شده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عورت ندارد تا كشف آن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آن‌كه در روايات متعددي تصريح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بدن زن عورت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بخش ديگري از مقاله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پوشيدن خمار و شنل كه تا روي دامن بيايد طبيعي است كه دست‌ها تا نيمه‌ي ساعد از زير آن خارج خواهد ماند و فقط قسمت بالاي ساعد كه گوشتين است، مانند ساق پا، مستور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براساس استثنايي كه </w:t>
      </w:r>
    </w:p>
    <w:p>
      <w:pPr>
        <w:pStyle w:val="BookText"/>
        <w:rPr/>
      </w:pPr>
      <w:r>
        <w:rPr>
          <w:rFonts w:ascii="IRNazanin" w:hAnsi="IRNazanin" w:eastAsia="IRNazanin"/>
          <w:color w:val="111111"/>
          <w:sz w:val="28"/>
          <w:sz w:val="28"/>
          <w:szCs w:val="28"/>
          <w:rtl w:val="true"/>
          <w:lang w:bidi="fa-IR"/>
        </w:rPr>
        <w:t>دارد، اگر در حال حركت دادن دست‌ها قدري بالا برود و تا نيمه‌ي ساعد عريان شود، اشكالي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بيان شد، مقصود از استثناي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زنيت‌هايي است كه آشكار مي‌باشد، نه مقداري از ساق و قسمتي از ساعد، تا آن‌كه گفته شود اگر مكشوف بماند،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اقوال اهل لغت و مفسران استفاده مي‌شود كه خمار پارچه‌اي است كه سر و سينه و گردن را مي‌پوشاند و به آن مقنعه هم مي‌گويند؛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بنابراين قسمت‌هاي ديگر بدن مانند دست‌ها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نمي‌توان با آن پوشاند و بايد با لباس ديگري پوشانده شود؛ لذا نمي‌توان گفت اگر قسمتي از دست‌ها تا نيمه‌ي ساعد هم خارج بود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 ديگري از مقاله با استناد به آيه‌ي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سوره‌ي احزاب، حكم حجاب درباره‌ي سه گروه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بانوان شوهردار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تشريفاتي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آيه‌ي كريمه صراحت دارد كه اين لباس جنبه‌ي تشريفاتي دارد، نه حجاب شرعي؛ لذا مانعي نخواهد داشت كه در تابستان از تور نازك و يا حرير و ابريشم انتخاب شود و روي شانه‌ها قرار گيرد تا ايجاد گرما نكند و</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اين مطلب از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آيه‌ي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احزاب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در تشريفاتي بودن حكم </w:t>
      </w:r>
    </w:p>
    <w:p>
      <w:pPr>
        <w:pStyle w:val="BookText"/>
        <w:rPr/>
      </w:pPr>
      <w:r>
        <w:rPr>
          <w:rFonts w:ascii="IRNazanin" w:hAnsi="IRNazanin" w:eastAsia="IRNazanin"/>
          <w:color w:val="111111"/>
          <w:sz w:val="28"/>
          <w:sz w:val="28"/>
          <w:szCs w:val="28"/>
          <w:rtl w:val="true"/>
          <w:lang w:bidi="fa-IR"/>
        </w:rPr>
        <w:t>حجاب صراحت داشته باشد، بايد به قدري روشن و شفاف بيان شده باشد كه براي ديگران نيز قابل استنباط باشد؛ در حالي كه با تتبّعي كه در تفاسير معتبر صورت گرفت، هيچ يك از مفسران اين مطلب را از آيه استفاده نكرده‌اند و آنچه مورد توجّه بيش‌تر بوده اين است كه اين بخش از آيه در صدد بيان فلسفه‌ي حجاب است، نه تشريفاتي بودن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شهيد مطهري در اين زمينه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روپوش‌هاي بزرگ كه بر سر مي‌افكنده‌اند دو 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صرفاً جنبه‌ي تشريفاتي و اسمي داشته است هم‌چنان كه در عصر حاضر بعضي از بانوانِ چادري را مي‌بينيم كه چادر داشتن آن‌ها صرفاً جنبه‌ي تشريفاتي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هيچ جاي بدن خود را نمي‌پوشانند و آن را رها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استفاده‌ي آن‌ها از چادر نشان مي‌دهد كه اهل پرهيز از معاشرت با مردان بيگانه نيستند و از اين‌كه مورد بهره‌برداري چشم‌ها قرار گيرند ابا و امتناعي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برعكس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چنان با مراقبت جامه‌هاي خود را به خود مي‌گيرد كه نشان مي‌دهد اهل عفاف و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دورباشي ايجاد مي‌كند و ناپاك‌دلان را مأيوس مي‌سازد و تعليلي كه در ذيل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مؤيد همين معناست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شهيد در جاي ديگر از بحث مي‌فرمايد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مطلبي كه از آيه استفاده مي‌شود و يك حقيقت جاوداني است اين است كه زن مسلمان بايد آنچنان در ميان مردم رفت و آمد كند كه علايم عفاف و وقار و سنگيني و پاكي از آن هويدا باشد و با اين صفت شناخته شود و در اين وقت است كه بيماردلان، كه دنبال شكار مي‌گردند، از آن‌ها مأيوس مي‌گردند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با تمسك به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زن و مرد و نگاه كردن به اين روابط را به منظور شناخت جامعه، ضرورتي مهم‌تر از حفظ جان يك انسان معرفي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معتقد است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اضطرار جايز، بلكه واجب خواهد بود، روابط زن و مرد و نگاه كردن به اين روابط نيز، با مصلحتي اهم، همان حكم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منظور از روابط، روابط خارج از محدوده‌ي شرع است و الاّ، در روابط مطابق با احكام شرع، بحثي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از نويسنده‌ي محترم سؤال كرد كه آيا براي شناخت جامعه و باورپذيري مخاطبان سينما، هيچ راهي جز روابط آزادانه‌ي زن و مرد وجود ندارد كه آن را از اهمّ ضروريات شمرده‌ايد؟ مرجع تشخيص اين ضرورت چه كسي است؟ آيا شارع بايد آن را تشخيص دهد و مصاديق آن را بيان نمايد يا بناي عقلا و يا عرف جامعه؟ در هر صورت، بسيار بعيد است كه به اين سهولت بتوان دست‌اندركاران سينما را مضطر دانست و حكم حلّيّت روابط زن و مرد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قاعده‌ي ضرورت كه از آيه‌ي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مائده استنباط مي‌شود، داراي شرايطي است و در هر كوي و برزن، به محض برخورد با مانع، نمي‌توان حكم به اضطرار نمود و اين قاعده را جاري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با استناد به قاعده‌ي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موجب آن برتري، عزت و ولايت كافران بر مؤمنان نفي مي‌شود،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توليت فرهنگي كافر كه موجب خدشه در انديشه‌ي ملي و ديني مسلمانان مي‌شود، به طريق اولي، حرمت بيش‌تري دارد و در حال حاضر كه كفار از طريق رسانه‌هاي ارتباطي، چون ماهواره، به انتقال انديشه‌ها و فراورده‌هاي خود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ميزان بتوان با اين توليت فرهنگي مقابله كرد، واجب و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براي مبارزه با اين ولايت فرهنگي دو راهكار پيش‌نهاد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گزينش فيلم‌هاي سينماي انديشه بدون سانسور، اگر بتوان به جريان آزاد و مستقل سينما پيوست و با اين ولايت فرهنگي مخالفت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طريق توليد فيلم‌هاي جذاب داخلي كه آزادانه‌تر روابط زن و مرد را براساس فيلم‌نامه نشان دهد، مي‌توان هر چه بيش‌تر در برابر ولايت فرهنگي كفار مقاومت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نادرستي مطالب فوق واضح‌تر از آن است كه نيازي به پاسخ داشته باشد، هر چند كه يادآوري چند نكته خالي از لطف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نظر نويسنده‌ي براي اجراي يك حكم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مي‌توان چند حكم شرعي ديگر را ناديده گرفت و حاصل كلام ايشان آن</w:t>
      </w:r>
    </w:p>
    <w:p>
      <w:pPr>
        <w:pStyle w:val="BookText"/>
        <w:rPr/>
      </w:pPr>
      <w:r>
        <w:rPr>
          <w:rFonts w:ascii="IRNazanin" w:hAnsi="IRNazanin" w:eastAsia="IRNazanin"/>
          <w:color w:val="111111"/>
          <w:sz w:val="28"/>
          <w:sz w:val="28"/>
          <w:szCs w:val="28"/>
          <w:rtl w:val="true"/>
          <w:lang w:bidi="fa-IR"/>
        </w:rPr>
        <w:t xml:space="preserve">است كه بنا به ضرورت، يك نوع آزادي در روابط بازيگران زن و مرد در عرصه‌ي سينما ايجاد نماييم كه اين روابط به جاي آن‌كه با احكام اسلام و موازين شرع تطبيق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فيلم‌نامه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 هر چه بيش‌تر در برابر ولايت فرهنگي كفار مقاومت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معناي حذف سانسور و ايجاد روابط آزادانه بين زنان و مردان به منظور مقابله‌ي فرهنگي دشمن، اين است كه براي تأثيرگذاري در مخاطب به جاي استفاده از فرهنگ غني اسلام و ارزش‌هاي جاويدان آن، دست به دامن ابزارهاي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آزادانه درفيلم‌ها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شويم و بدين صورت، احكام اسلام را از صحنه‌ي اجتماع خارج نموده، آگاهانه يا ناآگاهانه به نام مبارزه با فرهنگ غرب، خود مروّج فرهنگ آنان باشيم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گفته شد، مورد نظر نويسنده‌ي مقاله نيست؛ امّا بدون شك با اندكي دقت نتايج فوق از راهكارهاي ايشان حاصل مي‌گردد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30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3"/>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124" o:detectmouseclick="t"/>
                <v:stroke color="#3465a4" joinstyle="round" endcap="flat"/>
                <w10:wrap type="none"/>
              </v:shape>
            </w:pict>
          </mc:Fallback>
        </mc:AlternateContent>
      </w:r>
      <w:bookmarkStart w:id="120" w:name="pg14792_139609"/>
    </w:p>
    <w:p>
      <w:pPr>
        <w:pStyle w:val="Heading2"/>
        <w:numPr>
          <w:ilvl w:val="1"/>
          <w:numId w:val="1"/>
        </w:numPr>
        <w:rPr/>
      </w:pPr>
      <w:bookmarkStart w:id="121" w:name="__RefHeading___Toc1788221_730472459"/>
      <w:bookmarkStart w:id="122" w:name="_Toc49"/>
      <w:bookmarkEnd w:id="120"/>
      <w:bookmarkEnd w:id="121"/>
      <w:r>
        <w:rPr>
          <w:rtl w:val="true"/>
        </w:rPr>
        <w:t>مقاله‌ي مورد نقد</w:t>
      </w:r>
      <w:r>
        <w:rPr>
          <w:rtl w:val="true"/>
        </w:rPr>
        <w:t xml:space="preserve">: </w:t>
      </w:r>
      <w:r>
        <w:rPr>
          <w:rtl w:val="true"/>
        </w:rPr>
        <w:t>زنان موسيقي ايران از اسطوره تا امروز</w:t>
      </w:r>
      <w:bookmarkEnd w:id="122"/>
    </w:p>
    <w:p>
      <w:pPr>
        <w:pStyle w:val="Heading3"/>
        <w:numPr>
          <w:ilvl w:val="2"/>
          <w:numId w:val="1"/>
        </w:numPr>
        <w:rPr/>
      </w:pPr>
      <w:bookmarkStart w:id="123" w:name="__RefHeading___Toc1788223_730472459"/>
      <w:bookmarkStart w:id="124" w:name="_Toc50"/>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زنان موسيقي ايران از اسطوره تا امروز</w:t>
      </w:r>
      <w:r>
        <w:rPr>
          <w:rStyle w:val="FootnoteAnchor"/>
          <w:rtl w:val="true"/>
        </w:rPr>
        <w:footnoteReference w:id="103"/>
      </w:r>
    </w:p>
    <w:p>
      <w:pPr>
        <w:pStyle w:val="Heading3"/>
        <w:numPr>
          <w:ilvl w:val="2"/>
          <w:numId w:val="1"/>
        </w:numPr>
        <w:rPr/>
      </w:pPr>
      <w:bookmarkStart w:id="125" w:name="__RefHeading___Toc1788225_730472459"/>
      <w:bookmarkStart w:id="126" w:name="_Toc51"/>
      <w:bookmarkEnd w:id="125"/>
      <w:r>
        <w:rPr>
          <w:rtl w:val="true"/>
        </w:rPr>
        <w:t>چكيده</w:t>
      </w:r>
      <w:r>
        <w:rPr>
          <w:rtl w:val="true"/>
        </w:rPr>
        <w:t>:</w:t>
      </w:r>
      <w:bookmarkEnd w:id="126"/>
    </w:p>
    <w:p>
      <w:pPr>
        <w:pStyle w:val="BookText"/>
        <w:rPr/>
      </w:pPr>
      <w:r>
        <w:rPr>
          <w:rFonts w:ascii="Amiri" w:hAnsi="Amiri" w:eastAsia="Amiri" w:cs="Amiri"/>
          <w:color w:val="111111"/>
          <w:sz w:val="28"/>
          <w:sz w:val="28"/>
          <w:szCs w:val="28"/>
          <w:rtl w:val="true"/>
          <w:lang w:bidi="ar-SA"/>
        </w:rPr>
        <w:t>نويسنده در بررسي وضعيت اجتماعي زنان موسيقي‌دان در دوره‌ي اسلامي، به توجه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سكينه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موسيقي و زنان موسيقي‌دان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يكي از مستمعان خوش ذوق موسيقي زنان و حضرت سكينه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معروف‌ترين طرفداران موسيقي در دوران خلافت امويان نام مي‌برد</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788227_730472459"/>
      <w:bookmarkStart w:id="128" w:name="_Toc52"/>
      <w:bookmarkEnd w:id="127"/>
      <w:r>
        <w:rPr>
          <w:rtl w:val="true"/>
        </w:rPr>
        <w:t>نقد و بررسي</w:t>
      </w:r>
      <w:r>
        <w:rPr>
          <w:rtl w:val="true"/>
        </w:rPr>
        <w:t xml:space="preserve">: </w:t>
      </w:r>
      <w:r>
        <w:rPr>
          <w:rtl w:val="true"/>
        </w:rPr>
        <w:t>تحريف و توهين، با كدامين هدف؟</w:t>
      </w:r>
      <w:bookmarkEnd w:id="128"/>
    </w:p>
    <w:p>
      <w:pPr>
        <w:pStyle w:val="BookText"/>
        <w:rPr/>
      </w:pPr>
      <w:r>
        <w:rPr>
          <w:rFonts w:ascii="Amiri" w:hAnsi="Amiri" w:eastAsia="Amiri" w:cs="Amiri"/>
          <w:color w:val="111111"/>
          <w:sz w:val="28"/>
          <w:sz w:val="28"/>
          <w:szCs w:val="28"/>
          <w:rtl w:val="true"/>
          <w:lang w:bidi="ar-SA"/>
        </w:rPr>
        <w:t>غلام‌حسن محرمي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طرح شده در اين روزنامه و كتاب مذكور، حساسيّت‌هايي را در متدينان و دين‌ورزان جامعه برانگيخت و اعتراض مراجع تقليد را نيز </w:t>
      </w:r>
    </w:p>
    <w:p>
      <w:pPr>
        <w:pStyle w:val="BookText"/>
        <w:rPr/>
      </w:pPr>
      <w:r>
        <w:rPr>
          <w:rFonts w:ascii="IRNazanin" w:hAnsi="IRNazanin" w:eastAsia="IRNazanin"/>
          <w:color w:val="111111"/>
          <w:sz w:val="28"/>
          <w:sz w:val="28"/>
          <w:szCs w:val="28"/>
          <w:rtl w:val="true"/>
          <w:lang w:bidi="fa-IR"/>
        </w:rPr>
        <w:t>در پي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واكنش‌هاي اجتماعي هرچند به‌جا و بايسته است و هر چند اعتراض كم‌ترين حقّ جامعه‌ي ديني ماست، امّا تحليل مطالب ياد شده و بررسي نقاط انحرافي آن، و روشنگري درباره‌ي آن، وظيفه‌ي ديگري است كه بايد انجام پذيرد؛ لذا مطالب ذيل در راستاي همين مهم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روزنامه‌ي ايران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كارنامه‌ي زنان موسيقي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يكي از جالب‌ترين اشارات را در بخشي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موسيقي ايران از اسطوره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توجّه وافر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موسيقي و زنان موسيقي‌دان مي‌شمارد؛ سپس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نگارنده‌ي اثر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يكي از مستمعان خوش ذوق موسيقي زنان نام برده و هم‌چنين نام حضرت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معروف‌ترين حامي موسيقي در دوران خلافت امويان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ايشان به هنروري و ستايشگري شاعران بزرگِ روزگار خويش نيز شهره بوده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براي روشن ساختن زواياي تاريك اين ادعاها، توجّه به نكات ذيل ضروري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درباره‌ي احكام و مسائل اسلامي، كار بدان آساني نيست، كه با مشاهده‌ي هر سخن سستي، در هر كتابي بتوان به ابراز نظر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جامعه‌ي علمي امّت اسلامي هيچ‌گاه نيازمند نبود كه كساني، عمر و جواني خويش را صرف آموختن قواعد استنباط مسائل شرعي كنند</w:t>
      </w:r>
    </w:p>
    <w:p>
      <w:pPr>
        <w:pStyle w:val="BookText"/>
        <w:rPr/>
      </w:pPr>
      <w:r>
        <w:rPr>
          <w:rFonts w:ascii="IRNazanin" w:hAnsi="IRNazanin" w:eastAsia="IRNazanin"/>
          <w:color w:val="111111"/>
          <w:sz w:val="28"/>
          <w:sz w:val="28"/>
          <w:szCs w:val="28"/>
          <w:rtl w:val="true"/>
          <w:lang w:bidi="fa-IR"/>
        </w:rPr>
        <w:t>و در اين باب به تخصّص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درايه و رجال در كنار آموخته‌هاي فراوان ديگر، كمك‌كار استنباط فقيهان است، تا احاديث صحيح از ضعيف بازشناخته شود و روايت‌هاي ضعيف و مجهول مورد استناد قرار نگيرند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حامد غزالي كه در كيمياي سعادت حتي بر آن است كه نبايد صداي هاون كوبيدن زنان به گوش مردان نامحرم برسد، در كتاب احياء علوم‌الدين حديثي شگفت‌آور بدين مضمون نقل كرده است كه دو كنيز در حضور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نوازندگي مشغول بودند كه ابوبكر يا عمر وارد شد و آن دو را از اين كار نهي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حديثي اين گونه در زواياي كتابي هم‌چون احياء العلوم و امثال آن باقي مي‌ماند و در طي قرون مورد استفاده‌ي فقيهان و حديث‌شناسان قرار نمي‌گيرد، بدين سبب است كه از خود حديث، جعلي و كذب بودن آن آشكار است؛ زيرا اولاً حديث،به اصطلاح فقهي، تزلزل متني دارد و به صورت‌هاي گوناگون نقل شده است كه يكديگر را تكذيب مي‌كنند؛ بدين نحو كه در يك حديث آمده كه عمر آمد و از خواندن آن دو كنيز نهي كرد و در روايتي ديگر شخص نهي كننده ابوبكر مي‌باشد، علاوه بر اختلافات ديگري كه در نقل‌هاي مختلف حديث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اسناد اين احاديث اشخاصي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زهري، عروة بن زبير و ابوهريره به چشم مي‌خورند كه زهري و عروه به تصريح ابن ابي الحديد از مخالفان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پيوسته از آن حضرت بدگويي مي‌كردند و در يك مورد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برخورد داشته است؛</w:t>
      </w:r>
      <w:r>
        <w:rPr>
          <w:rStyle w:val="FootnoteAnchor"/>
          <w:rtl w:val="true"/>
        </w:rPr>
        <w:footnoteReference w:id="105"/>
      </w:r>
      <w:r>
        <w:rPr>
          <w:rFonts w:ascii="IRNazanin" w:hAnsi="IRNazanin" w:eastAsia="IRNazanin"/>
          <w:color w:val="111111"/>
          <w:sz w:val="28"/>
          <w:sz w:val="28"/>
          <w:szCs w:val="28"/>
          <w:rtl w:val="true"/>
          <w:lang w:bidi="fa-IR"/>
        </w:rPr>
        <w:t>به علاوه اين‌كه از طرف‌داران بني اميّه بودند و حتّي زهري مدتي كارگزار آنان بود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عروة بن زبير نيز، بنا به نقل ابن ابي الحديد، از كساني بود كه از معاويه پول مي‌گرفت و به نفع آنان حديث جعل مي‌كرد؛</w:t>
      </w:r>
      <w:r>
        <w:rPr>
          <w:rStyle w:val="FootnoteAnchor"/>
          <w:rtl w:val="true"/>
        </w:rPr>
        <w:footnoteReference w:id="107"/>
      </w:r>
      <w:r>
        <w:rPr>
          <w:rFonts w:ascii="IRNazanin" w:hAnsi="IRNazanin" w:eastAsia="IRNazanin"/>
          <w:color w:val="111111"/>
          <w:sz w:val="28"/>
          <w:sz w:val="28"/>
          <w:szCs w:val="28"/>
          <w:rtl w:val="true"/>
          <w:lang w:bidi="fa-IR"/>
        </w:rPr>
        <w:t>و شخصي چون ابوهريره نيز دروغ‌پردازي‌اش در نقل احاديث، شهره‌ي آفاق است و بدنامي او در زمان خودش به حدّي بود كه تعدادي از اصحاب پيامبر از جمله عبدالله بن عمر و عايشه هم او را به جعل حديث متّهم مي‌كردند و در مورد بعضي احاديث او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حديثي را از پيامبر نشنيده‌ايم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اين گونه راويان براي توجيه فساد حاكمان اموي، دست به جعل چنين احاديثي بزنند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طبق شهادت منابع معتبر، حرمت غنا در ميان مسلمانان صدر اسلام امري پذيرفته شده و مورد قبول همه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ابوبكر، غنا به عنوان يكي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اكيداً ممنوع بود؛ در تاريخ طبري آمده است </w:t>
      </w:r>
    </w:p>
    <w:p>
      <w:pPr>
        <w:pStyle w:val="BookText"/>
        <w:rPr/>
      </w:pPr>
      <w:r>
        <w:rPr>
          <w:rFonts w:ascii="Amiri" w:hAnsi="Amiri" w:eastAsia="Amiri" w:cs="Amiri"/>
          <w:color w:val="111111"/>
          <w:sz w:val="28"/>
          <w:sz w:val="28"/>
          <w:szCs w:val="28"/>
          <w:rtl w:val="true"/>
          <w:lang w:bidi="ar-SA"/>
        </w:rPr>
        <w:t>كه مجازات دو دختر خواننده به نام‌هاي ثبجة الحضرميه و هند بنت يامين، بريدن دست‌ها و كشيدن دندان‌هايشان بود</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عمر هم از اين لحاظ با ابوبكر فرق چنداني نداشت و همواره موسيقي‌دانان و خوانندگان را مورد عتاب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الفريد آمده است كه دو نفر از اشراف قريش آواز مي‌خواندند كه عمر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انتما كحماري العباديّ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برخورد مي‌كند و با تشبيه صداي آن دو به الا‌غ، آنها را از اين كار منع مي‌كند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ابن خلدون با اطمينان تمام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ظهور اسلام، هر چيزي كه در فضاي تعليمات قرآن موجود نبود، تحقير مي‌شد و آواز و رقص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شديداً ممنوع بود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علاوه بر اجماع شيعه بر حرمت غنا، بزرگان علماي اهل سنت نيز در ذيل تفسير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لهو الحديث را، غنا معرّفي كرده‌اند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از وجود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ايشان فرموده‌اند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استماعُ صوتِ الملاهي معصيةٌ و الجلوسُ عليها فسقٌ و التلذّدُ بها من الكفر؛</w:t>
      </w:r>
      <w:r>
        <w:rPr>
          <w:rStyle w:val="FootnoteAnchor"/>
          <w:rtl w:val="true"/>
        </w:rPr>
        <w:footnoteReference w:id="113"/>
      </w:r>
      <w:r>
        <w:rPr>
          <w:rFonts w:ascii="IRNazanin" w:hAnsi="IRNazanin" w:eastAsia="IRNazanin"/>
          <w:color w:val="111111"/>
          <w:sz w:val="28"/>
          <w:sz w:val="28"/>
          <w:szCs w:val="28"/>
          <w:rtl w:val="true"/>
          <w:lang w:bidi="fa-IR"/>
        </w:rPr>
        <w:t>گوش فرا دادن به صداي لهوي گناه است و نشستن در مجلس آن فسق و لذت بردن از آن كفر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اتّهام وارده به جناب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آن بزرگوار از عقلي وافر و هوشي سرشار و نظري صائب برخوردار بود، فصيح سخن مي‌گفت، از شعر و ادب بهره‌اي كافي داشت و فضلش زبان‌زد عام 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الاغاني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ابوالفرج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اغنيه به معني غنا است، نويسنده به غلط پنداشته كه اين كتاب تنها به بحث موسيقي و غنا پرداخته است و هر كسي كه در اين كتاب از او نام برده شود، حتماً با موسيقي و غنا در ارتباط است؛ در حالي كه موضوع اين كتاب تنها موسيقي و غنا نيست، بلكه ابوالفرج اصفهاني در اين كتاب به شعر و شاعران و تاريخ زندگي آنها نيز پرداخته است؛ و ذكر نام جناب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اين جهت است كه ايشان شخصي شعر شناس و اديبي چيره دست بودند و شاعران از علم و آگاهي او بهره مند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هيچ گزارشي از حمايت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موسيقي نمي‌يابيم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اصفهاني در اغاني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نبوغ علمي و ادبي كه داشت، در ميان شاعران نامدار، بر كرسي قضاوت مي‌نشست و شعر شاعران را ارزيابي مي‌نمود و</w:t>
      </w:r>
    </w:p>
    <w:p>
      <w:pPr>
        <w:pStyle w:val="BookText"/>
        <w:rPr/>
      </w:pPr>
      <w:r>
        <w:rPr>
          <w:rFonts w:ascii="IRNazanin" w:hAnsi="IRNazanin" w:eastAsia="IRNazanin"/>
          <w:color w:val="111111"/>
          <w:sz w:val="28"/>
          <w:sz w:val="28"/>
          <w:szCs w:val="28"/>
          <w:rtl w:val="true"/>
          <w:lang w:bidi="fa-IR"/>
        </w:rPr>
        <w:t>آنها را راه‌نمايي مي‌كرد؛ هم‌چنين در اين كتاب آمده است كه او در پشت پرده مي‌نشست و شاعران اشعار خود را بر او عرضه مي‌كردند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اميد است همه‌ي نويسندگان اين مرز و بوم، جز به تحقيق قلم نزنند و هميشه اين جمله‌ي حكيمانه‌ي خواجه عبدالله انصاري را به ياد داشته باشند كه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جنايت است، تحقيق آن را مباح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97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33"/>
                        <a:stretch/>
                      </pic:blipFill>
                      <pic:spPr>
                        <a:xfrm>
                          <a:off x="0" y="0"/>
                          <a:ext cx="5334120" cy="4597560"/>
                        </a:xfrm>
                        <a:prstGeom prst="rect">
                          <a:avLst/>
                        </a:prstGeom>
                        <a:ln w="0">
                          <a:noFill/>
                        </a:ln>
                      </pic:spPr>
                    </pic:pic>
                  </a:graphicData>
                </a:graphic>
              </wp:inline>
            </w:drawing>
          </mc:Choice>
          <mc:Fallback>
            <w:pict>
              <v:shape id="shape_0" stroked="f" o:allowincell="f" style="position:absolute;margin-left:0pt;margin-top:-362.05pt;width:419.95pt;height:361.95pt;mso-wrap-style:none;v-text-anchor:middle;mso-position-horizontal:left;mso-position-vertical:top" type="_x0000_t75">
                <v:imagedata r:id="rId134" o:detectmouseclick="t"/>
                <v:stroke color="#3465a4" joinstyle="round" endcap="flat"/>
                <w10:wrap type="none"/>
              </v:shape>
            </w:pict>
          </mc:Fallback>
        </mc:AlternateContent>
      </w:r>
      <w:bookmarkStart w:id="129" w:name="pg14792_139617"/>
    </w:p>
    <w:p>
      <w:pPr>
        <w:pStyle w:val="Heading2"/>
        <w:numPr>
          <w:ilvl w:val="1"/>
          <w:numId w:val="1"/>
        </w:numPr>
        <w:rPr/>
      </w:pPr>
      <w:bookmarkStart w:id="130" w:name="__RefHeading___Toc1788229_730472459"/>
      <w:bookmarkStart w:id="131" w:name="_Toc53"/>
      <w:bookmarkEnd w:id="129"/>
      <w:bookmarkEnd w:id="130"/>
      <w:r>
        <w:rPr>
          <w:rtl w:val="true"/>
        </w:rPr>
        <w:t>مقاله‌ي مورد نقد</w:t>
      </w:r>
      <w:r>
        <w:rPr>
          <w:rtl w:val="true"/>
        </w:rPr>
        <w:t xml:space="preserve">: </w:t>
      </w:r>
      <w:r>
        <w:rPr>
          <w:rtl w:val="true"/>
        </w:rPr>
        <w:t>دختراني كه با لباس پسرانه به استاديوم فوتبال مي‌روند</w:t>
      </w:r>
      <w:bookmarkEnd w:id="131"/>
    </w:p>
    <w:p>
      <w:pPr>
        <w:pStyle w:val="Heading3"/>
        <w:numPr>
          <w:ilvl w:val="2"/>
          <w:numId w:val="1"/>
        </w:numPr>
        <w:rPr/>
      </w:pPr>
      <w:bookmarkStart w:id="132" w:name="__RefHeading___Toc1788231_730472459"/>
      <w:bookmarkStart w:id="133" w:name="_Toc54"/>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دختراني كه با لباس پسرانه به استاديوم فوتبال مي‌روند</w:t>
      </w:r>
      <w:r>
        <w:rPr>
          <w:rStyle w:val="FootnoteAnchor"/>
          <w:rtl w:val="true"/>
        </w:rPr>
        <w:footnoteReference w:id="115"/>
      </w:r>
    </w:p>
    <w:p>
      <w:pPr>
        <w:pStyle w:val="Heading3"/>
        <w:numPr>
          <w:ilvl w:val="2"/>
          <w:numId w:val="1"/>
        </w:numPr>
        <w:rPr/>
      </w:pPr>
      <w:bookmarkStart w:id="134" w:name="__RefHeading___Toc1788233_730472459"/>
      <w:bookmarkStart w:id="135" w:name="_Toc55"/>
      <w:bookmarkEnd w:id="134"/>
      <w:r>
        <w:rPr>
          <w:rtl w:val="true"/>
        </w:rPr>
        <w:t>چكيده</w:t>
      </w:r>
      <w:r>
        <w:rPr>
          <w:rtl w:val="true"/>
        </w:rPr>
        <w:t>:</w:t>
      </w:r>
      <w:bookmarkEnd w:id="135"/>
    </w:p>
    <w:p>
      <w:pPr>
        <w:pStyle w:val="BookText"/>
        <w:rPr/>
      </w:pPr>
      <w:r>
        <w:rPr>
          <w:rFonts w:ascii="IRNazanin" w:hAnsi="IRNazanin" w:eastAsia="IRNazanin"/>
          <w:color w:val="111111"/>
          <w:sz w:val="28"/>
          <w:sz w:val="28"/>
          <w:szCs w:val="28"/>
          <w:rtl w:val="true"/>
          <w:lang w:bidi="fa-IR"/>
        </w:rPr>
        <w:t>گزارش‌گر در ضمن اين گزارش و از زبان افراد مختلف سعي كرده است كه مسئله‌ي علاقه‌ي دختران براي حضور در ورزشگاه مردان و تماشاي مسابقات ورزشي مردان را يك ضرورت اجتماعي و موجب گرم شدن ميادين ورزشي قلمداد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بدون بررسي ابعاد مختلف اين قضيه و پيامدهاي آن، تلاش كرده تا مسئله را از جهت شرعي بدون اشكال وانمود كند</w:t>
      </w:r>
      <w:r>
        <w:rPr>
          <w:rFonts w:eastAsia="IRNazanin" w:cs="IRNazanin"/>
          <w:color w:val="111111"/>
          <w:sz w:val="28"/>
          <w:szCs w:val="28"/>
          <w:rtl w:val="true"/>
          <w:lang w:bidi="fa-IR"/>
        </w:rPr>
        <w:t>.</w:t>
      </w:r>
    </w:p>
    <w:p>
      <w:pPr>
        <w:pStyle w:val="Heading3"/>
        <w:numPr>
          <w:ilvl w:val="2"/>
          <w:numId w:val="1"/>
        </w:numPr>
        <w:rPr/>
      </w:pPr>
      <w:bookmarkStart w:id="136" w:name="__RefHeading___Toc1788235_730472459"/>
      <w:bookmarkStart w:id="137" w:name="_Toc56"/>
      <w:bookmarkEnd w:id="136"/>
      <w:r>
        <w:rPr>
          <w:rtl w:val="true"/>
        </w:rPr>
        <w:t>نقد و بررسي</w:t>
      </w:r>
      <w:r>
        <w:rPr>
          <w:rtl w:val="true"/>
        </w:rPr>
        <w:t xml:space="preserve">: </w:t>
      </w:r>
      <w:r>
        <w:rPr>
          <w:rtl w:val="true"/>
        </w:rPr>
        <w:t>زنان و حضور در ورزشگاه مردان</w:t>
      </w:r>
      <w:bookmarkEnd w:id="13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كريمي </w:t>
      </w:r>
    </w:p>
    <w:p>
      <w:pPr>
        <w:pStyle w:val="BookText"/>
        <w:rPr/>
      </w:pPr>
      <w:r>
        <w:rPr>
          <w:rFonts w:ascii="IRNazanin" w:hAnsi="IRNazanin" w:eastAsia="IRNazanin"/>
          <w:color w:val="111111"/>
          <w:sz w:val="28"/>
          <w:sz w:val="28"/>
          <w:szCs w:val="28"/>
          <w:rtl w:val="true"/>
          <w:lang w:bidi="fa-IR"/>
        </w:rPr>
        <w:t>مدتي است كه برخي از مطبوعات و طيف‌ها در اين زمينه قلم مي‌زنند و سخن مي‌گويند تا، به گمان خود، شايد اين تبعيض و ظلم بزرگي كه بر زنان رفته است،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مجله‌ي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مجمع چنين افكاري است، در شماره‌ي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 دو مقاله، به بهانه‌ي بازي فوتبال بين ايران و ايرلند، اين بحث را 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مقاله از خانم مهين گرجي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ويژه‌ي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براي زنان ايرلندي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مقاله‌ي ديگري از خانم دلفين مينويي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پيروزي مهمانان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مسأله مدتي است كه به صورت‌هاي مختلف و از زبان برخي از شهروندان و مسؤلان و نويسندگان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به صورت مختصر، نكاتي را پيرامون اين مطلب ذكر مي‌كنيم كه ناظر به مقاله‌ي روزنامه‌ي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پاسخ سخناني از اين دست شمرده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ابتداي گزارش آمده كه اشتياق دختران جوان به فوتبال اگر بيش‌تر از پسران نباشد، كم‌تر نيست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ادعا خلاف وجدان و داده‌هاي آمارها خلاف اقتضاي طبيعي جسم و روح لطيف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كشورهاي غربي نيز چنين چيزي ديده نمي‌شود؛ نه به‌عنوان بازي‌كن و نه به‌عنوان تماشاگر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بايد بين اشتياق به فوتبال و علاقه به تماشاي آن فرق گذاشت؛ به هر حال، هم انجام بازي فوتبال و بازي‌هاي پرجست و خيز بيش‌تر مورد علاقه‌ي مردان </w:t>
      </w:r>
    </w:p>
    <w:p>
      <w:pPr>
        <w:pStyle w:val="BookText"/>
        <w:rPr/>
      </w:pPr>
      <w:r>
        <w:rPr>
          <w:rFonts w:ascii="IRNazanin" w:hAnsi="IRNazanin" w:eastAsia="IRNazanin"/>
          <w:color w:val="111111"/>
          <w:sz w:val="28"/>
          <w:sz w:val="28"/>
          <w:szCs w:val="28"/>
          <w:rtl w:val="true"/>
          <w:lang w:bidi="fa-IR"/>
        </w:rPr>
        <w:t>و مناسب‌تر با جسم</w:t>
      </w:r>
      <w:r>
        <w:rPr>
          <w:rStyle w:val="FootnoteAnchor"/>
          <w:rtl w:val="true"/>
        </w:rPr>
        <w:footnoteReference w:id="116"/>
      </w:r>
      <w:r>
        <w:rPr>
          <w:rFonts w:ascii="IRNazanin" w:hAnsi="IRNazanin" w:eastAsia="IRNazanin"/>
          <w:color w:val="111111"/>
          <w:sz w:val="28"/>
          <w:sz w:val="28"/>
          <w:szCs w:val="28"/>
          <w:rtl w:val="true"/>
          <w:lang w:bidi="fa-IR"/>
        </w:rPr>
        <w:t>و روح آنهاست و هم تماشاي اين بازي ، و حضور بيش‌تر آنان در ورزشگاه‌هاي دنيا در كنار رسانه‌هاي مختلف شاهد بر اين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جاي گزارش آمده است كه دختران زيادي مايل به ورود به ورزشگاه فوتبال هستند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البتّه واقعيت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نه به اندازه‌ي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علاقه‌ي جمعي به يك عمل، دليل صحت و خوبي آن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همواره افراد بسياري علاقه به مشروبات الكلي و مواد مخدّر و قمار و هم‌جنس‌بازي داشته‌اند، اما همه‌ي اين موارد منكر، زشت و ناپسندند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مسأله‌ي ما اختلاف بر سر علاقه‌مندي يا بي‌علاقگي برخي از زنان نيست؛ بلكه اختلاف بر سر موانع و مشكلاتي است كه اين عمل براي بانوان و نيز مردان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ديگري كه در همين جا اشاره مي‌كنم اين است كه حضور زنان در ورزشگاه‌هاي مختلف در سراسر دنيا با شرايط مختلف، نبايد الگوي عملي ما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بسياري در دنيا انجام مي‌شود كه با ارزش‌ها و عقايد و فرهنگ جامعه‌ي ديني و ايراني ما سازگار نيست؛ بنابراين، وجود اختلاط در سرتاسر دنيا هم، دليلي براي پذيرش و امضاي ما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بايد دنباله‌رو و مقلّد آنان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نبايد پيرو تفكّر و عمل صحيح و معقول ما در اين زمينه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گزارش، به‌طور ضمني، عمل برخي از دختران كه با لباس مبدّل پسرانه وارد ورزشگاه شده، يا قصد ورود داشته‌اند، تأييد شده است؛ اما آيا عمل خلاف قانون و ادب جامعه قابل تأييد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نفس تظاهر و جلوه در هيئت جنس مخالف عملي زشت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درست است به جاي اين‌كه به دختران جوان و نورس آموزش‌هاي لازم و توجيه‌هاي معقول را منتقل كنيم، تخلفات آنها را ناديده بگيريم يا ترويج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هدف و ميل ما صحيح و معقول باشد، آيا اين امر، هر وسيله‌اي را توجيه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ادامه‌ي سخن نشان خواهيم داد كه اين هدف و ايده اصولاً مشروع و منطقي هم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ادامه‌ي گزارش از قول يك مصاحبه شونده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فرقي ميان دختر و پسر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آنها فقط فيزيكي است نه انساني</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مرد و زن در زمينه‌هاي مختلفي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تفاوت‌هاي جسمي و فيزيولوژي دارند و هم اختلافات روحي و عاطفي؛ ضمن اين‌كه هر دو جنس در اصل انسانيت شريك‌اند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تفاوت‌هاي دو قشر امري است كه در كتب مختلف علمي و روان‌شناسي و پزشكي و نيز منابع ديني آمده است و اين‌جا مجال ذكر آنها نيست</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همين تفاوت‌ها موجب كاركردها و نقش‌ها و انتظارات مختلفي در مرد و زن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دقيقاً به همين دليل است </w:t>
      </w:r>
    </w:p>
    <w:p>
      <w:pPr>
        <w:pStyle w:val="BookText"/>
        <w:rPr/>
      </w:pPr>
      <w:r>
        <w:rPr>
          <w:rFonts w:ascii="IRNazanin" w:hAnsi="IRNazanin" w:eastAsia="IRNazanin"/>
          <w:color w:val="111111"/>
          <w:sz w:val="28"/>
          <w:sz w:val="28"/>
          <w:szCs w:val="28"/>
          <w:rtl w:val="true"/>
          <w:lang w:bidi="fa-IR"/>
        </w:rPr>
        <w:t>كه ما با حضور زن با جسم و روح لطيف در جمع مردان و ديدن فوتبال آنها مخالف هستيم؛ و الا صرف بازي كردن زنان، چه فوتبال و چه واليبال و بسكتبال يا شنا و چه تماشاي آنان در جمع خاص خودشان، هيچ‌كدام منع شرعي و عقلي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نگفته است در استاديوم مخصوص بانوان كه خودشان بازي مي‌كنند، زنان وارد نشوند و حق اوّليه‌ي خود را اعمال نكنند؛ بلكه ادعا و توقع اين است كه چنان‌كه حضور مردان در استاديوم خاص زنان كه با پوشش مناسب ورزشي در آن حضور دارند، صحيح نيست، متقابلاً حضور زنان نيز در استاديوم خاص آقايان و بازي‌كنان مرد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خوب و قابل توجه ديگري كه در ضمن گزارش از يك مدير دبيرستان دخترانه ذكر شده آن است كه متأسفانه گاهي جو و شرايط ورزشگاه چنان نامناسب و همراه با كلمات مستهجن و ركيك و حركات ناشايست و خشونت و آتش‌افروزي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پدران و مادران دلسوز و عاقل حتي راضي نمي‌شوند پسران جوان آنها به اين محيط وارد شوند، چه رسد به دختران پاك و معصومي كه بيش‌تر در معرض آسيب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نشستن اين افراد در منزل و در كنار پدر و مادر و تماشا از طريق تلوزيون، اشكال و ضرري دارد كه با محرّك‌هاي مختلف، سعي در كشاندن آنها به خيابان و ورزشگاه و ايجاد مشكلات بعدي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قصد بازي دارند، هر قشري در محيط مناسب خود و با دوستان خود بازي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نكته‌ي ديگري كه مدافعان حضور زنان در ورزشگاه‌هاي مردان ذكر مي‌كنند اين است كه حضور زنان و خانواده‌ها هم موجب تشويق بازي‌كنان مي‌شود و هم اگر همه‌ي جوانان به ناموس ديگران احترام بگذارند، بسياري از ناهنجاري‌ها و فحش‌ها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خصوص نيز ملاحظاتي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زن و فرزند يك فوتباليست، زن و فرزند فوتباليست‌هاي ديگر و تيم رقيب نيستند؛ بنابراين، بايد مجموعه‌ي افراد و شرايط را در نظر گرفت كه در اين صورت همان موانع شرعي و عقلي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تشويق خواهر و مادر و فايده‌ي آن از يك جهت، نفي جهات منفي و مشكلات را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فراواني داراي مزيّت‌هايي هستند اما در مقابل مشكلات متعددي نيز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چگونه حضور زن و فرزند و پير و جوان در كوچه و خيابان مانع كار خلاف و ناهنجار نمي‌شود، اما در ورزشگاه حضور زنان مانع انجام كار خلاف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كارهاي خلافي را كه از خود زنان و دختران جوان، آن هم موقع احساسات و تزاحمات سر مي‌زند، نبايد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در ورزشگاه‌هاي مختلط دنيا، اين حضور مانع زشتي‌ها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خوش‌بختانه در ضمن گزارش هم از قول بعضي افراد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حتي مدافعين حضور زنان نيز بعضي شرايط فعلي را مناسب براي اين امر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برگزاري مسابقات، مخصوصاً ديدارهاي حساس، معمولاً با دعوا، شيشه شكستن، ناسزاگويي،</w:t>
      </w:r>
    </w:p>
    <w:p>
      <w:pPr>
        <w:pStyle w:val="BookText"/>
        <w:rPr/>
      </w:pPr>
      <w:r>
        <w:rPr>
          <w:rFonts w:ascii="IRNazanin" w:hAnsi="IRNazanin" w:eastAsia="IRNazanin"/>
          <w:color w:val="111111"/>
          <w:sz w:val="28"/>
          <w:sz w:val="28"/>
          <w:szCs w:val="28"/>
          <w:rtl w:val="true"/>
          <w:lang w:bidi="fa-IR"/>
        </w:rPr>
        <w:t>فشار جمعيت و حركات ناشايست، پرتاب نارنجك و امثال اين امور خشن است، آيا عقل و منطق سليم مي‌پذيرد كه ما همسران و خواهران و مادران خود را به اين وادي بكشانيم؟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احقاق حقّ زمين مانده‌ي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خواننده‌ي محترم مي‌داند و مي‌بيند كه همه ساله هنگام برگزاري مسابقات مختلف در دنيا، خصوصاً بازي‌هاي جهاني و المپيك، چه هزينه‌هاي سرسام‌آور و تدابير امنيتي شديدي براي حفظ نظم و سلامت مسابقات در نظر گرفته مي‌شود و باز هم حوادث دل‌خراشي، به تناوب، روح شنوندگان را مي‌آزارد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شخص با مادر يا خواهر يا همسر خود وارد ورزشگاه مي‌شود، آيا محل زنان و مردان بايد جدا باشد يا مختلط؟ اگر جدا باشد كه اولاً ورود و خروج و هماهنگي خانواده در جمع‌هاي شلوغ و پرهيجان مثل استاديوم آزادي بسيار مشكل و غير قابل قياس با اتوبوس و سالن سينماست و مشكلات زيادي براي مردم پديد مي‌آورد و ثالثاً آمدن با خانواده و محرم و بعد جدا شدن در حين تماشاي بازي، مخالف با غرض و ذوق تماشاچي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مختلط باشند با شئونات جامعه‌ي اسلامي نمي‌سازد و نشست و برخاست و ابراز احساسات و تشويق‌ها موجب هتك شئون و منزلت افراد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نكته‌ي اساسي كه در مسائلي از اين دست مورد غفلت يا تغافل بعضي واقع مي‌شود اين است كه نظر دادن من و شما يا نظرخواهي از مردم و مسؤلان و نمايندگان مجلس در صورتي مجال دارد و صحيح </w:t>
      </w:r>
    </w:p>
    <w:p>
      <w:pPr>
        <w:pStyle w:val="BookText"/>
        <w:rPr/>
      </w:pPr>
      <w:r>
        <w:rPr>
          <w:rFonts w:ascii="IRNazanin" w:hAnsi="IRNazanin" w:eastAsia="IRNazanin"/>
          <w:color w:val="111111"/>
          <w:sz w:val="28"/>
          <w:sz w:val="28"/>
          <w:szCs w:val="28"/>
          <w:rtl w:val="true"/>
          <w:lang w:bidi="fa-IR"/>
        </w:rPr>
        <w:t>است كه در آن مسأله خداوند متعال ودين دستور مشخّصي نداشته باشد و الا ما حقّ اظهار نظر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نوشته‌هاي مورد اشاره معمولاً به تنها چيزي كه اصلاً توجه نمي‌شود يا كم‌تر بها داده مي‌شود، حكم الهي و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نويسنده و گوينده كاري با دين و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غرب و دنيا وساير كشورها و سليقه‌ي دختر و پسر، زياد به ميان مي‌آيد؛ اما، از سخن و سليقه‌ي پيامبر و امام مطلبي به چشم نمي‌خورد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اين مقاله با نگاهي سطحي به بعد شرعي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تغافل نسبت به حكم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هدف خود را تعقيب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و زن مسلمان و مؤمني كه كم‌ترين آشنايي با دستورهاي الهي داشته باشد، مي‌داند كه نگاه مرد به بدن زن و نگاه زن به بدن مرد حرام و ممنوع است و حكومت ديني حقّ اجازه و ترويج اين كار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ورزشگاه مخصوص مردان براي تماشاي فوتبال يا واليبال يا كشتي يا بسكتبال يا شنا و مانند اين‌ها، همراه با نگاه به اعضاي عريان بدن است و قهراً صحيح نيست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نگاه كردن زن‌ها به بدن مرد نامحرم به استثناي وجه و كفين و مقداري كه به‌طور معتاد مردان نمي‌پوشانند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و حضرات آيات عظام، گلپايگاني، اراكي، وحيد، بهجت و برخي مراجع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در همين زمينه علاوه بر نظر مبارك مقام معظم رهبري كه در متن اشاره شد، استفتائي از محضر علما شده است به اين صورت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در حال زمينه‌سازي براي شركت زنان در ورزشگاه‌ها جهت تماشاي مسابقات مردان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در اين مكان‌ها غالباً توسط طرف‌داران تيم‌هاي ورزشي حركات غيراخلاقي صورت مي‌گيرد و تبعات سوئي را به همراه دارد، زمينه‌سازي و شركت زنان در اين مكان‌ها كه موجب هتك حرمت‌ها مي‌شود 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ايت‌اللّه 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وقوع اين گونه امور در جمهوري اسلامي بسيار مايه‌ي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مكارم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هركاه موجب فساد يا هتك حرمت احكام اسلامي گردد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آيت‌اللّه 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جايز نيست و مسؤلين بايد در حفظ عفّت زنان و عزّت آنان بكوشند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آيت‌اللّه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اختلاط مرد و زن جايز نيست و در غير اين صورت چون نوعاً پوشش متفاوت ندارند نظر جايز نيست علي‌الاحوط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معرضيّت ريبه حرام است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آيت‌اللّه 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 زن نبايد بدن مرد را كه بيش از حدّ معمول برهنه است تماشا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محسن محمودي، مسائل جديد از ديدگاه علما، انتشارات ناصر، ورامين،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نگاه كردن خانم‌ها به فيلم‌هاي ورزشي نيز استفتائاتي وجود دارد كه برخي مراجع مثل حضرت آيت‌اللّه صافي كلاً جايز نمي‌دانند و برخي مراجع هم به‌شرطي كه بدون ريبه و فساد باشد، جايز مي‌دانند، مثل مقام معظم رهبري، آقاي بهجت و فاضل و مكارم شيرازي؛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همان،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اين‌كه لابد نويسنده‌ي مقاله و مصاحبه </w:t>
      </w:r>
    </w:p>
    <w:p>
      <w:pPr>
        <w:pStyle w:val="BookText"/>
        <w:rPr/>
      </w:pPr>
      <w:r>
        <w:rPr>
          <w:rFonts w:ascii="IRNazanin" w:hAnsi="IRNazanin" w:eastAsia="IRNazanin"/>
          <w:color w:val="111111"/>
          <w:sz w:val="28"/>
          <w:sz w:val="28"/>
          <w:szCs w:val="28"/>
          <w:rtl w:val="true"/>
          <w:lang w:bidi="fa-IR"/>
        </w:rPr>
        <w:t>شوندگان و همه‌ي مردم فهيم و مسلمان با حضور مردان در ورزشگاه خاص زنان و ديدن آنها موافق نيستند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و مسأله‌ي ديگر شرعي اين‌است كه بين ديدن مستقيم بدن فرد، با ديدن عكس و فيلم،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مرحله‌ي بعد ممكن است گاهي يك عمل في نفسه ممنوعيتي نداشته باشد، اما در شرايط خارجي و واقعي، پيامدهاي سوء و مفاسدي داشته باشد كه به‌خاطر آنها، از خود عمل هم بايد پرهيز كرد؛ مثلاً نفس فوتبال يا دوچرخه‌سواري يا موتورسواري زنان اشكال شرعي ندارد، اما انجام اين اعمال در كوچه و </w:t>
      </w:r>
    </w:p>
    <w:p>
      <w:pPr>
        <w:pStyle w:val="BookText"/>
        <w:rPr/>
      </w:pPr>
      <w:r>
        <w:rPr>
          <w:rFonts w:ascii="IRNazanin" w:hAnsi="IRNazanin" w:eastAsia="IRNazanin"/>
          <w:color w:val="111111"/>
          <w:sz w:val="28"/>
          <w:sz w:val="28"/>
          <w:szCs w:val="28"/>
          <w:rtl w:val="true"/>
          <w:lang w:bidi="fa-IR"/>
        </w:rPr>
        <w:t>خيابان و با وجود مردان، نوعاً موجب مفاسدي مي‌شود كه براي دوري از آنها نبايد اين امور را تجويز و ترويج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مقام معظم رهبري، كه در بالاي مقاله آن هم به‌طور ناقص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امر است كه نگاه كردن زن به بدن مرد جايز نيست، و همين قسمت از فتوا براي ممنوعيت حضور زنان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كه بدن مردان هم به‌صورت معمولي پوشيده باشد، باز اگر حضور زنان در ورزشگاه مفسده‌اي داشته باشد، نبايد اجازه داده شود اما جاي بسي تعجب و تأسف است كه نويسنده‌ي گزارش، فتوا را به نفع خود معنا مي‌كند و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در گفت‌وگوي ما با دفتر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مجوز شرعي لازم براي مسؤولان فراهم آمد، به نظر مي‌رسد فارغ از دغدغه مي‌توانند به انجام وظيفه‌ي خود همّت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بازي كردن با حكم الهي مگر غير از اين است، و مگر مسؤلين نظام مقدس جمهوري اسلامي مي‌توانند و حق دارند كه بر خلاف دستورهاي الهي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چه وظيفه و مسؤليتي است كه نويسنده‌ي مقاله متوجه متصديان امر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مسؤلين وظيفه و مسؤليت دارند كه شرايط و مقدمات ارتكاب حرام و تخلّف از امر الهي را فراهم كنند؟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پايان سخن و با اغماض از ساير اشكالات، به‌علت طولاني شدن كلام، از نويسنده سؤال مي‌كنيم، آيا مردان هم حقّ اعتراض دارند و مي‌توانند با لباس زنانه به ورزشگاه مخصوص زنان براي تماشاي زنان فوتباليست، كشتي‌گير، ژيميناست و شناگر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از اين اشتياق و علاقه‌ي خود دفاع كنند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قطعاً منفي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حضور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سروش، ماهنامه‌ي آفتاب، ارديبهشت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آيه‌ي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شياطين به دوستان خود مطالبي مخفيانه القا مي‌كنند تا با شما به مجادله برخيزند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آن‌ها اطاعت كنيد شما هم مشرك خواهيد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انبياء، آيه‌ي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آل‌عمران، آيه‌ي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آيه‌ي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آيه‌ي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جن، آيه‌ي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نحل، آيه‌ي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هود، آيه‌ي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مزمل، آيه‌ي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سبأ، آيه‌ي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انبياء، آيه‌ي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آيه‌ي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فرقان، آيه‌ي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قائمي‌نيا، تجربه ديني و گوهر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مركز تحقيقات اسلامي، چاپ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يونس، آيه‌ي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نحل، آيه‌ي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آيه‌ي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آيه‌ي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قصص، آيه‌ي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شوري، آيه‌ي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آل‌عمران، آيه‌ي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آيه‌ي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آيه‌ي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نصري، انتظار بشر از دين،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سبأ، آيه‌ي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احزاب، آيه‌ي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صادق زيباكلام، روزنامه‌ي آزاد،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تيرماه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واژه‌ها، عبدالرسول بيات و جمعي از نويسندگان،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آزاد، شماره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نشر فرهنگ اهل‌بيت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ذيل حديث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سوم، داراحياء التراث العربي،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نشر فرهنگ اهل‌بيت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فضل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المستأكل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مطالعه‌ي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ناس، تاريخ جامع اديان، ترجمه علي‌اصغر حكمت،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ويژه‌نامه تئاتر و سينما، </w:t>
      </w:r>
      <w:r>
        <w:rPr>
          <w:rFonts w:eastAsia="IRNazanin" w:cs="IRNazanin"/>
          <w:b w:val="false"/>
          <w:bCs w:val="false"/>
          <w:i w:val="false"/>
          <w:iCs w:val="false"/>
          <w:color w:val="333333"/>
          <w:sz w:val="20"/>
          <w:szCs w:val="20"/>
        </w:rPr>
        <w:t>14/7/80</w:t>
      </w:r>
      <w:r>
        <w:rPr>
          <w:rFonts w:ascii="IRNazanin" w:hAnsi="IRNazanin" w:eastAsia="IRNazanin"/>
          <w:b w:val="false"/>
          <w:b w:val="false"/>
          <w:bCs w:val="false"/>
          <w:i w:val="false"/>
          <w:i w:val="false"/>
          <w:iCs w:val="false"/>
          <w:color w:val="333333"/>
          <w:sz w:val="20"/>
          <w:sz w:val="20"/>
          <w:szCs w:val="20"/>
          <w:rtl w:val="true"/>
        </w:rPr>
        <w:t xml:space="preserve">، مقاله‌ي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عرفي شدن عليه عرفي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پاسخ آن در همان روزنامه‌ي مورخ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قدسيّت دين و عرفي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نگارنده مراجعه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سخن‌راني مورخ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مطالبي كه به صورت نص يا فحوي از ايشان نقل شده، مربوط به مطالب مندرج در شماره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روزنامه‌ي آزاد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غلام‌عباس توسلي، روزنامه‌ي همبستگي،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طباطبايي،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بنياد علمي و فكري علامه،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نيّري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طباطبايي،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بنياد علمي و فكري علامه،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يزدي،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مجموعه‌ي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ششم، صدرا،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سوره‌ي حديد، آيه‌ي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ابراهيم، آيه‌ي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حكومت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مؤسسه‌ي انتشارات اميركبير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آيه‌ي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پارسايان،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دشتي، چاپ دوّم،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قيّومي اصفهاني، صحيفة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اسلامي، چاپ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صحيفه‌ي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سروش، چاپ اوّل،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مجلسي، بحارالانوار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الوفاء بيروت، لبنان،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آغاجري، سايت ايران امروز،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احياي تفكّر ديني در اسلام،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آيه‌ي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صالح جلالي، روزنامه‌ي مردم‌سالاري،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ماه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نشريه‌ي كيهان، </w:t>
      </w:r>
      <w:r>
        <w:rPr>
          <w:rFonts w:eastAsia="IRNazanin" w:cs="IRNazanin"/>
          <w:b w:val="false"/>
          <w:bCs w:val="false"/>
          <w:i w:val="false"/>
          <w:iCs w:val="false"/>
          <w:color w:val="333333"/>
          <w:sz w:val="20"/>
          <w:szCs w:val="20"/>
        </w:rPr>
        <w:t>24/11/80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نيويورك تايمز و ديگران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فوق جزو آرمان‌هاي اصولي اسرائيل است كه در قانون اساسي اين دولت بر آن تأكيد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اَصْبَحَ وَ لَمْ يَهنَمَّ بِاُمُورِا لمُسْلمِمينَ فَلَيْسَ بِمُسْلِمٍ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مقدمه‌ي قانون اساسي جمهوري اسلامي ايران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مائده،آيه‌ي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رجايي، روزنامه‌ي نوروز،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داريوش آشوري، فرهنگ علوم سياسي،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وصيت‌نامه‌ي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مؤسسه‌ي تنظيم و نشر آثار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عاطفه پهلوان، آزادي و دموكراسي در انديشه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مؤسسه‌ي نشر و تحقيقات ذكر،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محمدهادي معرفت، جامعه 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مؤسسه‌ي فرهنگي و انتشاراتي التمهيد، 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امروز، مروري بر روند حضور مردم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انتخاب، </w:t>
      </w:r>
      <w:r>
        <w:rPr>
          <w:rFonts w:eastAsia="IRNazanin" w:cs="IRNazanin"/>
          <w:b w:val="false"/>
          <w:bCs w:val="false"/>
          <w:i w:val="false"/>
          <w:iCs w:val="false"/>
          <w:color w:val="333333"/>
          <w:sz w:val="20"/>
          <w:szCs w:val="20"/>
        </w:rPr>
        <w:t>26/7/78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محمدهادي معرفت، 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شهبازي، تقدير مردم سالاري ايراني،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روزنه، تهران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علي اكبري، روزنامه‌ي ايران،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آثاري از ملكم‌خان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كتابچه غيب، يا دفتر تنظيمات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نقش روحانيّت پيشرو در جنبش مشروطيّت،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يرواند،آبراهاميان، ايران بين دو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پنجم، نشر ني،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تركمان، شيخ فضل‌الله 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اول، مؤسسه خدمات فرهنگي رساء، چاپ مهتاب،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زرگري، رسائل مشروطيت،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كوير، ج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زرگري،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محمد تركمان، 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خاطرات احتشام السلطنه، 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بامدادي، شرح حال رجال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نيز خاطرات ايرج اسكندري، 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باغستاني، روزنامه‌ي انتخاب،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مصطفي مختار، نشريه‌ي پژوهش‌هاي قرآني،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مقاله‌ي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در نگاهي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تصرّف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نور، آيه‌ي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طباطبايي،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پنجم، دارالكتب الاسلاميه، تهران،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خلاف شيخ 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مصطفوي، حسن، التحقيق في كلمات القرآن الكريم، چ اوّل، مؤسسه‌ي چاپ و نشر وزارت ارشاد،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قرائت‌هاي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مجموعه‌ي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مسئله‌ي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صدرا،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توكا ملكي، روزنامه‌ي ايران، شماره‌ي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ايران، شماره‌ي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دارالكتب الاسلاميه،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عسقلاني، الاصابه،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دارالكتاب العربي،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حامد غزالي، 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جوادي، تاريخ موسيقي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هنري،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اندلسي، عقدالفريد،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داراحياء التراث العربي،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مقدّمه ترجمه‌ي پروين گنابادي،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علمي فرهنگي، چاپ چهارم،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اندلسي، 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قرطبي، تفسير سوره‌ي لقمان، آيه‌ي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عرفه المغربي، مجالس الادب و الغنا، فصل موسيقي بعد از اسلام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اصفهاني، الاغاني،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داراحياء التراث العربي، بيروت، 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اميدوار، روزنامه‌ي آزاد،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زمينه‌ي تفاوت‌هاي مختلف جنسي و رواني و هوشي بين زن و مرد، كتب متعددي در روان‌شناسي و زيست‌شناسي و فيزيولوژي نگاشته شده كه موارد بسياري از اين اختلافات و نيز منابع علمي و مستند آن در فصلنامه‌ي كتاب نقد،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هادي 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تفاوت‌هاي بيولوژيك زن و مرد، بدن، روان و هوش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فصلنامه‌ي كتاب نقد،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مرتضي مطهري و نظام حقوق زن در اسلام، بخش هفتم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زمينه‌ي ديدگاه اسلام و علماي بزرگوار در مورد نگاه زن به مرد و بالعكس رجوع كنيد به رساله‌هاي عمليه ي مراجع، كتاب 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احكام روابط زن و مرد، سيد مسعود معصومي،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دفتر تبليغات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image" Target="media/image5.jpeg"/><Relationship Id="rId48" Type="http://schemas.openxmlformats.org/officeDocument/2006/relationships/image" Target="media/image5.jpeg"/><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image" Target="media/image6.jpeg"/><Relationship Id="rId65" Type="http://schemas.openxmlformats.org/officeDocument/2006/relationships/image" Target="media/image6.jpeg"/><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image" Target="media/image7.jpeg"/><Relationship Id="rId81" Type="http://schemas.openxmlformats.org/officeDocument/2006/relationships/image" Target="media/image7.jpeg"/><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image" Target="media/image8.jpeg"/><Relationship Id="rId89" Type="http://schemas.openxmlformats.org/officeDocument/2006/relationships/image" Target="media/image8.jpeg"/><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image" Target="media/image9.jpeg"/><Relationship Id="rId100" Type="http://schemas.openxmlformats.org/officeDocument/2006/relationships/image" Target="media/image9.jpeg"/><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image" Target="media/image10.jpeg"/><Relationship Id="rId112" Type="http://schemas.openxmlformats.org/officeDocument/2006/relationships/image" Target="media/image10.jpeg"/><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image" Target="media/image11.jpeg"/><Relationship Id="rId124" Type="http://schemas.openxmlformats.org/officeDocument/2006/relationships/image" Target="media/image11.jpeg"/><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image" Target="media/image12.jpeg"/><Relationship Id="rId134" Type="http://schemas.openxmlformats.org/officeDocument/2006/relationships/image" Target="media/image12.jpeg"/><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2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22691</Words>
  <Characters>91808</Characters>
  <CharactersWithSpaces>113818</CharactersWithSpaces>
  <Paragraphs>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2026-08-24T17:23:54Z</dcterms:created>
  <dc:creator>ghaemiyeh.com</dc:creator>
  <dc:description/>
  <dc:language>en-US</dc:language>
  <cp:lastModifiedBy/>
  <dcterms:modified xsi:type="dcterms:W3CDTF">2026-08-24T20:53:59Z</dcterms:modified>
  <cp:revision>1</cp:revision>
  <dc:subject/>
  <dc:title>آسیب شناسی مطبوعات جلد 3</dc:title>
</cp:coreProperties>
</file>

<file path=docProps/custom.xml><?xml version="1.0" encoding="utf-8"?>
<Properties xmlns="http://schemas.openxmlformats.org/officeDocument/2006/custom-properties" xmlns:vt="http://schemas.openxmlformats.org/officeDocument/2006/docPropsVTypes"/>
</file>