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5.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آسیب شناسی مطبوعات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64209_73047245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764211_73047245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764213_730472459">
            <w:r>
              <w:rPr>
                <w:webHidden/>
                <w:rStyle w:val="IndexLink"/>
                <w:rtl w:val="true"/>
              </w:rPr>
              <w:t>تقديم به</w:t>
            </w:r>
            <w:r>
              <w:rPr>
                <w:rStyle w:val="IndexLink"/>
                <w:rtl w:val="true"/>
              </w:rPr>
              <w:t>:</w:t>
              <w:tab/>
            </w:r>
            <w:r>
              <w:rPr>
                <w:rStyle w:val="IndexLink"/>
              </w:rPr>
              <w:t>7</w:t>
            </w:r>
          </w:hyperlink>
        </w:p>
        <w:p>
          <w:pPr>
            <w:pStyle w:val="Contents2"/>
            <w:tabs>
              <w:tab w:val="clear" w:pos="8743"/>
              <w:tab w:val="right" w:pos="9026" w:leader="dot"/>
            </w:tabs>
            <w:rPr/>
          </w:pPr>
          <w:hyperlink w:anchor="__RefHeading___Toc1764215_730472459">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764217_730472459">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1764219_730472459">
            <w:r>
              <w:rPr>
                <w:webHidden/>
                <w:rStyle w:val="IndexLink"/>
                <w:rtl w:val="true"/>
              </w:rPr>
              <w:t>دين‌داري و تجددگرايي</w:t>
            </w:r>
            <w:r>
              <w:rPr>
                <w:rStyle w:val="IndexLink"/>
                <w:rtl w:val="true"/>
              </w:rPr>
              <w:tab/>
            </w:r>
            <w:r>
              <w:rPr>
                <w:rStyle w:val="IndexLink"/>
              </w:rPr>
              <w:t>19</w:t>
            </w:r>
          </w:hyperlink>
        </w:p>
        <w:p>
          <w:pPr>
            <w:pStyle w:val="Contents3"/>
            <w:tabs>
              <w:tab w:val="clear" w:pos="8459"/>
              <w:tab w:val="right" w:pos="9026" w:leader="dot"/>
            </w:tabs>
            <w:rPr/>
          </w:pPr>
          <w:hyperlink w:anchor="__RefHeading___Toc1764221_730472459">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1764223_730472459">
            <w:r>
              <w:rPr>
                <w:webHidden/>
                <w:rStyle w:val="IndexLink"/>
                <w:rtl w:val="true"/>
              </w:rPr>
              <w:t>چكيده</w:t>
            </w:r>
            <w:r>
              <w:rPr>
                <w:rStyle w:val="IndexLink"/>
                <w:rtl w:val="true"/>
              </w:rPr>
              <w:t>:</w:t>
              <w:tab/>
            </w:r>
            <w:r>
              <w:rPr>
                <w:rStyle w:val="IndexLink"/>
              </w:rPr>
              <w:t>19</w:t>
            </w:r>
          </w:hyperlink>
        </w:p>
        <w:p>
          <w:pPr>
            <w:pStyle w:val="Contents3"/>
            <w:tabs>
              <w:tab w:val="clear" w:pos="8459"/>
              <w:tab w:val="right" w:pos="9026" w:leader="dot"/>
            </w:tabs>
            <w:rPr/>
          </w:pPr>
          <w:hyperlink w:anchor="__RefHeading___Toc1764225_730472459">
            <w:r>
              <w:rPr>
                <w:webHidden/>
                <w:rStyle w:val="IndexLink"/>
                <w:rtl w:val="true"/>
              </w:rPr>
              <w:t>مفهوم مدرنيته</w:t>
            </w:r>
            <w:r>
              <w:rPr>
                <w:rStyle w:val="IndexLink"/>
                <w:rtl w:val="true"/>
              </w:rPr>
              <w:tab/>
            </w:r>
            <w:r>
              <w:rPr>
                <w:rStyle w:val="IndexLink"/>
              </w:rPr>
              <w:t>20</w:t>
            </w:r>
          </w:hyperlink>
        </w:p>
        <w:p>
          <w:pPr>
            <w:pStyle w:val="Contents3"/>
            <w:tabs>
              <w:tab w:val="clear" w:pos="8459"/>
              <w:tab w:val="right" w:pos="9026" w:leader="dot"/>
            </w:tabs>
            <w:rPr/>
          </w:pPr>
          <w:hyperlink w:anchor="__RefHeading___Toc1764227_730472459">
            <w:r>
              <w:rPr>
                <w:webHidden/>
                <w:rStyle w:val="IndexLink"/>
                <w:rtl w:val="true"/>
              </w:rPr>
              <w:t>مفهوم مدرنيسم</w:t>
            </w:r>
            <w:r>
              <w:rPr>
                <w:rStyle w:val="IndexLink"/>
                <w:rtl w:val="true"/>
              </w:rPr>
              <w:tab/>
            </w:r>
            <w:r>
              <w:rPr>
                <w:rStyle w:val="IndexLink"/>
              </w:rPr>
              <w:t>21</w:t>
            </w:r>
          </w:hyperlink>
        </w:p>
        <w:p>
          <w:pPr>
            <w:pStyle w:val="Contents3"/>
            <w:tabs>
              <w:tab w:val="clear" w:pos="8459"/>
              <w:tab w:val="right" w:pos="9026" w:leader="dot"/>
            </w:tabs>
            <w:rPr/>
          </w:pPr>
          <w:hyperlink w:anchor="__RefHeading___Toc1764229_730472459">
            <w:r>
              <w:rPr>
                <w:webHidden/>
                <w:rStyle w:val="IndexLink"/>
                <w:rtl w:val="true"/>
              </w:rPr>
              <w:t>مفهوم مدرنيزاسيون</w:t>
            </w:r>
            <w:r>
              <w:rPr>
                <w:rStyle w:val="IndexLink"/>
                <w:rtl w:val="true"/>
              </w:rPr>
              <w:tab/>
            </w:r>
            <w:r>
              <w:rPr>
                <w:rStyle w:val="IndexLink"/>
              </w:rPr>
              <w:t>22</w:t>
            </w:r>
          </w:hyperlink>
        </w:p>
        <w:p>
          <w:pPr>
            <w:pStyle w:val="Contents3"/>
            <w:tabs>
              <w:tab w:val="clear" w:pos="8459"/>
              <w:tab w:val="right" w:pos="9026" w:leader="dot"/>
            </w:tabs>
            <w:rPr/>
          </w:pPr>
          <w:hyperlink w:anchor="__RefHeading___Toc1764231_730472459">
            <w:r>
              <w:rPr>
                <w:webHidden/>
                <w:rStyle w:val="IndexLink"/>
                <w:rtl w:val="true"/>
              </w:rPr>
              <w:t>رشد و توسعه</w:t>
            </w:r>
            <w:r>
              <w:rPr>
                <w:rStyle w:val="IndexLink"/>
                <w:rtl w:val="true"/>
              </w:rPr>
              <w:tab/>
            </w:r>
            <w:r>
              <w:rPr>
                <w:rStyle w:val="IndexLink"/>
              </w:rPr>
              <w:t>22</w:t>
            </w:r>
          </w:hyperlink>
        </w:p>
        <w:p>
          <w:pPr>
            <w:pStyle w:val="Contents3"/>
            <w:tabs>
              <w:tab w:val="clear" w:pos="8459"/>
              <w:tab w:val="right" w:pos="9026" w:leader="dot"/>
            </w:tabs>
            <w:rPr/>
          </w:pPr>
          <w:hyperlink w:anchor="__RefHeading___Toc1764233_730472459">
            <w:r>
              <w:rPr>
                <w:webHidden/>
                <w:rStyle w:val="IndexLink"/>
                <w:rtl w:val="true"/>
              </w:rPr>
              <w:t>غربي بودن مدرنيته و تجدد</w:t>
            </w:r>
            <w:r>
              <w:rPr>
                <w:rStyle w:val="IndexLink"/>
                <w:rtl w:val="true"/>
              </w:rPr>
              <w:tab/>
            </w:r>
            <w:r>
              <w:rPr>
                <w:rStyle w:val="IndexLink"/>
              </w:rPr>
              <w:t>23</w:t>
            </w:r>
          </w:hyperlink>
        </w:p>
        <w:p>
          <w:pPr>
            <w:pStyle w:val="Contents3"/>
            <w:tabs>
              <w:tab w:val="clear" w:pos="8459"/>
              <w:tab w:val="right" w:pos="9026" w:leader="dot"/>
            </w:tabs>
            <w:rPr/>
          </w:pPr>
          <w:hyperlink w:anchor="__RefHeading___Toc1764235_730472459">
            <w:r>
              <w:rPr>
                <w:webHidden/>
                <w:rStyle w:val="IndexLink"/>
                <w:rtl w:val="true"/>
              </w:rPr>
              <w:t>مفهوم دين و اسلام</w:t>
            </w:r>
            <w:r>
              <w:rPr>
                <w:rStyle w:val="IndexLink"/>
                <w:rtl w:val="true"/>
              </w:rPr>
              <w:tab/>
            </w:r>
            <w:r>
              <w:rPr>
                <w:rStyle w:val="IndexLink"/>
              </w:rPr>
              <w:t>24</w:t>
            </w:r>
          </w:hyperlink>
        </w:p>
        <w:p>
          <w:pPr>
            <w:pStyle w:val="Contents3"/>
            <w:tabs>
              <w:tab w:val="clear" w:pos="8459"/>
              <w:tab w:val="right" w:pos="9026" w:leader="dot"/>
            </w:tabs>
            <w:rPr/>
          </w:pPr>
          <w:hyperlink w:anchor="__RefHeading___Toc1764237_730472459">
            <w:r>
              <w:rPr>
                <w:webHidden/>
                <w:rStyle w:val="IndexLink"/>
                <w:rtl w:val="true"/>
              </w:rPr>
              <w:t>تقابل دين و مدرنيته</w:t>
            </w:r>
            <w:r>
              <w:rPr>
                <w:rStyle w:val="IndexLink"/>
                <w:rtl w:val="true"/>
              </w:rPr>
              <w:tab/>
            </w:r>
            <w:r>
              <w:rPr>
                <w:rStyle w:val="IndexLink"/>
              </w:rPr>
              <w:t>25</w:t>
            </w:r>
          </w:hyperlink>
        </w:p>
        <w:p>
          <w:pPr>
            <w:pStyle w:val="Contents3"/>
            <w:tabs>
              <w:tab w:val="clear" w:pos="8459"/>
              <w:tab w:val="right" w:pos="9026" w:leader="dot"/>
            </w:tabs>
            <w:rPr/>
          </w:pPr>
          <w:hyperlink w:anchor="__RefHeading___Toc1764239_730472459">
            <w:r>
              <w:rPr>
                <w:webHidden/>
                <w:rStyle w:val="IndexLink"/>
                <w:rtl w:val="true"/>
              </w:rPr>
              <w:t>مباني مدرنيسم</w:t>
            </w:r>
            <w:r>
              <w:rPr>
                <w:rStyle w:val="IndexLink"/>
                <w:rtl w:val="true"/>
              </w:rPr>
              <w:tab/>
            </w:r>
            <w:r>
              <w:rPr>
                <w:rStyle w:val="IndexLink"/>
              </w:rPr>
              <w:t>32</w:t>
            </w:r>
          </w:hyperlink>
        </w:p>
        <w:p>
          <w:pPr>
            <w:pStyle w:val="Contents4"/>
            <w:tabs>
              <w:tab w:val="clear" w:pos="8176"/>
              <w:tab w:val="right" w:pos="9026" w:leader="dot"/>
            </w:tabs>
            <w:rPr/>
          </w:pPr>
          <w:hyperlink w:anchor="__RefHeading___Toc1764241_730472459">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1764243_730472459">
            <w:r>
              <w:rPr>
                <w:webHidden/>
                <w:rStyle w:val="IndexLink"/>
              </w:rPr>
              <w:t>1</w:t>
            </w:r>
            <w:r>
              <w:rPr>
                <w:rStyle w:val="IndexLink"/>
                <w:rtl w:val="true"/>
              </w:rPr>
              <w:t xml:space="preserve">. </w:t>
            </w:r>
            <w:r>
              <w:rPr>
                <w:rStyle w:val="IndexLink"/>
                <w:rtl w:val="true"/>
              </w:rPr>
              <w:t>مبناي معرفت‌شناسي</w:t>
            </w:r>
            <w:r>
              <w:rPr>
                <w:rStyle w:val="IndexLink"/>
                <w:rtl w:val="true"/>
              </w:rPr>
              <w:tab/>
            </w:r>
            <w:r>
              <w:rPr>
                <w:rStyle w:val="IndexLink"/>
              </w:rPr>
              <w:t>32</w:t>
            </w:r>
          </w:hyperlink>
        </w:p>
        <w:p>
          <w:pPr>
            <w:pStyle w:val="Contents4"/>
            <w:tabs>
              <w:tab w:val="clear" w:pos="8176"/>
              <w:tab w:val="right" w:pos="9026" w:leader="dot"/>
            </w:tabs>
            <w:rPr/>
          </w:pPr>
          <w:hyperlink w:anchor="__RefHeading___Toc1764245_730472459">
            <w:r>
              <w:rPr>
                <w:webHidden/>
                <w:rStyle w:val="IndexLink"/>
              </w:rPr>
              <w:t>2</w:t>
            </w:r>
            <w:r>
              <w:rPr>
                <w:rStyle w:val="IndexLink"/>
                <w:rtl w:val="true"/>
              </w:rPr>
              <w:t xml:space="preserve">. </w:t>
            </w:r>
            <w:r>
              <w:rPr>
                <w:rStyle w:val="IndexLink"/>
                <w:rtl w:val="true"/>
              </w:rPr>
              <w:t>اومانيسم</w:t>
            </w:r>
            <w:r>
              <w:rPr>
                <w:rStyle w:val="IndexLink"/>
                <w:rtl w:val="true"/>
              </w:rPr>
              <w:tab/>
            </w:r>
            <w:r>
              <w:rPr>
                <w:rStyle w:val="IndexLink"/>
              </w:rPr>
              <w:t>36</w:t>
            </w:r>
          </w:hyperlink>
        </w:p>
        <w:p>
          <w:pPr>
            <w:pStyle w:val="Contents4"/>
            <w:tabs>
              <w:tab w:val="clear" w:pos="8176"/>
              <w:tab w:val="right" w:pos="9026" w:leader="dot"/>
            </w:tabs>
            <w:rPr/>
          </w:pPr>
          <w:hyperlink w:anchor="__RefHeading___Toc1764247_730472459">
            <w:r>
              <w:rPr>
                <w:webHidden/>
                <w:rStyle w:val="IndexLink"/>
              </w:rPr>
              <w:t>3</w:t>
            </w:r>
            <w:r>
              <w:rPr>
                <w:rStyle w:val="IndexLink"/>
                <w:rtl w:val="true"/>
              </w:rPr>
              <w:t xml:space="preserve">. </w:t>
            </w:r>
            <w:r>
              <w:rPr>
                <w:rStyle w:val="IndexLink"/>
                <w:rtl w:val="true"/>
              </w:rPr>
              <w:t>مبناي اقتصادي</w:t>
            </w:r>
            <w:r>
              <w:rPr>
                <w:rStyle w:val="IndexLink"/>
                <w:rtl w:val="true"/>
              </w:rPr>
              <w:tab/>
            </w:r>
            <w:r>
              <w:rPr>
                <w:rStyle w:val="IndexLink"/>
              </w:rPr>
              <w:t>39</w:t>
            </w:r>
          </w:hyperlink>
        </w:p>
        <w:p>
          <w:pPr>
            <w:pStyle w:val="Contents4"/>
            <w:tabs>
              <w:tab w:val="clear" w:pos="8176"/>
              <w:tab w:val="right" w:pos="9026" w:leader="dot"/>
            </w:tabs>
            <w:rPr/>
          </w:pPr>
          <w:hyperlink w:anchor="__RefHeading___Toc1764249_730472459">
            <w:r>
              <w:rPr>
                <w:webHidden/>
                <w:rStyle w:val="IndexLink"/>
              </w:rPr>
              <w:t>4</w:t>
            </w:r>
            <w:r>
              <w:rPr>
                <w:rStyle w:val="IndexLink"/>
                <w:rtl w:val="true"/>
              </w:rPr>
              <w:t xml:space="preserve">. </w:t>
            </w:r>
            <w:r>
              <w:rPr>
                <w:rStyle w:val="IndexLink"/>
                <w:rtl w:val="true"/>
              </w:rPr>
              <w:t>مبناي ديني يهود و مسيحيت</w:t>
            </w:r>
            <w:r>
              <w:rPr>
                <w:rStyle w:val="IndexLink"/>
                <w:rtl w:val="true"/>
              </w:rPr>
              <w:tab/>
            </w:r>
            <w:r>
              <w:rPr>
                <w:rStyle w:val="IndexLink"/>
              </w:rPr>
              <w:t>41</w:t>
            </w:r>
          </w:hyperlink>
        </w:p>
        <w:p>
          <w:pPr>
            <w:pStyle w:val="Contents3"/>
            <w:tabs>
              <w:tab w:val="clear" w:pos="8459"/>
              <w:tab w:val="right" w:pos="9026" w:leader="dot"/>
            </w:tabs>
            <w:rPr/>
          </w:pPr>
          <w:hyperlink w:anchor="__RefHeading___Toc1764251_730472459">
            <w:r>
              <w:rPr>
                <w:webHidden/>
                <w:rStyle w:val="IndexLink"/>
                <w:rtl w:val="true"/>
              </w:rPr>
              <w:t>راه‌حل‌هاي دكتر سروش</w:t>
            </w:r>
            <w:r>
              <w:rPr>
                <w:rStyle w:val="IndexLink"/>
                <w:rtl w:val="true"/>
              </w:rPr>
              <w:tab/>
            </w:r>
            <w:r>
              <w:rPr>
                <w:rStyle w:val="IndexLink"/>
              </w:rPr>
              <w:t>45</w:t>
            </w:r>
          </w:hyperlink>
        </w:p>
        <w:p>
          <w:pPr>
            <w:pStyle w:val="Contents4"/>
            <w:tabs>
              <w:tab w:val="clear" w:pos="8176"/>
              <w:tab w:val="right" w:pos="9026" w:leader="dot"/>
            </w:tabs>
            <w:rPr/>
          </w:pPr>
          <w:hyperlink w:anchor="__RefHeading___Toc1764253_730472459">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1764255_730472459">
            <w:r>
              <w:rPr>
                <w:webHidden/>
                <w:rStyle w:val="IndexLink"/>
                <w:rtl w:val="true"/>
              </w:rPr>
              <w:t>راه حل اول</w:t>
            </w:r>
            <w:r>
              <w:rPr>
                <w:rStyle w:val="IndexLink"/>
                <w:rtl w:val="true"/>
              </w:rPr>
              <w:tab/>
            </w:r>
            <w:r>
              <w:rPr>
                <w:rStyle w:val="IndexLink"/>
              </w:rPr>
              <w:t>46</w:t>
            </w:r>
          </w:hyperlink>
        </w:p>
        <w:p>
          <w:pPr>
            <w:pStyle w:val="Contents4"/>
            <w:tabs>
              <w:tab w:val="clear" w:pos="8176"/>
              <w:tab w:val="right" w:pos="9026" w:leader="dot"/>
            </w:tabs>
            <w:rPr/>
          </w:pPr>
          <w:hyperlink w:anchor="__RefHeading___Toc1764257_730472459">
            <w:r>
              <w:rPr>
                <w:webHidden/>
                <w:rStyle w:val="IndexLink"/>
                <w:rtl w:val="true"/>
              </w:rPr>
              <w:t>نقد راه حل اول</w:t>
            </w:r>
            <w:r>
              <w:rPr>
                <w:rStyle w:val="IndexLink"/>
                <w:rtl w:val="true"/>
              </w:rPr>
              <w:tab/>
            </w:r>
            <w:r>
              <w:rPr>
                <w:rStyle w:val="IndexLink"/>
              </w:rPr>
              <w:t>47</w:t>
            </w:r>
          </w:hyperlink>
        </w:p>
        <w:p>
          <w:pPr>
            <w:pStyle w:val="Contents4"/>
            <w:tabs>
              <w:tab w:val="clear" w:pos="8176"/>
              <w:tab w:val="right" w:pos="9026" w:leader="dot"/>
            </w:tabs>
            <w:rPr/>
          </w:pPr>
          <w:hyperlink w:anchor="__RefHeading___Toc1764259_730472459">
            <w:r>
              <w:rPr>
                <w:webHidden/>
                <w:rStyle w:val="IndexLink"/>
                <w:rtl w:val="true"/>
              </w:rPr>
              <w:t>راه حل دوّم</w:t>
            </w:r>
            <w:r>
              <w:rPr>
                <w:rStyle w:val="IndexLink"/>
                <w:rtl w:val="true"/>
              </w:rPr>
              <w:tab/>
            </w:r>
            <w:r>
              <w:rPr>
                <w:rStyle w:val="IndexLink"/>
              </w:rPr>
              <w:t>49</w:t>
            </w:r>
          </w:hyperlink>
        </w:p>
        <w:p>
          <w:pPr>
            <w:pStyle w:val="Contents4"/>
            <w:tabs>
              <w:tab w:val="clear" w:pos="8176"/>
              <w:tab w:val="right" w:pos="9026" w:leader="dot"/>
            </w:tabs>
            <w:rPr/>
          </w:pPr>
          <w:hyperlink w:anchor="__RefHeading___Toc1764261_730472459">
            <w:r>
              <w:rPr>
                <w:webHidden/>
                <w:rStyle w:val="IndexLink"/>
                <w:rtl w:val="true"/>
              </w:rPr>
              <w:t>نقد راه حل دوم</w:t>
            </w:r>
            <w:r>
              <w:rPr>
                <w:rStyle w:val="IndexLink"/>
                <w:rtl w:val="true"/>
              </w:rPr>
              <w:tab/>
            </w:r>
            <w:r>
              <w:rPr>
                <w:rStyle w:val="IndexLink"/>
              </w:rPr>
              <w:t>51</w:t>
            </w:r>
          </w:hyperlink>
        </w:p>
        <w:p>
          <w:pPr>
            <w:pStyle w:val="Contents4"/>
            <w:tabs>
              <w:tab w:val="clear" w:pos="8176"/>
              <w:tab w:val="right" w:pos="9026" w:leader="dot"/>
            </w:tabs>
            <w:rPr/>
          </w:pPr>
          <w:hyperlink w:anchor="__RefHeading___Toc1764263_730472459">
            <w:r>
              <w:rPr>
                <w:webHidden/>
                <w:rStyle w:val="IndexLink"/>
                <w:rtl w:val="true"/>
              </w:rPr>
              <w:t>راه حل برگزيده</w:t>
            </w:r>
            <w:r>
              <w:rPr>
                <w:rStyle w:val="IndexLink"/>
                <w:rtl w:val="true"/>
              </w:rPr>
              <w:tab/>
            </w:r>
            <w:r>
              <w:rPr>
                <w:rStyle w:val="IndexLink"/>
              </w:rPr>
              <w:t>52</w:t>
            </w:r>
          </w:hyperlink>
        </w:p>
        <w:p>
          <w:pPr>
            <w:pStyle w:val="Contents2"/>
            <w:tabs>
              <w:tab w:val="clear" w:pos="8743"/>
              <w:tab w:val="right" w:pos="9026" w:leader="dot"/>
            </w:tabs>
            <w:rPr/>
          </w:pPr>
          <w:hyperlink w:anchor="__RefHeading___Toc1764265_730472459">
            <w:r>
              <w:rPr>
                <w:webHidden/>
                <w:rStyle w:val="IndexLink"/>
                <w:rtl w:val="true"/>
              </w:rPr>
              <w:t>مقاله‌ي مورد نقد</w:t>
            </w:r>
            <w:r>
              <w:rPr>
                <w:rStyle w:val="IndexLink"/>
                <w:rtl w:val="true"/>
              </w:rPr>
              <w:t xml:space="preserve">: </w:t>
            </w:r>
            <w:r>
              <w:rPr>
                <w:rStyle w:val="IndexLink"/>
                <w:rtl w:val="true"/>
              </w:rPr>
              <w:t>مهدويت و احياي دين</w:t>
            </w:r>
            <w:r>
              <w:rPr>
                <w:rStyle w:val="IndexLink"/>
                <w:rtl w:val="true"/>
              </w:rPr>
              <w:tab/>
            </w:r>
            <w:r>
              <w:rPr>
                <w:rStyle w:val="IndexLink"/>
              </w:rPr>
              <w:t>59</w:t>
            </w:r>
          </w:hyperlink>
        </w:p>
        <w:p>
          <w:pPr>
            <w:pStyle w:val="Contents3"/>
            <w:tabs>
              <w:tab w:val="clear" w:pos="8459"/>
              <w:tab w:val="right" w:pos="9026" w:leader="dot"/>
            </w:tabs>
            <w:rPr/>
          </w:pPr>
          <w:hyperlink w:anchor="__RefHeading___Toc1764267_730472459">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1764269_730472459">
            <w:r>
              <w:rPr>
                <w:webHidden/>
                <w:rStyle w:val="IndexLink"/>
                <w:rtl w:val="true"/>
              </w:rPr>
              <w:t>چكيده</w:t>
            </w:r>
            <w:r>
              <w:rPr>
                <w:rStyle w:val="IndexLink"/>
                <w:rtl w:val="true"/>
              </w:rPr>
              <w:t>:</w:t>
              <w:tab/>
            </w:r>
            <w:r>
              <w:rPr>
                <w:rStyle w:val="IndexLink"/>
              </w:rPr>
              <w:t>59</w:t>
            </w:r>
          </w:hyperlink>
        </w:p>
        <w:p>
          <w:pPr>
            <w:pStyle w:val="Contents3"/>
            <w:tabs>
              <w:tab w:val="clear" w:pos="8459"/>
              <w:tab w:val="right" w:pos="9026" w:leader="dot"/>
            </w:tabs>
            <w:rPr/>
          </w:pPr>
          <w:hyperlink w:anchor="__RefHeading___Toc1764271_730472459">
            <w:r>
              <w:rPr>
                <w:webHidden/>
                <w:rStyle w:val="IndexLink"/>
                <w:rtl w:val="true"/>
              </w:rPr>
              <w:t>نقد و بررسي</w:t>
            </w:r>
            <w:r>
              <w:rPr>
                <w:rStyle w:val="IndexLink"/>
                <w:rtl w:val="true"/>
              </w:rPr>
              <w:t xml:space="preserve">: </w:t>
            </w:r>
            <w:r>
              <w:rPr>
                <w:rStyle w:val="IndexLink"/>
                <w:rtl w:val="true"/>
              </w:rPr>
              <w:t>فقيهان احياگران مهدويت</w:t>
            </w:r>
            <w:r>
              <w:rPr>
                <w:rStyle w:val="IndexLink"/>
                <w:rtl w:val="true"/>
              </w:rPr>
              <w:tab/>
            </w:r>
            <w:r>
              <w:rPr>
                <w:rStyle w:val="IndexLink"/>
              </w:rPr>
              <w:t>60</w:t>
            </w:r>
          </w:hyperlink>
        </w:p>
        <w:p>
          <w:pPr>
            <w:pStyle w:val="Contents2"/>
            <w:tabs>
              <w:tab w:val="clear" w:pos="8743"/>
              <w:tab w:val="right" w:pos="9026" w:leader="dot"/>
            </w:tabs>
            <w:rPr/>
          </w:pPr>
          <w:hyperlink w:anchor="__RefHeading___Toc1764273_730472459">
            <w:r>
              <w:rPr>
                <w:webHidden/>
                <w:rStyle w:val="IndexLink"/>
                <w:rtl w:val="true"/>
              </w:rPr>
              <w:t>مقاله‌ي مورد نقد</w:t>
            </w:r>
            <w:r>
              <w:rPr>
                <w:rStyle w:val="IndexLink"/>
                <w:rtl w:val="true"/>
              </w:rPr>
              <w:t xml:space="preserve">: </w:t>
            </w:r>
            <w:r>
              <w:rPr>
                <w:rStyle w:val="IndexLink"/>
                <w:rtl w:val="true"/>
              </w:rPr>
              <w:t>عرفي شدن عليه عرفي شدن</w:t>
            </w:r>
            <w:r>
              <w:rPr>
                <w:rStyle w:val="IndexLink"/>
                <w:rtl w:val="true"/>
              </w:rPr>
              <w:tab/>
            </w:r>
            <w:r>
              <w:rPr>
                <w:rStyle w:val="IndexLink"/>
              </w:rPr>
              <w:t>73</w:t>
            </w:r>
          </w:hyperlink>
        </w:p>
        <w:p>
          <w:pPr>
            <w:pStyle w:val="Contents3"/>
            <w:tabs>
              <w:tab w:val="clear" w:pos="8459"/>
              <w:tab w:val="right" w:pos="9026" w:leader="dot"/>
            </w:tabs>
            <w:rPr/>
          </w:pPr>
          <w:hyperlink w:anchor="__RefHeading___Toc1764275_730472459">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1764277_730472459">
            <w:r>
              <w:rPr>
                <w:webHidden/>
                <w:rStyle w:val="IndexLink"/>
                <w:rtl w:val="true"/>
              </w:rPr>
              <w:t>چكيده</w:t>
            </w:r>
            <w:r>
              <w:rPr>
                <w:rStyle w:val="IndexLink"/>
                <w:rtl w:val="true"/>
              </w:rPr>
              <w:t>:</w:t>
              <w:tab/>
            </w:r>
            <w:r>
              <w:rPr>
                <w:rStyle w:val="IndexLink"/>
              </w:rPr>
              <w:t>73</w:t>
            </w:r>
          </w:hyperlink>
        </w:p>
        <w:p>
          <w:pPr>
            <w:pStyle w:val="Contents3"/>
            <w:tabs>
              <w:tab w:val="clear" w:pos="8459"/>
              <w:tab w:val="right" w:pos="9026" w:leader="dot"/>
            </w:tabs>
            <w:rPr/>
          </w:pPr>
          <w:hyperlink w:anchor="__RefHeading___Toc1764279_730472459">
            <w:r>
              <w:rPr>
                <w:webHidden/>
                <w:rStyle w:val="IndexLink"/>
                <w:rtl w:val="true"/>
              </w:rPr>
              <w:t>نقد و بررسي</w:t>
            </w:r>
            <w:r>
              <w:rPr>
                <w:rStyle w:val="IndexLink"/>
                <w:rtl w:val="true"/>
              </w:rPr>
              <w:t xml:space="preserve">: </w:t>
            </w:r>
            <w:r>
              <w:rPr>
                <w:rStyle w:val="IndexLink"/>
                <w:rtl w:val="true"/>
              </w:rPr>
              <w:t>قدسيت دين و عرفي بودن</w:t>
            </w:r>
            <w:r>
              <w:rPr>
                <w:rStyle w:val="IndexLink"/>
                <w:rtl w:val="true"/>
              </w:rPr>
              <w:tab/>
            </w:r>
            <w:r>
              <w:rPr>
                <w:rStyle w:val="IndexLink"/>
              </w:rPr>
              <w:t>73</w:t>
            </w:r>
          </w:hyperlink>
        </w:p>
        <w:p>
          <w:pPr>
            <w:pStyle w:val="Contents2"/>
            <w:tabs>
              <w:tab w:val="clear" w:pos="8743"/>
              <w:tab w:val="right" w:pos="9026" w:leader="dot"/>
            </w:tabs>
            <w:rPr/>
          </w:pPr>
          <w:hyperlink w:anchor="__RefHeading___Toc1764281_730472459">
            <w:r>
              <w:rPr>
                <w:webHidden/>
                <w:rStyle w:val="IndexLink"/>
                <w:rtl w:val="true"/>
              </w:rPr>
              <w:t>مقاله‌ي مورد نقد</w:t>
            </w:r>
            <w:r>
              <w:rPr>
                <w:rStyle w:val="IndexLink"/>
                <w:rtl w:val="true"/>
              </w:rPr>
              <w:t xml:space="preserve">: </w:t>
            </w:r>
            <w:r>
              <w:rPr>
                <w:rStyle w:val="IndexLink"/>
                <w:rtl w:val="true"/>
              </w:rPr>
              <w:t>طالقاني و نوگرايي ديني</w:t>
            </w:r>
            <w:r>
              <w:rPr>
                <w:rStyle w:val="IndexLink"/>
                <w:rtl w:val="true"/>
              </w:rPr>
              <w:tab/>
            </w:r>
            <w:r>
              <w:rPr>
                <w:rStyle w:val="IndexLink"/>
              </w:rPr>
              <w:t>87</w:t>
            </w:r>
          </w:hyperlink>
        </w:p>
        <w:p>
          <w:pPr>
            <w:pStyle w:val="Contents3"/>
            <w:tabs>
              <w:tab w:val="clear" w:pos="8459"/>
              <w:tab w:val="right" w:pos="9026" w:leader="dot"/>
            </w:tabs>
            <w:rPr/>
          </w:pPr>
          <w:hyperlink w:anchor="__RefHeading___Toc1764283_730472459">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1764285_730472459">
            <w:r>
              <w:rPr>
                <w:webHidden/>
                <w:rStyle w:val="IndexLink"/>
                <w:rtl w:val="true"/>
              </w:rPr>
              <w:t>چكيده</w:t>
            </w:r>
            <w:r>
              <w:rPr>
                <w:rStyle w:val="IndexLink"/>
                <w:rtl w:val="true"/>
              </w:rPr>
              <w:t>:</w:t>
              <w:tab/>
            </w:r>
            <w:r>
              <w:rPr>
                <w:rStyle w:val="IndexLink"/>
              </w:rPr>
              <w:t>87</w:t>
            </w:r>
          </w:hyperlink>
        </w:p>
        <w:p>
          <w:pPr>
            <w:pStyle w:val="Contents3"/>
            <w:tabs>
              <w:tab w:val="clear" w:pos="8459"/>
              <w:tab w:val="right" w:pos="9026" w:leader="dot"/>
            </w:tabs>
            <w:rPr/>
          </w:pPr>
          <w:hyperlink w:anchor="__RefHeading___Toc1764287_730472459">
            <w:r>
              <w:rPr>
                <w:webHidden/>
                <w:rStyle w:val="IndexLink"/>
                <w:rtl w:val="true"/>
              </w:rPr>
              <w:t>نقد و بررسي</w:t>
            </w:r>
            <w:r>
              <w:rPr>
                <w:rStyle w:val="IndexLink"/>
                <w:rtl w:val="true"/>
              </w:rPr>
              <w:t xml:space="preserve">: </w:t>
            </w:r>
            <w:r>
              <w:rPr>
                <w:rStyle w:val="IndexLink"/>
                <w:rtl w:val="true"/>
              </w:rPr>
              <w:t>منطق فهم دين</w:t>
            </w:r>
            <w:r>
              <w:rPr>
                <w:rStyle w:val="IndexLink"/>
                <w:rtl w:val="true"/>
              </w:rPr>
              <w:tab/>
            </w:r>
            <w:r>
              <w:rPr>
                <w:rStyle w:val="IndexLink"/>
              </w:rPr>
              <w:t>88</w:t>
            </w:r>
          </w:hyperlink>
        </w:p>
        <w:p>
          <w:pPr>
            <w:pStyle w:val="Contents3"/>
            <w:tabs>
              <w:tab w:val="clear" w:pos="8459"/>
              <w:tab w:val="right" w:pos="9026" w:leader="dot"/>
            </w:tabs>
            <w:rPr/>
          </w:pPr>
          <w:hyperlink w:anchor="__RefHeading___Toc1764289_730472459">
            <w:r>
              <w:rPr>
                <w:webHidden/>
                <w:rStyle w:val="IndexLink"/>
                <w:rtl w:val="true"/>
              </w:rPr>
              <w:t>مقدمه</w:t>
            </w:r>
            <w:r>
              <w:rPr>
                <w:rStyle w:val="IndexLink"/>
                <w:rtl w:val="true"/>
              </w:rPr>
              <w:tab/>
            </w:r>
            <w:r>
              <w:rPr>
                <w:rStyle w:val="IndexLink"/>
              </w:rPr>
              <w:t>88</w:t>
            </w:r>
          </w:hyperlink>
        </w:p>
        <w:p>
          <w:pPr>
            <w:pStyle w:val="Contents3"/>
            <w:tabs>
              <w:tab w:val="clear" w:pos="8459"/>
              <w:tab w:val="right" w:pos="9026" w:leader="dot"/>
            </w:tabs>
            <w:rPr/>
          </w:pPr>
          <w:hyperlink w:anchor="__RefHeading___Toc1764291_730472459">
            <w:r>
              <w:rPr>
                <w:webHidden/>
                <w:rStyle w:val="IndexLink"/>
                <w:rtl w:val="true"/>
              </w:rPr>
              <w:t>كفر و ايمان</w:t>
            </w:r>
            <w:r>
              <w:rPr>
                <w:rStyle w:val="IndexLink"/>
                <w:rtl w:val="true"/>
              </w:rPr>
              <w:tab/>
            </w:r>
            <w:r>
              <w:rPr>
                <w:rStyle w:val="IndexLink"/>
              </w:rPr>
              <w:t>90</w:t>
            </w:r>
          </w:hyperlink>
        </w:p>
        <w:p>
          <w:pPr>
            <w:pStyle w:val="Contents3"/>
            <w:tabs>
              <w:tab w:val="clear" w:pos="8459"/>
              <w:tab w:val="right" w:pos="9026" w:leader="dot"/>
            </w:tabs>
            <w:rPr/>
          </w:pPr>
          <w:hyperlink w:anchor="__RefHeading___Toc1764293_730472459">
            <w:r>
              <w:rPr>
                <w:webHidden/>
                <w:rStyle w:val="IndexLink"/>
                <w:rtl w:val="true"/>
              </w:rPr>
              <w:t>آزادي شيطان</w:t>
            </w:r>
            <w:r>
              <w:rPr>
                <w:rStyle w:val="IndexLink"/>
                <w:rtl w:val="true"/>
              </w:rPr>
              <w:tab/>
            </w:r>
            <w:r>
              <w:rPr>
                <w:rStyle w:val="IndexLink"/>
              </w:rPr>
              <w:t>92</w:t>
            </w:r>
          </w:hyperlink>
        </w:p>
        <w:p>
          <w:pPr>
            <w:pStyle w:val="Contents3"/>
            <w:tabs>
              <w:tab w:val="clear" w:pos="8459"/>
              <w:tab w:val="right" w:pos="9026" w:leader="dot"/>
            </w:tabs>
            <w:rPr/>
          </w:pPr>
          <w:hyperlink w:anchor="__RefHeading___Toc1764295_730472459">
            <w:r>
              <w:rPr>
                <w:webHidden/>
                <w:rStyle w:val="IndexLink"/>
                <w:rtl w:val="true"/>
              </w:rPr>
              <w:t>سنّت حوزه‌هاي علميه</w:t>
            </w:r>
            <w:r>
              <w:rPr>
                <w:rStyle w:val="IndexLink"/>
                <w:rtl w:val="true"/>
              </w:rPr>
              <w:tab/>
            </w:r>
            <w:r>
              <w:rPr>
                <w:rStyle w:val="IndexLink"/>
              </w:rPr>
              <w:t>94</w:t>
            </w:r>
          </w:hyperlink>
        </w:p>
        <w:p>
          <w:pPr>
            <w:pStyle w:val="Contents3"/>
            <w:tabs>
              <w:tab w:val="clear" w:pos="8459"/>
              <w:tab w:val="right" w:pos="9026" w:leader="dot"/>
            </w:tabs>
            <w:rPr/>
          </w:pPr>
          <w:hyperlink w:anchor="__RefHeading___Toc1764297_730472459">
            <w:r>
              <w:rPr>
                <w:webHidden/>
                <w:rStyle w:val="IndexLink"/>
                <w:rtl w:val="true"/>
              </w:rPr>
              <w:t>مسلمان كيست؟</w:t>
            </w:r>
            <w:r>
              <w:rPr>
                <w:rStyle w:val="IndexLink"/>
                <w:rtl w:val="true"/>
              </w:rPr>
              <w:tab/>
            </w:r>
            <w:r>
              <w:rPr>
                <w:rStyle w:val="IndexLink"/>
              </w:rPr>
              <w:t>95</w:t>
            </w:r>
          </w:hyperlink>
        </w:p>
        <w:p>
          <w:pPr>
            <w:pStyle w:val="Contents3"/>
            <w:tabs>
              <w:tab w:val="clear" w:pos="8459"/>
              <w:tab w:val="right" w:pos="9026" w:leader="dot"/>
            </w:tabs>
            <w:rPr/>
          </w:pPr>
          <w:hyperlink w:anchor="__RefHeading___Toc1764299_730472459">
            <w:r>
              <w:rPr>
                <w:webHidden/>
                <w:rStyle w:val="IndexLink"/>
                <w:rtl w:val="true"/>
              </w:rPr>
              <w:t>مشروعيت قانون اساسي</w:t>
            </w:r>
            <w:r>
              <w:rPr>
                <w:rStyle w:val="IndexLink"/>
                <w:rtl w:val="true"/>
              </w:rPr>
              <w:tab/>
            </w:r>
            <w:r>
              <w:rPr>
                <w:rStyle w:val="IndexLink"/>
              </w:rPr>
              <w:t>97</w:t>
            </w:r>
          </w:hyperlink>
        </w:p>
        <w:p>
          <w:pPr>
            <w:pStyle w:val="Contents3"/>
            <w:tabs>
              <w:tab w:val="clear" w:pos="8459"/>
              <w:tab w:val="right" w:pos="9026" w:leader="dot"/>
            </w:tabs>
            <w:rPr/>
          </w:pPr>
          <w:hyperlink w:anchor="__RefHeading___Toc1764301_730472459">
            <w:r>
              <w:rPr>
                <w:webHidden/>
                <w:rStyle w:val="IndexLink"/>
                <w:rtl w:val="true"/>
              </w:rPr>
              <w:t>معيار تغيير احكام</w:t>
            </w:r>
            <w:r>
              <w:rPr>
                <w:rStyle w:val="IndexLink"/>
                <w:rtl w:val="true"/>
              </w:rPr>
              <w:tab/>
            </w:r>
            <w:r>
              <w:rPr>
                <w:rStyle w:val="IndexLink"/>
              </w:rPr>
              <w:t>98</w:t>
            </w:r>
          </w:hyperlink>
        </w:p>
        <w:p>
          <w:pPr>
            <w:pStyle w:val="Contents3"/>
            <w:tabs>
              <w:tab w:val="clear" w:pos="8459"/>
              <w:tab w:val="right" w:pos="9026" w:leader="dot"/>
            </w:tabs>
            <w:rPr/>
          </w:pPr>
          <w:hyperlink w:anchor="__RefHeading___Toc1764303_730472459">
            <w:r>
              <w:rPr>
                <w:webHidden/>
                <w:rStyle w:val="IndexLink"/>
                <w:rtl w:val="true"/>
              </w:rPr>
              <w:t>حجم متشابهات در قرآن</w:t>
            </w:r>
            <w:r>
              <w:rPr>
                <w:rStyle w:val="IndexLink"/>
                <w:rtl w:val="true"/>
              </w:rPr>
              <w:tab/>
            </w:r>
            <w:r>
              <w:rPr>
                <w:rStyle w:val="IndexLink"/>
              </w:rPr>
              <w:t>99</w:t>
            </w:r>
          </w:hyperlink>
        </w:p>
        <w:p>
          <w:pPr>
            <w:pStyle w:val="Contents2"/>
            <w:tabs>
              <w:tab w:val="clear" w:pos="8743"/>
              <w:tab w:val="right" w:pos="9026" w:leader="dot"/>
            </w:tabs>
            <w:rPr/>
          </w:pPr>
          <w:hyperlink w:anchor="__RefHeading___Toc1764305_730472459">
            <w:r>
              <w:rPr>
                <w:webHidden/>
                <w:rStyle w:val="IndexLink"/>
                <w:rtl w:val="true"/>
              </w:rPr>
              <w:t>مقاله مورد نقد</w:t>
            </w:r>
            <w:r>
              <w:rPr>
                <w:rStyle w:val="IndexLink"/>
                <w:rtl w:val="true"/>
              </w:rPr>
              <w:t xml:space="preserve">: </w:t>
            </w:r>
            <w:r>
              <w:rPr>
                <w:rStyle w:val="IndexLink"/>
                <w:rtl w:val="true"/>
              </w:rPr>
              <w:t>موسيقي و تك‌خواني خانم‌ها</w:t>
            </w:r>
            <w:r>
              <w:rPr>
                <w:rStyle w:val="IndexLink"/>
                <w:rtl w:val="true"/>
              </w:rPr>
              <w:tab/>
            </w:r>
            <w:r>
              <w:rPr>
                <w:rStyle w:val="IndexLink"/>
              </w:rPr>
              <w:t>103</w:t>
            </w:r>
          </w:hyperlink>
        </w:p>
        <w:p>
          <w:pPr>
            <w:pStyle w:val="Contents3"/>
            <w:tabs>
              <w:tab w:val="clear" w:pos="8459"/>
              <w:tab w:val="right" w:pos="9026" w:leader="dot"/>
            </w:tabs>
            <w:rPr/>
          </w:pPr>
          <w:hyperlink w:anchor="__RefHeading___Toc1764307_730472459">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1764309_730472459">
            <w:r>
              <w:rPr>
                <w:webHidden/>
                <w:rStyle w:val="IndexLink"/>
                <w:rtl w:val="true"/>
              </w:rPr>
              <w:t>چكيده</w:t>
            </w:r>
            <w:r>
              <w:rPr>
                <w:rStyle w:val="IndexLink"/>
                <w:rtl w:val="true"/>
              </w:rPr>
              <w:t>:</w:t>
              <w:tab/>
            </w:r>
            <w:r>
              <w:rPr>
                <w:rStyle w:val="IndexLink"/>
              </w:rPr>
              <w:t>103</w:t>
            </w:r>
          </w:hyperlink>
        </w:p>
        <w:p>
          <w:pPr>
            <w:pStyle w:val="Contents3"/>
            <w:tabs>
              <w:tab w:val="clear" w:pos="8459"/>
              <w:tab w:val="right" w:pos="9026" w:leader="dot"/>
            </w:tabs>
            <w:rPr/>
          </w:pPr>
          <w:hyperlink w:anchor="__RefHeading___Toc1764311_730472459">
            <w:r>
              <w:rPr>
                <w:webHidden/>
                <w:rStyle w:val="IndexLink"/>
                <w:rtl w:val="true"/>
              </w:rPr>
              <w:t>نقد و بررسي</w:t>
            </w:r>
            <w:r>
              <w:rPr>
                <w:rStyle w:val="IndexLink"/>
                <w:rtl w:val="true"/>
              </w:rPr>
              <w:t>:</w:t>
            </w:r>
            <w:r>
              <w:rPr>
                <w:rStyle w:val="IndexLink"/>
                <w:rtl w:val="true"/>
              </w:rPr>
              <w:t>موسيقي و تك‌خواني زن</w:t>
            </w:r>
            <w:r>
              <w:rPr>
                <w:rStyle w:val="IndexLink"/>
                <w:rtl w:val="true"/>
              </w:rPr>
              <w:tab/>
            </w:r>
            <w:r>
              <w:rPr>
                <w:rStyle w:val="IndexLink"/>
              </w:rPr>
              <w:t>103</w:t>
            </w:r>
          </w:hyperlink>
        </w:p>
        <w:p>
          <w:pPr>
            <w:pStyle w:val="Contents3"/>
            <w:tabs>
              <w:tab w:val="clear" w:pos="8459"/>
              <w:tab w:val="right" w:pos="9026" w:leader="dot"/>
            </w:tabs>
            <w:rPr/>
          </w:pPr>
          <w:hyperlink w:anchor="__RefHeading___Toc1764313_730472459">
            <w:r>
              <w:rPr>
                <w:webHidden/>
                <w:rStyle w:val="IndexLink"/>
                <w:rtl w:val="true"/>
              </w:rPr>
              <w:t>موسيقي، روح و روان و علم پزشكي</w:t>
            </w:r>
            <w:r>
              <w:rPr>
                <w:rStyle w:val="IndexLink"/>
                <w:rtl w:val="true"/>
              </w:rPr>
              <w:tab/>
            </w:r>
            <w:r>
              <w:rPr>
                <w:rStyle w:val="IndexLink"/>
              </w:rPr>
              <w:t>106</w:t>
            </w:r>
          </w:hyperlink>
        </w:p>
        <w:p>
          <w:pPr>
            <w:pStyle w:val="Contents3"/>
            <w:tabs>
              <w:tab w:val="clear" w:pos="8459"/>
              <w:tab w:val="right" w:pos="9026" w:leader="dot"/>
            </w:tabs>
            <w:rPr/>
          </w:pPr>
          <w:hyperlink w:anchor="__RefHeading___Toc1764315_730472459">
            <w:r>
              <w:rPr>
                <w:webHidden/>
                <w:rStyle w:val="IndexLink"/>
                <w:rtl w:val="true"/>
              </w:rPr>
              <w:t>موسيقي و تك‌خواني زن از منظر ديني</w:t>
            </w:r>
            <w:r>
              <w:rPr>
                <w:rStyle w:val="IndexLink"/>
                <w:rtl w:val="true"/>
              </w:rPr>
              <w:tab/>
            </w:r>
            <w:r>
              <w:rPr>
                <w:rStyle w:val="IndexLink"/>
              </w:rPr>
              <w:t>107</w:t>
            </w:r>
          </w:hyperlink>
        </w:p>
        <w:p>
          <w:pPr>
            <w:pStyle w:val="Contents2"/>
            <w:tabs>
              <w:tab w:val="clear" w:pos="8743"/>
              <w:tab w:val="right" w:pos="9026" w:leader="dot"/>
            </w:tabs>
            <w:rPr/>
          </w:pPr>
          <w:hyperlink w:anchor="__RefHeading___Toc1764317_730472459">
            <w:r>
              <w:rPr>
                <w:webHidden/>
                <w:rStyle w:val="IndexLink"/>
                <w:rtl w:val="true"/>
              </w:rPr>
              <w:t>مقاله مورد نقد</w:t>
            </w:r>
            <w:r>
              <w:rPr>
                <w:rStyle w:val="IndexLink"/>
                <w:rtl w:val="true"/>
              </w:rPr>
              <w:t xml:space="preserve">: </w:t>
            </w:r>
            <w:r>
              <w:rPr>
                <w:rStyle w:val="IndexLink"/>
                <w:rtl w:val="true"/>
              </w:rPr>
              <w:t>آمريكا ستيزي سال‌هاست كه به نفع آمريكاست</w:t>
            </w:r>
            <w:r>
              <w:rPr>
                <w:rStyle w:val="IndexLink"/>
                <w:rtl w:val="true"/>
              </w:rPr>
              <w:tab/>
            </w:r>
            <w:r>
              <w:rPr>
                <w:rStyle w:val="IndexLink"/>
              </w:rPr>
              <w:t>113</w:t>
            </w:r>
          </w:hyperlink>
        </w:p>
        <w:p>
          <w:pPr>
            <w:pStyle w:val="Contents3"/>
            <w:tabs>
              <w:tab w:val="clear" w:pos="8459"/>
              <w:tab w:val="right" w:pos="9026" w:leader="dot"/>
            </w:tabs>
            <w:rPr/>
          </w:pPr>
          <w:hyperlink w:anchor="__RefHeading___Toc1764319_730472459">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1764321_730472459">
            <w:r>
              <w:rPr>
                <w:webHidden/>
                <w:rStyle w:val="IndexLink"/>
                <w:rtl w:val="true"/>
              </w:rPr>
              <w:t>چكيده</w:t>
            </w:r>
            <w:r>
              <w:rPr>
                <w:rStyle w:val="IndexLink"/>
                <w:rtl w:val="true"/>
              </w:rPr>
              <w:t>:</w:t>
              <w:tab/>
            </w:r>
            <w:r>
              <w:rPr>
                <w:rStyle w:val="IndexLink"/>
              </w:rPr>
              <w:t>113</w:t>
            </w:r>
          </w:hyperlink>
        </w:p>
        <w:p>
          <w:pPr>
            <w:pStyle w:val="Contents3"/>
            <w:tabs>
              <w:tab w:val="clear" w:pos="8459"/>
              <w:tab w:val="right" w:pos="9026" w:leader="dot"/>
            </w:tabs>
            <w:rPr/>
          </w:pPr>
          <w:hyperlink w:anchor="__RefHeading___Toc1764323_730472459">
            <w:r>
              <w:rPr>
                <w:webHidden/>
                <w:rStyle w:val="IndexLink"/>
                <w:rtl w:val="true"/>
              </w:rPr>
              <w:t>نقد و بررسي</w:t>
            </w:r>
            <w:r>
              <w:rPr>
                <w:rStyle w:val="IndexLink"/>
                <w:rtl w:val="true"/>
              </w:rPr>
              <w:t xml:space="preserve">: </w:t>
            </w:r>
            <w:r>
              <w:rPr>
                <w:rStyle w:val="IndexLink"/>
                <w:rtl w:val="true"/>
              </w:rPr>
              <w:t>منافع آمريكا در چالش روابط مخاصمه‌آميز با ايران</w:t>
            </w:r>
            <w:r>
              <w:rPr>
                <w:rStyle w:val="IndexLink"/>
                <w:rtl w:val="true"/>
              </w:rPr>
              <w:tab/>
            </w:r>
            <w:r>
              <w:rPr>
                <w:rStyle w:val="IndexLink"/>
              </w:rPr>
              <w:t>113</w:t>
            </w:r>
          </w:hyperlink>
        </w:p>
        <w:p>
          <w:pPr>
            <w:pStyle w:val="Contents3"/>
            <w:tabs>
              <w:tab w:val="clear" w:pos="8459"/>
              <w:tab w:val="right" w:pos="9026" w:leader="dot"/>
            </w:tabs>
            <w:rPr/>
          </w:pPr>
          <w:hyperlink w:anchor="__RefHeading___Toc1764325_730472459">
            <w:r>
              <w:rPr>
                <w:webHidden/>
                <w:rStyle w:val="IndexLink"/>
                <w:rtl w:val="true"/>
              </w:rPr>
              <w:t>بنيان‌هاي تقابل ايران و آمريكا</w:t>
            </w:r>
            <w:r>
              <w:rPr>
                <w:rStyle w:val="IndexLink"/>
                <w:rtl w:val="true"/>
              </w:rPr>
              <w:tab/>
            </w:r>
            <w:r>
              <w:rPr>
                <w:rStyle w:val="IndexLink"/>
              </w:rPr>
              <w:t>118</w:t>
            </w:r>
          </w:hyperlink>
        </w:p>
        <w:p>
          <w:pPr>
            <w:pStyle w:val="Contents2"/>
            <w:tabs>
              <w:tab w:val="clear" w:pos="8743"/>
              <w:tab w:val="right" w:pos="9026" w:leader="dot"/>
            </w:tabs>
            <w:rPr/>
          </w:pPr>
          <w:hyperlink w:anchor="__RefHeading___Toc1764327_730472459">
            <w:r>
              <w:rPr>
                <w:webHidden/>
                <w:rStyle w:val="IndexLink"/>
                <w:rtl w:val="true"/>
              </w:rPr>
              <w:t>مقاله مورد نقد</w:t>
            </w:r>
            <w:r>
              <w:rPr>
                <w:rStyle w:val="IndexLink"/>
                <w:rtl w:val="true"/>
              </w:rPr>
              <w:t xml:space="preserve">: </w:t>
            </w:r>
            <w:r>
              <w:rPr>
                <w:rStyle w:val="IndexLink"/>
                <w:rtl w:val="true"/>
              </w:rPr>
              <w:t>نقدي بر دموكراسي ديني</w:t>
            </w:r>
            <w:r>
              <w:rPr>
                <w:rStyle w:val="IndexLink"/>
                <w:rtl w:val="true"/>
              </w:rPr>
              <w:tab/>
            </w:r>
            <w:r>
              <w:rPr>
                <w:rStyle w:val="IndexLink"/>
              </w:rPr>
              <w:t>121</w:t>
            </w:r>
          </w:hyperlink>
        </w:p>
        <w:p>
          <w:pPr>
            <w:pStyle w:val="Contents3"/>
            <w:tabs>
              <w:tab w:val="clear" w:pos="8459"/>
              <w:tab w:val="right" w:pos="9026" w:leader="dot"/>
            </w:tabs>
            <w:rPr/>
          </w:pPr>
          <w:hyperlink w:anchor="__RefHeading___Toc1764329_730472459">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1764331_730472459">
            <w:r>
              <w:rPr>
                <w:webHidden/>
                <w:rStyle w:val="IndexLink"/>
                <w:rtl w:val="true"/>
              </w:rPr>
              <w:t>چكيده</w:t>
            </w:r>
            <w:r>
              <w:rPr>
                <w:rStyle w:val="IndexLink"/>
                <w:rtl w:val="true"/>
              </w:rPr>
              <w:t>:</w:t>
              <w:tab/>
            </w:r>
            <w:r>
              <w:rPr>
                <w:rStyle w:val="IndexLink"/>
              </w:rPr>
              <w:t>121</w:t>
            </w:r>
          </w:hyperlink>
        </w:p>
        <w:p>
          <w:pPr>
            <w:pStyle w:val="Contents3"/>
            <w:tabs>
              <w:tab w:val="clear" w:pos="8459"/>
              <w:tab w:val="right" w:pos="9026" w:leader="dot"/>
            </w:tabs>
            <w:rPr/>
          </w:pPr>
          <w:hyperlink w:anchor="__RefHeading___Toc1764333_730472459">
            <w:r>
              <w:rPr>
                <w:webHidden/>
                <w:rStyle w:val="IndexLink"/>
                <w:rtl w:val="true"/>
              </w:rPr>
              <w:t>نقد و بررسي</w:t>
            </w:r>
            <w:r>
              <w:rPr>
                <w:rStyle w:val="IndexLink"/>
                <w:rtl w:val="true"/>
              </w:rPr>
              <w:t xml:space="preserve">: </w:t>
            </w:r>
            <w:r>
              <w:rPr>
                <w:rStyle w:val="IndexLink"/>
                <w:rtl w:val="true"/>
              </w:rPr>
              <w:t>مردم‌سالاري ديني نه دموكراسي است و نه استبداد</w:t>
            </w:r>
            <w:r>
              <w:rPr>
                <w:rStyle w:val="IndexLink"/>
                <w:rtl w:val="true"/>
              </w:rPr>
              <w:tab/>
            </w:r>
            <w:r>
              <w:rPr>
                <w:rStyle w:val="IndexLink"/>
              </w:rPr>
              <w:t>121</w:t>
            </w:r>
          </w:hyperlink>
        </w:p>
        <w:p>
          <w:pPr>
            <w:pStyle w:val="Contents2"/>
            <w:tabs>
              <w:tab w:val="clear" w:pos="8743"/>
              <w:tab w:val="right" w:pos="9026" w:leader="dot"/>
            </w:tabs>
            <w:rPr/>
          </w:pPr>
          <w:hyperlink w:anchor="__RefHeading___Toc1764335_730472459">
            <w:r>
              <w:rPr>
                <w:webHidden/>
                <w:rStyle w:val="IndexLink"/>
                <w:rtl w:val="true"/>
              </w:rPr>
              <w:t>مقاله‌ي مورد نقد</w:t>
            </w:r>
            <w:r>
              <w:rPr>
                <w:rStyle w:val="IndexLink"/>
                <w:rtl w:val="true"/>
              </w:rPr>
              <w:t xml:space="preserve">: </w:t>
            </w:r>
            <w:r>
              <w:rPr>
                <w:rStyle w:val="IndexLink"/>
                <w:rtl w:val="true"/>
              </w:rPr>
              <w:t>عصر مداراي ديني در جوامع غربي</w:t>
            </w:r>
            <w:r>
              <w:rPr>
                <w:rStyle w:val="IndexLink"/>
                <w:rtl w:val="true"/>
              </w:rPr>
              <w:tab/>
            </w:r>
            <w:r>
              <w:rPr>
                <w:rStyle w:val="IndexLink"/>
              </w:rPr>
              <w:t>129</w:t>
            </w:r>
          </w:hyperlink>
        </w:p>
        <w:p>
          <w:pPr>
            <w:pStyle w:val="Contents3"/>
            <w:tabs>
              <w:tab w:val="clear" w:pos="8459"/>
              <w:tab w:val="right" w:pos="9026" w:leader="dot"/>
            </w:tabs>
            <w:rPr/>
          </w:pPr>
          <w:hyperlink w:anchor="__RefHeading___Toc1764337_730472459">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1764339_730472459">
            <w:r>
              <w:rPr>
                <w:webHidden/>
                <w:rStyle w:val="IndexLink"/>
                <w:rtl w:val="true"/>
              </w:rPr>
              <w:t>چكيده</w:t>
            </w:r>
            <w:r>
              <w:rPr>
                <w:rStyle w:val="IndexLink"/>
                <w:rtl w:val="true"/>
              </w:rPr>
              <w:t>:</w:t>
              <w:tab/>
            </w:r>
            <w:r>
              <w:rPr>
                <w:rStyle w:val="IndexLink"/>
              </w:rPr>
              <w:t>129</w:t>
            </w:r>
          </w:hyperlink>
        </w:p>
        <w:p>
          <w:pPr>
            <w:pStyle w:val="Contents3"/>
            <w:tabs>
              <w:tab w:val="clear" w:pos="8459"/>
              <w:tab w:val="right" w:pos="9026" w:leader="dot"/>
            </w:tabs>
            <w:rPr/>
          </w:pPr>
          <w:hyperlink w:anchor="__RefHeading___Toc1764341_730472459">
            <w:r>
              <w:rPr>
                <w:webHidden/>
                <w:rStyle w:val="IndexLink"/>
                <w:rtl w:val="true"/>
              </w:rPr>
              <w:t>نقد و بررسي</w:t>
            </w:r>
            <w:r>
              <w:rPr>
                <w:rStyle w:val="IndexLink"/>
                <w:rtl w:val="true"/>
              </w:rPr>
              <w:t xml:space="preserve">: </w:t>
            </w:r>
            <w:r>
              <w:rPr>
                <w:rStyle w:val="IndexLink"/>
                <w:rtl w:val="true"/>
              </w:rPr>
              <w:t>سكولاريزم هزار چهره</w:t>
            </w:r>
            <w:r>
              <w:rPr>
                <w:rStyle w:val="IndexLink"/>
                <w:rtl w:val="true"/>
              </w:rPr>
              <w:tab/>
            </w:r>
            <w:r>
              <w:rPr>
                <w:rStyle w:val="IndexLink"/>
              </w:rPr>
              <w:t>130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86_158284"/>
      <w:bookmarkStart w:id="1" w:name="pg14786_158284"/>
      <w:bookmarkEnd w:id="1"/>
    </w:p>
    <w:p>
      <w:pPr>
        <w:pStyle w:val="Heading2"/>
        <w:numPr>
          <w:ilvl w:val="1"/>
          <w:numId w:val="1"/>
        </w:numPr>
        <w:rPr/>
      </w:pPr>
      <w:bookmarkStart w:id="2" w:name="pg14786_158284"/>
      <w:bookmarkStart w:id="3" w:name="__RefHeading___Toc1764209_73047245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محققین واحد مطبوعات؛ ویراستار مهدی زارعی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مرکز مطالعات و پژوهش‌های فرهنگی،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9647</w:t>
      </w:r>
      <w:r>
        <w:rPr>
          <w:rFonts w:eastAsia="IRNazanin" w:cs="IRNazanin"/>
          <w:color w:val="111111"/>
          <w:sz w:val="28"/>
          <w:szCs w:val="28"/>
          <w:rtl w:val="true"/>
          <w:lang w:bidi="fa-IR"/>
        </w:rPr>
        <w:t>-</w:t>
      </w:r>
      <w:r>
        <w:rPr>
          <w:rFonts w:eastAsia="IRNazanin" w:cs="IRNazanin"/>
          <w:color w:val="111111"/>
          <w:sz w:val="28"/>
          <w:szCs w:val="28"/>
          <w:lang w:bidi="fa-IR"/>
        </w:rPr>
        <w:t>6918</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13500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9647</w:t>
      </w:r>
      <w:r>
        <w:rPr>
          <w:rFonts w:eastAsia="IRNazanin" w:cs="IRNazanin"/>
          <w:color w:val="111111"/>
          <w:sz w:val="28"/>
          <w:szCs w:val="28"/>
          <w:rtl w:val="true"/>
          <w:lang w:bidi="fa-IR"/>
        </w:rPr>
        <w:t>-</w:t>
      </w:r>
      <w:r>
        <w:rPr>
          <w:rFonts w:eastAsia="IRNazanin" w:cs="IRNazanin"/>
          <w:color w:val="111111"/>
          <w:sz w:val="28"/>
          <w:szCs w:val="28"/>
          <w:lang w:bidi="fa-IR"/>
        </w:rPr>
        <w:t>6918</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13500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به‌انگلیسی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Pathology of the press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مطبوعات و سیاست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w:t>
      </w:r>
      <w:r>
        <w:rPr>
          <w:rFonts w:eastAsia="IRNazanin" w:cs="IRNazanin"/>
          <w:color w:val="111111"/>
          <w:sz w:val="28"/>
          <w:szCs w:val="28"/>
          <w:lang w:bidi="fa-IR"/>
        </w:rPr>
        <w:t>1376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مطبوعات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پژوهش‌های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مطبوعات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پژوهش‌های فرهنگی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PN5449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079/55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11378</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64211_730472459"/>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آسيب‌شناسي مطبوعات</w:t>
      </w:r>
    </w:p>
    <w:p>
      <w:pPr>
        <w:pStyle w:val="BookText"/>
        <w:rPr/>
      </w:pPr>
      <w:r>
        <w:rPr>
          <w:rFonts w:ascii="Amiri" w:hAnsi="Amiri" w:eastAsia="Amiri" w:cs="Amiri"/>
          <w:color w:val="111111"/>
          <w:sz w:val="28"/>
          <w:sz w:val="28"/>
          <w:szCs w:val="28"/>
          <w:rtl w:val="true"/>
          <w:lang w:bidi="ar-SA"/>
        </w:rPr>
        <w:t>جمعي از محققين واحد مطبوعات</w:t>
      </w:r>
    </w:p>
    <w:p>
      <w:pPr>
        <w:pStyle w:val="BookText"/>
        <w:rPr/>
      </w:pPr>
      <w:r>
        <w:rPr>
          <w:rFonts w:ascii="IRNazanin" w:hAnsi="IRNazanin" w:eastAsia="IRNazanin"/>
          <w:color w:val="111111"/>
          <w:sz w:val="28"/>
          <w:sz w:val="28"/>
          <w:szCs w:val="28"/>
          <w:rtl w:val="true"/>
          <w:lang w:bidi="fa-IR"/>
        </w:rPr>
        <w:t>تهيه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مطالعات و پژوهش هاي فرهنگي حوزه‌ي علميه</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مديريت حوزه علميه قم</w:t>
      </w:r>
    </w:p>
    <w:p>
      <w:pPr>
        <w:pStyle w:val="BookText"/>
        <w:rPr/>
      </w:pPr>
      <w:r>
        <w:rPr>
          <w:rFonts w:ascii="Amiri" w:hAnsi="Amiri" w:eastAsia="Amiri" w:cs="Amiri"/>
          <w:color w:val="111111"/>
          <w:sz w:val="28"/>
          <w:sz w:val="28"/>
          <w:szCs w:val="28"/>
          <w:rtl w:val="true"/>
          <w:lang w:bidi="ar-SA"/>
        </w:rPr>
        <w:t>ويراستاران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شريفي، حميده انصاري</w:t>
      </w:r>
    </w:p>
    <w:p>
      <w:pPr>
        <w:pStyle w:val="BookText"/>
        <w:rPr/>
      </w:pPr>
      <w:r>
        <w:rPr>
          <w:rFonts w:ascii="IRNazanin" w:hAnsi="IRNazanin" w:eastAsia="IRNazanin"/>
          <w:color w:val="111111"/>
          <w:sz w:val="28"/>
          <w:sz w:val="28"/>
          <w:szCs w:val="28"/>
          <w:rtl w:val="true"/>
          <w:lang w:bidi="fa-IR"/>
        </w:rPr>
        <w:t>حروف‌چين و 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يوسفي</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قيمت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قم، صندوق پستي </w:t>
      </w:r>
      <w:r>
        <w:rPr>
          <w:rFonts w:eastAsia="IRNazanin" w:cs="IRNazanin"/>
          <w:color w:val="111111"/>
          <w:sz w:val="28"/>
          <w:szCs w:val="28"/>
          <w:lang w:bidi="fa-IR"/>
        </w:rPr>
        <w:t>4466/37185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7737217</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6918</w:t>
      </w:r>
    </w:p>
    <w:p>
      <w:pPr>
        <w:pStyle w:val="BookText"/>
        <w:rPr/>
      </w:pPr>
      <w:r>
        <w:rPr>
          <w:rFonts w:ascii="IRNazanin" w:hAnsi="IRNazanin" w:eastAsia="IRNazanin"/>
          <w:color w:val="111111"/>
          <w:sz w:val="28"/>
          <w:sz w:val="28"/>
          <w:szCs w:val="28"/>
          <w:rtl w:val="true"/>
          <w:lang w:bidi="fa-IR"/>
        </w:rPr>
        <w:t>مراكز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دارالشفاء، فروشگاه مركز مديريت حوزه‌ي علميه، تلفن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7740971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خ شهدا، ك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مركز مطالعات و پژوهش‌هاي فرهنگي حوزه‌ي علميه،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انتشارات بني‌الزهرا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 آيت‌ا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مرعشي نجفي، پاساژ قدس، شماره‌ي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7732730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انقلاب، بين خيابان ارديبهشت و فروردين، ساختمان كتاب‌هاي جيبي اميركبير، طبقه سوّم، واحد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مؤسسه‌ي فرهنگي دانش و انديشه‌ي معاصر، تلفن</w:t>
      </w:r>
      <w:r>
        <w:rPr>
          <w:rFonts w:eastAsia="IRNazanin" w:cs="IRNazanin"/>
          <w:color w:val="111111"/>
          <w:sz w:val="28"/>
          <w:szCs w:val="28"/>
          <w:rtl w:val="true"/>
          <w:lang w:bidi="fa-IR"/>
        </w:rPr>
        <w:t xml:space="preserve">: </w:t>
      </w:r>
      <w:r>
        <w:rPr>
          <w:rFonts w:eastAsia="IRNazanin" w:cs="IRNazanin"/>
          <w:color w:val="111111"/>
          <w:sz w:val="28"/>
          <w:szCs w:val="28"/>
          <w:lang w:bidi="fa-IR"/>
        </w:rPr>
        <w:t>6492300</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كليه حقوق براي ناشر محفوظ است</w:t>
      </w:r>
      <w:r>
        <w:rPr>
          <w:rFonts w:eastAsia="Amiri" w:cs="Amiri" w:ascii="Amiri" w:hAnsi="Amiri"/>
          <w:color w:val="111111"/>
          <w:sz w:val="28"/>
          <w:szCs w:val="28"/>
          <w:rtl w:val="true"/>
          <w:lang w:bidi="ar-SA"/>
        </w:rPr>
        <w:t xml:space="preserve">. </w:t>
      </w:r>
      <w:bookmarkStart w:id="7" w:name="pg14786_158286"/>
    </w:p>
    <w:p>
      <w:pPr>
        <w:pStyle w:val="Heading2"/>
        <w:numPr>
          <w:ilvl w:val="1"/>
          <w:numId w:val="1"/>
        </w:numPr>
        <w:rPr/>
      </w:pPr>
      <w:bookmarkStart w:id="8" w:name="__RefHeading___Toc1764213_730472459"/>
      <w:bookmarkStart w:id="9" w:name="_Toc3"/>
      <w:bookmarkEnd w:id="7"/>
      <w:bookmarkEnd w:id="8"/>
      <w:r>
        <w:rPr>
          <w:rtl w:val="true"/>
        </w:rPr>
        <w:t>تقديم به</w:t>
      </w:r>
      <w:r>
        <w:rPr>
          <w:rtl w:val="true"/>
        </w:rPr>
        <w:t>:</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جاري در زمان، طراوت روح و جان، اميرالمؤمنين، امام المتقين، همو كه هم زينت سماوات هست و هم زمين، يعني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4786_158288"/>
      <w:bookmarkStart w:id="11" w:name="pg14786_158288"/>
      <w:bookmarkEnd w:id="11"/>
    </w:p>
    <w:p>
      <w:pPr>
        <w:pStyle w:val="Heading2"/>
        <w:numPr>
          <w:ilvl w:val="1"/>
          <w:numId w:val="1"/>
        </w:numPr>
        <w:rPr/>
      </w:pPr>
      <w:bookmarkStart w:id="12" w:name="pg14786_158288"/>
      <w:bookmarkStart w:id="13" w:name="__RefHeading___Toc1764215_730472459"/>
      <w:bookmarkStart w:id="14" w:name="_Toc4"/>
      <w:bookmarkEnd w:id="12"/>
      <w:bookmarkEnd w:id="13"/>
      <w:r>
        <w:rPr>
          <w:rtl w:val="true"/>
        </w:rPr>
        <w:t>فهرست مطالب</w:t>
      </w:r>
      <w:bookmarkEnd w:id="14"/>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w:t>
      </w:r>
    </w:p>
    <w:p>
      <w:pPr>
        <w:pStyle w:val="BookText"/>
        <w:rPr/>
      </w:pPr>
      <w:r>
        <w:rPr>
          <w:rFonts w:ascii="IRNazanin" w:hAnsi="IRNazanin" w:eastAsia="IRNazanin"/>
          <w:color w:val="111111"/>
          <w:sz w:val="28"/>
          <w:sz w:val="28"/>
          <w:szCs w:val="28"/>
          <w:rtl w:val="true"/>
          <w:lang w:bidi="fa-IR"/>
        </w:rPr>
        <w:t xml:space="preserve">دين‌داري و تجددگرايي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عبدالحسين خسروپناه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مفهوم مدرنيته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مفهوم مدرنيسم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مفهوم مدرنيزاسيون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رشد و توسعه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غربي بودن مدرنيته و تجدد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مفهوم دين و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تقابل دين و مدرنيته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مباني مدرنيسم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مبناي معرفت‌شناسي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اومانيسم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مبناي اقتصادي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مبناي ديني يهود و مسيحيت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راه‌حل‌هاي دكتر سروش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راه حل اول</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نقد راه حل اول</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راه حل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نقد راه حل دوم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راه حل برگزيده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فقيهان احياگران مهدويت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علي داعي‌نژاد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قدسيت دين و عرفي بودن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رضائي‌مهر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منطق فهم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p>
    <w:p>
      <w:pPr>
        <w:pStyle w:val="BookText"/>
        <w:rPr/>
      </w:pPr>
      <w:r>
        <w:rPr>
          <w:rFonts w:ascii="Amiri" w:hAnsi="Amiri" w:eastAsia="Amiri" w:cs="Amiri"/>
          <w:color w:val="111111"/>
          <w:sz w:val="28"/>
          <w:sz w:val="28"/>
          <w:szCs w:val="28"/>
          <w:rtl w:val="true"/>
          <w:lang w:bidi="ar-SA"/>
        </w:rPr>
        <w:t>اكبر مؤمني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كفر و ايمان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آزادي 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سنّت حوزه‌هاي علميه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مسلمان كيست؟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مشروعيت قانون اساسي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معيار تغيير احكام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حجم متشابهات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موسيقي و تك‌خواني 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ابوالقاسم مقيمي‌حاجي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موسيقي، روح و روان و علم پزشكي</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موسيقي و تك‌خواني زن از منظر ديني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منافع آمريكا در چالش روابط مخاصمه‌آميز با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بصير</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بنيان‌هاي تقابل ايران و آمريكا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مردم‌سالاري ديني نه دموكراسي است و نه استبداد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ملك‌زاده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سكولاريزم هزار چهره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هبت الله صدرالسادات‌زاده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تقابل دين و مدرنيته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مباني مدرنيسم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مبناي معرفت‌شناسي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اومانيسم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مبناي اقتصادي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مبناي ديني يهود و مسيحيت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راه‌حل‌هاي دكتر سروش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راه حل اول</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نقد راه حل اول</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راه حل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نقد راه حل دوم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راه حل برگزيده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فقيهان احياگران مهدويت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علي داعي‌نژاد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قدسيت دين و عرفي بودن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رضائي‌مهر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منطق فهم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p>
    <w:p>
      <w:pPr>
        <w:pStyle w:val="BookText"/>
        <w:rPr/>
      </w:pPr>
      <w:r>
        <w:rPr>
          <w:rFonts w:ascii="Amiri" w:hAnsi="Amiri" w:eastAsia="Amiri" w:cs="Amiri"/>
          <w:color w:val="111111"/>
          <w:sz w:val="28"/>
          <w:sz w:val="28"/>
          <w:szCs w:val="28"/>
          <w:rtl w:val="true"/>
          <w:lang w:bidi="ar-SA"/>
        </w:rPr>
        <w:t>اكبر مؤمني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كفر و ايمان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آزادي 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w:t>
      </w:r>
    </w:p>
    <w:p>
      <w:pPr>
        <w:pStyle w:val="BookText"/>
        <w:rPr/>
      </w:pPr>
      <w:r>
        <w:rPr>
          <w:rFonts w:ascii="IRNazanin" w:hAnsi="IRNazanin" w:eastAsia="IRNazanin"/>
          <w:color w:val="111111"/>
          <w:sz w:val="28"/>
          <w:sz w:val="28"/>
          <w:szCs w:val="28"/>
          <w:rtl w:val="true"/>
          <w:lang w:bidi="fa-IR"/>
        </w:rPr>
        <w:t xml:space="preserve">دين‌داري و تجددگرايي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عبدالحسين خسروپناه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مفهوم مدرنيته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مفهوم مدرنيسم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مفهوم مدرنيزاسيون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رشد و توسعه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غربي بودن مدرنيته و تجدد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مفهوم دين و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تقابل دين و مدرنيته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مباني مدرنيسم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مبناي معرفت‌شناسي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اومانيسم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مبناي اقتصادي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مبناي ديني يهود و مسيحيت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راه‌حل‌هاي دكتر سروش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راه حل اول</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نقد راه حل اول</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راه حل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نقد راه حل دوم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راه حل برگزيده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فقيهان احياگران مهدويت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علي داعي‌نژاد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قدسيت دين و عرفي بودن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رضائي‌مهر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منطق فهم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p>
    <w:p>
      <w:pPr>
        <w:pStyle w:val="BookText"/>
        <w:rPr/>
      </w:pPr>
      <w:r>
        <w:rPr>
          <w:rFonts w:ascii="Amiri" w:hAnsi="Amiri" w:eastAsia="Amiri" w:cs="Amiri"/>
          <w:color w:val="111111"/>
          <w:sz w:val="28"/>
          <w:sz w:val="28"/>
          <w:szCs w:val="28"/>
          <w:rtl w:val="true"/>
          <w:lang w:bidi="ar-SA"/>
        </w:rPr>
        <w:t>اكبر مؤمني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كفر و ايمان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آزادي 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سنّت حوزه‌هاي علميه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مسلمان كيست؟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مشروعيت قانون اساسي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معيار تغيير احكام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حجم متشابهات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موسيقي و تك‌خواني 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ابوالقاسم مقيمي‌حاجي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موسيقي، روح و روان و علم پزشكي</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موسيقي و تك‌خواني زن از منظر ديني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منافع آمريكا در چالش روابط مخاصمه‌آميز با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بصير</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بنيان‌هاي تقابل ايران و آمريكا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مردم‌سالاري ديني نه دموكراسي است و نه استبداد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ملك‌زاده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سكولاريزم هزار چهره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هبت الله صدرالسادات‌زاده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bookmarkStart w:id="15" w:name="pg14786_158291"/>
    </w:p>
    <w:p>
      <w:pPr>
        <w:pStyle w:val="Heading2"/>
        <w:numPr>
          <w:ilvl w:val="1"/>
          <w:numId w:val="1"/>
        </w:numPr>
        <w:rPr/>
      </w:pPr>
      <w:bookmarkStart w:id="16" w:name="__RefHeading___Toc1764217_730472459"/>
      <w:bookmarkStart w:id="17" w:name="_Toc5"/>
      <w:bookmarkEnd w:id="15"/>
      <w:bookmarkEnd w:id="16"/>
      <w:r>
        <w:rPr>
          <w:rtl w:val="true"/>
        </w:rPr>
        <w:t>مقدمه</w:t>
      </w:r>
      <w:bookmarkEnd w:id="17"/>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مطبوعات يكي از مهم‌ترين و بارزترين ابزار ارتباط جمعي است كه مخاطبان را از اخبار و نظريه‌ها آگاه مي‌سازد، به ويژه در عصر انفجار اطلاعات كه توليد فرهنگ و انديشه از حجم فراواني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توليدات به عرصه‌ي بهره‌وري مي‌رسند كه به طرز بهينه‌اي توزيع گردند، و مطبوعات در عصر حاضر ابزار مناسبي براي توزيع انديشه‌ها و فرهنگ‌هاست و علي‌رغم داشتن ويژگي‌هاي مثبت، در معرض آسيب‌هايي نيز مي‌باشد كه آسيب‌شناسان اجتماعي و فرهنگي بايد به كشف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عمده‌ترين آسيب مطبوعات، نگارش مقالات ظاهراً فني و علمي و ديني توسط غير كارشناسان است؛ و كارشناسان در حوزه‌هاي مختلف موظف‌اند به كالبدشكافي مقالات بپردازند و چالش‌هاي آنها را بازشناسند و مخاطبان عزيز را از آنها آگاه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مهم‌ترين اهداف و وظايف مركز مطالعات و پژوهش‌هاي فرهنگي حوزه‌ي علميه، آسيب‌شناسي مطبوعات و دفع و رفع شبهات از اين عرصه است كه توسط واحد بررسي مطبوعات پي‌گيري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متأسفانه برخي از روزنامه‌هاي آسيب پذيرنسبت به چاپ اين نقدها </w:t>
      </w:r>
    </w:p>
    <w:p>
      <w:pPr>
        <w:pStyle w:val="BookText"/>
        <w:rPr/>
      </w:pPr>
      <w:r>
        <w:rPr>
          <w:rFonts w:ascii="IRNazanin" w:hAnsi="IRNazanin" w:eastAsia="IRNazanin"/>
          <w:color w:val="111111"/>
          <w:sz w:val="28"/>
          <w:sz w:val="28"/>
          <w:szCs w:val="28"/>
          <w:rtl w:val="true"/>
          <w:lang w:bidi="fa-IR"/>
        </w:rPr>
        <w:t>استقبال خوبي نشان نمي‌دهند، بدين سبب، اين مركز تصميم گرفته است تا اين‌گونه نقدها و بررسي‌ها را به صورت كتاب، تحت عنوان آسيب‌شناسي مطبوعات منتشر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شماره، مقاله‌ي دين‌داري و تجددگرايي كه به روشن‌گري اذهان درباره‌ي رابطه‌ي مدرنيسم و اسلام پرداخته و نقد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مهدويت و احياي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عرفي شدن عليه عرفي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طالقاني و نوگرايي ديني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موسيقي و تك‌خواني خانم‌ها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آمريكاستيزي سال‌هاست كه به نفع آمريكاست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نقدي بر دموكراسي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عصرمداراي ديني در جوامع 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آن‌كه براي خوانندگان عزيز مفيد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از محققان واحد بررسي مطبوعات، به ويژه آقاي حسن رضايي‌مهر، مدير محترم اين واحد، كمال تشكر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عبدالحسين خسروپناه</w:t>
      </w:r>
    </w:p>
    <w:p>
      <w:pPr>
        <w:pStyle w:val="BookText"/>
        <w:rPr/>
      </w:pPr>
      <w:r>
        <w:rPr>
          <w:rFonts w:ascii="IRNazanin" w:hAnsi="IRNazanin" w:eastAsia="IRNazanin"/>
          <w:color w:val="111111"/>
          <w:sz w:val="28"/>
          <w:sz w:val="28"/>
          <w:szCs w:val="28"/>
          <w:rtl w:val="true"/>
          <w:lang w:bidi="fa-IR"/>
        </w:rPr>
        <w:t>جانشين مركز مطالعات و پژوهش‌هاي فرهنگي</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حوزه‌ي علميه‌ي قم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آسیب شناسی مطبوعات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4788_158296"/>
      <w:bookmarkStart w:id="19" w:name="pg14788_158296"/>
      <w:bookmarkEnd w:id="19"/>
    </w:p>
    <w:p>
      <w:pPr>
        <w:pStyle w:val="Heading2"/>
        <w:numPr>
          <w:ilvl w:val="1"/>
          <w:numId w:val="1"/>
        </w:numPr>
        <w:rPr/>
      </w:pPr>
      <w:bookmarkStart w:id="20" w:name="pg14788_158296"/>
      <w:bookmarkStart w:id="21" w:name="__RefHeading___Toc1764219_730472459"/>
      <w:bookmarkStart w:id="22" w:name="_Toc6"/>
      <w:bookmarkEnd w:id="20"/>
      <w:bookmarkEnd w:id="21"/>
      <w:r>
        <w:rPr>
          <w:rtl w:val="true"/>
        </w:rPr>
        <w:t>دين‌داري و تجددگرايي</w:t>
      </w:r>
      <w:bookmarkEnd w:id="22"/>
    </w:p>
    <w:p>
      <w:pPr>
        <w:pStyle w:val="Heading3"/>
        <w:numPr>
          <w:ilvl w:val="2"/>
          <w:numId w:val="1"/>
        </w:numPr>
        <w:rPr/>
      </w:pPr>
      <w:bookmarkStart w:id="23" w:name="__RefHeading___Toc1764221_730472459"/>
      <w:bookmarkStart w:id="24" w:name="_Toc7"/>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عبدالحسين خسروپناه</w:t>
      </w:r>
    </w:p>
    <w:p>
      <w:pPr>
        <w:pStyle w:val="Heading3"/>
        <w:numPr>
          <w:ilvl w:val="2"/>
          <w:numId w:val="1"/>
        </w:numPr>
        <w:rPr/>
      </w:pPr>
      <w:bookmarkStart w:id="25" w:name="__RefHeading___Toc1764223_730472459"/>
      <w:bookmarkStart w:id="26" w:name="_Toc8"/>
      <w:bookmarkEnd w:id="25"/>
      <w:r>
        <w:rPr>
          <w:rtl w:val="true"/>
        </w:rPr>
        <w:t>چكيده</w:t>
      </w:r>
      <w:r>
        <w:rPr>
          <w:rtl w:val="true"/>
        </w:rPr>
        <w:t>:</w:t>
      </w:r>
      <w:bookmarkEnd w:id="26"/>
    </w:p>
    <w:p>
      <w:pPr>
        <w:pStyle w:val="BookText"/>
        <w:rPr/>
      </w:pPr>
      <w:r>
        <w:rPr>
          <w:rFonts w:ascii="IRNazanin" w:hAnsi="IRNazanin" w:eastAsia="IRNazanin"/>
          <w:color w:val="111111"/>
          <w:sz w:val="28"/>
          <w:sz w:val="28"/>
          <w:szCs w:val="28"/>
          <w:rtl w:val="true"/>
          <w:lang w:bidi="fa-IR"/>
        </w:rPr>
        <w:t>مدرنيسم پديده‌اي كاملاً غربي است كه بعد از رنسانس شكل گرفته است و از ديدگاه مدرنيست‌ها، امري مطلوب و ضروري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گروهي مدرنيته را با رشد و توسعه يكسان داشته‌اند؛ امّا در واقع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مدرنيته معتقدند كه جهت دست‌يابي به رشد و توسعه، لزوماً نيازي به اين پديده نيست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دست‌يابي به مدرنيته را مستلزم تضعيف دين و راندن آن به حاشيه مي‌دانند و عدّه‌اي مدرنيته و دين را سازگار دانسته، و علّت ناسازگاري ظاهري را، وجود عقايد خرافي و ناقص در بين متدينين مي‌دانند؛ از آن جهت كه دين موافق با علم و پيش‌رفت است و آن را تشويق مي‌كند</w:t>
      </w:r>
      <w:r>
        <w:rPr>
          <w:rFonts w:eastAsia="IRNazanin" w:cs="IRNazanin"/>
          <w:color w:val="111111"/>
          <w:sz w:val="28"/>
          <w:szCs w:val="28"/>
          <w:rtl w:val="true"/>
          <w:lang w:bidi="fa-IR"/>
        </w:rPr>
        <w:t xml:space="preserve">. </w:t>
      </w:r>
      <w:bookmarkStart w:id="27" w:name="pg14788_158297"/>
    </w:p>
    <w:p>
      <w:pPr>
        <w:pStyle w:val="BookText"/>
        <w:rPr/>
      </w:pPr>
      <w:bookmarkEnd w:id="27"/>
      <w:r>
        <w:rPr>
          <w:rFonts w:ascii="IRNazanin" w:hAnsi="IRNazanin" w:eastAsia="IRNazanin"/>
          <w:color w:val="111111"/>
          <w:sz w:val="28"/>
          <w:sz w:val="28"/>
          <w:szCs w:val="28"/>
          <w:rtl w:val="true"/>
          <w:lang w:bidi="fa-IR"/>
        </w:rPr>
        <w:t>گروه اخير بدون توجّه به مباني مدرنيته در غرب، آن را مساوي با علم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مدرنيته مساوي با علم نيست، بلكه علم يكي از محصولات و دستاوردهاي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مدرنيستم بر چهار مبناي معرفت‌شناختي،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عقلانيت رازستيز و ابزاري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اومانيسم،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 انسان غايت همه 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مبناي اقتصادي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سرمايه و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مباني ديني يهوديت و مسيحيت بنا شده است و هيچ يك از اين‌ها با مبناي دين حقيقي و تحريف نشده، سازگاري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قايل‌اند كه براي آشتي دادن دين و مدرنيته، بايد دستاوردهاي مدرنيته را بپذيريم و هر جا كه با متون دين مطابق نبود، برداشت خود را از آموزه‌هاي ديني عوض نماييم؛ اين عقيده منجر به تفسير به رأي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مي‌رسد، براي آشتي دادن مدرنيته و تجدد با دين، بايد عقلانيت رازستيز و ابزاري را با عقلانيت رازآگين و غايت‌گرا جمع نمود؛ دوران غرور عقلاني به پايان رسيده است و ما در دوره‌ي تواضع عقلاني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فاصله بين عقلانيت رازآگين و غايت‌گرا، با عقلانيت رازستيز و ابزاري، موجب ناامني و بحران معنويت در جهان شده است</w:t>
      </w:r>
      <w:r>
        <w:rPr>
          <w:rFonts w:eastAsia="IRNazanin" w:cs="IRNazanin"/>
          <w:color w:val="111111"/>
          <w:sz w:val="28"/>
          <w:szCs w:val="28"/>
          <w:rtl w:val="true"/>
          <w:lang w:bidi="fa-IR"/>
        </w:rPr>
        <w:t>.</w:t>
      </w:r>
    </w:p>
    <w:p>
      <w:pPr>
        <w:pStyle w:val="Heading3"/>
        <w:numPr>
          <w:ilvl w:val="2"/>
          <w:numId w:val="1"/>
        </w:numPr>
        <w:rPr/>
      </w:pPr>
      <w:bookmarkStart w:id="28" w:name="__RefHeading___Toc1764225_730472459"/>
      <w:bookmarkStart w:id="29" w:name="_Toc9"/>
      <w:bookmarkEnd w:id="28"/>
      <w:r>
        <w:rPr>
          <w:rtl w:val="true"/>
        </w:rPr>
        <w:t>مفهوم مدرنيته</w:t>
      </w:r>
      <w:bookmarkEnd w:id="29"/>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مدرنيته و تجدد وضعيتي است كه از رنسانس به بعد در غرب پديدار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وضعيتي نوآور و متجدد با مدل‌هاي مختلف كه گاهي از آن به تجدد ليبرالي، سازمان‌يافته، خودآگاه، ناخودآگاه، خوش‌بين و بدبين، تعبير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مدرنيته‌اي كه امروزه مطرح مي‌شود، مطلق نو شدن نيست، بلكه وضعيت نوي است كه در غرب تحقق يافته است؛ مثلاً اگر كسي خانه‌اي قديمي را خراب كند و به جاي آن خانه‌اي </w:t>
      </w:r>
      <w:bookmarkStart w:id="30" w:name="pg14788_158298"/>
    </w:p>
    <w:p>
      <w:pPr>
        <w:pStyle w:val="BookText"/>
        <w:rPr/>
      </w:pPr>
      <w:bookmarkEnd w:id="30"/>
      <w:r>
        <w:rPr>
          <w:rFonts w:ascii="IRNazanin" w:hAnsi="IRNazanin" w:eastAsia="IRNazanin"/>
          <w:color w:val="111111"/>
          <w:sz w:val="28"/>
          <w:sz w:val="28"/>
          <w:szCs w:val="28"/>
          <w:rtl w:val="true"/>
          <w:lang w:bidi="fa-IR"/>
        </w:rPr>
        <w:t>نو بسازد، نمي‌گوييم كه صاحب اين خانه به سوي تجدد و مدرنيته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اجتماعي و اقتصادي ما هم تغييراتي يافته، اما نمي‌توان گفت كه جامعه ي ما به سمت مدرنيته سوق پيدا كرده است؟ پس بايد به اين نكته توجّه داشته باشيم كه نبايد بين مدرنيته و هر چيز نوي خلط شود</w:t>
      </w:r>
      <w:r>
        <w:rPr>
          <w:rFonts w:eastAsia="IRNazanin" w:cs="IRNazanin"/>
          <w:color w:val="111111"/>
          <w:sz w:val="28"/>
          <w:szCs w:val="28"/>
          <w:rtl w:val="true"/>
          <w:lang w:bidi="fa-IR"/>
        </w:rPr>
        <w:t>.</w:t>
      </w:r>
    </w:p>
    <w:p>
      <w:pPr>
        <w:pStyle w:val="Heading3"/>
        <w:numPr>
          <w:ilvl w:val="2"/>
          <w:numId w:val="1"/>
        </w:numPr>
        <w:rPr/>
      </w:pPr>
      <w:bookmarkStart w:id="31" w:name="__RefHeading___Toc1764227_730472459"/>
      <w:bookmarkStart w:id="32" w:name="_Toc10"/>
      <w:bookmarkEnd w:id="31"/>
      <w:r>
        <w:rPr>
          <w:rtl w:val="true"/>
        </w:rPr>
        <w:t>مفهوم مدرنيسم</w:t>
      </w:r>
      <w:bookmarkEnd w:id="32"/>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مدرنيسم يك نوع ايدئولوژي و مكتب است و مدرنيست به كسي گفته مي‌شود كه معتقد باشد آن وضعيتي كه در غرب پس از رنسانس رخ داده است، يك وضعيت ضروري و حتمي و از طرف ديگر، مطلوب و مفيد است؛ يعني هم مطلوب و شايسته است و هم بايسته؛ و ما حتماً بايد همان وضعيت نوي را كه در آن‌جا تحقق پيدا كرده است، بسته‌بندي شده در جامعه‌ي خودمان وارد و آن را اجرا كنيم و ناچاريم كه آن را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چنين اعتقادي داشته باشد، مدرنيست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مدرنيسم مخالفاني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در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در غرب سنت‌گرايان و بعضي تاريخ‌نگاران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رمانتيك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اين مكتب و ايدئولوژي هستند؛ و اخيراً پست‌مدرنيست‌هايي، مثل هابرماس، كاملاً با اين ايدئولوژي مخالف‌اند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اين فرآيند تاريخي را نه تنها ضروري نمي‌دانند، بلكه آن را نامطلوب و تغييرش را ضروري مي‌دانند</w:t>
      </w:r>
      <w:r>
        <w:rPr>
          <w:rFonts w:eastAsia="IRNazanin" w:cs="IRNazanin"/>
          <w:color w:val="111111"/>
          <w:sz w:val="28"/>
          <w:szCs w:val="28"/>
          <w:rtl w:val="true"/>
          <w:lang w:bidi="fa-IR"/>
        </w:rPr>
        <w:t xml:space="preserve">. </w:t>
      </w:r>
      <w:bookmarkStart w:id="33" w:name="pg14788_158299"/>
    </w:p>
    <w:p>
      <w:pPr>
        <w:pStyle w:val="Heading3"/>
        <w:numPr>
          <w:ilvl w:val="2"/>
          <w:numId w:val="1"/>
        </w:numPr>
        <w:rPr/>
      </w:pPr>
      <w:bookmarkStart w:id="34" w:name="__RefHeading___Toc1764229_730472459"/>
      <w:bookmarkStart w:id="35" w:name="_Toc11"/>
      <w:bookmarkEnd w:id="33"/>
      <w:bookmarkEnd w:id="34"/>
      <w:r>
        <w:rPr>
          <w:rtl w:val="true"/>
        </w:rPr>
        <w:t>مفهوم مدرنيزاسيون</w:t>
      </w:r>
      <w:bookmarkEnd w:id="35"/>
    </w:p>
    <w:p>
      <w:pPr>
        <w:pStyle w:val="BookText"/>
        <w:rPr/>
      </w:pPr>
      <w:r>
        <w:rPr>
          <w:rFonts w:ascii="IRNazanin" w:hAnsi="IRNazanin" w:eastAsia="IRNazanin"/>
          <w:color w:val="111111"/>
          <w:sz w:val="28"/>
          <w:sz w:val="28"/>
          <w:szCs w:val="28"/>
          <w:rtl w:val="true"/>
          <w:lang w:bidi="fa-IR"/>
        </w:rPr>
        <w:t>مدرنيزاسيون يعني رويه، سياست و برنامه‌ي خاصي كه طبق آن، حكومت و نظامي بخواهد وضعيت موجود خود را با توجّه به وضعيت متجددي كه در غرب است سامان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چنين نظام حكومتي داراي اين پيش‌فرض است كه وضعيت موجود او مطلوب نيست و تنها راه تحول از اين وضعيت نامطلوب، الگو گرفتن از مدرنيته‌ي غرب است</w:t>
      </w:r>
      <w:r>
        <w:rPr>
          <w:rFonts w:eastAsia="IRNazanin" w:cs="IRNazanin"/>
          <w:color w:val="111111"/>
          <w:sz w:val="28"/>
          <w:szCs w:val="28"/>
          <w:rtl w:val="true"/>
          <w:lang w:bidi="fa-IR"/>
        </w:rPr>
        <w:t>.</w:t>
      </w:r>
    </w:p>
    <w:p>
      <w:pPr>
        <w:pStyle w:val="Heading3"/>
        <w:numPr>
          <w:ilvl w:val="2"/>
          <w:numId w:val="1"/>
        </w:numPr>
        <w:rPr/>
      </w:pPr>
      <w:bookmarkStart w:id="36" w:name="__RefHeading___Toc1764231_730472459"/>
      <w:bookmarkStart w:id="37" w:name="_Toc12"/>
      <w:bookmarkEnd w:id="36"/>
      <w:r>
        <w:rPr>
          <w:rtl w:val="true"/>
        </w:rPr>
        <w:t>رشد و توسعه</w:t>
      </w:r>
      <w:bookmarkEnd w:id="37"/>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تجدد و مدرنيته را با رشد و توسعه مترادف و يكسان مي‌دانند و تصور مي‌كنند چون در مدرنيته نوعي رشد و توسعه تحقق پيدا كرده است، پس الزاماً هر رشد و توسعه‌اي زاييده‌ي مدرنيته است؛ در حالي كه رشد و توسعه را مي‌توان لازم اعمي براي مدرنيته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وضعيتي كه در غرب تحقق پيدا كرده است، متضمن رشد و توسعه هم هست، امّا الزاماً اين‌گونه نيست كه رشد و توسعه، منشأ ديگري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قبلاً گفتيم، نحله‌ها و متفكران بسياري، حتي در غرب، مخالف مدرنيسم‌اند، اما تمام اين افراد و گروه‌ها، موافق رشد و توسعه هستند؛ يعني در واقع معتقد به نوعي تكامل كمي كه معطوف به شاخصه‌هاي اقتصادي و مانند آن است </w:t>
      </w:r>
      <w:bookmarkStart w:id="38" w:name="pg14788_158300"/>
    </w:p>
    <w:p>
      <w:pPr>
        <w:pStyle w:val="BookText"/>
        <w:rPr/>
      </w:pPr>
      <w:bookmarkEnd w:id="38"/>
      <w:r>
        <w:rPr>
          <w:rFonts w:ascii="Amiri" w:hAnsi="Amiri" w:eastAsia="Amiri" w:cs="Amiri"/>
          <w:color w:val="111111"/>
          <w:sz w:val="28"/>
          <w:sz w:val="28"/>
          <w:szCs w:val="28"/>
          <w:rtl w:val="true"/>
          <w:lang w:bidi="ar-SA"/>
        </w:rPr>
        <w:t>مي‌باشند، اما معتقدند كه جهت تحقق رشد و توسعه، لزوماً نيازي به مدرنيته نيست</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1764233_730472459"/>
      <w:bookmarkStart w:id="40" w:name="_Toc13"/>
      <w:bookmarkEnd w:id="39"/>
      <w:r>
        <w:rPr>
          <w:rtl w:val="true"/>
        </w:rPr>
        <w:t>غربي بودن مدرنيته و تجدد</w:t>
      </w:r>
      <w:bookmarkEnd w:id="40"/>
    </w:p>
    <w:p>
      <w:pPr>
        <w:pStyle w:val="BookText"/>
        <w:rPr/>
      </w:pPr>
      <w:r>
        <w:rPr>
          <w:rFonts w:ascii="IRNazanin" w:hAnsi="IRNazanin" w:eastAsia="IRNazanin"/>
          <w:color w:val="111111"/>
          <w:sz w:val="28"/>
          <w:sz w:val="28"/>
          <w:szCs w:val="28"/>
          <w:rtl w:val="true"/>
          <w:lang w:bidi="fa-IR"/>
        </w:rPr>
        <w:t>اصولاً مدرنيته و تجدد، با غربي بودن آميخته است؛ بنابراين، اعتقاد كساني مثل ميرزا ملكم‌خان، كسروي‌ها و بعضي از متفكران معاصر ما كه معتقدند براي اجرا كردن مدرنيته در جامعه، راهي جز راندن دين به حاشيه نداريم، اعتقاد درستي است؛ يعني مدرنيته به همان معنايي كه در غرب مطرح است، با اسلام سازگاري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توضيح و تفصيل اين مطلب خواهد آمد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نكته‌ي ديگري كه بايد بدان توجّه نمود اين است كه اين تجدد، به عنوان يك پروسه و وضعيت خاص غربي، دقيقاً بازسازي شده‌ي سنت غرب است و كساني كه با تاريخ، فرهنگ و تفكر و زندگي اجتماعي غرب آشنايي دارند مي‌دانند كه تجدد و مدرنيته‌ي غرب، بازسازي سنت غرب است كه با يك چينش منطقي دنبال شده است؛ چرا كه در آغاز رنسانس يك رفورميسم ديني در غرب تحقق پيدا كرد و اشخاصي، مثل مارتين لوتر و كالون، يك نهضت اصلاح ديني متأثر از منابع ديني خودشان را به راه انداختند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منابع ديني، اصلاً دين با سياست و مسائل اجتماعي آميخته نشده است؛ و در انجيل آمده است كه كار قيصر را به قيصر و كار خدا را به خدا واگذاريد و اگر دين عيسي در جاهايي با مسائل اجتماعي آميخته است، اين يك انحراف </w:t>
      </w:r>
      <w:bookmarkStart w:id="41" w:name="pg14788_158301"/>
    </w:p>
    <w:p>
      <w:pPr>
        <w:pStyle w:val="BookText"/>
        <w:rPr/>
      </w:pPr>
      <w:bookmarkEnd w:id="41"/>
      <w:r>
        <w:rPr>
          <w:rFonts w:ascii="IRNazanin" w:hAnsi="IRNazanin" w:eastAsia="IRNazanin"/>
          <w:color w:val="111111"/>
          <w:sz w:val="28"/>
          <w:sz w:val="28"/>
          <w:szCs w:val="28"/>
          <w:rtl w:val="true"/>
          <w:lang w:bidi="fa-IR"/>
        </w:rPr>
        <w:t xml:space="preserve">ديني است كه دقيقاً از سال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توسط پادشاه فرانسه آغاز شد؛ در آن زمان، كشيش با دست خود، تاج شاه فرانسه را بر سر پادشاه نهاد و به طور علني وارد عرصه‌ي سياست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 كه رفورميسم و نهضت اصلاح ديني كه لوتر و كالون مطرح كردند، دقيقاً مبتني بر منابع ديني خودشان بود كه بعدها به اصلاح ديني و به عقلانيت دكارت منجر شد و ادامه پيدا كرد، تا اين‌كه به عقلانيت روشن‌گري پوزيتيويسم‌هاي فرانسه در قرن هيجدهم مبدل گشت و در نهايت با تحقق مدرنيته، پايان يافت</w:t>
      </w:r>
      <w:r>
        <w:rPr>
          <w:rFonts w:eastAsia="IRNazanin" w:cs="IRNazanin"/>
          <w:color w:val="111111"/>
          <w:sz w:val="28"/>
          <w:szCs w:val="28"/>
          <w:rtl w:val="true"/>
          <w:lang w:bidi="fa-IR"/>
        </w:rPr>
        <w:t>.</w:t>
      </w:r>
    </w:p>
    <w:p>
      <w:pPr>
        <w:pStyle w:val="Heading3"/>
        <w:numPr>
          <w:ilvl w:val="2"/>
          <w:numId w:val="1"/>
        </w:numPr>
        <w:rPr/>
      </w:pPr>
      <w:bookmarkStart w:id="42" w:name="__RefHeading___Toc1764235_730472459"/>
      <w:bookmarkStart w:id="43" w:name="_Toc14"/>
      <w:bookmarkEnd w:id="42"/>
      <w:r>
        <w:rPr>
          <w:rtl w:val="true"/>
        </w:rPr>
        <w:t>مفهوم دين و اسلام</w:t>
      </w:r>
      <w:bookmarkEnd w:id="43"/>
    </w:p>
    <w:p>
      <w:pPr>
        <w:pStyle w:val="BookText"/>
        <w:rPr/>
      </w:pPr>
      <w:r>
        <w:rPr>
          <w:rFonts w:ascii="IRNazanin" w:hAnsi="IRNazanin" w:eastAsia="IRNazanin"/>
          <w:color w:val="111111"/>
          <w:sz w:val="28"/>
          <w:sz w:val="28"/>
          <w:szCs w:val="28"/>
          <w:rtl w:val="true"/>
          <w:lang w:bidi="fa-IR"/>
        </w:rPr>
        <w:t xml:space="preserve">وقتي مي‌خواهيم اسلام را با مدرنيسم و مدرنيته مقايسه كنيم، مراد ما از اسلام، آموزه‌ها و دستاوردهايي است كه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معتبر ما به دست مي‌آيد؛ انواع و اقسام خرافه‌هايي كه در طول تفكر اسلامي ما مطرح شده است و خصوصاً در عوام‌الناس رواج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اعتقاد به صبر كردن هنگام عطسه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ربطي به اسلام ندارد، ولي قدر متيقن اين است كه از ديدگاه كتاب و سنت، عقل و تجربه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سرتاسر قرآن و روايات، ما را به تعقل توصيه كرده است؛ مثلاً در آيه‌ي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يَتَدَبَّرُونَ الْقُرْآنَ اَمْ عَلي قُلُوب اُقْفالُها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حتي تدبر در قرآن را به ما امر كرده است؛ يعني تدبر نكردن در قرآن، ملازم گرفتاري قلوب در قفل و زنجير است؛ و يا توصيه‌هاي نظر به آسمان و زمين و طبيعت كه </w:t>
      </w:r>
      <w:bookmarkStart w:id="44" w:name="pg14788_158302"/>
    </w:p>
    <w:p>
      <w:pPr>
        <w:pStyle w:val="BookText"/>
        <w:rPr/>
      </w:pPr>
      <w:bookmarkEnd w:id="44"/>
      <w:r>
        <w:rPr>
          <w:rFonts w:ascii="Amiri" w:hAnsi="Amiri" w:eastAsia="Amiri" w:cs="Amiri"/>
          <w:color w:val="111111"/>
          <w:sz w:val="28"/>
          <w:sz w:val="28"/>
          <w:szCs w:val="28"/>
          <w:rtl w:val="true"/>
          <w:lang w:bidi="ar-SA"/>
        </w:rPr>
        <w:t xml:space="preserve">در قرآن آمده است،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يَنْظُرونَ إِلَي الإِبِلِ كَيْفَ خُلِقَتْ</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أفَلَمْ يَنْظُرُوا إِلَي السَّماءِ</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توصيه‌هاي تجربه‌شناختي است؛ و يا در آيه‌ي ديگري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گوش، چشم و افئده داديم تا شاكر شويد؛ يعني شكر عملي در اين است كه از همين روش‌ها استفاده كنيد؛ بنابراين، اسلام همان آموزه‌هايي است كه از كتاب و سنت گرفته مي‌شود؛ البتّه اين متون، نوعي متدلوژي معرفت‌شناسي و اپيستمولوژيكايي را به ما عرضه مي‌كند و آن اعتبار دادن به حس و تجربه و عقل است</w:t>
      </w:r>
      <w:r>
        <w:rPr>
          <w:rFonts w:eastAsia="IRNazanin" w:cs="IRNazanin"/>
          <w:color w:val="111111"/>
          <w:sz w:val="28"/>
          <w:szCs w:val="28"/>
          <w:rtl w:val="true"/>
          <w:lang w:bidi="fa-IR"/>
        </w:rPr>
        <w:t>.</w:t>
      </w:r>
    </w:p>
    <w:p>
      <w:pPr>
        <w:pStyle w:val="Heading3"/>
        <w:numPr>
          <w:ilvl w:val="2"/>
          <w:numId w:val="1"/>
        </w:numPr>
        <w:rPr/>
      </w:pPr>
      <w:bookmarkStart w:id="45" w:name="__RefHeading___Toc1764237_730472459"/>
      <w:bookmarkStart w:id="46" w:name="_Toc15"/>
      <w:bookmarkEnd w:id="45"/>
      <w:r>
        <w:rPr>
          <w:rtl w:val="true"/>
        </w:rPr>
        <w:t>تقابل دين و مدرنيته</w:t>
      </w:r>
      <w:bookmarkEnd w:id="4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 توجّه به واژه‌هايي كه توضيح داديم، آيا اين مدرنيته با اسلام سازگاري دارد يا خير؟ همان‌گونه كه مي‌دانيد در بعضي نمونه‌ها، اسلام و مدرنيته هيچ‌گونه سازگاري با هم ندارند؛ مثلاً نيوتن وقتي قوانين خود را مطرح كرد و به مكانيكي بودن عالم پي برد، بلافاصله به اين نتيجه‌ي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زعم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كه خداوند خالق است، ولي رب نيست؛ آفريدگار است، ولي پروردگار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 نتيجه‌گيري اين است كه عقيده به پروردگاري و ربوبيت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زعم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قوانين مكانيك عالم طبيعت جمع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نتوانست اين دو مقوله را با هم جمع كند و نهايتاً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ساعت‌ساز لاهوتي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w:t>
      </w:r>
    </w:p>
    <w:p>
      <w:pPr>
        <w:pStyle w:val="BookText"/>
        <w:rPr/>
      </w:pPr>
      <w:r>
        <w:rPr>
          <w:rFonts w:ascii="IRNazanin" w:hAnsi="IRNazanin" w:eastAsia="IRNazanin"/>
          <w:color w:val="111111"/>
          <w:sz w:val="28"/>
          <w:sz w:val="28"/>
          <w:szCs w:val="28"/>
          <w:rtl w:val="true"/>
          <w:lang w:bidi="fa-IR"/>
        </w:rPr>
        <w:t>كرد كه خداوند ساعتي به نام اين عالم ساخته و آن را كوك كرده است و عالم به كار خويش ادامه مي‌دهد و خداوند هيچ ربوبيتي نسبت به اين ساعت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دستاورد، كه در فيزيك نيوتن مطرح مي‌شود، با انديشه‌ي ديني ما سازگاري ندارد؛ زيرا ما معتقديم كه خداوند هم خالق است و هم رب؛ امّا با انديشه‌ي ديني نيوتن، كه يهودي بود، سازگاري دارد؛ زيرا يهوديان معتقدند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يَدُاللهِ مَغْلُولَه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علت منجر شدن علم او به اين تفكر جهان‌بيني و جهان‌شناختي، آميخته بودن با يك پيش‌فرض ديني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تفكر، اگر علم قادر به حل مسئله‌اي نبود،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خواسته است چنين باشد؛ و اگر از نظر علمي پاسخي يافتند، ديگر پاي خدا به ميان نمي‌آيد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تفكر مسيحيت، معرفت و ايمان با هم جمع نمي‌شوند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جاي معرفت است، جاي ايمان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در سفر پيدايش تورات، كه كتاب مقدس مسيحي‌ها و يهودي‌هاست، اين قضيه مطرح شده است كه معرفت و ايمان با هم جمع نمي‌شوند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ابتداي مسيحيت تاكنون، اين تفكر، يك تفكر پذيرفته شده در جهان مسيحيت است؛ و تمام ايسم‌ها و مكاتب دنيا، از قبيل اگزيستانسياليسم و پوزيتويسم، ايمان و معرفت را ناسازگار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مطرح شدن اين نوع انديشه‌ها در فيزيك اين است كه اين فيزيك با آن نسبت سازگاري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ما مدرنيته را با تمام لوازم، دستاوردها و پيش‌فرض‌هايش به جامعه‌ي خودمان بياوريم، قطعاً با اسلام سازگاري نخواهد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نمونه‌ي ديگر، نظريه‌ي زيست‌شناختي داروين و نظريه‌ي ترانسفورميسم اوست كه نسل انسان را از حيوان نئاندرتال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علاوه بر اين‌كه با آيات آفرينش انسان ناسازگار است، پيامدهايي نيز داشته است كه با اخلاق دين ما سازگاري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پيامد نظريه‌ي داروين، اخلاق داروينيستي است كه در آن، عدالت و دفاع از حق مظلوم عليه ظالم، اصلاً معنا ندارد و همان نزاعي كه در موجودات جنگل وجود دارد، در نژادهاي انساني هم بايد تحقق پيدا كند تا نژاد برتر باقي بماند و نژادهاي پست‌تر از بين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چيزي كه در اخلاق داروينيستي مطرح است، نفي ارزش‌ها و حقوق آدمي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اين زيست‌شناسي و تمام پيامدهايش را در جامعه پذيرا شويم، با عقايد و اخلاق دين‌داري تعارض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روان‌شناسي فرويد و جامعه‌شناسي ماركس و ده‌ها رشته‌ي ديگر كه در دانشگاه‌هاي ما تدريس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 پيش‌فرض‌هايي است كه در غرب تحقق پيدا كرده است و اگر آن مقوله‌ها را به اقليم خودمان منتقل كنيم، قطعاً دچار تعارض و چالش مي‌شويم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كساني هم كه ناخودآگاه دچار اين تعارض مي‌شوند، محصلان و دانش‌جوياني هستند كه در همين رشته‌ها تحصيل مي‌كنند و شايد متوجه نباشند كه اين تعارض‌ها چگونه برايشان ايجاد شده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مدرنيته با آن بسته‌بندي‌اش، با اسلام سازگاري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بايد كرد؟ عده‌اي، مثل سيد قطب، عقيده دارند كه ما بايد مدرنيته را حذف كنيم و جلوي ورود اين پديده را بگيريم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اوّلاً، از ديدگاه جامعه‌شناختي، چنين عملي ممكن نيست و نمي‌توان با وجود ابزارهاي ارتباطي پيش‌رفته، مانند اينترنت، مانع ورود هيچ انديشه‌اي شد؛ ثانياً، بايد بحث شود كه آيا تمام اجزا و اركان مدرنيته با اسلام ناسازگار است يا خير؟</w:t>
      </w:r>
    </w:p>
    <w:p>
      <w:pPr>
        <w:pStyle w:val="BookText"/>
        <w:rPr/>
      </w:pPr>
      <w:r>
        <w:rPr>
          <w:rFonts w:ascii="IRNazanin" w:hAnsi="IRNazanin" w:eastAsia="IRNazanin"/>
          <w:color w:val="111111"/>
          <w:sz w:val="28"/>
          <w:sz w:val="28"/>
          <w:szCs w:val="28"/>
          <w:rtl w:val="true"/>
          <w:lang w:bidi="fa-IR"/>
        </w:rPr>
        <w:t>بعضي مثل كسروي، ميرزا ملكم‌خان و امثال اين‌ها؛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بين مدرنيته و اسلام تعارض وجود دارد، ما ناچاريم دين را كلاً حذف كنيم؛ يعني سكولارمنش بشويم؛ بعضي از غرب زدگان در هند، پاكستان و مصر نيز، صاحب همين تفكّر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بعضي همين نظر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از متفكران معتقدند كه مي‌توان ميان اين دو جمع كرد؛ و ديدگاه‌هايي را ارائه داده‌اند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سيدجمال‌الدين اسدآبادي و شاگردان ايشان، مثل شيخ محمد عبده و رشيدرضا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بنده آثارشان را مطالعه كرده‌ام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كه مي‌توان بين مدرنيته و اسلام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سيدجمال‌الدين اين است كه ذات مدرنيته با اسلام تعارضي ندارد؛ اگر تعارضي هست، تعارض با مسلماني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عيب كه هست از مسلماني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عبده در تفسير المنار كه تأليف رشيدرضا، شاگرد ايشان، است،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عقب‌ماندگي ما مسلمان‌ها در همين است كه اسلام را خوب پياده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توصيه‌هاي بسيار اسلام در باب تعلم و تعقل، دليل عدم تعارض اسلام با مدرنيته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نظر من، اين راه حل، ناتمام و بسيار ابتدايي است؛ چون اين بزرگان، مدرنيته را با علم، دانش و تعقل مساوي دانسته‌اند كه در اين صورت با اسلام تعارض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وقتي اسلام در جزيرة‌العرب مطرح شد، طولي نكشيد كه شش قرن، زمام امور علمي را در دست گرفت؛ و اين سخن درستي است؛ امّا معناي مدرنيته، علم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مدرنيته مجموع وضعيتي است كه در غرب اتفاق افتاده است؛ البتّه محصول آن، علم هم هست، علومي، مانند جامعه‌شناسيِ ماركس و روان‌شناسي فرويد، محصول مدرنيته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نمي‌توانيم تفكيك قايل شويم و هر جا با اسلام تعارض داشت، بگوييم مدرنيته نيست و هرجا سازگاري داشت، بگوييم مدرنيته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مدرنيته كل اين پروسه است و سيدجمال به اين نكته توجّه نداشته و گمان كرده است كه مدرنيته يعني ارزش نهادن به تجربه‌ي خوب، كه قرآن هم به اين تجربه ارزش گذاشته است، پس با هم سازگارند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تعريف بسيار سطحي ونادرست از مدرنيته است؛ پس اين راه حل كارآمد نيست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حل ديگري را شخصيت‌هايي مانند بازرگان و شريعتي ارائه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روي‌كرد واقعي، ولي موضوع متعدد كه بعداً توضيح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نفر، تعارض بين مدرنيته و اسلام را خوب درك كردند و يك روش هرمنوتيكي پيش‌نهاد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يك روش تفسيري و يك روش فهم متن ارائه نمودند و گفتند هرگاه دستاوردي از مدرنيته با اسلام تعارض داشت از آن دستاورد استفاده كنيم و تفسير و فهم و </w:t>
      </w:r>
    </w:p>
    <w:p>
      <w:pPr>
        <w:pStyle w:val="BookText"/>
        <w:rPr/>
      </w:pPr>
      <w:r>
        <w:rPr>
          <w:rFonts w:ascii="Amiri" w:hAnsi="Amiri" w:eastAsia="Amiri" w:cs="Amiri"/>
          <w:color w:val="111111"/>
          <w:sz w:val="28"/>
          <w:sz w:val="28"/>
          <w:szCs w:val="28"/>
          <w:rtl w:val="true"/>
          <w:lang w:bidi="ar-SA"/>
        </w:rPr>
        <w:t>برداشت خود را از آيه عوض نماييم، با اين كار، تعارض حل مي‌شود؛ يعني در واقع آن نظريه را بر آيه تطبيق و تحميل كنيم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روي‌كرد اين دو نفر واحد است؛ اما بازرگان بيش‌تر تعارض‌ها را در فيزيك و بعضي آموزه‌هاي اسلامي مي‌ديد و شريعتي بعضي از تعارض‌هاي جامعه‌شناسي جديد را با اسلام مشاهده مي‌كرد؛ يعني شريعتي اصلاً تعارض اسلام با فيزيك را نمي‌ديد، رشته‌اش هم نبود، و بازرگان هم تعارض در زمينه‌ي جامعه‌شناسي را مشاهده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 مثلاً قانون ترموديناميك را مي‌ديد، اگر محصول را با يك آيه متعارض مي‌ديدند، آيه را به گونه‌اي، حتي خلاف ظاهر، تفسير مي‌كردند كه سازگاري و تلائم يابند؛ مثلاً ايشان كتاب باد و باران در قرآن يا انسان در قرآن را با اين روي‌كرد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شريعتي هم گاهي هنگام تعارض آراي جامعه‌شناسي با اسلام، تفسير آيات را براساس نظرهاي جامعه‌شناسي ارائه مي‌كرد؛ مثلاً در قضيه‌ي هابيل و قابيل، دقيقاً از جامعه‌شناسي ماركس استفاده مي‌كرد؛ البتّه شريعتي ماركسيست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به ماركس هم نبود، ولي بعضي از دستاوردهاي ماركس و گورويچ يا بعضي از اگزيستانسياليست‌ها، مثل سارتر را پذيرفته بود و از آن استفاده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ايشان از هابيل و قابيل، متأثر از جامعه‌شناسي ماركس و نظريه‌ي اختلاف طبقاتي است؛ پس آياتي كه درباره‌ي مالكيت خصوصي و يا رواياتي كه در زمينه‌ي مالكيت دولتي و خصوصي و عمومي است، چه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روشي است كه بازرگان و شريعتي استفاده كرده‌اند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روش و روي‌كرد، مشكلي را حل نمي‌كند و در واقع پاك كردن صورت مسأله است؛ اصلاً ما اجازه نداريم كه معنايي از آيات را برداريم و معناي ديگري به آن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طبق قواعد ادبيات عرب و زبان‌شناختي و ده‌ها قاعده‌ي عمومي ديگر، آيه را تفسير كنيم و اگر هنگام تعارض دستاوردي از مدرنيته با ظهور يا نص آيات، معناي آيات را برداريم و معناي ديگري به آن بدهيم خطاست، چون تفسير به رأي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خود، كتاب ناطق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 لكُلّ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مثلاً آيات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سوره‌ي مؤمنون را با نظريه‌ي ترانفورميسم و انسان نئاندرتال، مطابقت داديم، هنگام رد اين نظريه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اين‌كه رد شد </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چه مي‌كنيد؟ بعد هم اين آيات سوره‌ي مؤمنون را بر نظريه‌ي ژنتيك تطبيق مي‌كنيد و گوييد ما نظريه‌ي ژنتيك را هزار و چهارصد سال پيش گفته‌ايم؟ اين چيزي جز تفسير به رأي قرآن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شريعتي در جاهاي متعددي گفته است يكي از روش‌هاي تفسير قرآن، همين علم جديد است و بايد آيات را با دستاوردهاي علم جديد تفسير كنيم؛ البتّه ايشان يك دغدغه‌ي مباركي داشته است و آن دغدغه‌ي تعارض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راه‌حل اين نيست؛ اين پاك كردنِ صورت مسأله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مطهري راه حل ديگري پيش‌نهاد مي‌كند، راه حل ايشان تقريباً شبيه راه حل سيدجمال‌الدين است، اما ريشه و علت اين پديده را </w:t>
      </w:r>
      <w:bookmarkStart w:id="47" w:name="pg14788_158309"/>
    </w:p>
    <w:p>
      <w:pPr>
        <w:pStyle w:val="BookText"/>
        <w:rPr/>
      </w:pPr>
      <w:bookmarkEnd w:id="47"/>
      <w:r>
        <w:rPr>
          <w:rFonts w:ascii="IRNazanin" w:hAnsi="IRNazanin" w:eastAsia="IRNazanin"/>
          <w:color w:val="111111"/>
          <w:sz w:val="28"/>
          <w:sz w:val="28"/>
          <w:szCs w:val="28"/>
          <w:rtl w:val="true"/>
          <w:lang w:bidi="fa-IR"/>
        </w:rPr>
        <w:t>هم ذكر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خلاصه‌ي فرمايش ايشان اين است كه واقعاً اسلام با مدرنيته تعارض ندارد؛ اگر تعارض هست در مسلماني ماست؛ چون ما معرفت‌هاي ديني غلطي در جامعه‌ي اسلامي خودمان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ما از زهد، صبر، توكل، انتظار فرج و غيره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معرفت ديني‌مان را اصلاح كنيم و خرافه‌زدايي نماييم، مشكل تعارض و هم‌چنين مشكل عقب‌ماندگي ما هم حل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مقدمه‌ي كتاب اسلام و سرنوشت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طرح مفصلي دارم كه اگر عمري باقي بود، آن را به صورت كتاب مي‌نويسم؛ اما متأسفانه عمر ايشان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مقدمه اصلاً ارتباطي با كتاب ندارد،ولي بحث بسيار جامعي را ارائه داده است</w:t>
      </w:r>
      <w:r>
        <w:rPr>
          <w:rFonts w:eastAsia="IRNazanin" w:cs="IRNazanin"/>
          <w:color w:val="111111"/>
          <w:sz w:val="28"/>
          <w:szCs w:val="28"/>
          <w:rtl w:val="true"/>
          <w:lang w:bidi="fa-IR"/>
        </w:rPr>
        <w:t>.</w:t>
      </w:r>
    </w:p>
    <w:p>
      <w:pPr>
        <w:pStyle w:val="Heading3"/>
        <w:numPr>
          <w:ilvl w:val="2"/>
          <w:numId w:val="1"/>
        </w:numPr>
        <w:rPr/>
      </w:pPr>
      <w:bookmarkStart w:id="48" w:name="__RefHeading___Toc1764239_730472459"/>
      <w:bookmarkStart w:id="49" w:name="_Toc16"/>
      <w:bookmarkEnd w:id="48"/>
      <w:r>
        <w:rPr>
          <w:rtl w:val="true"/>
        </w:rPr>
        <w:t>مباني مدرنيسم</w:t>
      </w:r>
      <w:bookmarkEnd w:id="49"/>
    </w:p>
    <w:p>
      <w:pPr>
        <w:pStyle w:val="Heading4"/>
        <w:numPr>
          <w:ilvl w:val="3"/>
          <w:numId w:val="1"/>
        </w:numPr>
        <w:rPr/>
      </w:pPr>
      <w:bookmarkStart w:id="50" w:name="__RefHeading___Toc1764241_730472459"/>
      <w:bookmarkStart w:id="51" w:name="_Toc17"/>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براي شناخت مدرنيته و مدرنيسم، به پاره‌اي از اركان و پايه‌هاي مدرنيسم اشاره مي‌كنيم</w:t>
      </w:r>
      <w:r>
        <w:rPr>
          <w:rFonts w:eastAsia="IRNazanin" w:cs="IRNazanin"/>
          <w:color w:val="111111"/>
          <w:sz w:val="28"/>
          <w:szCs w:val="28"/>
          <w:rtl w:val="true"/>
          <w:lang w:bidi="fa-IR"/>
        </w:rPr>
        <w:t>:</w:t>
      </w:r>
    </w:p>
    <w:p>
      <w:pPr>
        <w:pStyle w:val="Heading4"/>
        <w:numPr>
          <w:ilvl w:val="3"/>
          <w:numId w:val="1"/>
        </w:numPr>
        <w:rPr/>
      </w:pPr>
      <w:bookmarkStart w:id="52" w:name="__RefHeading___Toc1764243_730472459"/>
      <w:bookmarkStart w:id="53" w:name="_Toc18"/>
      <w:bookmarkEnd w:id="52"/>
      <w:r>
        <w:rPr/>
        <w:t>1</w:t>
      </w:r>
      <w:r>
        <w:rPr>
          <w:rtl w:val="true"/>
        </w:rPr>
        <w:t xml:space="preserve">. </w:t>
      </w:r>
      <w:r>
        <w:rPr>
          <w:rtl w:val="true"/>
        </w:rPr>
        <w:t>مبناي معرفت‌شناسي</w:t>
      </w:r>
      <w:bookmarkEnd w:id="5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مبناي مدرنيسم مبناي معرفت‌شناسي يا اپيستمولوژيكال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مبناي معرفت‌شناسي در واقع بدين معناست كه حس و عقل براي آدمي كفايت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معتقدين به اين مكتب قايل‌اند كه ما حاجتي به وحي، دين و شريعت نداريم؛ يعني حس و عقل به شرط حذف دين مي‌باشد و عقلانيتي را مي‌پذيرد كه با عقلانيت ديني سر سازگاري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خواهيم گفت كه چرا عقلانيت دين‌داري با عقلانيت مدرنيته </w:t>
      </w:r>
    </w:p>
    <w:p>
      <w:pPr>
        <w:pStyle w:val="BookText"/>
        <w:rPr/>
      </w:pPr>
      <w:r>
        <w:rPr>
          <w:rFonts w:ascii="IRNazanin" w:hAnsi="IRNazanin" w:eastAsia="IRNazanin"/>
          <w:color w:val="111111"/>
          <w:sz w:val="28"/>
          <w:sz w:val="28"/>
          <w:szCs w:val="28"/>
          <w:rtl w:val="true"/>
          <w:lang w:bidi="fa-IR"/>
        </w:rPr>
        <w:t>با هم جمع نمي‌شوند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روشن شدن اين مطلب يك گزارش اجمالي از سه دوره‌ي عقل‌گرايي غرب ارائه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دوره‌ي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اين دوره در مسيحيت هم واضع وحي و هم تابع وحي بوده است و تلاش مسيحيان بر اين بود تا هرآنچه را به وسيله‌ي تعقل به دست مي آيد، با دين مسيحيت سازگاري دهند؛ بنابراين، هيچ‌گاه احساس تعارض و چالش بين عقل و وحي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دوره تقريباً از قرون وسطي شروع و تا اول رنسانس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دوره‌ي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دوره كه از رنسانس شروع مي‌شود، دوره‌ي عقل مستقل از وحي است، ولي عقلي كه وحي را و هم‌چنين خود عقل را مخلوق خدا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آغاز رنسانس دقت كنيد، كساني مثل گاليله و نيوتن و از ميان فلاسفه مثل دكارت، شخصيت‌هايي بودند كه عقل را قبول داشتند و آن را مستقل از وحي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تابع و واضع وحي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مي‌دانستند؛ ولي عقل و وحي را مخلوق خدا مي‌دانستند و معتقد بودند كه در واقع خداوند اين دو نعمت را براي تكامل و هدايت بشر خلق كرده است؛ البته در اين دوره مشكل آن‌چنان حاد و جدي نشد؛ چون آنها بالاخره چيزي را به عنوان خدا قبول داشتند و هرچند قلمرو دين را محدود مي‌كردند، لكن در كنار دستاوردهاي عقلاني دستاوردهاي وحياني را پذيرفته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از اين دوره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نچرال تئولوژي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مي‌شود؛ چون معتقد به الهيات طبيعي عقلاني بودند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دوره‌ي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عقل آفريدگار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عقلي كه هم آفريننده‌ي خود و هم آفريننده‌ي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در دوره‌ي دوم، مخلوق </w:t>
      </w:r>
    </w:p>
    <w:p>
      <w:pPr>
        <w:pStyle w:val="BookText"/>
        <w:rPr/>
      </w:pPr>
      <w:r>
        <w:rPr>
          <w:rFonts w:ascii="IRNazanin" w:hAnsi="IRNazanin" w:eastAsia="IRNazanin"/>
          <w:color w:val="111111"/>
          <w:sz w:val="28"/>
          <w:sz w:val="28"/>
          <w:szCs w:val="28"/>
          <w:rtl w:val="true"/>
          <w:lang w:bidi="fa-IR"/>
        </w:rPr>
        <w:t>خدا بود، ولي در دوره‌ي سوم،عقل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خدايي باشد، خدايي است كه مخلوق من است؛ اين منم كه هرجا مصلحت بدانم خدا را مي‌سازم و او را در صحنه‌ي زندگي، علم و جامعه جاي مي‌دهم و هرگاه مصلحت نديدم آن را كنار مي‌گذارم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اين عقل منشأ پيدايش مدرنيته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مدرنيته، وضعيتي است كه چنين عقلي را مي‌پذيرد و به دنبال عقلي است كه رازستيز و راززداست و با عقل‌هاي رازآلوده كاملاً مخالف است؛ بنابراين، اگر مسائلي در دين آمده است كه رازش براي عقل روشن نيست، آن را كنار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در مذهب ما و عمده‌ي اديان ديگر، آمده است كه براي محفوظ ماندن از بلا بايد صدقه بدهيم؛ يعني يك ارتباط بين صدقه دادن و رفع بلا وجود دارد و اين ارتباطي است كه دين به ما معرفي مي‌كند و يا مثل ارتباطي كه بين اعمال ما و نعمت و نقمت وجود دارد كه در قرآن از آن ذكري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گزارش‌هايي است كه خداوند به 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 اين عقل بدوي خود، اين ارتباط را بسنجيم، چيزي از آن نمي‌فهميم؛ مثلاً عقل ما ارتباط بين عرضه و تقاضا و نيز رابطه‌ي بين افزايش توليد و نقدينگي را مي‌فهمد؛ از اين رو، طبق آن شروع به برنامه‌ريزي يك ساله، دو ساله و چند ساله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ميان اين‌گونه ارتباط، هيچ‌گونه رازي نمي‌بيند، اما در رابطه‌ي اعمال و نعمات و نقمات، سر و راز مي‌بيند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عقل دوره‌ي سوم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ما با عقل رازستيز و راززدا مي‌فهميم، پذيرفتني است و آنچه را كه مربوط به عقلانيت رازآلوده است، كنار مي‌گذاريم و با آن كاري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عقلي كه در مدرنيته است، با دين‌داري جمع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عقل مدرنيته، نفهميد كه چرا، شارع مقدس براي آزادي جنسي محدوديت قرار داده است، چون حكمت آن را نمي‌فهمد،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عمل نمي‌كنم و معتقد به آن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حكم چيزي را درك نكنم، آن را نمي‌پذيرم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خودم حكمت روزه، حرمت شرب خمر و گوشت خوك را نفهمم، قبولش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مدرنيته معتقد به آزمون‌پذيري است و قايل است كه هر مقوله‌اي را بايد آزمايش كرد و پس از آن اگر فهميد كه ضرر آن بيش‌تر از نفعش است، آن را از زندگي اجتماعي حذف مي‌كند؛ حتي مسأله‌ي خدا را مورد بررسي قرار مي‌دهد كه آيا نيازي از ما رفع مي‌كند؟ اگر برطرف كرد، مي‌پذيرد و اگر برطرف نكرد، نمي‌پذيرد و حتي خدا هم مخلوق اين عقل مي‌شود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روشن شد كه عقل دوران مدرنيته، عقلي را مي‌پذيرد كه رازستيز و راززدا باشد؛ لذا در اين دوره‌ي عقل، حس‌گرايي به اوج شكوفايي خود مي‌رسد، اما شهودگرايي و عرفان، نزول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اين‌جا روشن شد كه چه‌طور اين ركن مدرنيته با دين سازگاري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مدرنيته اعتراف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دين ناسازگارم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ما نيست كه بين آن دو سازگاري برقرار كنيم و اگر بخواهيم سازگاري </w:t>
      </w:r>
      <w:bookmarkStart w:id="54" w:name="pg14788_158313"/>
    </w:p>
    <w:p>
      <w:pPr>
        <w:pStyle w:val="BookText"/>
        <w:rPr/>
      </w:pPr>
      <w:bookmarkEnd w:id="54"/>
      <w:r>
        <w:rPr>
          <w:rFonts w:ascii="Amiri" w:hAnsi="Amiri" w:eastAsia="Amiri" w:cs="Amiri"/>
          <w:color w:val="111111"/>
          <w:sz w:val="28"/>
          <w:sz w:val="28"/>
          <w:szCs w:val="28"/>
          <w:rtl w:val="true"/>
          <w:lang w:bidi="ar-SA"/>
        </w:rPr>
        <w:t xml:space="preserve">برقرار كنيم، يا بايد در دين دخل و تصرف كنيم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بعضي‌ها كرده‌اند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در مدرنيته</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1764245_730472459"/>
      <w:bookmarkStart w:id="56" w:name="_Toc19"/>
      <w:bookmarkEnd w:id="55"/>
      <w:r>
        <w:rPr/>
        <w:t>2</w:t>
      </w:r>
      <w:r>
        <w:rPr>
          <w:rtl w:val="true"/>
        </w:rPr>
        <w:t xml:space="preserve">. </w:t>
      </w:r>
      <w:r>
        <w:rPr>
          <w:rtl w:val="true"/>
        </w:rPr>
        <w:t>اومانيسم</w:t>
      </w:r>
      <w:bookmarkEnd w:id="56"/>
    </w:p>
    <w:p>
      <w:pPr>
        <w:pStyle w:val="BookText"/>
        <w:rPr/>
      </w:pPr>
      <w:r>
        <w:rPr>
          <w:rFonts w:ascii="IRNazanin" w:hAnsi="IRNazanin" w:eastAsia="IRNazanin"/>
          <w:color w:val="111111"/>
          <w:sz w:val="28"/>
          <w:sz w:val="28"/>
          <w:szCs w:val="28"/>
          <w:rtl w:val="true"/>
          <w:lang w:bidi="fa-IR"/>
        </w:rPr>
        <w:t>ركن دوم مدرنيسم، اومانيسم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به بحث، به يك نكته‌ي متدولوژيكي و روش‌شناختي اشاره مي‌كنيم؛ بعضي‌ها در هنگام بحث، معناي لغوي واژه‌ها را در نظر مي‌گيرند و نظر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خلط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معناي لغوي و اصطلاحي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بسياري از متفكران معاصر، مثل شريعتي، وجود دارد كه مثلاً اصطلاح پروتستانيزم اسلامي را مطرح مي‌كنند؛ ولي در حقيقت اين اصطلاح داراي تناقض، و يك مفهوم پارادوكسيكال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لغوي اين اصطلاحات، مشكلي را حل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اصطلاحاتي هستند كه داراي بار معنايي‌اند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واژه‌ي اومانيسم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خيال مي‌كنند اومانيسم به معناي اصالت انسان و احترام و ارزش گذاشتن به انسان است؛ لذا تعارضي بين اومانيسم و اسلام نمي‌بينند براي اين‌كه اسلام درباره‌ي احترام وكرامت انسان بسيار سخن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كرمنا بني آدم</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مي‌گويد ما اومانيسم اسلامي داريم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دقيقاً مغالطه‌اي از نوع خلط بين معناي لغوي و اصطلاحي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اومانيسم اين است كه غايت همه چيز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انسان و اومانيسم آن‌چه را كه براي انسان سود دنيوي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اخروي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مي‌پذيرد و اگر چيزي سود دنيوي براي انسان نداشته باشد يا نداند كه </w:t>
      </w:r>
    </w:p>
    <w:p>
      <w:pPr>
        <w:pStyle w:val="BookText"/>
        <w:rPr/>
      </w:pPr>
      <w:r>
        <w:rPr>
          <w:rFonts w:ascii="IRNazanin" w:hAnsi="IRNazanin" w:eastAsia="IRNazanin"/>
          <w:color w:val="111111"/>
          <w:sz w:val="28"/>
          <w:sz w:val="28"/>
          <w:szCs w:val="28"/>
          <w:rtl w:val="true"/>
          <w:lang w:bidi="fa-IR"/>
        </w:rPr>
        <w:t>سود دارد يا ندارد، آن را نمي‌پذيرد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بايد خادم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خدمت‌گزاري يك چيز به انسان محرز نشد آن را نمي‌پذيرد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اگر سخني از خدا و دين به ميان مي‌آيد، بايد ديد كه آيا براي زندگي دنيوي انسان نافع است و مي‌تواند به آباد كردن دنياي انسان بپردازد يا نمي‌تواند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 مي‌پذيريم، وگرنه نمي‌پذيريم؛ و بايد اين را هم درك كنيم و هر جاي آن را درك نكرديم، آن را كنار مي‌گذاريم؛ مثلاً اگر كسي اومانيسم اسلامي را به معناي اصطلاحي‌اش مي‌پذيرد، آياتي از قرآن‌كه نفع دنيايي داشت مي‌پذيرد و آياتي را كه نفع دنيايي نداشت و ندانست كه دارد يا نه، كنار مي‌گذارد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اومانيست‌ها در قرن‌هاي هيجده و نوزده معتقد بودند كه زندگي دنيوي انسان، نيازي به خدا ندارد؛ بنابراين، اومانيسم در قرن هيجدهم و نوزدهم ميلادي اعتقادي به خدا نداشت، حتي اشخاصي مثل نيچه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كم‌كم در قرن بيستم به اين نتيجه رسيدند كه اعتقاد به خدا يكي از نيازهاي دنيوي ماست، مثل نياز به خدا در هنگام احساس تنهايي؛ وقتي انسان به اين‌جا برسد كه هيچ‌كس نمي‌تواند او را از تنهايي در بياورد، اعتقاد به خداست كه او را از اين وضع درمي‌آورد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عقيده‌ي بعضي روان‌شناسان، اعتقاد به خدا بسياري از رنج‌ها را برايش آسان مي‌كند؛ مثل پديده‌ي مرگ كه براي انسان بسيار رنج‌آور است، و اعتقاد به معاد او را از اين رنج خلاص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اومانيست مسأله‌ي مرگ را براي دنيا حل مي‌كند، چون در دنيا رنج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شخص اومانيست به معاد نه به خاطر قرب الهي و ورود </w:t>
      </w:r>
    </w:p>
    <w:p>
      <w:pPr>
        <w:pStyle w:val="BookText"/>
        <w:rPr/>
      </w:pPr>
      <w:r>
        <w:rPr>
          <w:rFonts w:ascii="IRNazanin" w:hAnsi="IRNazanin" w:eastAsia="IRNazanin"/>
          <w:color w:val="111111"/>
          <w:sz w:val="28"/>
          <w:sz w:val="28"/>
          <w:szCs w:val="28"/>
          <w:rtl w:val="true"/>
          <w:lang w:bidi="fa-IR"/>
        </w:rPr>
        <w:t>به بهشت در جهان ديگر، بلكه براي خلاص از مسأله‌ي رنج و بحران و اضطراب آن در دنياست؛ يعني دين و خدا براي دنياست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اگر ندانيم حكمي از احكام اسلامي براي دنياي ما خوب است يا نه، آن را كنار مي‌گذاريم؛ مثلاً اومانيست‌ها تقريباً تا سي چهل سال پيش، حرمت شرب خمر را نمي‌فهميدند و به همين دليل در توليد و توزيع و مصرف آن آزادي مطلق داده بودند؛ ولي در 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اخير، طي يك سري تحقيقات تجربي و جامعه‌شناختي مشاهده كردند كه بسياري از مفاسد اجتماعي زاييده‌ي اين مواد سكرآور است و به آفاتي پي بردند كه عرب‌هاي زمان پيامبر گرامي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درك كرده بودند و خودشان تقاضا كردند كه شرب خمر حرام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مي‌دانيد، وقتي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 احكام را آرام آرام به مردم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درباره‌ي شرب خمر،اول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اين ضررش بيش از نفعش است و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تَقْرِبُوا الصَلوةَ و انْتُمْ سكاري</w:t>
      </w:r>
      <w:r>
        <w:rPr>
          <w:rFonts w:eastAsia="IRNazanin" w:cs="IRNazanin"/>
          <w:color w:val="111111"/>
          <w:sz w:val="28"/>
          <w:szCs w:val="28"/>
          <w:rtl w:val="true"/>
          <w:lang w:bidi="fa-IR"/>
        </w:rPr>
        <w:t>».</w:t>
      </w:r>
      <w:r>
        <w:rPr>
          <w:rStyle w:val="FootnoteAnchor"/>
          <w:rtl w:val="true"/>
        </w:rPr>
        <w:footnoteReference w:id="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مردم احساس كردند كه اين شرب خمرها موجب قتل و جنايت و چيزهاي ديگر مي‌شود؛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ما از اين خسته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اسلام در اين‌باره حكمي ندارد؟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رجس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مدرنيته خواستند جلوي بعضي از مفاسد اجتماعي را بگيرند، اما نمي‌توانستند؛ از اين رو قوانين منع شرب خمر را وضع كردند؛ مثلاً در آمريكا اين قانون وضع شده است كه كسي در خيابان و ملأ عام حق استفاده از مسكرات را ندارد؛ </w:t>
      </w:r>
      <w:bookmarkStart w:id="57" w:name="pg14788_158316"/>
    </w:p>
    <w:p>
      <w:pPr>
        <w:pStyle w:val="BookText"/>
        <w:rPr/>
      </w:pPr>
      <w:bookmarkEnd w:id="57"/>
      <w:r>
        <w:rPr>
          <w:rFonts w:ascii="IRNazanin" w:hAnsi="IRNazanin" w:eastAsia="IRNazanin"/>
          <w:color w:val="111111"/>
          <w:sz w:val="28"/>
          <w:sz w:val="28"/>
          <w:szCs w:val="28"/>
          <w:rtl w:val="true"/>
          <w:lang w:bidi="fa-IR"/>
        </w:rPr>
        <w:t xml:space="preserve">البته، كم‌كم متوجه مي‌شوند كه اين قانون هم كامل نيست؛ زيرا وقتي اجازه‌ي توليد و توزيع و مصرف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جاي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شود، مشكل هم‌چنان باقي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قبلاً ذكر كرديم، عقل دوران مدرنيته تا نفع و ضرر و حكمت حكمي را نفهمد، به آن عمل نمي‌كند؛ بنابراين، چون هنوز ضرر و زيان توليد، توزيع و مصرف مسكرات را به طور كامل درك نكرده‌اند آن را محدود نموده‌اند، ولي به طور كلي تحريم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اومانيسم، به معناي اصالت انسان و ارزش‌گذاري به انسانيت نيست؛ به اين معناست كه غايت همه چيز، نفع دنيوي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مدرنيته به اين معنا، با دين و دين‌داري درگيري دارد</w:t>
      </w:r>
      <w:r>
        <w:rPr>
          <w:rFonts w:eastAsia="IRNazanin" w:cs="IRNazanin"/>
          <w:color w:val="111111"/>
          <w:sz w:val="28"/>
          <w:szCs w:val="28"/>
          <w:rtl w:val="true"/>
          <w:lang w:bidi="fa-IR"/>
        </w:rPr>
        <w:t>.</w:t>
      </w:r>
    </w:p>
    <w:p>
      <w:pPr>
        <w:pStyle w:val="Heading4"/>
        <w:numPr>
          <w:ilvl w:val="3"/>
          <w:numId w:val="1"/>
        </w:numPr>
        <w:rPr/>
      </w:pPr>
      <w:bookmarkStart w:id="58" w:name="__RefHeading___Toc1764247_730472459"/>
      <w:bookmarkStart w:id="59" w:name="_Toc20"/>
      <w:bookmarkEnd w:id="58"/>
      <w:r>
        <w:rPr/>
        <w:t>3</w:t>
      </w:r>
      <w:r>
        <w:rPr>
          <w:rtl w:val="true"/>
        </w:rPr>
        <w:t xml:space="preserve">. </w:t>
      </w:r>
      <w:r>
        <w:rPr>
          <w:rtl w:val="true"/>
        </w:rPr>
        <w:t>مبناي اقتصادي</w:t>
      </w:r>
      <w:bookmarkEnd w:id="5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مبناي سوم مدرنيسم يك مبناي اقتصادي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مبناي اقتصادي مدرنيسم و مدرنيته، اصل، سود مادي انسان است؛ يعني در مقوله‌ي اقتصادي، مدرنيته همه چيز را براي كالا و سرمايه مي‌داند و تلاش مي‌كند تا سرمايه و پول افزايش يابد؛ يعني حتي اگر انسان‌ها در تمام ساعات شبانه‌روز كار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انسان‌هايي در اين برنامه له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اشكالي ندارد؛ چون اصل، سود و كالا و سرمايه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يك مسأله‌ي ديني، سود مالي و سرمايه را افزايش مي‌دهد، آن را مي‌پذيريم، يعني انسان، خدا، دين و همه چيز بايد در اين مسير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دلارهاي آمريكايي، جمله‌ي </w:t>
      </w:r>
      <w:r>
        <w:rPr>
          <w:rFonts w:eastAsia="Times New Roman" w:cs="Times New Roman" w:ascii="Times New Roman" w:hAnsi="Times New Roman"/>
          <w:color w:val="111111"/>
          <w:sz w:val="28"/>
          <w:szCs w:val="28"/>
          <w:lang w:val="en-US" w:bidi="en-US"/>
        </w:rPr>
        <w:t>We trust to God alone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توكلت علي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چيزي به نام توكل ندارند، ولي </w:t>
      </w:r>
    </w:p>
    <w:p>
      <w:pPr>
        <w:pStyle w:val="BookText"/>
        <w:rPr/>
      </w:pPr>
      <w:r>
        <w:rPr>
          <w:rFonts w:ascii="IRNazanin" w:hAnsi="IRNazanin" w:eastAsia="IRNazanin"/>
          <w:color w:val="111111"/>
          <w:sz w:val="28"/>
          <w:sz w:val="28"/>
          <w:szCs w:val="28"/>
          <w:rtl w:val="true"/>
          <w:lang w:bidi="fa-IR"/>
        </w:rPr>
        <w:t>مي‌گويند، به هر حال، عدّه‌ي زيادي در آمريكا زندگي مي‌كنند كه اعتقاد و اعتماد به خدا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كشور آمريكا داراي صدها نحله و دين مي‌باشد، ولي همه‌ي اين‌ها بالاخره به خدا اعتقاد دارند؛ يعني اقتصاددانان آمريكايي مي‌دانند كه عامه‌ي مردم، اعتقاد و اعتماد به خدا دارند؛ بنابراين، از اين نيز استفاده مي‌كنند، تا آن متوكلان به خدا را هم در اين مسير قرار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ما نسبت به اين نگرش چيست؟ آيا اسلام، اصلاً به مال و ثروت ارزش داده است؟ الان بيست سال از انقلاب ما مي‌گذرد، ولي هنوز يك روي‌كرد مشخص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عامه‌ي خودمان تقريباً يك ديد منفي به سرمايه‌گذاري وجود دارد؛ مثلاً اگر كسي در جايي سرمايه‌گذاري بكند و سود كلاني ببرد، مردم عامي، نسبت به اين، ديدِ منفي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مشخص كنيم كه اين امر چه اندازه مثبت و يا منفي است، اصل است يا وسيله؛ و بالاخره بايد يك مبناي اقتصادي روشني داشته باشيم؛ نه روشن از نظر تئوريكي، بلكه بايد در سيستم اقتصادي ما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و غايت، پول و سرمايه است، مشخص است كه اين نگرش با نگرش اسلام سازگاري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تاريخ تطور و سرمايه‌گذاري غرب را مشاهده كنيد متوجه مي‌شويد كه چه‌قدر انسان‌ها به خاطر همين اصل، حتي در زمان حاضر، در سيطره‌ي استثمار و استعمار سرمايه‌گذاران قرار مي‌گيرند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بنجامين اسپاك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برخي از آثارش، آمارهايي مربوط به دهه‌ي اخير آورده است كه حاكي از اين است كه كشورهاي </w:t>
      </w:r>
      <w:bookmarkStart w:id="60" w:name="pg14788_158318"/>
    </w:p>
    <w:p>
      <w:pPr>
        <w:pStyle w:val="BookText"/>
        <w:rPr/>
      </w:pPr>
      <w:bookmarkEnd w:id="60"/>
      <w:r>
        <w:rPr>
          <w:rFonts w:ascii="IRNazanin" w:hAnsi="IRNazanin" w:eastAsia="IRNazanin"/>
          <w:color w:val="111111"/>
          <w:sz w:val="28"/>
          <w:sz w:val="28"/>
          <w:szCs w:val="28"/>
          <w:rtl w:val="true"/>
          <w:lang w:bidi="fa-IR"/>
        </w:rPr>
        <w:t xml:space="preserve">سرمايه‌داري غرب، مثلاً مقدار بسيار زيادي گندم را به درياها مي‌ريزند، ولي حاضر نيستند آن را به مردم فقير و گرسنه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مردم فقير خود آمريكا كه از فقر و گرسنگي مي‌ميرند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اطعام و انفاق و امثال اين‌ها براي چنين ديدگاهي معنا ندارد؛ يعني سرمايه را بايد به دريا بريزند، چون ريختن آن در دريا سود و سرمايه‌گذاري بيش‌تري ايجاد مي‌كند، تا اين‌كه، مثلاً آن را در بازار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اسپاك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آمريكايي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ما بايد افسوس بخوريم كه در جامعه‌ا‌ي مدني، مثل آمريكا، هنوز در گوشه و كنار خيابان‌هاي نيويورك، عده‌اي از فقر مي‌ميرند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بعضي رفتارهاي غلط سرمايه‌گذاري در كشور ما، اين است كه چند سالي اقتصاد كلان ما براساس اقتصاد سرمايه‌گذاري آمريكايي صورت مي‌گرفت؛ مثلاً چند سالي مسؤولين اقتصادي كشور، بيش‌تر سعي مي‌كردند از الگوهاي چين و ژاپن استفاده كنند؛ مانند مشاركت عمومي زياد، كه به دلايلي مورد استقبال مردم قرار نمي‌گرفت</w:t>
      </w:r>
      <w:r>
        <w:rPr>
          <w:rFonts w:eastAsia="IRNazanin" w:cs="IRNazanin"/>
          <w:color w:val="111111"/>
          <w:sz w:val="28"/>
          <w:szCs w:val="28"/>
          <w:rtl w:val="true"/>
          <w:lang w:bidi="fa-IR"/>
        </w:rPr>
        <w:t>.</w:t>
      </w:r>
    </w:p>
    <w:p>
      <w:pPr>
        <w:pStyle w:val="Heading4"/>
        <w:numPr>
          <w:ilvl w:val="3"/>
          <w:numId w:val="1"/>
        </w:numPr>
        <w:rPr/>
      </w:pPr>
      <w:bookmarkStart w:id="61" w:name="__RefHeading___Toc1764249_730472459"/>
      <w:bookmarkStart w:id="62" w:name="_Toc21"/>
      <w:bookmarkEnd w:id="61"/>
      <w:r>
        <w:rPr/>
        <w:t>4</w:t>
      </w:r>
      <w:r>
        <w:rPr>
          <w:rtl w:val="true"/>
        </w:rPr>
        <w:t xml:space="preserve">. </w:t>
      </w:r>
      <w:r>
        <w:rPr>
          <w:rtl w:val="true"/>
        </w:rPr>
        <w:t>مبناي ديني يهود و مسيحيت</w:t>
      </w:r>
      <w:bookmarkEnd w:id="6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مبناي چهارم، مبناي ديني مسيحيت و يهوديت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قبلاً اشاره شد، نبايد گمان كرد كه دستاوردهاي علمي و تكنولوژي وعلوم طبيعي و انساني كه در غرب اتفاق افتاده است، فقط زاييده‌ي حس و تجربه است؛ بلكه در پشت پرده‌ي اين دستاوردها و تحقيقات، يك متافيزيك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متافيزيك، يعني يك سري باورهاي غيرتجربي كه تحقيقات تجربي را هدايت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بعضي از آنها </w:t>
      </w:r>
    </w:p>
    <w:p>
      <w:pPr>
        <w:pStyle w:val="BookText"/>
        <w:rPr/>
      </w:pPr>
      <w:r>
        <w:rPr>
          <w:rFonts w:ascii="IRNazanin" w:hAnsi="IRNazanin" w:eastAsia="IRNazanin"/>
          <w:color w:val="111111"/>
          <w:sz w:val="28"/>
          <w:sz w:val="28"/>
          <w:szCs w:val="28"/>
          <w:rtl w:val="true"/>
          <w:lang w:bidi="fa-IR"/>
        </w:rPr>
        <w:t xml:space="preserve">قبلاً اشاره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تفكيك ايمان از معرفت، يا مسأله‌ي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يدالله مغلوله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فرموده‌ي قرآن، يهودي‌ها به آن قايل‌اند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بسته بودن دست خدا، بر متفكرين يهودي و عالمان تجربي آنها اثر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كلام جديد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كرده‌ام كه آيا متافيزيك بر علم هم اثر مي‌گذارد يا خير؟ و نمونه‌هاي بسياري از تأثيرات متافيزيك بر علم را ذكر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فلسفه‌ي علم بحثي جدي به نام نقش پيش‌رفت‌هاي متافيزيكي بر تحقيقات علمي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مثل كوهن و كواين اين مطلب را مطرح كرده‌اند و مي‌توان گفت كه اين نظريه بر ساير نظريه‌هاي فلسفه‌ي علم حاكم است و رجحان دارد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مباني ديني مسيحيت و يهوديت، بر تحقيقات علمي عالمان مسيحي يا يهودي اثر مي‌گذارد و در صورت اثرگذاري، اگر آن مبناي ديني با مبناي ديني ما سازگاري نداشت، دستاورد متأثر از آن مباني نيز، با مبناي ديني ما تعارض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مشاهده كنيد، مي‌بينيد كه روان‌شناسي فرويد با دين‌داري ما سازگاري ندارد؛ حتي با دين‌داري مسيحيان هم سازگاري ندارد، حتي يونگ، رفيق فرويد، و هم‌چنين اريك فروم با آن مخالف‌اند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نظريات فرويد از يك نوع متافيزيك متأثر است كه نه تنها با اسلام، بلكه با مسيحيت هم تعارض دارد؛ البتّه مسيحيان، آن تعارض را حل كرده‌اند و به جاي اين‌كه روان‌شناسي فرويد را صدردرصد بپذيرند، تحقيقات روان‌شناسانه‌اي، با </w:t>
      </w:r>
    </w:p>
    <w:p>
      <w:pPr>
        <w:pStyle w:val="BookText"/>
        <w:rPr/>
      </w:pPr>
      <w:r>
        <w:rPr>
          <w:rFonts w:ascii="IRNazanin" w:hAnsi="IRNazanin" w:eastAsia="IRNazanin"/>
          <w:color w:val="111111"/>
          <w:sz w:val="28"/>
          <w:sz w:val="28"/>
          <w:szCs w:val="28"/>
          <w:rtl w:val="true"/>
          <w:lang w:bidi="fa-IR"/>
        </w:rPr>
        <w:t xml:space="preserve">متافيزيكِ مسيحيت انجام داده‌اند كه دستاورد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روان‌شناسي ويليام جيمز يايونگ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مسيحيت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چهار مبناي معرفت‌شناختي، اومانيستي، اقتصادي و ديني كه در مدرنيته وجود دارد، روشن مي‌شود كه چرا مدرنيته و مدرنيسم با دين، خصوصاً دين اسلام،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اينترنت به ايران آمد، مطابق آمار، هشتاد تا هشتاد و پنج درصد استفاده‌ي غيراخلاقي از آن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آفات و پيامدهاي اين فرآيند است؛ گمان نكنيد كه اين فقط در ايران است، در خود غرب هم طبق آمار، شصت تا شصت و پنج درصد استفاده‌ي غيراخلاقي از اينترنت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اينترنت يك ابزار علمي ارزشمند است، مي‌بينيد وقتي كه وارد مي‌شود، نحوه‌ي استفاده از آن به جهت‌هاي غيراخلاقي سوق پيدا مي‌كند؛ يعني مدرنيته بر جهت‌دهي اين دستاوردهاي تكنولوژيكي اثر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در ايران، بلكه در همه‌جا همين‌گونه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زمينه‌ي بهره‌وري از دستاوردهاي تكنولوژيكي، بالاخره مي‌توان از طريق وضع قانون و يا ايجاد موانع و راه‌كارها، جلوي بسياري از مسائل را گرفت؛ ولي مشكل اساسي ما، بر سر علم مدرنيته است، خصوصاً علم انساني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قبلاً متذكر شدم كه مثلاً دانش‌جوي روان‌شناسي و يا جامعه شناسي ما، پس از مدتي دچار نوعي دين‌زدگي مي‌شود، به خاطر همين است كه اين علم با مباني و اركاني همراه است كه با اسلام سازگاري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واقعيت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مثلاً محصول مدرنيسم، ليبراليسم، فاشيسم، آنارشيسم يا سوسياليسم است؛ حتي </w:t>
      </w:r>
    </w:p>
    <w:p>
      <w:pPr>
        <w:pStyle w:val="BookText"/>
        <w:rPr/>
      </w:pPr>
      <w:r>
        <w:rPr>
          <w:rFonts w:ascii="IRNazanin" w:hAnsi="IRNazanin" w:eastAsia="IRNazanin"/>
          <w:color w:val="111111"/>
          <w:sz w:val="28"/>
          <w:sz w:val="28"/>
          <w:szCs w:val="28"/>
          <w:rtl w:val="true"/>
          <w:lang w:bidi="fa-IR"/>
        </w:rPr>
        <w:t>بعضي از اين‌ها با هم سنخيتي ندارند؛ زيرا متافيزيك‌هاي افراد، متعدد بوده است و اين مكتب‌ها همگي محصول مدرنيته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بايد تكليف جدي خود را با اين‌ها روشن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روبنايي فكر كنيم كه هر موقع با سوسياليسم مواجه شديم، همان موقع اقدام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دهه‌ي چهل و پنجاه هر دانش‌جويي، يكي از كتاب‌هاي آقاي اراني و ماركسيست‌هاي ديگر 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توضيح‌المسائل اساتيد و روشن‌فكران و دانش‌جويان ما اين‌ها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مدتي آثار اگزيستانسياليست‌ها مد بود، كه سعي مي‌كردند، مقداري، آن را اسلامي كنند و نام آن را اگزيستانسياليسم اسلامي نهاده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با گرايش‌هاي دو دهه‌ي اخيرِ جامعه‌ي ليبراليسم روبه‌رو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مطمئنم در يك يا دو دهه‌ي آينده با گرايش‌هاي پست‌مدرن روبه‌رو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كي مي‌خواهيم، از اين‌ها تقليد كنيم؟ اين مشكل ما را حل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تكليفمان را با اين مباني چهارگانه روشن كنيم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يادآور شديم كه بزرگاني اين دغدغه را داشتند و به فكر چاره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مثل سيدجمال‌الدين اسدآبادي، رشيدرضا، شيخ محمد عبده، مي‌گفتند ايراد از مسلماني ماست و اسلام ذاتاً با علم جديد و مدرنيته‌ي تعارضي ندارد؛ درست است؛ ما از علم و تحقيق غفلت مي‌كنيم، بعد وقتي غرب تحقيقاتي انجام داد، مي‌گوييم، اسلام منشأ عقب‌ماندگي ما شده است و به دين حمله‌ور مي‌شويم؛ با اين‌كه روايات و آيات فراواني درباره‌ي تفكّر و تعقل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گاهي معنويت را </w:t>
      </w:r>
      <w:bookmarkStart w:id="63" w:name="pg14788_158322"/>
    </w:p>
    <w:p>
      <w:pPr>
        <w:pStyle w:val="BookText"/>
        <w:rPr/>
      </w:pPr>
      <w:bookmarkEnd w:id="63"/>
      <w:r>
        <w:rPr>
          <w:rFonts w:ascii="IRNazanin" w:hAnsi="IRNazanin" w:eastAsia="IRNazanin"/>
          <w:color w:val="111111"/>
          <w:sz w:val="28"/>
          <w:sz w:val="28"/>
          <w:szCs w:val="28"/>
          <w:rtl w:val="true"/>
          <w:lang w:bidi="fa-IR"/>
        </w:rPr>
        <w:t>كنار مي‌گذاريم، بعد وقتي غرب روي به معنويت مي‌آورد، دوباره به سمت معنويت مي‌رويم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ده سال است كه هاليوود درباره‌ي سينماي ديني مطالعه و برنامه‌ريزي مي‌كند چون فهميدند كه بشر امروزي به سمت معنويت مي‌رود؛ ولي حاشيه‌اي كه من بر سخن سيدجمال‌الدين مي‌زنم اين است كه هرچند ما در مسلماني‌مان ضعف داريم، امّا اين وضعيت از مدرنيته و حتّي علم، باز هم با اسلام تعارض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آقايان شريعتي و بازرگان، سعي مي‌كردند دستاوردهاي مدرنيته را بر متون ديني تحميل و تطبيق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راه درستي نيست؛ براي اين‌كه تأويل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ببينيم خود دين و مدرنيته چه مي‌گويند اگر تعارضي پيدا شد، لااقل سخن دين را به عنوان يك فرضيه بپذيريم و تحقيقات علمي روي آن انجام دهيم، شايد نظريه‌ي مدرنيته اشتباه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نظريه‌ي ترانسفورميسم درست است ولي آيه‌ي قرآن ما غلط است و بايد بر آن تحميل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ترانسفورميسم رد مي‌شود و نظريه‌ي جديدي مي‌آيد، بعد مي‌خواهيد آن را بر قرآن تحميل كنيد؟</w:t>
      </w:r>
    </w:p>
    <w:p>
      <w:pPr>
        <w:pStyle w:val="BookText"/>
        <w:rPr/>
      </w:pPr>
      <w:r>
        <w:rPr>
          <w:rFonts w:ascii="IRNazanin" w:hAnsi="IRNazanin" w:eastAsia="IRNazanin"/>
          <w:color w:val="111111"/>
          <w:sz w:val="28"/>
          <w:sz w:val="28"/>
          <w:szCs w:val="28"/>
          <w:rtl w:val="true"/>
          <w:lang w:bidi="fa-IR"/>
        </w:rPr>
        <w:t>بعضي از روشنفكران معاصر ما، راه حل ديگري ارائه داده‌اند</w:t>
      </w:r>
      <w:r>
        <w:rPr>
          <w:rFonts w:eastAsia="IRNazanin" w:cs="IRNazanin"/>
          <w:color w:val="111111"/>
          <w:sz w:val="28"/>
          <w:szCs w:val="28"/>
          <w:rtl w:val="true"/>
          <w:lang w:bidi="fa-IR"/>
        </w:rPr>
        <w:t>.</w:t>
      </w:r>
    </w:p>
    <w:p>
      <w:pPr>
        <w:pStyle w:val="Heading3"/>
        <w:numPr>
          <w:ilvl w:val="2"/>
          <w:numId w:val="1"/>
        </w:numPr>
        <w:rPr/>
      </w:pPr>
      <w:bookmarkStart w:id="64" w:name="__RefHeading___Toc1764251_730472459"/>
      <w:bookmarkStart w:id="65" w:name="_Toc22"/>
      <w:bookmarkEnd w:id="64"/>
      <w:r>
        <w:rPr>
          <w:rtl w:val="true"/>
        </w:rPr>
        <w:t>راه‌حل‌هاي دكتر سروش</w:t>
      </w:r>
      <w:bookmarkEnd w:id="65"/>
    </w:p>
    <w:p>
      <w:pPr>
        <w:pStyle w:val="Heading4"/>
        <w:numPr>
          <w:ilvl w:val="3"/>
          <w:numId w:val="1"/>
        </w:numPr>
        <w:rPr/>
      </w:pPr>
      <w:bookmarkStart w:id="66" w:name="__RefHeading___Toc1764253_730472459"/>
      <w:bookmarkStart w:id="67" w:name="_Toc23"/>
      <w:bookmarkEnd w:id="66"/>
      <w:r>
        <w:rPr>
          <w:rtl w:val="true"/>
        </w:rPr>
        <w:t>اشاره</w:t>
      </w:r>
      <w:bookmarkEnd w:id="6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شخصيت‌هاي معاصر كه به نحوي تلاش كرده است تا چالش ميان دين‌داري و تجدد را حل نمايد دكتر سروش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دهه‌ي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راه حل پيش‌نهاد داد و از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هم </w:t>
      </w:r>
      <w:bookmarkStart w:id="68" w:name="pg14788_158323"/>
    </w:p>
    <w:p>
      <w:pPr>
        <w:pStyle w:val="BookText"/>
        <w:rPr/>
      </w:pPr>
      <w:bookmarkEnd w:id="68"/>
      <w:r>
        <w:rPr>
          <w:rFonts w:ascii="IRNazanin" w:hAnsi="IRNazanin" w:eastAsia="IRNazanin"/>
          <w:color w:val="111111"/>
          <w:sz w:val="28"/>
          <w:sz w:val="28"/>
          <w:szCs w:val="28"/>
          <w:rtl w:val="true"/>
          <w:lang w:bidi="fa-IR"/>
        </w:rPr>
        <w:t>راه حل ديگري ارائه داد، كه تا حدود زيادي اين دو راه حل با هم متناسب نيستند</w:t>
      </w:r>
      <w:r>
        <w:rPr>
          <w:rFonts w:eastAsia="IRNazanin" w:cs="IRNazanin"/>
          <w:color w:val="111111"/>
          <w:sz w:val="28"/>
          <w:szCs w:val="28"/>
          <w:rtl w:val="true"/>
          <w:lang w:bidi="fa-IR"/>
        </w:rPr>
        <w:t>.</w:t>
      </w:r>
    </w:p>
    <w:p>
      <w:pPr>
        <w:pStyle w:val="Heading4"/>
        <w:numPr>
          <w:ilvl w:val="3"/>
          <w:numId w:val="1"/>
        </w:numPr>
        <w:rPr/>
      </w:pPr>
      <w:bookmarkStart w:id="69" w:name="__RefHeading___Toc1764255_730472459"/>
      <w:bookmarkStart w:id="70" w:name="_Toc24"/>
      <w:bookmarkEnd w:id="69"/>
      <w:r>
        <w:rPr>
          <w:rtl w:val="true"/>
        </w:rPr>
        <w:t>راه حل اول</w:t>
      </w:r>
      <w:bookmarkEnd w:id="7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حل اول ايشان كه در كتاب قبض و بسط تئوريك شريعت ارائه كرده است،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معرفت‌هاي ديني، متأثر از معرفت‌هاي بيرون ديني‌اند؛ چون در تاريخ فكر و انديشه، همه‌ي علوم، اعم از علوم تجربي، مانند فيزيك و شيمي، و علوم انساني، مانند جامعه‌شناسي و روان‌شناسي و هم‌چنين فلسفه، در حال تكامل و تحول‌اند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معرفت‌ها كه با عقل و تجربه و با ابزارهاي غير ديني به دست آمده‌اند، بايد به نوعي با فهم ما از كتاب و سنت سازگاري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اين‌كه ما بتوانيم معرفت‌هاي بيرون‌ديني را با معرفت‌هاي دين سازگار كنيم، راهي جز تحميل و تطبيق اين معرفت‌ها بر كتاب و سنّت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ايشان اين است كه متن صامت است و سخني ندارد و ما هستيم كه الفاظ را با همين معرفت‌هاي بيرون‌ديني معنادار مي‌كنيم؛ بنابراين، خود اين آيه ظهور و دلالت و معنايي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تغيير معرفت‌هاي بيرون‌ديني معرفت ديني هم تغيير پيدا مي‌كند و با آن سازگار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مطالب، هيچ تعارضي بين مدرنيته و دين نخواهد بود؛ بنابراين، اگر كسي، جامعه‌شناسي ماركس را بپذيرد، تفسير قرآن و معرفت دين او ماركسيستي مي‌شود؛ و اگر جامعه‌شناسي ماكس وِبِر يا دوركيم را بپذيرد، چون مدل جامعه‌شناسي‌اش عوض </w:t>
      </w:r>
      <w:bookmarkStart w:id="71" w:name="pg14788_158324"/>
    </w:p>
    <w:p>
      <w:pPr>
        <w:pStyle w:val="BookText"/>
        <w:rPr/>
      </w:pPr>
      <w:bookmarkEnd w:id="71"/>
      <w:r>
        <w:rPr>
          <w:rFonts w:ascii="IRNazanin" w:hAnsi="IRNazanin" w:eastAsia="IRNazanin"/>
          <w:color w:val="111111"/>
          <w:sz w:val="28"/>
          <w:sz w:val="28"/>
          <w:szCs w:val="28"/>
          <w:rtl w:val="true"/>
          <w:lang w:bidi="fa-IR"/>
        </w:rPr>
        <w:t>مي‌شود، مدل معرفت ديني‌اش نيز فرق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مطالب، ما مي‌توانيم تمام محصولات مدرنيته را با دين سازگاري دهيم؛ البتّه در اين صورت ما ديگر يك اسلام نخواهيم داشت، بلكه ده‌ها، صدها و هزاران قرائت از اسلام خواهيم داشت و فهم ما از اسلام سابجكتيو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Subjective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شخصي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نظريه‌ي دكتر سروش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طور خلاصه مطرح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گادامر، فيلسوف معروف آلماني قرن بيستم،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كتاب حقيقت و روش اين بحث‌ها را مطرح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دكتر سروش، نه به گادامر اشاره اي مي‌كند و نه به منتقدان او در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در خود غرب مورد نقدهاي جدي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منتقدان جدي گادامر، آقاي هرش و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كتاب‌هاي مختلفي را در اين زمينه نوشته‌اند</w:t>
      </w:r>
      <w:r>
        <w:rPr>
          <w:rFonts w:eastAsia="IRNazanin" w:cs="IRNazanin"/>
          <w:color w:val="111111"/>
          <w:sz w:val="28"/>
          <w:szCs w:val="28"/>
          <w:rtl w:val="true"/>
          <w:lang w:bidi="fa-IR"/>
        </w:rPr>
        <w:t>.</w:t>
      </w:r>
    </w:p>
    <w:p>
      <w:pPr>
        <w:pStyle w:val="Heading4"/>
        <w:numPr>
          <w:ilvl w:val="3"/>
          <w:numId w:val="1"/>
        </w:numPr>
        <w:rPr/>
      </w:pPr>
      <w:bookmarkStart w:id="72" w:name="__RefHeading___Toc1764257_730472459"/>
      <w:bookmarkStart w:id="73" w:name="_Toc25"/>
      <w:bookmarkEnd w:id="72"/>
      <w:r>
        <w:rPr>
          <w:rtl w:val="true"/>
        </w:rPr>
        <w:t>نقد راه حل اول</w:t>
      </w:r>
      <w:bookmarkEnd w:id="73"/>
    </w:p>
    <w:p>
      <w:pPr>
        <w:pStyle w:val="BookText"/>
        <w:rPr/>
      </w:pPr>
      <w:r>
        <w:rPr>
          <w:rFonts w:ascii="Amiri" w:hAnsi="Amiri" w:eastAsia="Amiri" w:cs="Amiri"/>
          <w:color w:val="111111"/>
          <w:sz w:val="28"/>
          <w:sz w:val="28"/>
          <w:szCs w:val="28"/>
          <w:rtl w:val="true"/>
          <w:lang w:bidi="ar-SA"/>
        </w:rPr>
        <w:t>اين راه حل دكتر سروش داراي اشكالات متعددي است</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فهم هر متني، نسبي، و مبتني بر پيش‌فرض‌هاي شخصي باشد، هيچ مفاهمه‌اي صورت نمي‌گيرد و هيچ گفت‌وگويي بين اديان، تمدن‌ها و فرهنگ‌ها صورت نخواهد گرفت و همه لغو و بيهوده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كسي با پيش‌فرض شخصي خود، كلامي را تفسير و يا آن را نقد كند، در واقع كلام خود را تفسير و نقد كرده است، نه آن كلام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علم نه قابل فهم است، نه قابل رشد و نه قابل 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اگر از ميراث گذشته فهمي نداشته باشيم، نمي‌توانيم آن را جلوتر ببريم و رشد يا انتقال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ايشان هم حتّي موقعي كه مي‌خواهد به سراغ متن خود برود، ممكن است با پيش‌فرض‌هاي مختلف برداشت‌هاي متفاوتي از متن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نقضي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ديگر اين است كه، درست است كه ما با پيش‌فرض‌هاي خود، سراغ متون مي‌رويم، ولي اين پيش‌فرض‌ها، پيش‌فرض‌هاي شخصي نيست، پيش‌فرض‌هاي عمومي است؛ مثلاً وقتي آيه‌اي را مي‌خوانيم بايد از پيش‌فرض‌هايي استفاده كنيم و با قواعد زبان عرب، معاني، بيان و امثال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قواعد عمومي هستند نه شخصي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باشيم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قواعدي نيستند كه در اختيار من و شما باشند كه هر وقتي كه خواستيم، يك قاعده‌ي ادبي را در يك زبان تغيير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زبان كه يك نهاد اجتماعي است به اين دليل اختراع شده است كه مافي‌الضمير خود را براي هم‌نوعان خويش بيان و آن را منتقل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شخصي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آب مي‌خواهم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مخاطب منظور اين شخص را متوجه مي‌شود و براي او آب مي‌آورد، نه نان؛ مگر اين‌كه مخاطب با زبان گوينده آشنايي نداشته باشد، پس حتماً ما بايد از پيش‌فرض‌هاي عمومي، مثل قواعد زبان و زبان‌شناختي، اطلاع كافي داشته باشيم</w:t>
      </w:r>
      <w:r>
        <w:rPr>
          <w:rFonts w:eastAsia="IRNazanin" w:cs="IRNazanin"/>
          <w:color w:val="111111"/>
          <w:sz w:val="28"/>
          <w:szCs w:val="28"/>
          <w:rtl w:val="true"/>
          <w:lang w:bidi="fa-IR"/>
        </w:rPr>
        <w:t xml:space="preserve">. </w:t>
      </w:r>
      <w:bookmarkStart w:id="74" w:name="pg14788_158326"/>
    </w:p>
    <w:p>
      <w:pPr>
        <w:pStyle w:val="BookText"/>
        <w:rPr/>
      </w:pPr>
      <w:bookmarkEnd w:id="74"/>
      <w:r>
        <w:rPr>
          <w:rFonts w:ascii="IRNazanin" w:hAnsi="IRNazanin" w:eastAsia="IRNazanin"/>
          <w:color w:val="111111"/>
          <w:sz w:val="28"/>
          <w:sz w:val="28"/>
          <w:szCs w:val="28"/>
          <w:rtl w:val="true"/>
          <w:lang w:bidi="fa-IR"/>
        </w:rPr>
        <w:t xml:space="preserve">بنابراين، اين‌كه گفته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صامت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پذيرفتني نيست؛ زيرا هر متني بر معنايي دلالت دارد و بين لفظ و معنا ارتباط محكمي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اين‌كه آقاي سروش گفته است ما بايد نظريه‌اي را بر قرآن تحميل و تطبيق كنيم، اين همان سخن آقاي مهندس بازرگان است؛ البتّه ايشان اين قاعده را در بعضي از علوم قايل بودند، ولي آقاي سروش اين مسئله را در تمام علوم و فلسفه‌ها تعميم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كنيد شخصي كه گرايش پوزيتيويستي دارد، كتاب اسفار اربعه‌ي ملاصدرا را بخواند؛ و به جاي اين‌كه كتاب ملاصدرا را بفهمد، نظريات پوزيتيويستي را بر آن تحميل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در كتاب خود مي‌خواهد نظام منطقي خود را تبيين كند، ولي اين شخص فلسفه‌ي خود را بر او تحميل مي‌كند و تفكّر او را وارونه و يا طور ديگري مي‌فهمد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نظام فكري به امت‌ها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هر مطلبي را به آنان تحميل كنيم پس هدف انبيا چه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نظريه‌ي جامعه‌شناختي يا روان‌شناختي جديد، جايگزين نظريه‌ي قبل شد، اسلام ما، فهم ما و تطبيق ما عوض خواهد شد؛ بنابراين، محصول نظريه‌ي قبض و بسط چيزي جز تعدد اسلام نيست</w:t>
      </w:r>
      <w:r>
        <w:rPr>
          <w:rFonts w:eastAsia="IRNazanin" w:cs="IRNazanin"/>
          <w:color w:val="111111"/>
          <w:sz w:val="28"/>
          <w:szCs w:val="28"/>
          <w:rtl w:val="true"/>
          <w:lang w:bidi="fa-IR"/>
        </w:rPr>
        <w:t>.</w:t>
      </w:r>
    </w:p>
    <w:p>
      <w:pPr>
        <w:pStyle w:val="Heading4"/>
        <w:numPr>
          <w:ilvl w:val="3"/>
          <w:numId w:val="1"/>
        </w:numPr>
        <w:rPr/>
      </w:pPr>
      <w:bookmarkStart w:id="75" w:name="__RefHeading___Toc1764259_730472459"/>
      <w:bookmarkStart w:id="76" w:name="_Toc26"/>
      <w:bookmarkEnd w:id="75"/>
      <w:r>
        <w:rPr>
          <w:rtl w:val="true"/>
        </w:rPr>
        <w:t>راه حل دوّم</w:t>
      </w:r>
      <w:bookmarkEnd w:id="7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راه حل دومي كه آقاي سروش ارائه مي‌دهد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از سال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ما در دين ذاتيات و عرضياتي داريم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ذاتيات دين همان </w:t>
      </w:r>
    </w:p>
    <w:p>
      <w:pPr>
        <w:pStyle w:val="BookText"/>
        <w:rPr/>
      </w:pPr>
      <w:r>
        <w:rPr>
          <w:rFonts w:ascii="IRNazanin" w:hAnsi="IRNazanin" w:eastAsia="IRNazanin"/>
          <w:color w:val="111111"/>
          <w:sz w:val="28"/>
          <w:sz w:val="28"/>
          <w:szCs w:val="28"/>
          <w:rtl w:val="true"/>
          <w:lang w:bidi="fa-IR"/>
        </w:rPr>
        <w:t>چيزهايي است كه در هر زماني بايد به آن برسيم و حقيقت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چيزهايي كه در دين آمده، عرضيات است و براي اين آمده است كه به ذاتيات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خاصيت عرضي بودن، موقت بودن آنهاست و فقط مختص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نبايد آنها را به كار بگيريم و بايد فقط با ذاتيات كار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گوهر دين، صدفِ دين، لُب دين و قشر دين، عناوين ديگرذاتيات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دين در نظر آقاي سروش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تجربه‌ي عرفاني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دين آن است كه با حضور و شهود، خداوند را پيدا كنيم؛ يعني تجربه‌ي عرفاني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آياتي كه درباره‌ي نماز،روزه، حج، جهاد و ساير فروع دين، يا آياتي كه درباره‌ي معاملات، ازدواج، طلاق، اجاره و ديگر احكام جزايي، قضايي و امثال اين‌ها هستند، همه از عرضيات دين‌اند كه وظيفه‌شان رساندن مسلمانان به آن تجربه‌ي عرفاني يا عدالت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عرضيات تغييرپذير و موقتي هستند؛ البتّه ايشان هنوز نسبت به عبادات به صراحت اين مطالب را نگفته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كنايه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مباحث ديگر، به صراحت اين نظر را ارائه مي‌دهد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ايشان، ما هم بايد به آن غايت و هدف برسيم؛ البتّه نه از طريق پيامبر بلكه بايد فكر كنيم و نتيجه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هرچه را مدرنيته گفت بپذيريم تا به آن غايت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ادعا مي‌كند كه حتّي تعريفي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ما گفته‌اند، امروز براي ما قابل استفاده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در مصاديق، بلكه در تعريف نيز همين است؛ بنابراين، فقط لفظ عدالت براي ما مي‌ماند؛ يعني گوهر دين، فقط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77" w:name="pg14788_158328"/>
    </w:p>
    <w:p>
      <w:pPr>
        <w:pStyle w:val="Heading4"/>
        <w:numPr>
          <w:ilvl w:val="3"/>
          <w:numId w:val="1"/>
        </w:numPr>
        <w:rPr/>
      </w:pPr>
      <w:bookmarkStart w:id="78" w:name="__RefHeading___Toc1764261_730472459"/>
      <w:bookmarkStart w:id="79" w:name="_Toc27"/>
      <w:bookmarkEnd w:id="77"/>
      <w:bookmarkEnd w:id="78"/>
      <w:r>
        <w:rPr>
          <w:rtl w:val="true"/>
        </w:rPr>
        <w:t>نقد راه حل دوم</w:t>
      </w:r>
      <w:bookmarkEnd w:id="79"/>
    </w:p>
    <w:p>
      <w:pPr>
        <w:pStyle w:val="BookText"/>
        <w:rPr/>
      </w:pPr>
      <w:r>
        <w:rPr>
          <w:rFonts w:ascii="IRNazanin" w:hAnsi="IRNazanin" w:eastAsia="IRNazanin"/>
          <w:color w:val="111111"/>
          <w:sz w:val="28"/>
          <w:sz w:val="28"/>
          <w:szCs w:val="28"/>
          <w:rtl w:val="true"/>
          <w:lang w:bidi="fa-IR"/>
        </w:rPr>
        <w:t>در اين راه حل نيز براي حل تعارض دين‌داري و مدرنيته، صورت مسئله را پاك نموده‌اند؛ يعني بايد دين‌داري را كنار بگذاريم و مدرنيته را بپذيريم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دكتر سروش نيز متأسفانه ارمغان بعضي از فيلسوفان غرب است، كه بدون اشاره به منبع آن، آن را ارائه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كه به پديدارشناسي شهرت دارد، اولين بار توسط روسو مطرح شد و بعد هايدگر آن را مطرح كرد و شلاير ماخر آن را دنبال نمود؛ البته براي شلاير ماخر طبيعي بود كه اين نظريه را تقويت كند؛ زيرا او با كتاب مقدس روبه‌رو بود كه به اعتقاد خود مسيحيان، اين كتاب زميني و بشري است نه آسماني، و الهي، و كلمه به كلمه‌ي آن با علم تعارض دارد؛ امّا قرآن بدون شك كتاب وحي الهي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 اين است كه اگر ما نگاه درون‌ديني داشته باشيم، آيات و روايات ما به صراحت اين نظريه را رد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ابتداي وصيت خود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اوصيكم، قومي و اهلي و من بلغه كتابي</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كسي كه اين وصيت‌نامه به دست او مي‌رسد؛ سپس به تقوا و قرآن و رسيدگي به كار يتيمان و امثال اين امور سفارش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سفارش‌ها، مثلاً، رسيدگي به كار يتيمان، فقط براي زمان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bookmarkStart w:id="80" w:name="pg14788_158329"/>
    </w:p>
    <w:p>
      <w:pPr>
        <w:pStyle w:val="BookText"/>
        <w:rPr/>
      </w:pPr>
      <w:bookmarkEnd w:id="80"/>
      <w:r>
        <w:rPr>
          <w:rFonts w:ascii="IRNazanin" w:hAnsi="IRNazanin" w:eastAsia="IRNazanin"/>
          <w:color w:val="111111"/>
          <w:sz w:val="28"/>
          <w:sz w:val="28"/>
          <w:szCs w:val="28"/>
          <w:rtl w:val="true"/>
          <w:lang w:bidi="fa-IR"/>
        </w:rPr>
        <w:t xml:space="preserve">آقاي سروش، اين حرف شلاير ماخر را به عرفا نسبت مي‌دهد؛ عرفايي مثل غزالي، ابن عربي، خواجه عبدالله انصاري، فرغاني اين‌ها اگر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 و طريقت و حقيقت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نگفته‌اند كه شريعت عرضي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ذاتيات دين و ابدي‌اند و نبايد تغيير بيابند؛ ذاتيات دين، بعضي مقدمه و بعضي ذي‌المقدمه‌اند؛ مانند تحصيلات دبيرستان نسبت به تحصيلات دكترا يا فوق دكترا؛ اين معلومات ذاتي‌اند و اگر فراموش شوند، بايد آنها را از نو فرا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دروس پيش‌نياز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نردبان نيست كه وقتي به پشت‌بام رسيديم، ديگر براي بالا رفتن به آن نياز نداشته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اعْبُدْ رَبَّكَ حَتَّى يَأْتِيَكَ الْيَقِينُ</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وقتي كه به يقين رسيدي باز هم به عبادت نياز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ذاتي و عرضي كه شلاير ماخر مطرح مي‌كند، نه تنها هيچ ربط و شباهتي به بحث شريعت و طريقت عرفا ندارد، بلكه صددرصد مخالف هم هستند</w:t>
      </w:r>
      <w:r>
        <w:rPr>
          <w:rFonts w:eastAsia="IRNazanin" w:cs="IRNazanin"/>
          <w:color w:val="111111"/>
          <w:sz w:val="28"/>
          <w:szCs w:val="28"/>
          <w:rtl w:val="true"/>
          <w:lang w:bidi="fa-IR"/>
        </w:rPr>
        <w:t>.</w:t>
      </w:r>
    </w:p>
    <w:p>
      <w:pPr>
        <w:pStyle w:val="Heading4"/>
        <w:numPr>
          <w:ilvl w:val="3"/>
          <w:numId w:val="1"/>
        </w:numPr>
        <w:rPr/>
      </w:pPr>
      <w:bookmarkStart w:id="81" w:name="__RefHeading___Toc1764263_730472459"/>
      <w:bookmarkStart w:id="82" w:name="_Toc28"/>
      <w:bookmarkEnd w:id="81"/>
      <w:r>
        <w:rPr>
          <w:rtl w:val="true"/>
        </w:rPr>
        <w:t>راه حل برگزيده</w:t>
      </w:r>
      <w:bookmarkEnd w:id="8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معتقدم كه بايد عقلانيت رازآگين را با عقلانيت راززدا 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ماكس وبر مطرح مي‌كند، عقلانيتِ مدرنيته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راززداست و ابهام و اجمال در برنامه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مدرنيته، حتّي براي پنج‌سال، ده‌سال و بيش‌تر، مسير آينده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بعضي از باورهاي ديني ما رازآلود است، مثلاً صدقه دادن، رفع بلا مي‌كند كه هنوز ما رابطه‌ي صدقه و رفع بلا را نفهميده‌ايم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بايد اين دو ويژگي را با هم جمع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رازآلودگي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راززدايي مدرنيته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اواخر قرن بيست اوايل قرن بيست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تواضع عقلاني هستيم؛ برخلاف قرن هجدهم ونوزدهم، كه دوران غرور عقلاني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عقل بشر به اين نتيجه رسيده است كه بسياري از حقايق را درك نمي‌كند و درك آن نياز به زمان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مطالب را بپذيريم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طور عمده، بيش‌تر مكاتب پذيرفته‌اند و ناچار به پذيرش 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اين دو را با هم جمع كرد و عقلانيت رازآلود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روشن شدن مطلب، مثالي مي‌زنيم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 ظاهر و باطني دارد؛ انسان از خوردن غذاي خوش‌مزه احساس لذت مي‌كند و اين لذت را درك مي‌كند؛ اين ظاهر است؛ اما اگر اين غذا از مال حرامي تهيه شده باشد، باطن همين غذاي لذيذ لجن و يا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قراني شاهد بر اين مدعاست كه ثواب و عقاب اخروي، باطن اعمال دنيايي ما هستند؛ و طبق روايات، بهشت و جهنم الآن هم موجودند؛ بنابراين،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تُبْلي السَّرائر</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است و پرده‌ها كنار زده مي‌شود و باطن عمل نمايان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عمل كمك به يتيم و باطن </w:t>
      </w:r>
    </w:p>
    <w:p>
      <w:pPr>
        <w:pStyle w:val="BookText"/>
        <w:rPr/>
      </w:pPr>
      <w:r>
        <w:rPr>
          <w:rFonts w:ascii="IRNazanin" w:hAnsi="IRNazanin" w:eastAsia="IRNazanin"/>
          <w:color w:val="111111"/>
          <w:sz w:val="28"/>
          <w:sz w:val="28"/>
          <w:szCs w:val="28"/>
          <w:rtl w:val="true"/>
          <w:lang w:bidi="fa-IR"/>
        </w:rPr>
        <w:t>آن، نعمت‌هاي بهشتي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عمل با چشم سر ديده مي‌شود و باطن آن با چشم دل؛ و بسياري از عرفا و بزرگان باطل عمل را مي‌ديده‌اند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لاي يك نانِ خامه‌اي زهر بريزند و به خورد ما دهند، ما مي‌خوريم و از شيريني آن لذت مي‌بريم، بعد از چند لحظه، با احساس درد، مي‌فهميم كه شيريني‌اي كه خورده‌ايم، باطنش سم و زهر بوده است،ولي ما فقط شيريني آن را درك مي‌كرديم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 يك ابزار معرفت‌شناسي، ظاهر را درك مي‌كنيم، نمي‌توانيم ادعا كنيم كه باطني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ظواهري وجود دارد كه ما بايد با عقل و حسّمان آنها را درك كنيم؛ بنا براين بارها در قرآن به تدبر و تعقل توصيه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 اين ظواهر براي قرآن ارزشمند است و توصيه مي‌كند كه ظواهر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 سماء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يَنْظُرُونَ إِلَى الْإِبِلِ كَيْفَ خُلِقَتْ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قرآن به ما توصيه مي‌كند كه به باطن اعمال نيز توجه داشته باشيم، هرچند كشف نشده 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نبايد با غرور عقل، آن باطن را انكار كرد؛ بلكه بايد با عقل متواضع چشم به آينده دوخت، تا شايد باطن آن آشكار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حكمت حرمت گوشت خوك را نمي‌دانستند، امّا امروز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بسياري از احكام شرعي، تحقيقات علمي انجام داده‌اند و راز آن را كشف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رازآلود بودن بعضي از مسائل دين، نبايد آنها را ترك كرد؛ بلكه با تحقيقات علمي مي‌توان به مسائل جديدي دست يافت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رازآلودي بايد منشأ پرسش و سؤالي شود كه ما را به پژوهش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توضيح فوق مي‌توان عقلانيت رازآلود را با عقلانيت ابزاري جمع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ديگر، جمع بين عقلانيت ابزاري و عقلانيت معاد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هيچ جاي دين، عقلانيت ابزاري رد نشده و آمده است كه عقلانيت ابزاري را بايد در مسير عقلانيت معاد استفاده كرد؛ در غير اين صورت عقلانيت ابزاري ممكن است انسان را به انحرفات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به ما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عقل نقّاد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غايت‌گرا و هدفمند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دين به دست نياوريد، مطمئن باشيد،عقل ابزاري، شما را به اهداف ناصوابي سوق خواهد داد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 است، ولي در دوران جديد، با همين علم، بمب اتم، بمب‌هاي نوتروني، شيميايي و غيره ساخته شد كه اين‌ها همه محصول مدرنيته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عقلانيت ابزاري، دين را كنار گذاشته وعقل معاد را به كار نگرفته است؛ لذا امروزه در غرب بحران معنويت را مطرح مي‌كنند؛ چون آنها جنگ جهاني اوّل و دوّم را از نزديك درك كرده‌اند و به اين نتيجه رسيده‌اند كه عقلانيت ابزاري، آنان را به مسير خوبي هدايت نمي‌كند؛ امروزه حتّي ممكن است انسان با فشار دادن يك كليد نسل خود را به طور كلي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محصول مدرنيته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مدرنيته محصولي از بدي‌ها و خوبي‌هاست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بدي‌ها به اين دليل پديد آمده‌اند كه انسان، عقلانيت ابزاري را در مسير و هدف درستي به كار نبرده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مبناي دومِ مدرنيته، مباني اومانيسم بود كه بحث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بايد بگوييم كه اگر انسان، بندگي را درك نكند و ادعاي خدايي كند، بزرگ‌ترين آفت براي انسان است؛ اصالت از آنِ خداست؛ انساني كه در مسير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دعا و شب‌هاي قدر اين است كه انسان احساس بندگي كند و وقتي احساس بندگي كرد، نسبت به بندگان خدا، بنده‌گونه رفتار مي‌كند، نه خداگونه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ممكن است انسان با فرزندانش خامنشانه رفتار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انسان‌ها همانند پرنده‌اي بود كه بال‌هايش را براي آنها باز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خبردادند كه خلخالي را از پاي دختركي يهودي بيرون آورده‌اند،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مسلماني بشنود و بميرد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شعار داده باشد، عين حق را مي‌گفت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پيرمرد نابينايي، گوشه‌ي خيابان گدايي مي‌كرد؛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جامعه‌ي ديني، ما نبايد گدا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مي‌تواند، بايد كار كند و اگر نمي‌تواند بايد به او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كسي است كه گدايي مي‌كند؟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پيرمردي نصراني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ناراحت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تا جوان بود و در جامعه كار مي‌كرد، نمي‌گفتيد كه نصراني و مسيحي است؛ حال كه پير و كور شده است، مي‌گوييد نصراني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علي بنده‌ي خدا بود و به همين دليل، بندگان خدا را اين‌گونه مي‌ديد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قاتل خويش وصيت مي‌كند كه نبايد با بيش از يك ضربت شمشير او را قصاص كنيد؛ فقط با يك ضربت، چه بميرد و چه بماند؛ زيرا او يك ضربت بيش‌تر نزده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بندگي خدا را نكند، قطعاً بنده‌ي شيطان خواهد شد؛ لذا اومانيسم هم جواب‌گوي نيازهاي انسان نيست و تمام جنگ‌ها و بدبختي‌هاي انسان محصول اين تفكر غلط است؛ زيرا اومانيسم در واقع خدا را كنار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نكته‌ي ديگر، بهره‌گيري از متافيزيك اسلامي در تحقيقات علمي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تعارض‌هايي كه در غرب، بين علم و دين ايجاد شده است، به دليل اين است كه بعضي از عالمان علوم تجربي، از مِتافيزيك مسيحي استفاده كرده‌اند؛ مانند نيوتن كه در تحقيقات خود از متافيزيك يهودي خود استفاده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در غرب، درباره‌ي نقش متافيزيك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باورهاي غيرتجربي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دستاوردهاي علمي، تحقيقات جدي صورت مي‌گيرد كه متأسفانه در دانشگاه‌هاي ما اصلاً اين موضوع مطرح نيست تا مشخص گردد در چه مواردي متافيزيك، بر امور تجربي تأثير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تحقيقات تجربي فرويد، متأثر از يك متافيزيك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تحقيقات تجربي، عريان از متافيزيك نيستند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درباره‌ي سرمايه و كالا نيز نكاتي مطرح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حتّي سرمايه و كالا هدف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تفكر ما، بدون شك، همه چيز </w:t>
      </w:r>
    </w:p>
    <w:p>
      <w:pPr>
        <w:pStyle w:val="BookText"/>
        <w:rPr/>
      </w:pPr>
      <w:r>
        <w:rPr>
          <w:rFonts w:ascii="IRNazanin" w:hAnsi="IRNazanin" w:eastAsia="IRNazanin"/>
          <w:color w:val="111111"/>
          <w:sz w:val="28"/>
          <w:sz w:val="28"/>
          <w:szCs w:val="28"/>
          <w:rtl w:val="true"/>
          <w:lang w:bidi="fa-IR"/>
        </w:rPr>
        <w:t>حتّي سرمايه و كالا وسيله است؛ البتّه اين بدان معنا نيست كه ما فاقد برنامه و راه‌بردي براي سرمايه و كالا باشيم كه متأسفانه هنوز در اين زمينه‌ها كار جدي صورت نگرفته است و يا با مشكلات جدي روبه‌روييم، و بعضي از مردم دين را در اين مشكلات مؤثر مي‌دانند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زماني كه اين مسائل درست شد، تقابل دين و مدرنيته نيز حل مي‌گردد</w:t>
      </w:r>
      <w:r>
        <w:rPr>
          <w:rFonts w:eastAsia="IRNazanin" w:cs="IRNazanin"/>
          <w:color w:val="111111"/>
          <w:sz w:val="28"/>
          <w:szCs w:val="28"/>
          <w:rtl w:val="true"/>
          <w:lang w:bidi="fa-IR"/>
        </w:rPr>
        <w:t xml:space="preserve">. </w:t>
      </w:r>
      <w:bookmarkStart w:id="83" w:name="pg14788_158336"/>
    </w:p>
    <w:p>
      <w:pPr>
        <w:pStyle w:val="Heading2"/>
        <w:numPr>
          <w:ilvl w:val="1"/>
          <w:numId w:val="1"/>
        </w:numPr>
        <w:rPr/>
      </w:pPr>
      <w:bookmarkStart w:id="84" w:name="__RefHeading___Toc1764265_730472459"/>
      <w:bookmarkStart w:id="85" w:name="_Toc29"/>
      <w:bookmarkEnd w:id="83"/>
      <w:bookmarkEnd w:id="84"/>
      <w:r>
        <w:rPr>
          <w:rtl w:val="true"/>
        </w:rPr>
        <w:t>مقاله‌ي مورد نقد</w:t>
      </w:r>
      <w:r>
        <w:rPr>
          <w:rtl w:val="true"/>
        </w:rPr>
        <w:t xml:space="preserve">: </w:t>
      </w:r>
      <w:r>
        <w:rPr>
          <w:rtl w:val="true"/>
        </w:rPr>
        <w:t>مهدويت و احياي دين</w:t>
      </w:r>
      <w:bookmarkEnd w:id="85"/>
    </w:p>
    <w:p>
      <w:pPr>
        <w:pStyle w:val="Heading3"/>
        <w:numPr>
          <w:ilvl w:val="2"/>
          <w:numId w:val="1"/>
        </w:numPr>
        <w:rPr/>
      </w:pPr>
      <w:bookmarkStart w:id="86" w:name="__RefHeading___Toc1764267_730472459"/>
      <w:bookmarkStart w:id="87" w:name="_Toc30"/>
      <w:bookmarkEnd w:id="86"/>
      <w:r>
        <w:rPr>
          <w:rtl w:val="true"/>
        </w:rPr>
        <w:t>اشاره</w:t>
      </w:r>
      <w:bookmarkEnd w:id="87"/>
    </w:p>
    <w:p>
      <w:pPr>
        <w:pStyle w:val="BookText"/>
        <w:rPr/>
      </w:pPr>
      <w:r>
        <w:rPr>
          <w:rFonts w:ascii="Amiri" w:hAnsi="Amiri" w:eastAsia="Amiri" w:cs="Amiri"/>
          <w:color w:val="111111"/>
          <w:sz w:val="28"/>
          <w:sz w:val="28"/>
          <w:szCs w:val="28"/>
          <w:rtl w:val="true"/>
          <w:lang w:bidi="ar-SA"/>
        </w:rPr>
        <w:t>مهدويت و احياي دين</w:t>
      </w:r>
      <w:r>
        <w:rPr>
          <w:rStyle w:val="FootnoteAnchor"/>
          <w:rtl w:val="true"/>
        </w:rPr>
        <w:footnoteReference w:id="11"/>
      </w:r>
    </w:p>
    <w:p>
      <w:pPr>
        <w:pStyle w:val="Heading3"/>
        <w:numPr>
          <w:ilvl w:val="2"/>
          <w:numId w:val="1"/>
        </w:numPr>
        <w:rPr/>
      </w:pPr>
      <w:bookmarkStart w:id="88" w:name="__RefHeading___Toc1764269_730472459"/>
      <w:bookmarkStart w:id="89" w:name="_Toc31"/>
      <w:bookmarkEnd w:id="88"/>
      <w:r>
        <w:rPr>
          <w:rtl w:val="true"/>
        </w:rPr>
        <w:t>چكيده</w:t>
      </w:r>
      <w:r>
        <w:rPr>
          <w:rtl w:val="true"/>
        </w:rPr>
        <w:t>:</w:t>
      </w:r>
      <w:bookmarkEnd w:id="8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آقاي سروش ذيل عنوان مهدويت و احياي دين بيان نموده، مقايسه‌اي است ميان احياگري فقيهان و عالمان دين با احياگري انبيا و ائمه‌ي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احياگري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تفكيك قشر و مغز دين و بيان اقسام دين‌داري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احياگري انبيا از علت و مغز دين شروع مي‌شد و ترويج دين‌داري آنها تجربت‌انديش بود، و سپس به معلول و پوسته، كه احكام ديني است، منتهي مي‌شدند؛ امّا احياگري فقيهان، به عكس، از معلول و پوسته آغاز مي‌شود و ترويج كننده‌ي دين‌داري مصلحت‌انديش يا معرفت‌انديش‌اند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 امروز ما احياي مغز و تجربه‌ي ديني است، نه قشر و احكام فقهي، و لذا احياگر جهان امروز بايد قديس باشد، نه فقيه يا متكلم؛ و احياهاي موقت و مقطعي امروز چاره‌ساز نيست و احياي باطن و معنوي دين لازم است؛ واحياگري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سنخ احياگري انبيا، </w:t>
      </w:r>
      <w:bookmarkStart w:id="90" w:name="pg14788_158337"/>
    </w:p>
    <w:p>
      <w:pPr>
        <w:pStyle w:val="BookText"/>
        <w:rPr/>
      </w:pPr>
      <w:bookmarkEnd w:id="90"/>
      <w:r>
        <w:rPr>
          <w:rFonts w:ascii="IRNazanin" w:hAnsi="IRNazanin" w:eastAsia="IRNazanin"/>
          <w:color w:val="111111"/>
          <w:sz w:val="28"/>
          <w:sz w:val="28"/>
          <w:szCs w:val="28"/>
          <w:rtl w:val="true"/>
          <w:lang w:bidi="fa-IR"/>
        </w:rPr>
        <w:t>يعني پرداختن به باطن دين است، كه حقيقت اسلام است نه احياي ظاهر دين، كه اسلام هويت و مايه‌ي مرزبندي و اختلاف است</w:t>
      </w:r>
      <w:r>
        <w:rPr>
          <w:rFonts w:eastAsia="IRNazanin" w:cs="IRNazanin"/>
          <w:color w:val="111111"/>
          <w:sz w:val="28"/>
          <w:szCs w:val="28"/>
          <w:rtl w:val="true"/>
          <w:lang w:bidi="fa-IR"/>
        </w:rPr>
        <w:t>.</w:t>
      </w:r>
    </w:p>
    <w:p>
      <w:pPr>
        <w:pStyle w:val="Heading3"/>
        <w:numPr>
          <w:ilvl w:val="2"/>
          <w:numId w:val="1"/>
        </w:numPr>
        <w:rPr/>
      </w:pPr>
      <w:bookmarkStart w:id="91" w:name="__RefHeading___Toc1764271_730472459"/>
      <w:bookmarkStart w:id="92" w:name="_Toc32"/>
      <w:bookmarkEnd w:id="91"/>
      <w:r>
        <w:rPr>
          <w:rtl w:val="true"/>
        </w:rPr>
        <w:t>نقد و بررسي</w:t>
      </w:r>
      <w:r>
        <w:rPr>
          <w:rtl w:val="true"/>
        </w:rPr>
        <w:t xml:space="preserve">: </w:t>
      </w:r>
      <w:r>
        <w:rPr>
          <w:rtl w:val="true"/>
        </w:rPr>
        <w:t>فقيهان احياگران مهدويت</w:t>
      </w:r>
      <w:bookmarkEnd w:id="92"/>
    </w:p>
    <w:p>
      <w:pPr>
        <w:pStyle w:val="BookText"/>
        <w:rPr/>
      </w:pPr>
      <w:r>
        <w:rPr>
          <w:rFonts w:ascii="IRNazanin" w:hAnsi="IRNazanin" w:eastAsia="IRNazanin"/>
          <w:color w:val="111111"/>
          <w:sz w:val="28"/>
          <w:sz w:val="28"/>
          <w:szCs w:val="28"/>
          <w:rtl w:val="true"/>
          <w:lang w:bidi="fa-IR"/>
        </w:rPr>
        <w:t>سيد محمد علي داعي‌نژاد</w:t>
      </w:r>
    </w:p>
    <w:p>
      <w:pPr>
        <w:pStyle w:val="BookText"/>
        <w:rPr/>
      </w:pPr>
      <w:r>
        <w:rPr>
          <w:rFonts w:ascii="IRNazanin" w:hAnsi="IRNazanin" w:eastAsia="IRNazanin"/>
          <w:color w:val="111111"/>
          <w:sz w:val="28"/>
          <w:sz w:val="28"/>
          <w:szCs w:val="28"/>
          <w:rtl w:val="true"/>
          <w:lang w:bidi="fa-IR"/>
        </w:rPr>
        <w:t xml:space="preserve">مباحثي كه آقاي سروش 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مهدويت و احياي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نموده است، بازگويي مباني فكري و سياسي ايشان است و حاوي مطلب جديدي نيست، جز آن‌كه، با آن مباني، موضوع مهدويت مورد تحليل قرار گرفته است؛ بنابراين، نقد آن مباني به نقد تحليل ايشان از مهدويت خواهد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نماياندن كاستي‌هاي فراوان اين مباني، در نوشتاري مختصر امكان پذير نيست؛ به همين جهت، به مهم‌ترين چالش‌هاي فكري نويسنده‌ي محترم در زمينه‌ي مباني مورد استفاده در مسأله‌ي مهدويت خواهيم پرداخت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با طرح دوباره‌ي موضوع قشر و مغز دين، مدعي شده است كه پيامبران از مغز دين كه تجربه‌ي ديني است، آغاز كرده‌اند و پيروان آنان، از جمله علماي دين، از قشر آن كه فقه و احكام فقهي است، شروع مي‌نمايند؛ از اين رو، احياگري پيامبر موفقيت‌آميز خواهد بود، ولي احياگري علماي دين، از آن رو كه بر قشر دين تكيه مي‌نمايند و احياي دين را در احياي فقه مي‌دانند، با شكست مواجه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پايان، احياگري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نوع احياگري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مي‌شمارند، كه محور اصلي آن، تجربه‌ي ديني است، نه فقه و احكام فقهي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سخنان از جهات متعددي پذيرفتني نيست و نادرست به نظر مي‌آيد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پيروي از قرآن و احكام الهي، نه تنها ظاهري و قشري‌گرايي نيست، بلكه مايه‌ي هدايت و رشد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براي مؤمنان</w:t>
      </w:r>
      <w:r>
        <w:rPr>
          <w:rStyle w:val="FootnoteAnchor"/>
          <w:rtl w:val="true"/>
        </w:rPr>
        <w:footnoteReference w:id="12"/>
      </w:r>
      <w:r>
        <w:rPr>
          <w:rFonts w:ascii="Amiri" w:hAnsi="Amiri" w:eastAsia="Amiri" w:cs="Amiri"/>
          <w:color w:val="111111"/>
          <w:sz w:val="28"/>
          <w:sz w:val="28"/>
          <w:szCs w:val="28"/>
          <w:rtl w:val="true"/>
          <w:lang w:bidi="ar-SA"/>
        </w:rPr>
        <w:t>مايه‌ي شفا و رحمت است و انسان را به بهترين راه هدايت مي‌كند</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از اين رو، قرآن‌كه مشتمل بر احكام الهي و شيوه‌ي چگونه زيستن و چگونه انديشيدن است، انسان‌ها را از تاريكي‌ها به سمت نور رهنمون مي‌سازد؛</w:t>
      </w:r>
      <w:r>
        <w:rPr>
          <w:rStyle w:val="FootnoteAnchor"/>
          <w:rtl w:val="true"/>
        </w:rPr>
        <w:footnoteReference w:id="14"/>
      </w:r>
      <w:r>
        <w:rPr>
          <w:rFonts w:ascii="IRNazanin" w:hAnsi="IRNazanin" w:eastAsia="IRNazanin"/>
          <w:color w:val="111111"/>
          <w:sz w:val="28"/>
          <w:sz w:val="28"/>
          <w:szCs w:val="28"/>
          <w:rtl w:val="true"/>
          <w:lang w:bidi="fa-IR"/>
        </w:rPr>
        <w:t>لذا خداوند فرمود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پيامبر بگو، اگر خدا را دوست مي‌داريد پس مرا پيروي كنيد تا خدا شما را دوست بدارد،</w:t>
      </w:r>
      <w:r>
        <w:rPr>
          <w:rStyle w:val="FootnoteAnchor"/>
          <w:rtl w:val="true"/>
        </w:rPr>
        <w:footnoteReference w:id="15"/>
      </w:r>
      <w:r>
        <w:rPr>
          <w:rFonts w:ascii="IRNazanin" w:hAnsi="IRNazanin" w:eastAsia="IRNazanin"/>
          <w:color w:val="111111"/>
          <w:sz w:val="28"/>
          <w:sz w:val="28"/>
          <w:szCs w:val="28"/>
          <w:rtl w:val="true"/>
          <w:lang w:bidi="fa-IR"/>
        </w:rPr>
        <w:t>اطاعت از خدا و رسولش مايه‌ي رستگاي انسان</w:t>
      </w:r>
      <w:r>
        <w:rPr>
          <w:rStyle w:val="FootnoteAnchor"/>
          <w:rtl w:val="true"/>
        </w:rPr>
        <w:footnoteReference w:id="16"/>
      </w:r>
      <w:r>
        <w:rPr>
          <w:rFonts w:ascii="IRNazanin" w:hAnsi="IRNazanin" w:eastAsia="IRNazanin"/>
          <w:color w:val="111111"/>
          <w:sz w:val="28"/>
          <w:sz w:val="28"/>
          <w:szCs w:val="28"/>
          <w:rtl w:val="true"/>
          <w:lang w:bidi="fa-IR"/>
        </w:rPr>
        <w:t>و وارد شدن در باغ‌هاي بهشتي مي‌گردد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از نظر اسلام، سخن گفتن از قشر و مغز، و پوسته ناميدن احكام الهي، كلامي باطل است و تمامي كتاب، روشنگر و هدايتگر مي‌باشد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خداوند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مباركي است كه بر تو نازل كرديم، پس از آن پيروي كنيد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با توجه به آنچه از آيات الهي گفته شد، تمامي قرآن در حيات آدمي نقش‌آفرين است و انسان براي رسيدن به رستگاري بايد به تمام آن ايمان آورد و از آن پيروي كند و مانند آنان نباشد كه به برخي از كتاب ايمان آوردند و قسمتي ديگر را وقعي نمي‌نهند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قشري خواندن فقه، ناشي از برداشت خاص نويسنده از احكام ديني است؛ از ديدگاه او نماز و روزه و ساير احكام عبادي، سياسي، اقتصادي و فرهنگي اسلام، تنها جنبه‌ي طريقيت و ابزاري دارد؛ امّا حقيقت آن است كه احكام ديني، خود داراي موضوعيت‌اند و با وجود انسان پيوند دارند و عمل به بايدهاي ديني، يعني عمل به آنچه كه استعدادهاي آدمي را به فعليت و رشد مي‌رساند، و ترك نبايدها، يعني ترك چيزهايي كه كمالات و استعدادهاي آدمي را ضايع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اسلام، نماز انسان را به معراج مي‌رساند و مايه‌ي قرب انسان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تاريخ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مي‌شود كه آنان بر انجام اين فريضه و حكم الهي بيش از ديگران تكيه</w:t>
      </w:r>
    </w:p>
    <w:p>
      <w:pPr>
        <w:pStyle w:val="BookText"/>
        <w:rPr/>
      </w:pPr>
      <w:r>
        <w:rPr>
          <w:rFonts w:ascii="IRNazanin" w:hAnsi="IRNazanin" w:eastAsia="IRNazanin"/>
          <w:color w:val="111111"/>
          <w:sz w:val="28"/>
          <w:sz w:val="28"/>
          <w:szCs w:val="28"/>
          <w:rtl w:val="true"/>
          <w:lang w:bidi="fa-IR"/>
        </w:rPr>
        <w:t>داشتند، و بيش از ديگران نماز مي‌خواندند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زكات نيز خداوند به پيامبرش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آنان زكات بگير، كه زكات مايه‌ي پاكي آنان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نگاهي به متون ديني و سيره‌ي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ائمه‌ي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درمي‌يابيم برخلاف برخي متصوفه كه با ادعاي رسيدن به حقيقت، دست از احكام الهي مي‌شويند، آنان كمال و هدايت را در پيروي از فقه و كلام ديني مي‌جستند، و راه عبوديت را در پيروي از اوامر خدا مي‌دانستند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نويسنده‌ي محترم تصور نموده است كه پيامبران از عمل به احكام فقهي سود نمي‌جستند، بلكه حقيقت را در تجربه‌ي ديني‌شان مي‌يافتند و در واقع، شريعت را براي ديگران آورده‌اند تا آنها مانند پيامبران به آن تجربه‌ها دست‌يابند؛ در حالي كه انبيا و از جمله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نيز مخاطب احكام الهي بوده‌اند، حتي به لحاظ موقعيت و جايگاه خاصشان علاوه بر احكام عمومي، احكام اختصاصي نيز داشته‌اند كه ديگران موظف به انجام آن نبوده‌اند؛ مانند وجوب نماز شب براي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نگاهي به سيره‌ي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بيانات ايشان درمي‌يابيم كه آنان هم، با نماز به معارج الهي مي‌رسيدند و با عمل به احكام الهي موجب قرب بيش‌تر خود به خداوند و افزايش محبت خداوند نسبت به خود مي‌شدند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 است كه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با خداي خود نزديك مي‌شود كه بيرون آمدن تير از پايش را درك نمي‌كند و اصحابش بهترين وقت بيرون آمدن تير را هنگام نماز حضرت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ديگر بر تلازم شريعت و هدايت آن است كه خداوند، هيچ‌گاه ايمان بدون عمل را نمي‌پذيرد و از مؤمنان مي‌خواهد كه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و شريعت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نازل كرده است پيروي كنند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برخلاف تصور نويسنده‌ي محترم، علماي دين، خصوصاً آنان‌كه پرچم‌دار نهضت‌هاي احياگر اسلامي بوده‌اند، تنها بر اجراي احكام فقهي تأكيد نداشته‌اند، بلكه به تبليغ و اجراي تمامي آموزه‌هاي ديني اقدام نموده‌اند، كه نمونه‌ي بارز و نزديك آن را مي‌توان در مشي بنيان‌گذار جمهوري اسلامي ايران، حضرت امام 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 معظم انقلاب، حضرت آيت الله خامنه‌اي مشاهده نمود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مطالعه‌ي احوال، آثار و بيانات اين دو شخصيت عظيم‌الشّأن در مي‌يابيم كه رهبران اسلام و علماي دين، هميشه از خودسازي آغاز نموده و سپس براساس وظيفه‌ي اسلامي، به رهبري و سازندگي جامعه‌ي اسلامي همت گماشته‌اند؛ و همان گونه كه جامعه را به اجراي احكام ديني ترغيب و تشويق نموده‌اند، به سلوك عرفاني و روحي و توجه به باطن و معناي عبادات و احكام نيز راه‌نمايي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زمزمه‌هاي عارفانه‌ي امام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سوره‌ي حمد و در زمينه‌ي مناجات شعبانيه، از خاطر امّت اسلامي ايران نرفته است؛ و </w:t>
      </w:r>
    </w:p>
    <w:p>
      <w:pPr>
        <w:pStyle w:val="BookText"/>
        <w:rPr/>
      </w:pPr>
      <w:r>
        <w:rPr>
          <w:rFonts w:ascii="IRNazanin" w:hAnsi="IRNazanin" w:eastAsia="IRNazanin"/>
          <w:color w:val="111111"/>
          <w:sz w:val="28"/>
          <w:sz w:val="28"/>
          <w:szCs w:val="28"/>
          <w:rtl w:val="true"/>
          <w:lang w:bidi="fa-IR"/>
        </w:rPr>
        <w:t>بيانات عارفانه‌ي رهبر معظم انقلاب در ديدارهاي جوانان و قشرهاي مختلف مردم، هميشه بر صفحه‌ي دل ملت ايران پرتوافكن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نكته‌ي آخر آن است كه نويسنده‌ي محترم، عنصر فقه را درعصر مهدويت كم‌رنگ ساخته و تأكيد و منش آن حضرت را با منش توجه به احكام شريعت يكي ندانسته، بلكه بر تجربه‌ي ديني استوار دانسته است؛ حال آن‌كه با مراجعه به روايات مربوط به سيره‌ي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مي‌شود كه تمام تلاش آن حضرت در اجراي احكام اسلامي و تعليم آموزه‌هاي اسلام است؛ زيرا همان‌گونه كه از قرآن كريم نقل كرديم، قرب و محبت الهي و رشد و كمال آدمي در عمل به اين احكام و فراگيري اين آموزه‌هاست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روايتي، جابر از حضرت امام محمد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مهدي در مكه هنگام عشا ظهور مي‌كند و پرچم و پيراهن و شمشير رسول خدا با اوست و علامات و نور و بيان به همراه دارد؛ پس وقتي نماز عشا را به جا آورد، با صداي بلند ندا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ياد خدا مي‌اندازم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شما را به خدا و رسول خدا و عمل به كتاب خدا و ميراندن باطل و زنده نگه داشتن سنّت دعوت مي‌كنم</w:t>
      </w:r>
      <w:r>
        <w:rPr>
          <w:rFonts w:eastAsia="IRNazanin" w:cs="IRNazanin"/>
          <w:color w:val="111111"/>
          <w:sz w:val="28"/>
          <w:szCs w:val="28"/>
          <w:rtl w:val="true"/>
          <w:lang w:bidi="fa-IR"/>
        </w:rPr>
        <w:t>.</w:t>
      </w:r>
      <w:r>
        <w:rPr>
          <w:rStyle w:val="FootnoteAnchor"/>
          <w:rtl w:val="true"/>
        </w:rPr>
        <w:footnoteReference w:id="2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در اين نوشتار بر تجربيات ديني و روحي تأكيد مي‌نمايد و آن را مغز دين به شمار مي‌آورد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نويسنده بر تجربه‌ي ديني و </w:t>
      </w:r>
    </w:p>
    <w:p>
      <w:pPr>
        <w:pStyle w:val="BookText"/>
        <w:rPr/>
      </w:pPr>
      <w:r>
        <w:rPr>
          <w:rFonts w:ascii="IRNazanin" w:hAnsi="IRNazanin" w:eastAsia="IRNazanin"/>
          <w:color w:val="111111"/>
          <w:sz w:val="28"/>
          <w:sz w:val="28"/>
          <w:szCs w:val="28"/>
          <w:rtl w:val="true"/>
          <w:lang w:bidi="fa-IR"/>
        </w:rPr>
        <w:t>روي‌گرداني ايشان از اصرار بر فقه و احكام فقهي، به جهت ديدگاه خاصي است كه در باب قلمروِ دين،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ايشان، قلمرو دين حداقلي است و شامل امور اجتماعي نمي‌شود و حتي در امور شخصي، مانند اخلاق نيز بايد به نحو حداقلي از دين انتظار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ايشان، گذشته از ناسازگاري با عقل، به جهت محدوديت‌هاي انسان و نياز او به هدايتگري در عرصه‌هاي اجتماعي، با متون ديني نيز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دسته از آيات و روايات، بر گستردگي قلمرو دين دلالت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آيات و رواياتي كه اهداف پيامبران را منحصر در عبوديت ندانسته و عدالت اجتماعي را نيز يكي از اهداف پيامبران برشمرده‌اند؛ مانند آيه‌ي مباركه‌ي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أَرْسَلْنا رُسُلَنا بِالْبَيِّناتِ وَ أَنْزَلْنا مَعَهُمُ الْكِتابَ وَ الْمِيزانَ لِيَقُومَ النَّاسُ بِالْقِسْطِ</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آيات و رواياتي كه دربردارنده‌ي احكام و برنامه‌هاي زندگي اجتماعي انسان در جنبه‌هاي مختلف سياست، اقتصاد، فرهنگ، حقوق و غيره هستند؛ مانند آياتي كه در زمينه‌ي حرمت ربا، حرمت حاكميّت بيگانگان بر مؤمنان، روابط خانوادگي، ازدواج، طلاق و موارد ديگر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آياتي كه جريان مبارزات انبيا را با طاغوت‌هاي زمان نشان مي‌دهند و سيره‌ي انبيا را منحصر در امور عبادي ندانسته‌اند؛ مانند سفارش حضرت 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قومش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اوفوا الكيل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IRNazanin" w:hAnsi="IRNazanin" w:eastAsia="IRNazanin"/>
          <w:color w:val="111111"/>
          <w:sz w:val="28"/>
          <w:sz w:val="28"/>
          <w:szCs w:val="28"/>
          <w:rtl w:val="true"/>
          <w:lang w:bidi="fa-IR"/>
        </w:rPr>
        <w:t>برخورد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فرعون، و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نمرود،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مشركان مكه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نويسنده‌ي محترم با طرح اسلام هويت و اسلام حقيقت، معتقد است كه تكيه بر فقه و احكام ديني، اسلام هويت؛ و احياي باطني و معنوي دين و تكيه بر تجارب ديني، اسلام حقيقت است؛ و راه نجات جهان تاريك امروز، ترويج اسلام حقيقت مي‌باشد، نه تبليغ اسلام هويت، كه محور فعاليت بنيادگرايي اسلامي است؛ به عبارت ديگر، سر و سامان يافتن جهان امروز، در گرو اولياي نيك‌نهادِ الهي است كه تكيه بر عنصر تجربه‌ي ديني و معنويت دارند، نه در گرو شريعت و احكام فقهي و اخلاقي فقيهان و اخلاقيون و يا آراي متكلمان؛</w:t>
      </w:r>
    </w:p>
    <w:p>
      <w:pPr>
        <w:pStyle w:val="BookText"/>
        <w:rPr/>
      </w:pPr>
      <w:r>
        <w:rPr>
          <w:rFonts w:ascii="IRNazanin" w:hAnsi="IRNazanin" w:eastAsia="IRNazanin"/>
          <w:color w:val="111111"/>
          <w:sz w:val="28"/>
          <w:sz w:val="28"/>
          <w:szCs w:val="28"/>
          <w:rtl w:val="true"/>
          <w:lang w:bidi="fa-IR"/>
        </w:rPr>
        <w:t>ما امروز احتياج داريم كه كسي به ما بياموزد دين‌داري در جهان جديد ميسر است و چنين كسي فقيه و متكلم نيست، بلكه از جنس قديسان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مراد نويسنده از هويت، هويت فردي است چنان‌كه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بنيادگرايي عبارت است از تكيه بر اسلام هويت به جاي اسلام حقيقت؛ تكيه بر عنصري كه به آدمي هويت اين جهاني مي‌بخشد و بين او و ديگران خط‌كشي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اسلام حقيقت، اين مرزبندي‌ها وجود ندراد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اشتباه نويسنده‌ي محترم آن است كه تصور كرده است تقسيم انسان‌ها به خودي و غيرخودي، مستلزم دوري از حقيقت است؛ در حالي كه انسان بي‌هويت به اين معنا، يعني انساني كه براي خود ملاك و </w:t>
      </w:r>
    </w:p>
    <w:p>
      <w:pPr>
        <w:pStyle w:val="BookText"/>
        <w:rPr/>
      </w:pPr>
      <w:r>
        <w:rPr>
          <w:rFonts w:ascii="IRNazanin" w:hAnsi="IRNazanin" w:eastAsia="IRNazanin"/>
          <w:color w:val="111111"/>
          <w:sz w:val="28"/>
          <w:sz w:val="28"/>
          <w:szCs w:val="28"/>
          <w:rtl w:val="true"/>
          <w:lang w:bidi="fa-IR"/>
        </w:rPr>
        <w:t>مرزي نداشته باشد، در جهان وجود ندارد، بلكه هر انساني داراي هويت خاص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صاحب هويت، تصويري خاص و روشن از خود و جامعه و جهان داشته، داراي نظام ارزشي معيني است كه در آن، خوب‌ها و بدها و بايدها و نبايدها جايگاه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بي‌هويتي، يعني عدم وجود معيار و نداشتن موضع واحد نسبت به وقايع اطراف</w:t>
      </w:r>
      <w:r>
        <w:rPr>
          <w:rFonts w:eastAsia="IRNazanin" w:cs="IRNazanin"/>
          <w:color w:val="111111"/>
          <w:sz w:val="28"/>
          <w:szCs w:val="28"/>
          <w:rtl w:val="true"/>
          <w:lang w:bidi="fa-IR"/>
        </w:rPr>
        <w:t>.</w:t>
      </w:r>
      <w:r>
        <w:rPr>
          <w:rStyle w:val="FootnoteAnchor"/>
          <w:rtl w:val="true"/>
        </w:rPr>
        <w:footnoteReference w:id="24"/>
      </w:r>
      <w:r>
        <w:rPr>
          <w:rFonts w:ascii="Amiri" w:hAnsi="Amiri" w:eastAsia="Amiri" w:cs="Amiri"/>
          <w:color w:val="111111"/>
          <w:sz w:val="28"/>
          <w:sz w:val="28"/>
          <w:szCs w:val="28"/>
          <w:rtl w:val="true"/>
          <w:lang w:bidi="ar-SA"/>
        </w:rPr>
        <w:t>نتيجه آن‌كه، بي‌هويتي، سخن باطلي است؛ انسان بي‌هويت وجود ندارد و تفاوت انسان‌ها در تفاوت هويت‌هاست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مهم است نداشتن هويت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گفتيم امر باطلي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داشتن هويتِ برحق است و اسلام شيعي، كه توسط فقها ارائه شده است، اسلامي است كه مدار و معيار آن حق و حقيقت است؛ از اين رو اسلام هويت، همان، اسلامِ حقيقت است و هويت مسلمان همان حق‌طلبي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كساني هستند كه پيرو شخصيتي هستند كه پيامبر درباره‌ي او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مع الحق يدور حيث ما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 حق هميشه با هم‌اند؛ و اسلام شيعي، يعني اسلام حق‌مدار؛ و هويت اسلام، يعني حق مدار بودن و حق‌طلب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گذشت مباحثي بود در زمينه‌ي پاره‌اي از مباني فكري نويسنده‌ي محترم؛ البتّه برخي نكات جزئي نيز در اين نوشتار وجود دارد كه اهميت چنداني ندارد، ولي براي روشن‌تر شدن افكار نويسنده‌ي محترم، اشاراتي به برخي از آنها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جايي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حاكمان حكومت اسلامي هم در حق خود چنين اعتقادي دارند و معتقدند بر جاي امام زمان نشسته‌اند و به نام او حكومت مي‌كنند و به نيابت از او بر مردم فرمان مي‌رانند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بدون شك، احكام اسلام، در زمان غيبت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جريان دارند و اجراي احكام اسلامي، كه شامل احكام قضايي و اجتماعي نيز مي‌باشد، نيازمند والي و رهبري است كه اسلام‌شناس باشد؛ از اين رو، در روايات، اين وظيفه بر عهده‌ي علماي دين نهاده شده است و مردم به سوي آنها راه‌نمايي شده‌اند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اميرمؤمنان،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جانشينان مرا مورد لطف و رحمت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اي فرستاده‌ي خدا، جانشينان شما چه كساني هستند؟ 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بعد از من مي‌آيند و حديث و سنّت مرا روايت مي‌كنند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در اسلام، حاكميّت رهبران ديني، نه يك امتياز و موقعيت، بلكه يك تكليف و وظيفه‌ي الهي است؛ و اين سخن معروف امام 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به وظيفه‌ام عمل مي‌كنم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همين راستا بيان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جايي ديگر مي‌نويسد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كساني كه خود را نايبان امام زمان مي‌دانند، به نام او در امور شيعيان تصرف مي‌كنند و براي خود امتيازاتي قايل‌اند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حقوق و امتيازات را به واسطه‌ي موقعيت نيابت براي خود قايل‌اند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همان‌گونه كه گذشت، رهبري از ديدگاه فقه شيعه، يك وظيفه است نه يك موقعيت؛ چنان‌كه رهبر بزرگ اسلام،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زمام‌داري را موقعيت نشمرد، بلكه آن را وظيفه‌اي براي احقاق حقوق و تحقق اسلام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وظيفه‌ي ديگر عالمان دين و رهبران اسلامي آن است كه وجوهات شرعي را از مردم دريافت و آن را در مصارفش صرف كنند، كه آثار اين امر را در طول تاريخ تشيع مشاهده مي‌كنيم؛ تربيت دانشمندان دين‌شناس و دست‌گيري مستمندان و تأسيس مدارس علميه‌ي اسلامي و ترويج اسلام در اقصي نقاط جهان، همه، درختان اين شجره‌ي طيبه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جاي ديگر مي‌نويسد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نظريه‌ي مهدويت مدعي است كه احياهاي موقت، مقطعي، ناقص، موضعي و كوتاه دامنه، عالم را ديني نخواهد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سخن نيز با متون ديني و از جمله قرآن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متون ديني، وظيفه‌ي امّت اسلامي در هر زماني، امر به معروف و نهي از منكر؛ و وظيفه‌ي علماي ديني رهبري و هدايت جامعه به سوي اقامه‌ي عدل و گسترش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مي‌فرمايد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مسلمانان بهترين امّت خواهيد بود، اگربه وظيفه‌ي امر به معروف و نهي از منكر قيام كنيد</w:t>
      </w:r>
      <w:r>
        <w:rPr>
          <w:rStyle w:val="FootnoteAnchor"/>
          <w:rtl w:val="true"/>
        </w:rPr>
        <w:footnoteReference w:id="26"/>
      </w:r>
      <w:r>
        <w:rPr>
          <w:rFonts w:ascii="IRNazanin" w:hAnsi="IRNazanin" w:eastAsia="IRNazanin"/>
          <w:color w:val="111111"/>
          <w:sz w:val="28"/>
          <w:sz w:val="28"/>
          <w:szCs w:val="28"/>
          <w:rtl w:val="true"/>
          <w:lang w:bidi="fa-IR"/>
        </w:rPr>
        <w:t>و در جهت اجراي احكام ديني به همديگر ياري رسانيد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از اين رو، علماي دين، همانند انبياي الهي، وظيفه‌ي ترويج و تبليغ و اجراي احكام ديني را به عهده دارند و به همين جهت، در روايات، منزلت فقيه، همانند منزلت انبياي بني‌اسراييل شمرده شده است</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اَفتَخِرُ يَومَ القيامَةِ بِعُلَماء اُمَّتي فَاقولُ علماءُ اُمَّتي كسائِرِ انبياءِ قبلي؛ من در روز قيامت به علماي امّت خود مباهات مي‌كنم و مي‌گويم علماي امّت من، هم‌چون ديگر پيامبراني هستند كه پيش از من آمده‌اند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 نيز از 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العُلَماءُ حُكّامٌ عَلي النّاسِ؛ علما حكام بر مردم هستند</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خلاصه آن‌كه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فقه و احكام ديني در كنار ساير معارف و حقايق ديني قرار دارند؛ و هويت مسلمان در حق‌طلب بودن و عمل به معارف و احكام اسلامي است؛ و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هم‌چون ساير انبيايي كه داراي شرايع و احكام ديني بودند، در صدد ترويج و تحقق احكام فقهي و ديني اسلام بود و پس از خود، اين وظيفه‌ي مهم را به عهده‌ي ائمه‌ي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تا قيام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رسالت را به عهده‌ي </w:t>
      </w:r>
    </w:p>
    <w:p>
      <w:pPr>
        <w:pStyle w:val="BookText"/>
        <w:rPr/>
      </w:pPr>
      <w:r>
        <w:rPr>
          <w:rFonts w:ascii="Amiri" w:hAnsi="Amiri" w:eastAsia="Amiri" w:cs="Amiri"/>
          <w:color w:val="111111"/>
          <w:sz w:val="28"/>
          <w:sz w:val="28"/>
          <w:szCs w:val="28"/>
          <w:rtl w:val="true"/>
          <w:lang w:bidi="ar-SA"/>
        </w:rPr>
        <w:t>آشنايان به معارف ديني و فقهي قرار داده است</w:t>
      </w:r>
      <w:r>
        <w:rPr>
          <w:rStyle w:val="FootnoteAnchor"/>
          <w:rtl w:val="true"/>
        </w:rPr>
        <w:footnoteReference w:id="3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مردم را به اطاعت و پيروي از آنان، براي دست‌يابي به سعادت و كمال، تشويق و ترغيب نموده است</w:t>
      </w:r>
      <w:r>
        <w:rPr>
          <w:rFonts w:eastAsia="IRNazanin" w:cs="IRNazanin"/>
          <w:color w:val="111111"/>
          <w:sz w:val="28"/>
          <w:szCs w:val="28"/>
          <w:rtl w:val="true"/>
          <w:lang w:bidi="fa-IR"/>
        </w:rPr>
        <w:t>.</w:t>
      </w:r>
      <w:r>
        <w:rPr>
          <w:rStyle w:val="FootnoteAnchor"/>
          <w:rtl w:val="true"/>
        </w:rPr>
        <w:footnoteReference w:id="32"/>
      </w:r>
      <w:bookmarkStart w:id="93" w:name="pg14788_158350"/>
    </w:p>
    <w:p>
      <w:pPr>
        <w:pStyle w:val="Heading2"/>
        <w:numPr>
          <w:ilvl w:val="1"/>
          <w:numId w:val="1"/>
        </w:numPr>
        <w:rPr/>
      </w:pPr>
      <w:bookmarkStart w:id="94" w:name="__RefHeading___Toc1764273_730472459"/>
      <w:bookmarkStart w:id="95" w:name="_Toc33"/>
      <w:bookmarkEnd w:id="93"/>
      <w:bookmarkEnd w:id="94"/>
      <w:r>
        <w:rPr>
          <w:rtl w:val="true"/>
        </w:rPr>
        <w:t>مقاله‌ي مورد نقد</w:t>
      </w:r>
      <w:r>
        <w:rPr>
          <w:rtl w:val="true"/>
        </w:rPr>
        <w:t xml:space="preserve">: </w:t>
      </w:r>
      <w:r>
        <w:rPr>
          <w:rtl w:val="true"/>
        </w:rPr>
        <w:t>عرفي شدن عليه عرفي شدن</w:t>
      </w:r>
      <w:bookmarkEnd w:id="95"/>
    </w:p>
    <w:p>
      <w:pPr>
        <w:pStyle w:val="Heading3"/>
        <w:numPr>
          <w:ilvl w:val="2"/>
          <w:numId w:val="1"/>
        </w:numPr>
        <w:rPr/>
      </w:pPr>
      <w:bookmarkStart w:id="96" w:name="__RefHeading___Toc1764275_730472459"/>
      <w:bookmarkStart w:id="97" w:name="_Toc34"/>
      <w:bookmarkEnd w:id="96"/>
      <w:r>
        <w:rPr>
          <w:rtl w:val="true"/>
        </w:rPr>
        <w:t>اشاره</w:t>
      </w:r>
      <w:bookmarkEnd w:id="97"/>
    </w:p>
    <w:p>
      <w:pPr>
        <w:pStyle w:val="BookText"/>
        <w:rPr/>
      </w:pPr>
      <w:r>
        <w:rPr>
          <w:rFonts w:ascii="Amiri" w:hAnsi="Amiri" w:eastAsia="Amiri" w:cs="Amiri"/>
          <w:color w:val="111111"/>
          <w:sz w:val="28"/>
          <w:sz w:val="28"/>
          <w:szCs w:val="28"/>
          <w:rtl w:val="true"/>
          <w:lang w:bidi="ar-SA"/>
        </w:rPr>
        <w:t>عرفي شدن عليه عرفي شدن</w:t>
      </w:r>
      <w:r>
        <w:rPr>
          <w:rStyle w:val="FootnoteAnchor"/>
          <w:rtl w:val="true"/>
        </w:rPr>
        <w:footnoteReference w:id="33"/>
      </w:r>
    </w:p>
    <w:p>
      <w:pPr>
        <w:pStyle w:val="Heading3"/>
        <w:numPr>
          <w:ilvl w:val="2"/>
          <w:numId w:val="1"/>
        </w:numPr>
        <w:rPr/>
      </w:pPr>
      <w:bookmarkStart w:id="98" w:name="__RefHeading___Toc1764277_730472459"/>
      <w:bookmarkStart w:id="99" w:name="_Toc35"/>
      <w:bookmarkEnd w:id="98"/>
      <w:r>
        <w:rPr>
          <w:rtl w:val="true"/>
        </w:rPr>
        <w:t>چكيده</w:t>
      </w:r>
      <w:r>
        <w:rPr>
          <w:rtl w:val="true"/>
        </w:rPr>
        <w:t>:</w:t>
      </w:r>
      <w:bookmarkEnd w:id="99"/>
    </w:p>
    <w:p>
      <w:pPr>
        <w:pStyle w:val="BookText"/>
        <w:rPr/>
      </w:pPr>
      <w:r>
        <w:rPr>
          <w:rFonts w:ascii="IRNazanin" w:hAnsi="IRNazanin" w:eastAsia="IRNazanin"/>
          <w:color w:val="111111"/>
          <w:sz w:val="28"/>
          <w:sz w:val="28"/>
          <w:szCs w:val="28"/>
          <w:rtl w:val="true"/>
          <w:lang w:bidi="fa-IR"/>
        </w:rPr>
        <w:t>نويسنده در اين مقاله به بيان ديدگاه خود نسبت به علما و حوزه‌هاي علوم ديني پرداخته و با يك روي‌كرد منفي‌گرايانه، نسبت به حضور دين و علماي ديني در عرصه‌ي سياست و حكومت، به تأكيد و تثبيت سكولاريسم و مباني آن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اين زمينه، به روايتي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سيره و روش امام 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انقلاب استناد كرده است</w:t>
      </w:r>
      <w:r>
        <w:rPr>
          <w:rFonts w:eastAsia="IRNazanin" w:cs="IRNazanin"/>
          <w:color w:val="111111"/>
          <w:sz w:val="28"/>
          <w:szCs w:val="28"/>
          <w:rtl w:val="true"/>
          <w:lang w:bidi="fa-IR"/>
        </w:rPr>
        <w:t>.</w:t>
      </w:r>
    </w:p>
    <w:p>
      <w:pPr>
        <w:pStyle w:val="Heading3"/>
        <w:numPr>
          <w:ilvl w:val="2"/>
          <w:numId w:val="1"/>
        </w:numPr>
        <w:rPr/>
      </w:pPr>
      <w:bookmarkStart w:id="100" w:name="__RefHeading___Toc1764279_730472459"/>
      <w:bookmarkStart w:id="101" w:name="_Toc36"/>
      <w:bookmarkEnd w:id="100"/>
      <w:r>
        <w:rPr>
          <w:rtl w:val="true"/>
        </w:rPr>
        <w:t>نقد و بررسي</w:t>
      </w:r>
      <w:r>
        <w:rPr>
          <w:rtl w:val="true"/>
        </w:rPr>
        <w:t xml:space="preserve">: </w:t>
      </w:r>
      <w:r>
        <w:rPr>
          <w:rtl w:val="true"/>
        </w:rPr>
        <w:t>قدسيت دين و عرفي بودن</w:t>
      </w:r>
      <w:bookmarkEnd w:id="101"/>
    </w:p>
    <w:p>
      <w:pPr>
        <w:pStyle w:val="BookText"/>
        <w:rPr/>
      </w:pPr>
      <w:r>
        <w:rPr>
          <w:rFonts w:ascii="Amiri" w:hAnsi="Amiri" w:eastAsia="Amiri" w:cs="Amiri"/>
          <w:color w:val="111111"/>
          <w:sz w:val="28"/>
          <w:sz w:val="28"/>
          <w:szCs w:val="28"/>
          <w:rtl w:val="true"/>
          <w:lang w:bidi="ar-SA"/>
        </w:rPr>
        <w:t>حسن رضائي‌مهر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عرفي شدن عليه عرفي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مطلبي از آقاي سعيد حجاريان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موضوع اصلي نوشته‌ي مذكور، بيان ديدگاه ايشان نسبت </w:t>
      </w:r>
    </w:p>
    <w:p>
      <w:pPr>
        <w:pStyle w:val="BookText"/>
        <w:rPr/>
      </w:pPr>
      <w:r>
        <w:rPr>
          <w:rFonts w:ascii="IRNazanin" w:hAnsi="IRNazanin" w:eastAsia="IRNazanin"/>
          <w:color w:val="111111"/>
          <w:sz w:val="28"/>
          <w:sz w:val="28"/>
          <w:szCs w:val="28"/>
          <w:rtl w:val="true"/>
          <w:lang w:bidi="fa-IR"/>
        </w:rPr>
        <w:t xml:space="preserve">به فيلم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نور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ولي بايد گفت كه ايشان، با استفاده از اين فرصت، به بيان ديدگاه خود نسبت به علما و حوزه‌هاي علوم ديني پرداخته است و با يك روي‌كرد منفي‌گرايانه نسبت به حضور دين و علماي ديني در عرصه‌ي سياست و حكومت، در واقع به تأكيد و تثبيت سكولاريسم و مباني آن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فرصت پرداختن به همه‌ي مسائل غثّ و ثمين نوشته‌ي مذكور در اين‌جا فراهم نيست؛ امّا ضمن سطوري چند به نقد و بررسي بعضي نكات آن مي‌پردازيم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ايشان پس از اين‌كه عرفي شدن را در دو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شدن نهاد سياست از نهاد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از ساحت قدسي به سپهر عرفي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مي‌كند، در صدد اين است كه دخالت نهاد دين در نهاد سياست را، عبور از ساحت قدسي دين به سوي عرفي شدن بداند و معناي اول از عرفي شدن را، كه سكولاريزه كردن دين باشد، نتيجه بگيرد؛ چرا كه ايشان حضور دين در صحنه‌ي سياست و حكومت را موجب تقدس‌زدايي از دين و عرفي شدن آن تلقي كرده و چنين امري را به مثابه‌ي اين دانسته است كه مسجدي را كه مقدس است، تخريب كنند و به جاي آن مغازه بسازند؛ و در نهايت به اين نتيجه مي‌رسد كه براي فرار از عرفي شدن دين، بايد به عرفي شدن به معناي سكولاريزه كردن دين پناه برد؛ به عبارت ديگر براي حفظ تقدس دين، چاره‌اي جز منتهي شدن به سكولاريسم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بعد از بيان اين مطالب آورده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كشور ما بعد از انقلاب، مقدار زيادي نهاد دين در نهاد دولت ادغام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نهاد دين وقتي در نهاد دولت ادغام بشود، طبيعتاً، دين مقداري قدسيت خودش را از دست مي‌دهد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اكنون علمايي كه </w:t>
      </w:r>
    </w:p>
    <w:p>
      <w:pPr>
        <w:pStyle w:val="BookText"/>
        <w:rPr/>
      </w:pPr>
      <w:r>
        <w:rPr>
          <w:rFonts w:ascii="IRNazanin" w:hAnsi="IRNazanin" w:eastAsia="IRNazanin"/>
          <w:color w:val="111111"/>
          <w:sz w:val="28"/>
          <w:sz w:val="28"/>
          <w:szCs w:val="28"/>
          <w:rtl w:val="true"/>
          <w:lang w:bidi="fa-IR"/>
        </w:rPr>
        <w:t>وارد حكومت شده‌اند و مناصب اجرايي را در دست گرفته‌اند اگر با علمايي كه وارد اين دستگاه نشده‌اند مقايسه كنيد، دسته‌ي دوّم به نظر مردم خيلي مقدس‌تر هستند؛ مردم دست آنها را بوسه مي‌زنند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نكته‌ي قابل تأمل در كلام ايشان، عدم ارائه‌ي تعريف شفاف از قدسيت دين و تقدس متديّنين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لزوم روي‌كرد معناشناسانه نسبت به يك لفظ در استعمالات لفظيه، امري بديهي و روشن است، بر ايشان بود كه برداشت خويش را از قدسي بودن دين و علماي ديني بيان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منظور از تقدس عالمان ديني، انتساب آنها به دين و صرف اظهار دين‌داري است، تا اين‌كه هر عالمي مشمول اين قدسيت بشود، اگر چه بر وظايف الهيه مواظبت ننموده باشد؟ يا اين‌كه ملاك تقدس، علاوه بر انصاف و انتساب به دين، اتصال به مبدأ هستي و محو شدن در عظمت جمال و جلال او و امتثال بي‌قيد و شرط اوامر و نواهي حضرت احديت است؛</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به گونه‌اي كه هر چه اين اتصال و امتثال شديدتر باشد، شخص را مقدس‌تر و خدايي‌تر مي‌كند؟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ايشان معناي اول را اراده كرده است، بايد گفت كه مجرد اظهار دين‌داري، به حكم عقل و سيره‌ي عقلا، مفيد تحقّق قدسيّت براي احدي نيست؛ سواي اين‌كه، چنين امري از مساعدت مقتضاي نصوص ديني هم بي‌بهره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معناي دوّم را اراده كرده است، كه اتصال شديد به خدا و غرق در جمال و جلال و محو امتثال او شدن باشد، بايد گفت سكولاريسم را نمي‌توان از عمل‌كردِ چنين علمايي نتيجه گرفت؛ چرا كه هدايت مردم در شؤونات مختلف زندگي، اعم از شخصي، اجتماعي، فرهنگي، سياسي و غيره تكليف الهي است كه بر دوش عالمان دين قرار داده شده است و چنين عالماني كه محو در امتثال فرمان‌هاي الهي‌اند، يكي از وظايفشان را رهبري ديني و سياسي مردم دانسته، در موارد ضرورت به تشكيل حكومت قيام مي‌كنند؛ اين امري است كه حتي تصور جدايي دين از سياست را براي چنين علماي فرزانه‌اي غير معقول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گفته‌اند نهاد دين هرگاه در نهاد دولت ادغام شود قدسيت خود را از دست مي‌دهد، خواهيم گفت كه دين چون حق است، مقدس است و حقيقت از او جدا شدني نيست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نكته‌ي قابل تأمل ديگر آن‌كه، آيا ملاك قدسي بودن و نيز تشخيص قدسيت، نظر مردم است، تا هر كه آنان به او روي آوردند مقدس و بلكه مقدس‌تر باشد؟ آيا اگر مولي الموحّدين،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خانه‌نشيني، نه تنها دست نبوسيدند، بلكه جز با بي‌مهري و دشمني با او سخن نگفتند، مي‌توان گفت كه آن حضرت قدسي نبوده است؟ آيا با ايراد يك سري مطالب عاميانه مي‌توان رسالت عظيم دين را كه حضور تام در صحنه‌هاي زندگي بشري است انكار كرد؟ به چه دليل و با چه انگيزه‌اي؟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انتظار مي‌رفت لااقل در بيان استدلال بر مدعاي </w:t>
      </w:r>
    </w:p>
    <w:p>
      <w:pPr>
        <w:pStyle w:val="BookText"/>
        <w:rPr/>
      </w:pPr>
      <w:r>
        <w:rPr>
          <w:rFonts w:ascii="Amiri" w:hAnsi="Amiri" w:eastAsia="Amiri" w:cs="Amiri"/>
          <w:color w:val="111111"/>
          <w:sz w:val="28"/>
          <w:sz w:val="28"/>
          <w:szCs w:val="28"/>
          <w:rtl w:val="true"/>
          <w:lang w:bidi="ar-SA"/>
        </w:rPr>
        <w:t>خويش، دليلي علمي و مستندي متقن و مقبول اهل انديشه ارائه مي‌نمود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قياس حضور دين در جامعه‌ي ديني ايران با حضور دين در روسيه و فرانسه و كشورهاي غربي، كه نويسنده‌ي محترم در قسمتي ديگر از مطالبش مرتكب شده است، لااقل از دو جهت مع الفارق و قابل ملاحظه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اصل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ديني در ايران، محتوي و شكل اسلامي دارد و از آنجا كه دين اسلام كامل‌ترين دين است و از تحريف مصون مانده است، قابل مقاسيه با اديان آسماني ديگر نيست، چرا كه آن اديان گرفتار تحريفات بشري گرديده‌اند، به گونه‌اي كه صورت باقي‌مانده از آنها قادر به هدايت انسان‌ها نيست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نحوه‌ي ارائه‌ي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ارائه‌ي دين در كشورهاي غربي و روسيه و فرانسه، به قول ايشان، غالباً صادقانه و براي هدايت بشر نيست، بلكه عمدتاً استثمارگران، از دين به عنوان وسيله‌اي براي رسيدن به مقاصد خود استفاده مي‌كنند؛ لذا چه بسا دين در ساختار قدرت و حكومت هم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 روشن است كه مردم از چنين ديني به سبب چنين ارائه و استفاده‌اي گريزان‌اند و چه بسا در مقابل آن قرار گيرند؛ امّا هر گاه ارائه‌ي دين خدا در جامعه، فقط به منظور هدايت جامعه در شؤونات مختلف آن، از جمله حضور در صحنه‌هاي سياست و حكومت باشد و مردم طعم شيرين آن گوهر هدايت و سعادت را بچشند، به پاي آن سر مي‌سپرند؛ و وقتي حكومت ديني و اسلامي ايران، كه به يد تواناي </w:t>
      </w:r>
    </w:p>
    <w:p>
      <w:pPr>
        <w:pStyle w:val="BookText"/>
        <w:rPr/>
      </w:pPr>
      <w:r>
        <w:rPr>
          <w:rFonts w:ascii="IRNazanin" w:hAnsi="IRNazanin" w:eastAsia="IRNazanin"/>
          <w:color w:val="111111"/>
          <w:sz w:val="28"/>
          <w:sz w:val="28"/>
          <w:szCs w:val="28"/>
          <w:rtl w:val="true"/>
          <w:lang w:bidi="fa-IR"/>
        </w:rPr>
        <w:t xml:space="preserve">بزرگ معمار انقلاب محقّق شد، جز هدايت مردم و ياري رساندن به آنها در امر معاش و معادشان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پيام دين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هدفي را دنبال نمي‌كند، چگونه مردم اين مقارنت سياست و ديانت را مبارك نشمرند و براي شكوفايي چنين شجره‌ي مقدسي جان نبازند؟ البتّه اين‌كه عمل‌كرد منفي بعضي از مدعيان دين‌داري مي‌تواند در اعتقاد ديني مردم خلل وارد كند، امري مقبول است؛ امّا اين به معناي عدم جواز حضور دين و روحانيّت اصيل و دين‌شناس در عرصه‌ي سياست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ايشان براي تثبيت ديدگاه خود، مبني بر جدايي نهاد دين از نهاد سياست و اين‌كه تا زماني كه روحانيت از دستگاه حكومتي و سياست جدا باشد قدسيت دارد، به روايتي از حضرت امام صادق استشهاد مي‌كند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برحذر باشيد از علمايي كه داخل دنيا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پرسيدند اين‌ها كدام علما هستند؟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آنهايي كه از سلطان تبعيت مي‌كنند، چون توجيه‌گر وضع موجود خود مي‌شوند</w:t>
      </w:r>
      <w:r>
        <w:rPr>
          <w:rFonts w:eastAsia="IRNazanin" w:cs="IRNazanin"/>
          <w:color w:val="111111"/>
          <w:sz w:val="28"/>
          <w:szCs w:val="28"/>
          <w:rtl w:val="true"/>
          <w:lang w:bidi="fa-IR"/>
        </w:rPr>
        <w:t>.</w:t>
      </w:r>
      <w:r>
        <w:rPr>
          <w:rStyle w:val="FootnoteAnchor"/>
          <w:rtl w:val="true"/>
        </w:rPr>
        <w:footnoteReference w:id="3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الروايه، يكي از اصول روي آوردن به روايات، در جهت استشهاد به آنهاست؛ يعني درك و فهم پيام واقعي كه مراد و مقصود حضرات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امّا متأسفانه استشهاد به روايت فوق‌الذكر، بدون توجه به اين نكته‌ي اصولي صورت پذيرفته است كه تبعاً بستر نقد و نظر را در نوع استفاده از روايت فراهم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اينك براي روشن شدن صحت و سقم اين نوع استفاده از روايت فوق به بررسي آن مي‌پردازيم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ابراهيم عن ابيه عن السكوني عن ابي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امناء الرسل ما لم يدخلوا في الدنيا قيل يا رسول الله ما دخلوهم في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السلطان فاذا فعلوا ذلك فاحذروهم علي دينكم؛</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حضرت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امين رسولان الهي هستند، تا زماني كه داخل در دنيا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چگونه است دخول آنها در دنيا؟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تبعيت از سلطان، هرگاه چنين كردند در باب دينتان از آنان برحذر باشيد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روايت از جهت سند بحثي ندارد و در خصوص دلالت نيز نه تنها دلالتي بر جدايي دين از سياست و جدايي علماي ديني از صحنه‌ي سياسي و حكومتي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ايشان معتقد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بلكه دال بر لزوم و عينيت ديانت و سياست است؛ چرا كه، اولاً، آنچه مورد مذمّت اين روايت است اتباع هر سلطاني نيست، بلكه اتباع سلطاني است كه به انگيزه‌ي ارتفاع شأن و ترفع بر اقران و حب دنيا و نحو اين‌ها انجام گيرد؛ امّا اگر اتباع سلطان به جهت اقامه‌ي نظام نوع انساني و اعلاي كلمه‌ي توحيد، ترويج حق، امر به معروف و نهي از منكر و برقراري حكومت اسلام باشد، چنين تبعيتي نه تنها جايز است، بلكه از افضل اعمال است و بسياري از بزرگان، مانند علي بن يقطين، عبدالله نجاشي، محمد بن اسماعيل بن بزيع و نوح بن دراج و غير اصحاب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p>
    <w:p>
      <w:pPr>
        <w:pStyle w:val="BookText"/>
        <w:rPr/>
      </w:pPr>
      <w:r>
        <w:rPr>
          <w:rFonts w:ascii="IRNazanin" w:hAnsi="IRNazanin" w:eastAsia="IRNazanin"/>
          <w:color w:val="111111"/>
          <w:sz w:val="28"/>
          <w:sz w:val="28"/>
          <w:szCs w:val="28"/>
          <w:rtl w:val="true"/>
          <w:lang w:bidi="fa-IR"/>
        </w:rPr>
        <w:t>فقهاي اعلام، مثل دو سيد جليل القدر، سيد مرتضي و سيد رضي و پدر ايشان و خواجه نصيرالدين طوسي و علامه بحرالعلوم و غير اين‌ها نيز به اين امر اقدام كردند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آيا مي‌توان گفت همه‌ي اين اعلام از اين روايت اطلاعي نداشته و يا به معناي آن واقف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ايشان مي‌توانند ادعا كنند كه به فقه الروايه رسيده‌اند، در حالي كه قراين لفظيه و ادله‌ي خاصه‌ي ديگر، نفي مذمت اتباع سلطان علي نحو الاطلاق نمي‌نمايد؟</w:t>
      </w:r>
    </w:p>
    <w:p>
      <w:pPr>
        <w:pStyle w:val="BookText"/>
        <w:rPr/>
      </w:pPr>
      <w:r>
        <w:rPr>
          <w:rFonts w:ascii="IRNazanin" w:hAnsi="IRNazanin" w:eastAsia="IRNazanin"/>
          <w:color w:val="111111"/>
          <w:sz w:val="28"/>
          <w:sz w:val="28"/>
          <w:szCs w:val="28"/>
          <w:rtl w:val="true"/>
          <w:lang w:bidi="fa-IR"/>
        </w:rPr>
        <w:t>ثانياً، با توجّه به چند مقدمه، پي مي‌بريم كه اين روايت بر صحت توجّه و دخالت علماي دين در عرصه‌هاي مختلف سياسي و حكومتي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و علماي دين‌مدار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دنيا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امناي رسُل الهي‌اند؛ پس وظيفه‌ي صيانت و مراقبت از دين بر عهده‌ي آنهاست؛ لذا لازم است دين‌مداري را وجهه‌ي همت خويش قرار دهند، سواي آن‌كه دنيازدگي، دنيا طلبي و توجيه كردن اعمال سلاطين جور، سنخيتي با منزلت رفيع امناي رسل بودن ندارد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امناء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 قرينه‌ي دالّه بر رفع اطلاق از آن وجود ندارد، پس آنها در همه‌ي وظايف و رسالت‌ها امناي رسل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رسولان الهي، منحصر در تبليغ و تعليم شريعت نبوده، بلكه قضاوت و زعامت سياسي نيز، شأني از شؤون پيامبران الهي بوده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پس، با توجه به مقدمات مذكور، معلوم مي‌شود امانت‌داري فقها و علماي ديني، مختص به وظيفه‌ي خاصي از وظايف و شؤونات رسل الهي نيست و از آنجا كه رسالت انبيا منحصر در بيان احكام شرعي نيست و زعامت سياسي را هم شامل مي‌شود، فقها نيز در زعامت سياسي امانت‌دار رسل الهي‌اند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دال بر زعامت سياسي علما، در متون حديثي، مشهور و معروف است؛ و جاي بسي تعجب است كه ايشان بدون هيچ توجهي به آنها به اين نحو به روايت مذكور استشهاد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يكي از نكات شگفت‌انگيز در كلام ايشان، وانمودسازي سكولاري فكر كردن حضرت امام 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آنجا كه آورده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نخستين بار كه امام از پاريس به تهران آمد، در نظرش اين نبود كه علما مستقيماً وارد دولت شوند و خودشان هم به قم رفتند و در آنجا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طلبه‌اي هستم و درس مي‌دهم و كاري هم به تهران ندارم؛ امّا بعد اين كار نشد و جواب هم نداد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مبارزه با تفكر سكولاريستي، يكي از خصايص بارز حضرت امام 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اكثر سخن‌راني‌هاي خود درباره‌ي روحانيت به نفي جدايي دين و علما از حكومت و امور سياسي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در جهت وضوح قضيه، لااقل براي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خود واقف‌اند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نمونه‌هايي از سخنان آن بزرگمرد الهي، اكتفا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باب لزوم دخالت روحانيون در امور اجتماعي و سياسي مي‌فرمايند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الان همه‌ي حيله‌ها در كار است كه شما را از سياست كنار بزنند، شما را نگذارند در امور اجتماعي دخالت بكنيد، شما را نگذارند در حكومت هيچ دخالتي بكنيد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در جاي ديگري مي‌فرمايند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طرحشان اين است كه روحانيين بايد بروند و دعا كنند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مي‌كنم كه اين‌ها همان طرحي است كه آمريكا نقشه‌اش را دارد و انگلستان هم از سابق داشته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همان طرحي است كه انگلستان از دويست سال پيش از اين، يا بيش‌تر، طرح‌ريزي كرد كه جدا كنند روحانيين را از مردمي كه مي‌خواهند فعالانه كار بكنند براي اسلام؛ اين‌ها بروند همان توي مسجدها بنشينند و دعا بكنند آنها هم هر كاري كه دلشان مي‌خواست بكنند و هر چپاولگري و هر سلطه‌جويي كه مي‌خواستند بكنند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 نيز فرموده‌اند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مكلّفيم در امور سياسي دخالت كنيم، مكلّفيم شرعاً، همان طور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مي‌كرد، همان طور كه حضرت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جايي ديگر مي‌فرمايند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اين‌هايي كه مي‌گويند آخوند چه كار دارد به امور سياسي،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روزش از مسائل سياسي خارج بود؟ دولت تشكيل مي‌داد؛ با اشخاصي كه بر ضد اسلام، ستمگر بر مردم بودند، با آنها مبارزه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مسأله‌ي دخالت در سياست، در رأس تعليمات انبياست؛ امروز همه فهميده‌اند اين را، مگر آنهايي كه خودشان را به نفهمي مي‌زنند و آنهايي كه مغزهايشان خشك است كه نمي‌فهمند هيچ چيز را كه اين مسأله‌ي دخالت در امور سياسي از بالاترين مسائلي است كه انبيا براي او آمده بودند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سؤال اصلي آن است كه، آيا با اين همه تصريحات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اين قضيه، باز هم مي‌توان كلمات ايشان را برخلاف مرادشان تأويل و تفسير كرد؟ راستي اين‌گونه برخوردهاي غيرعالمانه و دور از منطق با بزرگان ديني، چرا، به چه قيمت و به چه انگيزه‌اي صورت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آيت الله العظمي گلپايگاني و نيز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طلاب از دولت شهريه بگيرند، مبادا حوزه از بودجه‌ي دولتي استفاده كند</w:t>
      </w:r>
      <w:r>
        <w:rPr>
          <w:rFonts w:eastAsia="IRNazanin" w:cs="IRNazanin"/>
          <w:color w:val="111111"/>
          <w:sz w:val="28"/>
          <w:szCs w:val="28"/>
          <w:rtl w:val="true"/>
          <w:lang w:bidi="fa-IR"/>
        </w:rPr>
        <w:t>.</w:t>
      </w:r>
      <w:r>
        <w:rPr>
          <w:rStyle w:val="FootnoteAnchor"/>
          <w:rtl w:val="true"/>
        </w:rPr>
        <w:footnoteReference w:id="4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 بايد گفت، اگر ايشان تاكنون نتوانسته‌اند معناي اين كلمه را دريابند، تقصير صاحب خانه چيست؟ جهت اطلاع عرض كنم اين‌كه </w:t>
      </w:r>
    </w:p>
    <w:p>
      <w:pPr>
        <w:pStyle w:val="BookText"/>
        <w:rPr/>
      </w:pPr>
      <w:r>
        <w:rPr>
          <w:rFonts w:ascii="IRNazanin" w:hAnsi="IRNazanin" w:eastAsia="IRNazanin"/>
          <w:color w:val="111111"/>
          <w:sz w:val="28"/>
          <w:sz w:val="28"/>
          <w:szCs w:val="28"/>
          <w:rtl w:val="true"/>
          <w:lang w:bidi="fa-IR"/>
        </w:rPr>
        <w:t>استفاده از بودجه‌ي دولتي براي طلاب نهي شده است، وجوهي دارد كه در جاي خود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آنها استقلال اقتصادي طلاب از دولت است، تا بتوانند آزادانه به نقد و بررسي مخلصانه و مصلحانه‌ي دولت بپردازند؛ و بديهي است كه چنين امري، هيچ منافاتي با حضور علما در صحنه‌ي سياست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نكته‌ي ديگر آن‌كه وي در آخر كلماتش آورده است كه</w:t>
      </w:r>
    </w:p>
    <w:p>
      <w:pPr>
        <w:pStyle w:val="BookText"/>
        <w:rPr/>
      </w:pPr>
      <w:r>
        <w:rPr>
          <w:rFonts w:ascii="IRNazanin" w:hAnsi="IRNazanin" w:eastAsia="IRNazanin"/>
          <w:color w:val="111111"/>
          <w:sz w:val="28"/>
          <w:sz w:val="28"/>
          <w:szCs w:val="28"/>
          <w:rtl w:val="true"/>
          <w:lang w:bidi="fa-IR"/>
        </w:rPr>
        <w:t>بايد گفت نقد دين بسيار در ايران سخت است و</w:t>
      </w:r>
      <w:r>
        <w:rPr>
          <w:rFonts w:eastAsia="IRNazanin" w:cs="IRNazanin"/>
          <w:color w:val="111111"/>
          <w:sz w:val="28"/>
          <w:szCs w:val="28"/>
          <w:rtl w:val="true"/>
          <w:lang w:bidi="fa-IR"/>
        </w:rPr>
        <w:t>...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همان طور كه ظاهر است، اين سخن نيز در هاله‌اي از ابهام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بود ايشان توضيح مي‌دادند كه مرادشان نقد دين است يا نقد متديّنين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مرادش نقد دين باشد، بايد گفت كه يكي از معاني قداست، نقدناپذيري است و شيء مقدس به اين معنا منزه از نقد است و قداست به اين معنا براي دين و شريعت ثابت است؛ يعني دين چون حق است و مشوب به باطل نيست، قابل نقد نيست؛ چرا كه اگر چيزي حق باشد، شائبه‌ي بطلان ندارد تا با نقد آن، بطلان‌زدايي شود؛ شائبه‌ي نقص هم ندارد تا با نقد، نقص‌زدايي بشود؛ شائبه‌ي عيب نيز در آن نيست تا بدين وسيله عيب‌زدايي شود و بالاخره، آميزه‌ي اختلاط در آن نيست تا با نقد، بيگانه رو شود</w:t>
      </w:r>
      <w:r>
        <w:rPr>
          <w:rFonts w:eastAsia="IRNazanin" w:cs="IRNazanin"/>
          <w:color w:val="111111"/>
          <w:sz w:val="28"/>
          <w:szCs w:val="28"/>
          <w:rtl w:val="true"/>
          <w:lang w:bidi="fa-IR"/>
        </w:rPr>
        <w:t>.</w:t>
      </w:r>
      <w:r>
        <w:rPr>
          <w:rStyle w:val="FootnoteAnchor"/>
          <w:rtl w:val="true"/>
        </w:rPr>
        <w:footnoteReference w:id="46"/>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چون در دين مقتضي نقد فراهم نيست، نقدپذيري هم ميسر نيست و اين همان معناي مقدس </w:t>
      </w:r>
    </w:p>
    <w:p>
      <w:pPr>
        <w:pStyle w:val="BookText"/>
        <w:rPr/>
      </w:pPr>
      <w:r>
        <w:rPr>
          <w:rFonts w:ascii="IRNazanin" w:hAnsi="IRNazanin" w:eastAsia="IRNazanin"/>
          <w:color w:val="111111"/>
          <w:sz w:val="28"/>
          <w:sz w:val="28"/>
          <w:szCs w:val="28"/>
          <w:rtl w:val="true"/>
          <w:lang w:bidi="fa-IR"/>
        </w:rPr>
        <w:t>بودن آيات است؛ و از آنجا كه خود ايشان قايل به قدسي بودن دين است پس بايد نقد دين را قايل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مراد ايشان نقد متدينين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غير ممكن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مطلب ديگري است كه فرصتي ديگر را مي‌طلبد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بر ايشان بود كه با تبيين شفاف نظرها و مرادات خويش از دهليز مبهم كلماتشان بيرون مي‌آمد و به طريقه‌ي روشمند و اصولي در مقام تخاطب، بيش‌تر عنايت مي‌نمود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آن‌كه، مسئله‌ي حضور دين در عرصه‌ي سياست و امورات اجتماعي مردم، رسالت عمده‌ي دين و وظيفه‌ي خطير علماي دين است و بر اين مطلب، هم آيات دلالت دارد و هم روايات؛ سواي اين‌كه عقل نيز با توجه به فلسفه‌ي وجودي دين كه هدايت مردم در شؤونات مختلف زندگي و معاش و معاد است، مؤيد اين مطلب است؛ و حضور دين در صحنه‌ي اجتماعيات و سياسيات، نه تنها باعث فرسايش قدسيت دين و علماي عامل به دين نيست، بلكه نقطه‌ي اكيد تقدس آنهاست</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14788_158364"/>
      <w:bookmarkStart w:id="103" w:name="pg14788_158364"/>
      <w:bookmarkEnd w:id="103"/>
    </w:p>
    <w:p>
      <w:pPr>
        <w:pStyle w:val="Heading2"/>
        <w:numPr>
          <w:ilvl w:val="1"/>
          <w:numId w:val="1"/>
        </w:numPr>
        <w:rPr/>
      </w:pPr>
      <w:bookmarkStart w:id="104" w:name="pg14788_158364"/>
      <w:bookmarkStart w:id="105" w:name="__RefHeading___Toc1764281_730472459"/>
      <w:bookmarkStart w:id="106" w:name="_Toc37"/>
      <w:bookmarkEnd w:id="104"/>
      <w:bookmarkEnd w:id="105"/>
      <w:r>
        <w:rPr>
          <w:rtl w:val="true"/>
        </w:rPr>
        <w:t>مقاله‌ي مورد نقد</w:t>
      </w:r>
      <w:r>
        <w:rPr>
          <w:rtl w:val="true"/>
        </w:rPr>
        <w:t xml:space="preserve">: </w:t>
      </w:r>
      <w:r>
        <w:rPr>
          <w:rtl w:val="true"/>
        </w:rPr>
        <w:t>طالقاني و نوگرايي ديني</w:t>
      </w:r>
      <w:bookmarkEnd w:id="106"/>
    </w:p>
    <w:p>
      <w:pPr>
        <w:pStyle w:val="Heading3"/>
        <w:numPr>
          <w:ilvl w:val="2"/>
          <w:numId w:val="1"/>
        </w:numPr>
        <w:rPr/>
      </w:pPr>
      <w:bookmarkStart w:id="107" w:name="__RefHeading___Toc1764283_730472459"/>
      <w:bookmarkStart w:id="108" w:name="_Toc38"/>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طالقاني و نوگرايي ديني</w:t>
      </w:r>
      <w:r>
        <w:rPr>
          <w:rStyle w:val="FootnoteAnchor"/>
          <w:rtl w:val="true"/>
        </w:rPr>
        <w:footnoteReference w:id="47"/>
      </w:r>
    </w:p>
    <w:p>
      <w:pPr>
        <w:pStyle w:val="Heading3"/>
        <w:numPr>
          <w:ilvl w:val="2"/>
          <w:numId w:val="1"/>
        </w:numPr>
        <w:rPr/>
      </w:pPr>
      <w:bookmarkStart w:id="109" w:name="__RefHeading___Toc1764285_730472459"/>
      <w:bookmarkStart w:id="110" w:name="_Toc39"/>
      <w:bookmarkEnd w:id="109"/>
      <w:r>
        <w:rPr>
          <w:rtl w:val="true"/>
        </w:rPr>
        <w:t>چكيده</w:t>
      </w:r>
      <w:r>
        <w:rPr>
          <w:rtl w:val="true"/>
        </w:rPr>
        <w:t>:</w:t>
      </w:r>
      <w:bookmarkEnd w:id="110"/>
    </w:p>
    <w:p>
      <w:pPr>
        <w:pStyle w:val="BookText"/>
        <w:rPr/>
      </w:pPr>
      <w:r>
        <w:rPr>
          <w:rFonts w:ascii="IRNazanin" w:hAnsi="IRNazanin" w:eastAsia="IRNazanin"/>
          <w:color w:val="111111"/>
          <w:sz w:val="28"/>
          <w:sz w:val="28"/>
          <w:szCs w:val="28"/>
          <w:rtl w:val="true"/>
          <w:lang w:bidi="fa-IR"/>
        </w:rPr>
        <w:t>اين گفت‌وگو با مباحثي، چون روش تفسيري مرحوم آيت الله طالقاني و نوآوري‌هاي بينشي و روشي ايشان در تفسير قرآن آغاز شده و سپس به بيان نظريات ايشان درباره‌ي آزادي‌هاي سياسي و اجتماعي، آزادي انديشه و مباني جامعه‌ي مدني، از قبيل قانون‌گرايي و كثرت‌گرايي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ميثمي با بيان تعريف‌هايي براي سنّت، تجدد و نوگرايي ديني، مرحوم طالقاني را در برگيرنده‌ي هر سه طيف سنّت‌گرايان، تجددگرايان و نوگرايان ديني بر مي‌شمرد و به بررسي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انعطاف استراتژي در انديشه‌ي مرحوم طالقاني مي‌پردازد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در اين گفت‌وگو با نسبت دادن مطالبي به مرحوم آيت الله طالقاني به بيان ديدگاه‌هاي خود پيرامون مفاهيمي چون اسلام، </w:t>
      </w:r>
      <w:bookmarkStart w:id="111" w:name="pg14788_158365"/>
    </w:p>
    <w:p>
      <w:pPr>
        <w:pStyle w:val="BookText"/>
        <w:rPr/>
      </w:pPr>
      <w:bookmarkEnd w:id="111"/>
      <w:r>
        <w:rPr>
          <w:rFonts w:ascii="IRNazanin" w:hAnsi="IRNazanin" w:eastAsia="IRNazanin"/>
          <w:color w:val="111111"/>
          <w:sz w:val="28"/>
          <w:sz w:val="28"/>
          <w:szCs w:val="28"/>
          <w:rtl w:val="true"/>
          <w:lang w:bidi="fa-IR"/>
        </w:rPr>
        <w:t>توحيد، ايمان، آزادي، سنّت، ملاك پذيرش اسلام و ملاك دخالت زمان و مكان در تغيير حكم پرداخته و به نفي امكان استنتاج قانون اساسي از شرع و لزوم پذيرش قرائت‌هاي مختلف در فهم قرآن تصريح كرده است</w:t>
      </w:r>
      <w:r>
        <w:rPr>
          <w:rFonts w:eastAsia="IRNazanin" w:cs="IRNazanin"/>
          <w:color w:val="111111"/>
          <w:sz w:val="28"/>
          <w:szCs w:val="28"/>
          <w:rtl w:val="true"/>
          <w:lang w:bidi="fa-IR"/>
        </w:rPr>
        <w:t>.</w:t>
      </w:r>
    </w:p>
    <w:p>
      <w:pPr>
        <w:pStyle w:val="Heading3"/>
        <w:numPr>
          <w:ilvl w:val="2"/>
          <w:numId w:val="1"/>
        </w:numPr>
        <w:rPr/>
      </w:pPr>
      <w:bookmarkStart w:id="112" w:name="__RefHeading___Toc1764287_730472459"/>
      <w:bookmarkStart w:id="113" w:name="_Toc40"/>
      <w:bookmarkEnd w:id="112"/>
      <w:r>
        <w:rPr>
          <w:rtl w:val="true"/>
        </w:rPr>
        <w:t>نقد و بررسي</w:t>
      </w:r>
      <w:r>
        <w:rPr>
          <w:rtl w:val="true"/>
        </w:rPr>
        <w:t xml:space="preserve">: </w:t>
      </w:r>
      <w:r>
        <w:rPr>
          <w:rtl w:val="true"/>
        </w:rPr>
        <w:t>منطق فهم دين</w:t>
      </w:r>
      <w:bookmarkEnd w:id="113"/>
    </w:p>
    <w:p>
      <w:pPr>
        <w:pStyle w:val="BookText"/>
        <w:rPr/>
      </w:pPr>
      <w:r>
        <w:rPr>
          <w:rFonts w:ascii="Amiri" w:hAnsi="Amiri" w:eastAsia="Amiri" w:cs="Amiri"/>
          <w:color w:val="111111"/>
          <w:sz w:val="28"/>
          <w:sz w:val="28"/>
          <w:szCs w:val="28"/>
          <w:rtl w:val="true"/>
          <w:lang w:bidi="ar-SA"/>
        </w:rPr>
        <w:t>علي اكبر مؤمني</w:t>
      </w:r>
    </w:p>
    <w:p>
      <w:pPr>
        <w:pStyle w:val="Heading3"/>
        <w:numPr>
          <w:ilvl w:val="2"/>
          <w:numId w:val="1"/>
        </w:numPr>
        <w:rPr/>
      </w:pPr>
      <w:bookmarkStart w:id="114" w:name="__RefHeading___Toc1764289_730472459"/>
      <w:bookmarkStart w:id="115" w:name="_Toc41"/>
      <w:bookmarkEnd w:id="114"/>
      <w:r>
        <w:rPr>
          <w:rtl w:val="true"/>
        </w:rPr>
        <w:t>مقدمه</w:t>
      </w:r>
      <w:bookmarkEnd w:id="115"/>
    </w:p>
    <w:p>
      <w:pPr>
        <w:pStyle w:val="BookText"/>
        <w:rPr/>
      </w:pPr>
      <w:r>
        <w:rPr>
          <w:rFonts w:ascii="IRNazanin" w:hAnsi="IRNazanin" w:eastAsia="IRNazanin"/>
          <w:color w:val="111111"/>
          <w:sz w:val="28"/>
          <w:sz w:val="28"/>
          <w:szCs w:val="28"/>
          <w:rtl w:val="true"/>
          <w:lang w:bidi="fa-IR"/>
        </w:rPr>
        <w:t>در سده‌هاي نخستين صدر اسلام، پس از آن‌كه بر اثر برداشت‌ها و پش‌فرض‌هاي خاص، مذاهب گوناگوني پديد آمد، به منظور جلوگيري از آشفتگي و ناهماهنگي در فهم دين و نيز در جهت ضابطه‌مند ساختن فهم نصوص، علوم مختلفي به وجود آمد كه پيدايش علم فقه، اصول و غيره بيانگر همين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غرب نيز، اصطلاح هرمنوتيك در دو قرن اخير براي روشمند ساختن تفسير و تأويل دين مطرح شده و پس از آن به شرق نيز سرايت كرده است؛ امّا جاي تأسف است كه برخي آن را ابزاري براي تجويز قرائت‌هاي مختلف از دين قرار داده‌اند و از آن نتيجه‌ي معكوس مي‌گيرند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 ترديد نيست كه پذيرفتن يك مكتب، ملازم با پاي‌بندي به مباني آن مكتب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مباني مكتب تشيع اين است كه اگر چند </w:t>
      </w:r>
    </w:p>
    <w:p>
      <w:pPr>
        <w:pStyle w:val="BookText"/>
        <w:rPr/>
      </w:pPr>
      <w:r>
        <w:rPr>
          <w:rFonts w:ascii="IRNazanin" w:hAnsi="IRNazanin" w:eastAsia="IRNazanin"/>
          <w:color w:val="111111"/>
          <w:sz w:val="28"/>
          <w:sz w:val="28"/>
          <w:szCs w:val="28"/>
          <w:rtl w:val="true"/>
          <w:lang w:bidi="fa-IR"/>
        </w:rPr>
        <w:t>رأي و قرائت در عرض هم قرار گيرند، يكي از آنها صحيح است؛ و پذيرفتني نيست كه شخصي خود را پاي‌بند به دين معرفي كند و به مباني آن بي‌توجّه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كساني كه با ذهنيّت و مفاهيم غربي در اسلام به كاوش پرداخته‌اند، با اسلام و دين، برخورد گزينشي نموده و بسياري از واقعيت‌ها را ناديده گرفته‌اند و از سكولاريسم، پلوراليزم و امثال اين‌ها سر در آورده و بدين طريق، به هدفي كه در پي آن بودند نايل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كسي پوشيده نيست كه واژه‌ها در جوامع و فرهنگ‌ها داراي مفاهيم مختلف و گاه متفاوت با يكديگرند؛ بنابراين، شرط اخلاق علمي اقتضا مي‌كند با مفاهيمي كه خود دين ارائه كرده است به جست‌وجوي انديشه‌ي اسلامي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مفاهيمي از واژگان آزادي، مشروعيت و غيره، به گونه‌اي كه تناسبي با فرهنگ اسلامي نداشته، بلكه با آن تباين نيز داشته باشد، به همراه پيش‌داوري و نتيجه‌گيري از آن، از روش‌شناسي تحقيق و اخلاق علمي به دور است</w:t>
      </w:r>
      <w:r>
        <w:rPr>
          <w:rFonts w:eastAsia="IRNazanin" w:cs="IRNazanin"/>
          <w:color w:val="111111"/>
          <w:sz w:val="28"/>
          <w:szCs w:val="28"/>
          <w:rtl w:val="true"/>
          <w:lang w:bidi="fa-IR"/>
        </w:rPr>
        <w:t>.</w:t>
      </w:r>
      <w:r>
        <w:rPr>
          <w:rStyle w:val="FootnoteAnchor"/>
          <w:rtl w:val="true"/>
        </w:rPr>
        <w:footnoteReference w:id="4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چندي پيش، آقاي مهندس لطف‌الله ميثمي در گفت‌و‌گو با نشريه‌ي طبرستان سبز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طالقاني و نوگرايي ديني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مطالبي بيان كرده است كه آنچه در زير مي‌خوانيد نقد همان مطالب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براي طالبان حقيقت، مفيد واقع شود</w:t>
      </w:r>
      <w:r>
        <w:rPr>
          <w:rFonts w:eastAsia="IRNazanin" w:cs="IRNazanin"/>
          <w:color w:val="111111"/>
          <w:sz w:val="28"/>
          <w:szCs w:val="28"/>
          <w:rtl w:val="true"/>
          <w:lang w:bidi="fa-IR"/>
        </w:rPr>
        <w:t xml:space="preserve">. </w:t>
      </w:r>
      <w:bookmarkStart w:id="116" w:name="pg14788_158367"/>
    </w:p>
    <w:p>
      <w:pPr>
        <w:pStyle w:val="Heading3"/>
        <w:numPr>
          <w:ilvl w:val="2"/>
          <w:numId w:val="1"/>
        </w:numPr>
        <w:rPr/>
      </w:pPr>
      <w:bookmarkStart w:id="117" w:name="__RefHeading___Toc1764291_730472459"/>
      <w:bookmarkStart w:id="118" w:name="_Toc42"/>
      <w:bookmarkEnd w:id="116"/>
      <w:bookmarkEnd w:id="117"/>
      <w:r>
        <w:rPr>
          <w:rtl w:val="true"/>
        </w:rPr>
        <w:t>كفر و ايمان</w:t>
      </w:r>
      <w:bookmarkEnd w:id="118"/>
    </w:p>
    <w:p>
      <w:pPr>
        <w:pStyle w:val="BookText"/>
        <w:rPr/>
      </w:pPr>
      <w:r>
        <w:rPr>
          <w:rFonts w:ascii="IRNazanin" w:hAnsi="IRNazanin" w:eastAsia="IRNazanin"/>
          <w:color w:val="111111"/>
          <w:sz w:val="28"/>
          <w:sz w:val="28"/>
          <w:szCs w:val="28"/>
          <w:rtl w:val="true"/>
          <w:lang w:bidi="fa-IR"/>
        </w:rPr>
        <w:t>در بخشي از اين گفت‌وگو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طالقاني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نمي‌گويد كه قرآن آمده تا به انسان ايمان بدهد، بلكه مي‌گويد همه ايمان دارند، ولي در قرآن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يؤمنون بالغيب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كساني كه ايمانشان افزوده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همه‌ي انسان‌ها، به خدا، تكامل، جبر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درباره‌ي ادعاي فوق تذكر چند نكته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ادعا با تصريحات قرآن درباره‌ي كساني كه ايمان نياورده‌اند، منافات دارد، آنجا كه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كَفَرُوا بِآياتِ اللَّهِ لَهُمْ عَذابٌ شَدِيدٌ وَ اللَّهُ عَزِيزٌ ذُو انْتِقامٍ</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قُلْ لَمْ تُؤْمِنُوا وَ لكِنْ قُولُوا أَسْلَمْنا وَ لَمَّا يَدْخُلِ الْإِيمانُ فِي قُلُوبِكُم</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إِنَّ الَّذِينَ كَفَرُوا سَواءٌ عَلَيْهِمْ ءَأَنْذَرْتَهُمْ أَمْ لَمْ تُنْذِرْهُمْ لا يُؤْمِنُونَ</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 ده‌ها آيه‌ي 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تكذيب پيامبران الهي توسط امّت‌ها، كه قرآن نيز موارد مختلفي از آن را بيان نموده است، دليل ديگري بر رد مدعاي فوق مي‌باشد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دادن مطالب فوق به مرحوم آيت الله طالقاني امري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مقاله‌اي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از نظر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ذكر آيه‌ي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سوره‌ي آل عمران مي‌نويسد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همان وقتي كه عقل فطري آدمي آماده‌ي دريافت حقيقت توحيد شد و از محكوميت كامل غرايز برتر گرديد، خداوندْ پيامبران را برانگيخت تا بذر توحيد را در عقول بيفشانند و تحول و انقلابي در نفوس بشر پديد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پاي‌داري آنان براي ايجاد چنين انقلابي بود، تا فكر انسان را كه واژگون در شرك و محكوم غرايز بود برگردانند و حاكم و مستقيمش بدارند؛ بدين جهت، از آغاز دعوت تا آن گاه كه چشم از دنيا مي‌بستند، همواره در همه حال و همه جا كلمه‌ي توحيد را بر زبان داشتند و به آن دعوت مي‌نمودند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اگر مرحوم آيت‌الله طالقاني معتقد باشند كه همه‌ي انسان‌ها به خدا ايمان دارند، چه لزومي دارد كه از تلاش انبيا براي دعوت به توحيد، و صبر و پاي‌داري آنان در اين راه سخن بگويند؟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ديگر آن‌كه ايمان به تكامل در كنار ايمان به خدا قرار داده شده است؛ و بدتر از آن، قرار دادن ايمان به جبر، در رديف ايمان به خدا و تكامل است؛ و عجيب آن‌كه، ايمان به خدا، تكامل و جبر، به همه‌ي انسان‌ها نسبت داده شده و تمامي اين مطالب نادرست به مرحوم آيت الله طالقاني اسناد داده شده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بديهي است هر فردي با كم‌ترين اطلاع از مذاهب كلامي، چنين مطلبي را ادعا نخواهد كرد؛ زيرا وجود مذاهب و نحله‌هاي گوناگون، خلاف مدعاي مورد نظر را به اثبات مي‌رساند</w:t>
      </w:r>
      <w:r>
        <w:rPr>
          <w:rFonts w:eastAsia="IRNazanin" w:cs="IRNazanin"/>
          <w:color w:val="111111"/>
          <w:sz w:val="28"/>
          <w:szCs w:val="28"/>
          <w:rtl w:val="true"/>
          <w:lang w:bidi="fa-IR"/>
        </w:rPr>
        <w:t xml:space="preserve">. </w:t>
      </w:r>
      <w:bookmarkStart w:id="119" w:name="pg14788_158369"/>
    </w:p>
    <w:p>
      <w:pPr>
        <w:pStyle w:val="Heading3"/>
        <w:numPr>
          <w:ilvl w:val="2"/>
          <w:numId w:val="1"/>
        </w:numPr>
        <w:rPr/>
      </w:pPr>
      <w:bookmarkStart w:id="120" w:name="__RefHeading___Toc1764293_730472459"/>
      <w:bookmarkStart w:id="121" w:name="_Toc43"/>
      <w:bookmarkEnd w:id="119"/>
      <w:bookmarkEnd w:id="120"/>
      <w:r>
        <w:rPr>
          <w:rtl w:val="true"/>
        </w:rPr>
        <w:t>آزادي شيطان</w:t>
      </w:r>
      <w:bookmarkEnd w:id="121"/>
    </w:p>
    <w:p>
      <w:pPr>
        <w:pStyle w:val="BookText"/>
        <w:rPr/>
      </w:pPr>
      <w:r>
        <w:rPr>
          <w:rFonts w:ascii="IRNazanin" w:hAnsi="IRNazanin" w:eastAsia="IRNazanin"/>
          <w:color w:val="111111"/>
          <w:sz w:val="28"/>
          <w:sz w:val="28"/>
          <w:szCs w:val="28"/>
          <w:rtl w:val="true"/>
          <w:lang w:bidi="fa-IR"/>
        </w:rPr>
        <w:t>در قسمت ديگري از اين مصاحبه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حتي خدا به شيطان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قسم خورده بندگان خدا را گمراه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آزادي و مهلت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ادعاي مذكور از چند جهت مخدوش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بين مفاهيم آزادي در نظام تكوين با آزادي در نظام تشريع خلط شده است و روشن است كه آزادي شيطان در نظام تكوين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از آيه، نفي امر به معروف و نهي از منكر و جهاد و نفي مسئوليت‌هاي اجتماعي را به دنبال دارد؛ زيرا اگر عرصه‌ي تكوين با عرصه‌ي تشريع خلط شود، بايد بتوان گفت همان گونه كه خداوند به شيطان آزادي داده است تا بندگانش را گمراه كند، بندگان خدا نيز بايد به افراد منحرف و فاسد اجازه دهند تا زمينه‌ي فساد و آلودگي جامعه را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آن‌كه در عرصه‌ي تشريع، انسان‌ها مسؤليت‌هاي فردي و اجتماعي مختلفي دارند كه بايد به آنها عمل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مختار آفريده شده است و به اختيار خود مي‌تواند راه هدايت يا ضلالت را برگزيند؛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هَدَيْناهُ السَّبِيلَ إِمَّا شاكِراً وَ إِمَّا كَفُوراً</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نوع استفاده از قرآن، با آيات فراواني كه دال بر سخت‌گيري نسبت به كافران و نيز وعيدهاي سخت به آنهاست، منافات دارد؛ آياتي مانند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فَقاتِلُوا أَئِمَّةَ الْكُفْرِ إِنَّهُمْ لا أَيْمانَ لَهُمْ لَعَلَّهُمْ يَنْتَهُونَ</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 أَعَدَّ لِلْكافِرِينَ عَذاباً أَلِيماً؛</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 إِنَّ جَهَنَّمَ لَُمحِيطَةٌ بِالْكافِرِينَ</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شيطنت شيطان هم محدود است؛ حتي شيطان هم در نقشي كه به عهده دارد آزادي مطلق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نيز به اين موضوع اعتراف كرده است؛ و قرآن به نقل از او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فَبِعِزَّتِكَ لَأُغْوِيَنَّهُمْ أَجْمَعِينَ إِلاَّ عِبادَكَ مِنْهُمُ الُْمخْلَصِينَ</w:t>
      </w:r>
    </w:p>
    <w:p>
      <w:pPr>
        <w:pStyle w:val="BookText"/>
        <w:rPr/>
      </w:pPr>
      <w:r>
        <w:rPr>
          <w:rFonts w:ascii="Amiri" w:hAnsi="Amiri" w:eastAsia="Amiri" w:cs="Amiri"/>
          <w:color w:val="111111"/>
          <w:sz w:val="28"/>
          <w:sz w:val="28"/>
          <w:szCs w:val="28"/>
          <w:rtl w:val="true"/>
          <w:lang w:bidi="ar-SA"/>
        </w:rPr>
        <w:t>شيطان حدّ و مرزي دارد؛ و بالاتر از آن حد، جايي براي وسوسه‌اش وجود ندارد؛ زيرا شك و وسوسه در جايي اثر دارد كه حق و باطلي در كار باشد و آن‌جا كه حق محض است و باطلي وجود ندارد، شيطان هم وسوسه‌اي ندارد و خود او نمي‌تواند در آن مرحله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مطالب گذشته روشن شد كه منطقه‌ي عملياتي شيطان محدود است و در مراتب كمال و اخلاص نمي‌تواند نفوذي داشته باشد؛ علاوه بر اين، قرآن كريم نفوذ شيطان را تنها در وسوسه و در شعور و آگاهي انسان مي‌داند، نه چيز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بشر را دعوت مي‌كند</w:t>
      </w:r>
      <w:r>
        <w:rPr>
          <w:rStyle w:val="FootnoteAnchor"/>
          <w:rtl w:val="true"/>
        </w:rPr>
        <w:footnoteReference w:id="58"/>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را فريب مي‌دهد؛ انسان هم در برابر اين كار شيطان، در درون خود به سلاح عقل و فطرت مسلّح است و از بيرون نيز از پيام‌آوران الهي مدد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هرگز اختيار و قدرت از انسان گرفته نمي‌شود؛ زيرا شيطان بر </w:t>
      </w:r>
      <w:bookmarkStart w:id="122" w:name="pg14788_158371"/>
    </w:p>
    <w:p>
      <w:pPr>
        <w:pStyle w:val="BookText"/>
        <w:rPr/>
      </w:pPr>
      <w:bookmarkEnd w:id="122"/>
      <w:r>
        <w:rPr>
          <w:rFonts w:ascii="IRNazanin" w:hAnsi="IRNazanin" w:eastAsia="IRNazanin"/>
          <w:color w:val="111111"/>
          <w:sz w:val="28"/>
          <w:sz w:val="28"/>
          <w:szCs w:val="28"/>
          <w:rtl w:val="true"/>
          <w:lang w:bidi="fa-IR"/>
        </w:rPr>
        <w:t>او تسلّطي ندارد؛ پس صحيح نيست كسي بگويد كه علت و سبب تامّ رفتار بد من، شيطان است</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123" w:name="__RefHeading___Toc1764295_730472459"/>
      <w:bookmarkStart w:id="124" w:name="_Toc44"/>
      <w:bookmarkEnd w:id="123"/>
      <w:r>
        <w:rPr>
          <w:rtl w:val="true"/>
        </w:rPr>
        <w:t>سنّت حوزه‌هاي علميه</w:t>
      </w:r>
      <w:bookmarkEnd w:id="124"/>
    </w:p>
    <w:p>
      <w:pPr>
        <w:pStyle w:val="BookText"/>
        <w:rPr/>
      </w:pPr>
      <w:r>
        <w:rPr>
          <w:rFonts w:ascii="IRNazanin" w:hAnsi="IRNazanin" w:eastAsia="IRNazanin"/>
          <w:color w:val="111111"/>
          <w:sz w:val="28"/>
          <w:sz w:val="28"/>
          <w:szCs w:val="28"/>
          <w:rtl w:val="true"/>
          <w:lang w:bidi="fa-IR"/>
        </w:rPr>
        <w:t>در ادامه‌ي اين گفت‌وگو، سنّت حوزه‌هاي علميه از ديدگاه قرآن مردود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حوزه‌هاي علميه، كه مبتني بر منطق ارسطوست، يك نوع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هم تعاريف مختلفي دارد؛ براي مثال سنّت ارسطويي، سنّت آبا و اجدادي، سنّت شاهنشاهي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موروثي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قرآن هيچ يك را قبول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اشكالاتي كه بر اين سخن وارد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سنّت ارسطويي چيست؟ اگر منظور، روش ارسطويي است، بايد گفت اين روش در فلسفه يا بخشي از كلام عقلي، تا حدي وجود دارد؛ امّا همه‌ي استدلال‌ها، ارسطويي 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علوم حوزوي منحصر به فلسفه و كلام نيست و روش ارسطويي نيز در علومي، مانند ادبيات عرب، معاني، بيان، تفسير، رجال، فقه، اصول و غيره موضوعيت ندارد؛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انديشه‌ي ارسطو به اين علوم نرسيده بود، تا براي هر يك از آنها روشي تدوين كند؛ </w:t>
      </w:r>
      <w:bookmarkStart w:id="125" w:name="pg14788_158372"/>
    </w:p>
    <w:p>
      <w:pPr>
        <w:pStyle w:val="BookText"/>
        <w:rPr/>
      </w:pPr>
      <w:bookmarkEnd w:id="125"/>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آنچه ارسطويي است، نمي‌توان آن را به صرف ارسطويي بودن باطل دانست؛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روش ارسطويي از نظر قرآن نيز يك ادعاست كه بايد دلايل و شواهد آن بيان شود؛ علاوه بر آن، چنين مطلبي توهين آشكار به عالمان دين و حوزه‌هاي علميه است</w:t>
      </w:r>
      <w:r>
        <w:rPr>
          <w:rFonts w:eastAsia="IRNazanin" w:cs="IRNazanin"/>
          <w:color w:val="111111"/>
          <w:sz w:val="28"/>
          <w:szCs w:val="28"/>
          <w:rtl w:val="true"/>
          <w:lang w:bidi="fa-IR"/>
        </w:rPr>
        <w:t>.</w:t>
      </w:r>
    </w:p>
    <w:p>
      <w:pPr>
        <w:pStyle w:val="Heading3"/>
        <w:numPr>
          <w:ilvl w:val="2"/>
          <w:numId w:val="1"/>
        </w:numPr>
        <w:rPr/>
      </w:pPr>
      <w:bookmarkStart w:id="126" w:name="__RefHeading___Toc1764297_730472459"/>
      <w:bookmarkStart w:id="127" w:name="_Toc45"/>
      <w:bookmarkEnd w:id="126"/>
      <w:r>
        <w:rPr>
          <w:rtl w:val="true"/>
        </w:rPr>
        <w:t>مسلمان كيست؟</w:t>
      </w:r>
      <w:bookmarkEnd w:id="127"/>
    </w:p>
    <w:p>
      <w:pPr>
        <w:pStyle w:val="BookText"/>
        <w:rPr/>
      </w:pPr>
      <w:r>
        <w:rPr>
          <w:rFonts w:ascii="IRNazanin" w:hAnsi="IRNazanin" w:eastAsia="IRNazanin"/>
          <w:color w:val="111111"/>
          <w:sz w:val="28"/>
          <w:sz w:val="28"/>
          <w:szCs w:val="28"/>
          <w:rtl w:val="true"/>
          <w:lang w:bidi="fa-IR"/>
        </w:rPr>
        <w:t>در جاي ديگر عنوان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معمول اعتقاد بر آن است كه مسلمان واقعي، به احكام عبادي، مانند نماز، روزه و غيره پاي‌بند است و كسي كه اين امور را انجام نمي‌دهد مسلمان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آيت الله طالقاني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ديني عمومي است و هر كسي كه در راه حق حركت مي‌كند در راه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تعريف با تعريف سنتي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درباره‌ي مطالب فوق چند نكته قابل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مورد تعريف سنتي از اسلام، اشاره نشده است كه مراد از سنّت كدام است؛ آيا منظور همان سنّت ارسطويي است، كه به زعم ايشان در حوزه‌هاي علميه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اساساً اين تعريف اسلام از كجا اخذ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شكي نيست كه اگر مسلماني به احكام اسلام عمل نكند مسلمان واقعي نيست، ولي به صرف عمل نكردن به برخي از احكام اسلام، نمي‌توان او را خارج از اسلام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از فقهاي اهل سنّت با </w:t>
      </w:r>
    </w:p>
    <w:p>
      <w:pPr>
        <w:pStyle w:val="BookText"/>
        <w:rPr/>
      </w:pPr>
      <w:r>
        <w:rPr>
          <w:rFonts w:ascii="IRNazanin" w:hAnsi="IRNazanin" w:eastAsia="IRNazanin"/>
          <w:color w:val="111111"/>
          <w:sz w:val="28"/>
          <w:sz w:val="28"/>
          <w:szCs w:val="28"/>
          <w:rtl w:val="true"/>
          <w:lang w:bidi="fa-IR"/>
        </w:rPr>
        <w:t xml:space="preserve">استناد به آيه‌ي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سوره‌ي توبه، ترك نماز و زكات را دليل بر كفر دانسته‌اند؛ در حالي كه از نظر عالمان شيعه، تنها با ترك نماز و يا زكات، انسان در صف كافران قرار نمي‌گيرد، هر چند اسلام او بسيار ناقص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آيه‌ي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سوره‌ي حجرات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الْأَعْرابُ آمَنَّا قُلْ لَمْ تُؤْمِنُوا وَ لكِنْ قُولُوا أَسْلَمْنا وَ لَمَّا يَدْخُلِ الْإِيمانُ فِي قُلُوبِكُمْ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است كه اسلام، شكل ظاهري قانوني دارد، و هر كس شهادتين را بر زبان جاري كند در سلك مسلمانان وارد مي‌شود و احكام اسلام بر او جاري مي‌گردد؛ ولي ايمان يك امر واقعي و باطني است و جايگاه آن قلب آدمي است، نه زبان و ظاهر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اين‌كه هر كس در راه حق حركت كند در راه اسلام است، يك مطلب است، ولي اين‌كه چنين فردي مسلمان هم باشد، مطلب ديگري است؛ زيرا ممكن است به معناي لغوي مسلمان باشد، امّا اصطلاحاً به او مسلمان گفته نمي‌شود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 آن‌كه، بين مفهوم لغوي و اصطلاحي اسلام خلط شده است؛ بدين صورت كه معناي لغوي اسلام به جاي معناي اصطلاحي استعمال شده است</w:t>
      </w:r>
      <w:r>
        <w:rPr>
          <w:rFonts w:eastAsia="Amiri" w:cs="Amiri" w:ascii="Amiri" w:hAnsi="Amiri"/>
          <w:color w:val="111111"/>
          <w:sz w:val="28"/>
          <w:szCs w:val="28"/>
          <w:rtl w:val="true"/>
          <w:lang w:bidi="ar-SA"/>
        </w:rPr>
        <w:t xml:space="preserve">! </w:t>
      </w:r>
      <w:bookmarkStart w:id="128" w:name="pg14788_158374"/>
    </w:p>
    <w:p>
      <w:pPr>
        <w:pStyle w:val="Heading3"/>
        <w:numPr>
          <w:ilvl w:val="2"/>
          <w:numId w:val="1"/>
        </w:numPr>
        <w:rPr/>
      </w:pPr>
      <w:bookmarkStart w:id="129" w:name="__RefHeading___Toc1764299_730472459"/>
      <w:bookmarkStart w:id="130" w:name="_Toc46"/>
      <w:bookmarkEnd w:id="128"/>
      <w:bookmarkEnd w:id="129"/>
      <w:r>
        <w:rPr>
          <w:rtl w:val="true"/>
        </w:rPr>
        <w:t>مشروعيت قانون اساسي</w:t>
      </w:r>
      <w:bookmarkEnd w:id="130"/>
    </w:p>
    <w:p>
      <w:pPr>
        <w:pStyle w:val="BookText"/>
        <w:rPr/>
      </w:pPr>
      <w:r>
        <w:rPr>
          <w:rFonts w:ascii="IRNazanin" w:hAnsi="IRNazanin" w:eastAsia="IRNazanin"/>
          <w:color w:val="111111"/>
          <w:sz w:val="28"/>
          <w:sz w:val="28"/>
          <w:szCs w:val="28"/>
          <w:rtl w:val="true"/>
          <w:lang w:bidi="fa-IR"/>
        </w:rPr>
        <w:t>در جاي ديگر، درباره‌ي مشروعيت قانون اساسي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نائيني و مرحوم امام مي‌گفتند كه قانون اساسي، رساله‌ي اجتماعي آنان است؛ يعني خود قانون اساسي مشروعيّت دارد، نه آن‌كه قانون يك چيز و شرع چيز ديگري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جمله‌ي فوق، نفي استنتاج قانون اساسي از شرع استنباط مي‌شود؛ به عبارت ديگر، اين جمله در صدد بيان مشروعيت قانون اساسي، فارغ از مستنتج بودن آن از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به چند نكته اشاره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ابتدا بايد معناي واژه‌ي مشروعيّت روشن شود؛ زيرا مشروعيّت در لغت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قانوني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با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هر چند ريشه‌ي لغوي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كلمه‌هايي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ريشه است؛ امّا اختصاص به پيروان دين و شريعت ندارد، بلكه يك اصطلاح در فلسفه‌ي سياست به شمار مي‌رود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مبناي مشروعيّت در جامعه‌اي كه اعتقادي به خداوند ندارند، نسبت به جامعه‌اي كه در آن اعتقاد به خداوند وجود دارد، متفاوت است</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جامعه‌ي اسلامي، مشروعيّت از منبعي سرچشمه مي‌گيرد كه از حاكميت مطلق برخوردار باشد؛ زيرا براساس بينش اسلامي، حاكميت مطلق از آن خداوند است و هر قانوني بايد از اراده‌ي تشريعي خدا نشأت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منظور از مشروعيّت دانسته شد، اگر مشروعيّت </w:t>
      </w:r>
      <w:bookmarkStart w:id="131" w:name="pg14788_158375"/>
    </w:p>
    <w:p>
      <w:pPr>
        <w:pStyle w:val="BookText"/>
        <w:rPr/>
      </w:pPr>
      <w:bookmarkEnd w:id="131"/>
      <w:r>
        <w:rPr>
          <w:rFonts w:ascii="Amiri" w:hAnsi="Amiri" w:eastAsia="Amiri" w:cs="Amiri"/>
          <w:color w:val="111111"/>
          <w:sz w:val="28"/>
          <w:sz w:val="28"/>
          <w:szCs w:val="28"/>
          <w:rtl w:val="true"/>
          <w:lang w:bidi="ar-SA"/>
        </w:rPr>
        <w:t>قانون اساسي را به معناي قانوني بودن آن بدانيم، اين مطلب غير از شرعي بودن به معناي استنتاج قانون اساسي از احكام اسلامي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چنانچه مشروعيّت قانون اساسي به معناي مطابقت آن با احكام اسلام دانسته شود، نمي‌توان مدعي شد كه قانون اساسي همان شرع است؛ زيرا بر همگان روشن است كه قانون اساسي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قواعد و مقرراتي اطلاق مي‌شود كه مربوط به قدرت و ساختار حكومت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شرع گرفته شده است، نه آن‌كه عين شرع باشد</w:t>
      </w:r>
      <w:r>
        <w:rPr>
          <w:rFonts w:eastAsia="IRNazanin" w:cs="IRNazanin"/>
          <w:color w:val="111111"/>
          <w:sz w:val="28"/>
          <w:szCs w:val="28"/>
          <w:rtl w:val="true"/>
          <w:lang w:bidi="fa-IR"/>
        </w:rPr>
        <w:t>.</w:t>
      </w:r>
    </w:p>
    <w:p>
      <w:pPr>
        <w:pStyle w:val="Heading3"/>
        <w:numPr>
          <w:ilvl w:val="2"/>
          <w:numId w:val="1"/>
        </w:numPr>
        <w:rPr/>
      </w:pPr>
      <w:bookmarkStart w:id="132" w:name="__RefHeading___Toc1764301_730472459"/>
      <w:bookmarkStart w:id="133" w:name="_Toc47"/>
      <w:bookmarkEnd w:id="132"/>
      <w:r>
        <w:rPr>
          <w:rtl w:val="true"/>
        </w:rPr>
        <w:t>معيار تغيير احكام</w:t>
      </w:r>
      <w:bookmarkEnd w:id="133"/>
    </w:p>
    <w:p>
      <w:pPr>
        <w:pStyle w:val="BookText"/>
        <w:rPr/>
      </w:pPr>
      <w:r>
        <w:rPr>
          <w:rFonts w:ascii="Amiri" w:hAnsi="Amiri" w:eastAsia="Amiri" w:cs="Amiri"/>
          <w:color w:val="111111"/>
          <w:sz w:val="28"/>
          <w:sz w:val="28"/>
          <w:szCs w:val="28"/>
          <w:rtl w:val="true"/>
          <w:lang w:bidi="ar-SA"/>
        </w:rPr>
        <w:t>در ادامه، با اشاره به نقش زمان و مكان در تغيير احكام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شرايط ظرفيت اجتماعي مردم را شناخت؛ چرا كه اين حكم مي‌تواند تغيير كند؛ پس بايد هنري پياده شود كه اين را تعالي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بود خدا چرا يكصدو بيست و چهار هزار پيامبر را فرستاد؟</w:t>
      </w:r>
    </w:p>
    <w:p>
      <w:pPr>
        <w:pStyle w:val="BookText"/>
        <w:rPr/>
      </w:pPr>
      <w:r>
        <w:rPr>
          <w:rFonts w:ascii="IRNazanin" w:hAnsi="IRNazanin" w:eastAsia="IRNazanin"/>
          <w:color w:val="111111"/>
          <w:sz w:val="28"/>
          <w:sz w:val="28"/>
          <w:szCs w:val="28"/>
          <w:rtl w:val="true"/>
          <w:lang w:bidi="fa-IR"/>
        </w:rPr>
        <w:t>بايد توجّه داشت كه دين از سه بخش عقايد، ارزش‌هاي اخلاقي و احكام تشكيل شده است؛ عقايد و اصول كلي اخلاقي تحول ناپذيرند، ولي تغيير در دسته‌اي از احكام دين، ممكن و بلكه متحقق است؛ و اين تغيير به دليل تغيير بعضي از مصالح و مفاسد در شرايط مختلف زماني و مكاني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و تحول احكام دين داراي اقسام گوناگوني است كه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تبدّل موضوع؛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ثانوي؛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تزاحم احكام؛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حكومتي</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134" w:name="pg14788_158376"/>
    </w:p>
    <w:p>
      <w:pPr>
        <w:pStyle w:val="BookText"/>
        <w:rPr/>
      </w:pPr>
      <w:bookmarkEnd w:id="134"/>
      <w:r>
        <w:rPr>
          <w:rFonts w:ascii="IRNazanin" w:hAnsi="IRNazanin" w:eastAsia="IRNazanin"/>
          <w:color w:val="111111"/>
          <w:sz w:val="28"/>
          <w:sz w:val="28"/>
          <w:szCs w:val="28"/>
          <w:rtl w:val="true"/>
          <w:lang w:bidi="fa-IR"/>
        </w:rPr>
        <w:t>از آنچه گفته شد روشن مي‌گردد كه ملاك تغيير حكم، زمان يا ظرفيت اجتماعي مردم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صرفاً نشانه‌ي آن است كه مصلحت يا مفسده در يك مقطع تغيير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 اين نكته نيز لازم است كه تشخيص موضوع تغيير احكام به عهده‌ي متخصصان اين فن، يعني فقهاي عالي‌قدر مي‌باشد؛ امّا استدلال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بود چرا خدا يكصد و بيست و چهار هزار پيامبر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اثبات زمان‌بندي احكام، مغالطه است؛ زيرا اين موضوع، تدريجي بودن هدايت الهي را قبل از خاتميّت اثبات مي‌كند</w:t>
      </w:r>
      <w:r>
        <w:rPr>
          <w:rFonts w:eastAsia="IRNazanin" w:cs="IRNazanin"/>
          <w:color w:val="111111"/>
          <w:sz w:val="28"/>
          <w:szCs w:val="28"/>
          <w:rtl w:val="true"/>
          <w:lang w:bidi="fa-IR"/>
        </w:rPr>
        <w:t>.</w:t>
      </w:r>
    </w:p>
    <w:p>
      <w:pPr>
        <w:pStyle w:val="Heading3"/>
        <w:numPr>
          <w:ilvl w:val="2"/>
          <w:numId w:val="1"/>
        </w:numPr>
        <w:rPr/>
      </w:pPr>
      <w:bookmarkStart w:id="135" w:name="__RefHeading___Toc1764303_730472459"/>
      <w:bookmarkStart w:id="136" w:name="_Toc48"/>
      <w:bookmarkEnd w:id="135"/>
      <w:r>
        <w:rPr>
          <w:rtl w:val="true"/>
        </w:rPr>
        <w:t>حجم متشابهات در قرآن</w:t>
      </w:r>
      <w:bookmarkEnd w:id="136"/>
    </w:p>
    <w:p>
      <w:pPr>
        <w:pStyle w:val="BookText"/>
        <w:rPr/>
      </w:pPr>
      <w:r>
        <w:rPr>
          <w:rFonts w:ascii="Amiri" w:hAnsi="Amiri" w:eastAsia="Amiri" w:cs="Amiri"/>
          <w:color w:val="111111"/>
          <w:sz w:val="28"/>
          <w:sz w:val="28"/>
          <w:szCs w:val="28"/>
          <w:rtl w:val="true"/>
          <w:lang w:bidi="ar-SA"/>
        </w:rPr>
        <w:t>درباره‌ي متشابهات در قرآن كريم عنوان شده است كه</w:t>
      </w:r>
    </w:p>
    <w:p>
      <w:pPr>
        <w:pStyle w:val="BookText"/>
        <w:rPr/>
      </w:pPr>
      <w:r>
        <w:rPr>
          <w:rFonts w:ascii="Amiri" w:hAnsi="Amiri" w:eastAsia="Amiri" w:cs="Amiri"/>
          <w:color w:val="111111"/>
          <w:sz w:val="28"/>
          <w:sz w:val="28"/>
          <w:szCs w:val="28"/>
          <w:rtl w:val="true"/>
          <w:lang w:bidi="ar-SA"/>
        </w:rPr>
        <w:t>بايد توجّه داشت كه هفتاد درصد قرآن، متشابهات است و بايد برداشت‌هاي رايج از متشابهات را تعالي داده و جامعيت قرآن را مطرح كرد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درباره‌ي ادعاي مذكور بايد گفت، اين پيش‌فرض مقبول همه‌ي خداباوران وحي‌پذير است كه غرض اساسي از نزول وحي آن است كه مردم آن را دريافت نمايند، بخوانند، بدانند و بينش و منش خود را بر مدار آن سامان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لازمه‌ي طبيعي تحقق اين هدف آن است كه ما با ذهنيت جست‌وجوگر، به منظور آگاهي از نيازهاي فكري و رفتاري خويش، در محضر وحي مكتوب الهي قرار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سخن هدايتگر پروردگار است كه از درگاه ذات قدسي، ظهور و نزول يافته است و از </w:t>
      </w:r>
    </w:p>
    <w:p>
      <w:pPr>
        <w:pStyle w:val="BookText"/>
        <w:rPr/>
      </w:pPr>
      <w:r>
        <w:rPr>
          <w:rFonts w:ascii="IRNazanin" w:hAnsi="IRNazanin" w:eastAsia="IRNazanin"/>
          <w:color w:val="111111"/>
          <w:sz w:val="28"/>
          <w:sz w:val="28"/>
          <w:szCs w:val="28"/>
          <w:rtl w:val="true"/>
          <w:lang w:bidi="fa-IR"/>
        </w:rPr>
        <w:t>مخاطب‌هاي خويش، يعني همه‌ي انديشه‌هاي حقيقت‌جو و خردورز دل‌سپاري مي‌طلبد؛</w:t>
      </w:r>
    </w:p>
    <w:p>
      <w:pPr>
        <w:pStyle w:val="BookText"/>
        <w:rPr/>
      </w:pPr>
      <w:r>
        <w:rPr>
          <w:rFonts w:ascii="Amiri" w:hAnsi="Amiri" w:eastAsia="Amiri" w:cs="Amiri"/>
          <w:color w:val="111111"/>
          <w:sz w:val="28"/>
          <w:sz w:val="28"/>
          <w:szCs w:val="28"/>
          <w:rtl w:val="true"/>
          <w:lang w:bidi="ar-SA"/>
        </w:rPr>
        <w:t>كِتابٌ أَنْزَلْناهُ إِلَيْكَ مُبارَكٌ لِيَدَّبَّرُوا آياتِهِ وَ لِيَتَذَكَّرَ أُولُوا الْأَلْبابِ</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هرگونه تساهل و تسامح در راستاي فهم اين متن مقدس، درخور سخت‌ترين نكوهش است،</w:t>
      </w:r>
    </w:p>
    <w:p>
      <w:pPr>
        <w:pStyle w:val="BookText"/>
        <w:rPr/>
      </w:pPr>
      <w:r>
        <w:rPr>
          <w:rFonts w:ascii="Amiri" w:hAnsi="Amiri" w:eastAsia="Amiri" w:cs="Amiri"/>
          <w:color w:val="111111"/>
          <w:sz w:val="28"/>
          <w:sz w:val="28"/>
          <w:szCs w:val="28"/>
          <w:rtl w:val="true"/>
          <w:lang w:bidi="ar-SA"/>
        </w:rPr>
        <w:t>أَ فَلا يَتَدَبَّرُونَ الْقُرْآنَ أَمْ عَلى قُلُوبٍ أَقْفالُها</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روشن است كه اين هشدار پندآموز، گزارش دهنده‌ي يك خطر بزرگ و زيان جبران‌ناپذير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حال كه ضرورت فهم كلام خداوند روشن شد، توجّه به چند نكته ضروري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معتقد باشيم هفتاد درصد قرآن از متشابهات است، بايد پيش‌فرض فوق را كه ريشه در قرآن دارد نفي نماييم؛ زيرا قرآن از تمامي مخاطبان خود خواسته است در آيات آن تدبّر نمايند و در صورتي كه هفتاد درصد قرآن متشابه باشد، عموم مردم توانايي فهم آيات را نخواهند داشت؛ زيرا عدّه‌ي اندكي توان تأويل متشابهات و ارجاع آنها به محكمات را دارند؛ بنابراين، ادعاي ياد شده، با فلسفه‌ي نزولي قرآن ناسازگار است؛ علاوه بر آن، زبان قرآن همان زبان تفاهم و تخاطب عرف عقلاست؛ و خداوند براي ابلاغ پيام خود به مردم، طريقه</w:t>
      </w:r>
    </w:p>
    <w:p>
      <w:pPr>
        <w:pStyle w:val="BookText"/>
        <w:rPr/>
      </w:pPr>
      <w:r>
        <w:rPr>
          <w:rFonts w:ascii="IRNazanin" w:hAnsi="IRNazanin" w:eastAsia="IRNazanin"/>
          <w:color w:val="111111"/>
          <w:sz w:val="28"/>
          <w:sz w:val="28"/>
          <w:szCs w:val="28"/>
          <w:rtl w:val="true"/>
          <w:lang w:bidi="fa-IR"/>
        </w:rPr>
        <w:t>و زبان ديگري برنگزيده است؛ پس ممكن نيست مطالب قرآن به گونه اي بيان شده باشد كه فهم اكثر آموزه‌هاي آن براي مخاطبان مشكل باشد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عوامل تشابه و نيز تفاوت استعدادها و سرمايه‌هاي معرفتي افراد، ممكن است برخي از آيات براي بعضي مخاطبان، از متشابهات، و همان آيات، براي بعضي ديگر، از محكمات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متشابهات در قرآن دو گونه‌اند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متشابهات بالعرض كه قبلاً متشابه نبوده‌اند؛ اكثر آيات متشابه را اين گونه آيات تشكيل مي‌دهند؛ مانند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علي العرش استوي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در اصل متشابه نيستند و به معناي استعاره‌اي در لغت به كار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متشابهات اصلي، كه در قرآن بسيار كم‌اند؛ به طوري كه در بين </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متشابهات اصلي از دويست آيه تجاوز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تشابه اصلي، بلندي معنا و كوتاهي لفظ است، كه در چنين مواردي، قرآن از راه استعاره، كنايه و تشبيه وارد مي‌شود؛ مثل آيه‌ي نور</w:t>
      </w:r>
      <w:r>
        <w:rPr>
          <w:rStyle w:val="FootnoteAnchor"/>
          <w:rtl w:val="true"/>
        </w:rPr>
        <w:footnoteReference w:id="65"/>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در آن تشبيه به كار رفته است</w:t>
      </w:r>
      <w:r>
        <w:rPr>
          <w:rFonts w:eastAsia="Amiri" w:cs="Amiri" w:ascii="Amiri" w:hAnsi="Amiri"/>
          <w:color w:val="111111"/>
          <w:sz w:val="28"/>
          <w:szCs w:val="28"/>
          <w:rtl w:val="true"/>
          <w:lang w:bidi="ar-SA"/>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14788_158380"/>
      <w:bookmarkStart w:id="138" w:name="pg14788_158380"/>
      <w:bookmarkEnd w:id="138"/>
    </w:p>
    <w:p>
      <w:pPr>
        <w:pStyle w:val="Heading2"/>
        <w:numPr>
          <w:ilvl w:val="1"/>
          <w:numId w:val="1"/>
        </w:numPr>
        <w:rPr/>
      </w:pPr>
      <w:bookmarkStart w:id="139" w:name="pg14788_158380"/>
      <w:bookmarkStart w:id="140" w:name="__RefHeading___Toc1764305_730472459"/>
      <w:bookmarkStart w:id="141" w:name="_Toc49"/>
      <w:bookmarkEnd w:id="139"/>
      <w:bookmarkEnd w:id="140"/>
      <w:r>
        <w:rPr>
          <w:rtl w:val="true"/>
        </w:rPr>
        <w:t>مقاله مورد نقد</w:t>
      </w:r>
      <w:r>
        <w:rPr>
          <w:rtl w:val="true"/>
        </w:rPr>
        <w:t xml:space="preserve">: </w:t>
      </w:r>
      <w:r>
        <w:rPr>
          <w:rtl w:val="true"/>
        </w:rPr>
        <w:t>موسيقي و تك‌خواني خانم‌ها</w:t>
      </w:r>
      <w:bookmarkEnd w:id="141"/>
    </w:p>
    <w:p>
      <w:pPr>
        <w:pStyle w:val="Heading3"/>
        <w:numPr>
          <w:ilvl w:val="2"/>
          <w:numId w:val="1"/>
        </w:numPr>
        <w:rPr/>
      </w:pPr>
      <w:bookmarkStart w:id="142" w:name="__RefHeading___Toc1764307_730472459"/>
      <w:bookmarkStart w:id="143" w:name="_Toc50"/>
      <w:bookmarkEnd w:id="142"/>
      <w:r>
        <w:rPr>
          <w:rtl w:val="true"/>
        </w:rPr>
        <w:t>اشاره</w:t>
      </w:r>
      <w:bookmarkEnd w:id="143"/>
    </w:p>
    <w:p>
      <w:pPr>
        <w:pStyle w:val="BookText"/>
        <w:rPr/>
      </w:pPr>
      <w:r>
        <w:rPr>
          <w:rFonts w:ascii="Amiri" w:hAnsi="Amiri" w:eastAsia="Amiri" w:cs="Amiri"/>
          <w:color w:val="111111"/>
          <w:sz w:val="28"/>
          <w:sz w:val="28"/>
          <w:szCs w:val="28"/>
          <w:rtl w:val="true"/>
          <w:lang w:bidi="ar-SA"/>
        </w:rPr>
        <w:t>موسيقي و تك‌خواني خانم‌ها</w:t>
      </w:r>
      <w:r>
        <w:rPr>
          <w:rStyle w:val="FootnoteAnchor"/>
          <w:rtl w:val="true"/>
        </w:rPr>
        <w:footnoteReference w:id="66"/>
      </w:r>
    </w:p>
    <w:p>
      <w:pPr>
        <w:pStyle w:val="Heading3"/>
        <w:numPr>
          <w:ilvl w:val="2"/>
          <w:numId w:val="1"/>
        </w:numPr>
        <w:rPr/>
      </w:pPr>
      <w:bookmarkStart w:id="144" w:name="__RefHeading___Toc1764309_730472459"/>
      <w:bookmarkStart w:id="145" w:name="_Toc51"/>
      <w:bookmarkEnd w:id="144"/>
      <w:r>
        <w:rPr>
          <w:rtl w:val="true"/>
        </w:rPr>
        <w:t>چكيده</w:t>
      </w:r>
      <w:r>
        <w:rPr>
          <w:rtl w:val="true"/>
        </w:rPr>
        <w:t>:</w:t>
      </w:r>
      <w:bookmarkEnd w:id="145"/>
    </w:p>
    <w:p>
      <w:pPr>
        <w:pStyle w:val="BookText"/>
        <w:rPr/>
      </w:pPr>
      <w:r>
        <w:rPr>
          <w:rFonts w:ascii="IRNazanin" w:hAnsi="IRNazanin" w:eastAsia="IRNazanin"/>
          <w:color w:val="111111"/>
          <w:sz w:val="28"/>
          <w:sz w:val="28"/>
          <w:szCs w:val="28"/>
          <w:rtl w:val="true"/>
          <w:lang w:bidi="fa-IR"/>
        </w:rPr>
        <w:t xml:space="preserve">در اين مصاحبه،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تك‌خواني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يك نظر فراگير فقهي ياد شده است؛ و در ضمن آن، به لزوم ترويج موسيقي و بهره‌گيري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ظرفيت 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تأكيد شده است</w:t>
      </w:r>
      <w:r>
        <w:rPr>
          <w:rFonts w:eastAsia="IRNazanin" w:cs="IRNazanin"/>
          <w:color w:val="111111"/>
          <w:sz w:val="28"/>
          <w:szCs w:val="28"/>
          <w:rtl w:val="true"/>
          <w:lang w:bidi="fa-IR"/>
        </w:rPr>
        <w:t>.</w:t>
      </w:r>
    </w:p>
    <w:p>
      <w:pPr>
        <w:pStyle w:val="Heading3"/>
        <w:numPr>
          <w:ilvl w:val="2"/>
          <w:numId w:val="1"/>
        </w:numPr>
        <w:rPr/>
      </w:pPr>
      <w:bookmarkStart w:id="146" w:name="__RefHeading___Toc1764311_730472459"/>
      <w:bookmarkStart w:id="147" w:name="_Toc52"/>
      <w:bookmarkEnd w:id="146"/>
      <w:r>
        <w:rPr>
          <w:rtl w:val="true"/>
        </w:rPr>
        <w:t>نقد و بررسي</w:t>
      </w:r>
      <w:r>
        <w:rPr>
          <w:rtl w:val="true"/>
        </w:rPr>
        <w:t>:</w:t>
      </w:r>
      <w:r>
        <w:rPr>
          <w:rtl w:val="true"/>
        </w:rPr>
        <w:t>موسيقي و تك‌خواني زن</w:t>
      </w:r>
      <w:bookmarkEnd w:id="147"/>
    </w:p>
    <w:p>
      <w:pPr>
        <w:pStyle w:val="BookText"/>
        <w:rPr/>
      </w:pPr>
      <w:r>
        <w:rPr>
          <w:rFonts w:ascii="Amiri" w:hAnsi="Amiri" w:eastAsia="Amiri" w:cs="Amiri"/>
          <w:color w:val="111111"/>
          <w:sz w:val="28"/>
          <w:sz w:val="28"/>
          <w:szCs w:val="28"/>
          <w:rtl w:val="true"/>
          <w:lang w:bidi="ar-SA"/>
        </w:rPr>
        <w:t>ابوالقاسم مقيمي‌حاجي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انقلابي، هر تمدّني و هر فرهنگي تا در قالب هنر ريخته نشود، شاخص نفوذ و گسترش ندارد</w:t>
      </w:r>
      <w:r>
        <w:rPr>
          <w:rFonts w:eastAsia="IRNazanin" w:cs="IRNazanin"/>
          <w:color w:val="111111"/>
          <w:sz w:val="28"/>
          <w:szCs w:val="28"/>
          <w:rtl w:val="true"/>
          <w:lang w:bidi="fa-IR"/>
        </w:rPr>
        <w:t>»</w:t>
      </w:r>
      <w:r>
        <w:rPr>
          <w:rStyle w:val="FootnoteAnchor"/>
          <w:rtl w:val="true"/>
        </w:rPr>
        <w:footnoteReference w:id="67"/>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اسلامي آن چيزي است كه در آن عنصر سازنده‌اي از انديشه‌ي اسلامي وجود داشته باشد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هنر حقيقي و مدرن، هنري است كه در هدايت افراد به سوي كمال و شكوفا شدن ظرفيت‌هاي معنوي انسان موفق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هنري متحوّل كننده‌ي انگاره‌ها و دربردارنده‌ي آموزه‌هاست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جامعه‌ي هنري تكاني به خود داده و گام‌هايي را برداشته است؛ امّا به نظر مي‌رسد نيازمند خانه‌تكاني جديدي است كه يكي از آنها عرصه‌ي موسيقي است كه تا چند سال بعد از انقلاب، تلاش‌هايي درخور تقدير انجام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بايد از ارتجاعي زيان‌بار ترسيد؛ از رجعتي به سبك‌ها و متدهاي تقليدي از فرهنگ بيگانه و از رجعتي به سوي فراگير شدن موسيقي و تطهير آن از آثار مخرّب روحي و معنوي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علي‌رغم آن‌كه مقام معظم رهبري در پاسخ به پرسشي درباره‌ي ترويج و آموزش موسيقي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موسيقي و نوازندگي به نونهالان و نوجوانان موجب انحراف آنان و مترتّب مفاسد است و جايز نيست؛ به طور كلّي، ترويج موسيقي با اهداف عاليه‌ي نظام اسلامي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مسؤولين فرهنگي مجاز نيستند سليقه‌ي شخصي خود را به اسم نشر فرهنگ و معارف، در آموزش و پرورش نوجوانان به كار گيرند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با ذكر اين مقدّمه، به تأثير موسيقي در روح و روان، و حكم تك‌خواني زن مي‌پردازيم كه گفته شده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تك‌خواني زن و مرد جايز است مگر اين‌كه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در ميان خوانندگان زن از قديم و جديد هستند كساني كه با رعايت اين جهات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ضوابط ديني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گونه‌اي سنگين و وزين مي‌خوانند و شنيدن آن حرمت شرعي ندارد؛ مثل خانم</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 يا گفته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و فقه، موسيقي حرام نيست</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و يا ديگري ضوابط رايج ديني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باورهاي مخدوش سنتي و شخصي و مغرضانه‌ي فقهي</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xml:space="preserve">معرفي مي‌كند و در قبال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موسيقي را هنر آسماني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و تمدن بشري بدون آن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ريشه در تاريخ كشور ما دارد</w:t>
      </w:r>
      <w:r>
        <w:rPr>
          <w:rFonts w:eastAsia="IRNazanin" w:cs="IRNazanin"/>
          <w:color w:val="111111"/>
          <w:sz w:val="28"/>
          <w:szCs w:val="28"/>
          <w:rtl w:val="true"/>
          <w:lang w:bidi="fa-IR"/>
        </w:rPr>
        <w:t>».</w:t>
      </w:r>
      <w:r>
        <w:rPr>
          <w:rStyle w:val="FootnoteAnchor"/>
          <w:rtl w:val="true"/>
        </w:rPr>
        <w:footnoteReference w:id="73"/>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كه لذّت و احساس خوشي، كه معلول شنيدن موسيقي است، با تاريخ بشري دوشادوش، و در جوامع مختلف وجود داشته و بشر همواره اين طبيعت‌گرايي را كه ناشي از لذّت او بوده، به همراه داشته است؛ امّا بايد ديد اين لذّت چيزي بر واقعيّت مطلوب آدمي افزوده و موجب رشد و تعالي او مي‌گردد و يا از آن مي‌كاهد و سبب تخدير رواني اوست؟ </w:t>
      </w:r>
      <w:bookmarkStart w:id="148" w:name="pg14788_158383"/>
    </w:p>
    <w:p>
      <w:pPr>
        <w:pStyle w:val="Heading3"/>
        <w:numPr>
          <w:ilvl w:val="2"/>
          <w:numId w:val="1"/>
        </w:numPr>
        <w:rPr/>
      </w:pPr>
      <w:bookmarkStart w:id="149" w:name="__RefHeading___Toc1764313_730472459"/>
      <w:bookmarkStart w:id="150" w:name="_Toc53"/>
      <w:bookmarkEnd w:id="148"/>
      <w:bookmarkEnd w:id="149"/>
      <w:r>
        <w:rPr>
          <w:rtl w:val="true"/>
        </w:rPr>
        <w:t>موسيقي، روح و روان و علم پزشكي</w:t>
      </w:r>
      <w:bookmarkEnd w:id="150"/>
    </w:p>
    <w:p>
      <w:pPr>
        <w:pStyle w:val="BookText"/>
        <w:rPr/>
      </w:pPr>
      <w:r>
        <w:rPr>
          <w:rFonts w:ascii="IRNazanin" w:hAnsi="IRNazanin" w:eastAsia="IRNazanin"/>
          <w:color w:val="111111"/>
          <w:sz w:val="28"/>
          <w:sz w:val="28"/>
          <w:szCs w:val="28"/>
          <w:rtl w:val="true"/>
          <w:lang w:bidi="fa-IR"/>
        </w:rPr>
        <w:t>انسان با ابزار مختلف آهنگي مي‌سازد كه گاه مي‌خنداند و زماني مي‌گرياند، گاهي به حدّ افراط، نيروي نشاط را در آدمي تحريك مي‌كند و زماني سخت او را به ديار غم و اندوه مي‌فرستد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هنر موسيقي اين است كه انسان را خواسته و ناخواسته به سفري در دنياي ذهني و خيالي دعوت مي‌كند و بر او سايه‌اي مي‌سازد و آن را بالا مي‌برد و بعد از پايان موسيقي، خود را در يك سرازيري احساس مي‌كند و سرانجام سرگردان و متحيّر و لبريز از احساساتي كه به طور مصنوعي تحريك شده‌اند رها مي‌شود و او مي‌ماند و انبوهي از احساسات تخليه نشده، كه نه مي‌تواند از آن دنياي خيالي دل بكند و نه با زندگي واقعي كنار آيد، با تكرار اين صحنه‌ها و اعتياد به موسيقي، چيزي جز تخدير روح و روان حاصل نمي‌شود،</w:t>
      </w:r>
      <w:r>
        <w:rPr>
          <w:rStyle w:val="FootnoteAnchor"/>
          <w:rtl w:val="true"/>
        </w:rPr>
        <w:footnoteReference w:id="74"/>
      </w:r>
      <w:r>
        <w:rPr>
          <w:rFonts w:ascii="IRNazanin" w:hAnsi="IRNazanin" w:eastAsia="IRNazanin"/>
          <w:color w:val="111111"/>
          <w:sz w:val="28"/>
          <w:sz w:val="28"/>
          <w:szCs w:val="28"/>
          <w:rtl w:val="true"/>
          <w:lang w:bidi="fa-IR"/>
        </w:rPr>
        <w:t>هم‌چنان‌كه امام راحل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چيزهايي كه مغز جوان‌ها را تخدير مي‌كند موسيقي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جديّت بيرون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جواني كه عادت كرده روزي چند ساعت را با موسيقي سروكار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جدّي به كلّي غافل مي‌شود</w:t>
      </w:r>
      <w:r>
        <w:rPr>
          <w:rFonts w:eastAsia="IRNazanin" w:cs="IRNazanin"/>
          <w:color w:val="111111"/>
          <w:sz w:val="28"/>
          <w:szCs w:val="28"/>
          <w:rtl w:val="true"/>
          <w:lang w:bidi="fa-IR"/>
        </w:rPr>
        <w:t>.</w:t>
      </w:r>
      <w:r>
        <w:rPr>
          <w:rStyle w:val="FootnoteAnchor"/>
          <w:rtl w:val="true"/>
        </w:rPr>
        <w:footnoteReference w:id="75"/>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موسيقي، آن‌چنان‌كه عاشقان دلباخته‌اش مي‌گويند، حقيقتاً روح انسان را تصفيه مي‌نمود، چرا با شيوع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اعتراف پزشكان مربوطه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بيماري‌هاي رواني و غير آن شايع شده است؟ امروزه علم پزشكي </w:t>
      </w:r>
      <w:bookmarkStart w:id="151" w:name="pg14788_158384"/>
    </w:p>
    <w:p>
      <w:pPr>
        <w:pStyle w:val="BookText"/>
        <w:rPr/>
      </w:pPr>
      <w:bookmarkEnd w:id="151"/>
      <w:r>
        <w:rPr>
          <w:rFonts w:ascii="IRNazanin" w:hAnsi="IRNazanin" w:eastAsia="IRNazanin"/>
          <w:color w:val="111111"/>
          <w:sz w:val="28"/>
          <w:sz w:val="28"/>
          <w:szCs w:val="28"/>
          <w:rtl w:val="true"/>
          <w:lang w:bidi="fa-IR"/>
        </w:rPr>
        <w:t xml:space="preserve">اذعان مي‌دارد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علي‌رغم آثار مختلفي كه در تبليغ آن بيان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موسيقي، با نواهاي حزن‌انگيز و نشاط‌آور، نظم حياتي بدن و تعادل دو قسمت از اعصاب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سمپاتيك و پاراسمپاتيك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سبب تنظيم جذب و دفع و هضم و ضربات قلب و فشار خون است، برهم مي‌زند و سبب ضعف اعصاب مي‌شود و از ديگر مضرات آن اختلالات دماغي، هيجانات روحي، جنون، ضعف حس شنوايي و سلب اراده و كوتاهي عمر است و چه بسا عامل جنايت و خودكشي و تهييج شهوت مي‌باشد</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152" w:name="__RefHeading___Toc1764315_730472459"/>
      <w:bookmarkStart w:id="153" w:name="_Toc54"/>
      <w:bookmarkEnd w:id="152"/>
      <w:r>
        <w:rPr>
          <w:rtl w:val="true"/>
        </w:rPr>
        <w:t>موسيقي و تك‌خواني زن از منظر ديني</w:t>
      </w:r>
      <w:bookmarkEnd w:id="15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آن قسم از موسيقي را كه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بيكارگي، ابتذال، بي‌حالي و واخوردگي از واقعيت‌هاي زندگي و گناه و شهوت‌راني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حرام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موسيقي اگر انسان را از جديّت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معنويت و از خدا و ذكر غافل كند، موسيقي حرام است</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اسلام مي‌خواهد انسان از جديت بيرون نرود و در مقابل هيجانات، خود را سرگردان نبيند و انديشه و تعقّل او ضعيف نشود؛</w:t>
      </w:r>
      <w:r>
        <w:rPr>
          <w:rStyle w:val="FootnoteAnchor"/>
          <w:rtl w:val="true"/>
        </w:rPr>
        <w:footnoteReference w:id="79"/>
      </w:r>
      <w:r>
        <w:rPr>
          <w:rFonts w:ascii="IRNazanin" w:hAnsi="IRNazanin" w:eastAsia="IRNazanin"/>
          <w:color w:val="111111"/>
          <w:sz w:val="28"/>
          <w:sz w:val="28"/>
          <w:szCs w:val="28"/>
          <w:rtl w:val="true"/>
          <w:lang w:bidi="fa-IR"/>
        </w:rPr>
        <w:t>لذا در قرآن</w:t>
      </w:r>
      <w:r>
        <w:rPr>
          <w:rStyle w:val="FootnoteAnchor"/>
          <w:rtl w:val="true"/>
        </w:rPr>
        <w:footnoteReference w:id="80"/>
      </w:r>
      <w:r>
        <w:rPr>
          <w:rFonts w:ascii="Amiri" w:hAnsi="Amiri" w:eastAsia="Amiri" w:cs="Amiri"/>
          <w:color w:val="111111"/>
          <w:sz w:val="28"/>
          <w:sz w:val="28"/>
          <w:szCs w:val="28"/>
          <w:rtl w:val="true"/>
          <w:lang w:bidi="ar-SA"/>
        </w:rPr>
        <w:t>از اين نوع موسيقي نهي شده و در احاديث متعدّدي آمده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اولين كسي كه مرتكب غنا شده و نواختن آغاز نمود شيطان بود</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و از مضرّات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قساوت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بي‌حيايي و فساد اخلاقي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محروميّت از رحمت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اين‌ها</w:t>
      </w:r>
      <w:r>
        <w:rPr>
          <w:rStyle w:val="FootnoteAnchor"/>
          <w:rtl w:val="true"/>
        </w:rPr>
        <w:footnoteReference w:id="82"/>
      </w:r>
      <w:r>
        <w:rPr>
          <w:rFonts w:ascii="Amiri" w:hAnsi="Amiri" w:eastAsia="Amiri" w:cs="Amiri"/>
          <w:color w:val="111111"/>
          <w:sz w:val="28"/>
          <w:sz w:val="28"/>
          <w:szCs w:val="28"/>
          <w:rtl w:val="true"/>
          <w:lang w:bidi="ar-SA"/>
        </w:rPr>
        <w:t>ياد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آوازخواني نيز اگر شاخص‌هاي مذكور را داشته باشد و از لحاظ نوع خواندن و يا مضمون، انسان را از حالت عادي خارج كند و مطرب و لهوي باشد، حرام است و به تصريح مقام معظم رهبري</w:t>
      </w:r>
      <w:r>
        <w:rPr>
          <w:rStyle w:val="FootnoteAnchor"/>
          <w:rtl w:val="true"/>
        </w:rPr>
        <w:footnoteReference w:id="83"/>
      </w:r>
      <w:r>
        <w:rPr>
          <w:rFonts w:ascii="IRNazanin" w:hAnsi="IRNazanin" w:eastAsia="IRNazanin"/>
          <w:color w:val="111111"/>
          <w:sz w:val="28"/>
          <w:sz w:val="28"/>
          <w:szCs w:val="28"/>
          <w:rtl w:val="true"/>
          <w:lang w:bidi="fa-IR"/>
        </w:rPr>
        <w:t>و ساير مراجع، صرف پخش آن از صدا و سيما و يا صدور مجوز از وزارت ارشاد، موجب حليّت نمي‌شود؛ بلكه شنونده بايد تشخيص دهد كه در عرف مردم، اين موسيقي و خوانندگي مناسب با مجالس لهو و لعب نيست؛ البتّه گاهي چنان بي‌مبالاتي صورت مي‌گيرد كه تندترين موسيقي‌ها را هم حلال مي‌شمرند، كه اگر چنين باشد، ديگر مصداقي براي موسيقي مطرب باقي نمي‌ماند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آوازخواني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عدّه‌اي از فقها آوازخواني غنايي زن را براي زنان، در مجلس شب زفاف عروسي جايز مي‌دانند، با اين شرط كه نامحرم صداي آنها را نشنود و همراه با نوازندگي مطرب با آلات </w:t>
      </w:r>
    </w:p>
    <w:p>
      <w:pPr>
        <w:pStyle w:val="BookText"/>
        <w:rPr/>
      </w:pPr>
      <w:r>
        <w:rPr>
          <w:rFonts w:ascii="Amiri" w:hAnsi="Amiri" w:eastAsia="Amiri" w:cs="Amiri"/>
          <w:color w:val="111111"/>
          <w:sz w:val="28"/>
          <w:sz w:val="28"/>
          <w:szCs w:val="28"/>
          <w:rtl w:val="true"/>
          <w:lang w:bidi="ar-SA"/>
        </w:rPr>
        <w:t>موسيقي نباشد؛ زيرا موسيقي مطرب، در همه‌ي موارد ،حرام است؛</w:t>
      </w:r>
      <w:r>
        <w:rPr>
          <w:rStyle w:val="FootnoteAnchor"/>
          <w:rtl w:val="true"/>
        </w:rPr>
        <w:footnoteReference w:id="84"/>
      </w:r>
      <w:r>
        <w:rPr>
          <w:rFonts w:ascii="IRNazanin" w:hAnsi="IRNazanin" w:eastAsia="IRNazanin"/>
          <w:color w:val="111111"/>
          <w:sz w:val="28"/>
          <w:sz w:val="28"/>
          <w:szCs w:val="28"/>
          <w:rtl w:val="true"/>
          <w:lang w:bidi="fa-IR"/>
        </w:rPr>
        <w:t>هر چند مرحوم آيت الله اراكي و آيت الله سيستاني، بنابر احتياط واجب، غنا در مجالس عروسي را هم جايز نمي‌شمرند و آيت الله مكارم شيرازي نيز آن را جايز نمي‌دانند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تك‌خواني زن نيز ميان مراجع عظام اختلافي است؛ عدّه‌اي از آنان به حرمت تك خواني غير غنايي زن حكم كرده‌اند؛ لذا بيان حكم به جواز به صورت نظر عام ديني صحيح نيست و ترويج و چاپ آن، به اين صورت، برخلاف رسالت مطبوعاتي است و افراد بايد در اين‌باره به مرجع تقليد خود رجوع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روشن شدن مسئله، درذيل، استفتاءاتي را از برخي از مراجع بزرگوار كه در دست‌رس بوده نقل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آيت الله اراكي و مرحوم آيت الله گلپايگاني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تك‌خواني موسيقي‌هاي غير مطرب توسط زن، مانند سرودها در صورتي كه نامحرم صداي آن‌ها را بشنود جايز نيست</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آيت الله مكارم شيرازي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گوش دادن به سرودهايي كه يك زن تك‌خواني كرده، حرام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آيت الله فاضل لنكراني</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تك‌خواني موسيقي‌هاي مطرب توسط زن، مانند سرودها، در صورتي كه نامحرم صداي آنان را بشنود جايز نيست</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 آيت الله تبريزي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تك‌خواني زن اگر غنايي باشد حرام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مقام معظّم رهبري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مجرد صوت زن نامحرم حرام نيست و استماع صداي زن في نفسه منعي ندارد؛ ولي اگر به ملاحظه‌ي وضع خاص خواننده در حال خواندن، يا وضع خاص مجلس و محل خوانندگي، يا به ملاحظه‌ي مضامين موضوعي كه خوانده مي‌شود، از مصاديق مطرب لهوي به حساب آيد و يا مستلزم مفاسدي باشد، جايز نيست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در نتيجه، اولاً، عدّه‌اي از مراجع آن را در همه‌ي موارد حرام دانسته و برخي حرمت را مشروط به مطرب و غنايي بودن نموده‌اند و هر فردي بايد به تقليد از مرجع خود عمل نمايند؛ و طرح اين مسئله، به صورت نظر عام ديني، كه توسط ايشان صورت گرفته است، صحيح نمي‌باشد؛ ثانياً، در صورتي هم كه موسيقي مباح باشد، با توجّه به آموزه‌هاي ديني و علمي، هيچ دليلي بر ترويج و تبليغ گسترده‌ي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نوشتار را با كلامي از امام راحل به پايان مي‌بريم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نبايد دستگاه تلويزيون جوري باشد كه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موسيقي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عذر نيست كه اگر موسيقي نباشد در راديو، آنها مي‌روند از جاي ديگري موسيقي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از جاي ديگر مي‌گيرند، ما بايد به آنها موسيقي بدهيم؟ ما بايد خيانت كنيم؟</w:t>
      </w:r>
      <w:r>
        <w:rPr>
          <w:rStyle w:val="FootnoteAnchor"/>
          <w:rtl w:val="true"/>
        </w:rPr>
        <w:footnoteReference w:id="90"/>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اميد روزي كه همه‌ي هنرمندان و مسؤولين فرهنگي، با توجّه به تعاليم ديني، راه سعادت و اعتدال را بپيمايند و سعادت خود و جامعه را رقم زنند</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 w:name="pg14788_158390"/>
      <w:bookmarkStart w:id="155" w:name="pg14788_158390"/>
      <w:bookmarkEnd w:id="155"/>
    </w:p>
    <w:p>
      <w:pPr>
        <w:pStyle w:val="Heading2"/>
        <w:numPr>
          <w:ilvl w:val="1"/>
          <w:numId w:val="1"/>
        </w:numPr>
        <w:rPr/>
      </w:pPr>
      <w:bookmarkStart w:id="156" w:name="pg14788_158390"/>
      <w:bookmarkStart w:id="157" w:name="__RefHeading___Toc1764317_730472459"/>
      <w:bookmarkStart w:id="158" w:name="_Toc55"/>
      <w:bookmarkEnd w:id="156"/>
      <w:bookmarkEnd w:id="157"/>
      <w:r>
        <w:rPr>
          <w:rtl w:val="true"/>
        </w:rPr>
        <w:t>مقاله مورد نقد</w:t>
      </w:r>
      <w:r>
        <w:rPr>
          <w:rtl w:val="true"/>
        </w:rPr>
        <w:t xml:space="preserve">: </w:t>
      </w:r>
      <w:r>
        <w:rPr>
          <w:rtl w:val="true"/>
        </w:rPr>
        <w:t>آمريكا ستيزي سال‌هاست كه به نفع آمريكاست</w:t>
      </w:r>
      <w:bookmarkEnd w:id="158"/>
    </w:p>
    <w:p>
      <w:pPr>
        <w:pStyle w:val="Heading3"/>
        <w:numPr>
          <w:ilvl w:val="2"/>
          <w:numId w:val="1"/>
        </w:numPr>
        <w:rPr/>
      </w:pPr>
      <w:bookmarkStart w:id="159" w:name="__RefHeading___Toc1764319_730472459"/>
      <w:bookmarkStart w:id="160" w:name="_Toc56"/>
      <w:bookmarkEnd w:id="159"/>
      <w:r>
        <w:rPr>
          <w:rtl w:val="true"/>
        </w:rPr>
        <w:t>اشاره</w:t>
      </w:r>
      <w:bookmarkEnd w:id="160"/>
    </w:p>
    <w:p>
      <w:pPr>
        <w:pStyle w:val="BookText"/>
        <w:rPr/>
      </w:pPr>
      <w:r>
        <w:rPr>
          <w:rFonts w:ascii="Amiri" w:hAnsi="Amiri" w:eastAsia="Amiri" w:cs="Amiri"/>
          <w:color w:val="111111"/>
          <w:sz w:val="28"/>
          <w:sz w:val="28"/>
          <w:szCs w:val="28"/>
          <w:rtl w:val="true"/>
          <w:lang w:bidi="ar-SA"/>
        </w:rPr>
        <w:t>آمريكا ستيزي سال‌هاست كه به نفع آمريكاست</w:t>
      </w:r>
      <w:r>
        <w:rPr>
          <w:rStyle w:val="FootnoteAnchor"/>
          <w:rtl w:val="true"/>
        </w:rPr>
        <w:footnoteReference w:id="91"/>
      </w:r>
    </w:p>
    <w:p>
      <w:pPr>
        <w:pStyle w:val="Heading3"/>
        <w:numPr>
          <w:ilvl w:val="2"/>
          <w:numId w:val="1"/>
        </w:numPr>
        <w:rPr/>
      </w:pPr>
      <w:bookmarkStart w:id="161" w:name="__RefHeading___Toc1764321_730472459"/>
      <w:bookmarkStart w:id="162" w:name="_Toc57"/>
      <w:bookmarkEnd w:id="161"/>
      <w:r>
        <w:rPr>
          <w:rtl w:val="true"/>
        </w:rPr>
        <w:t>چكيده</w:t>
      </w:r>
      <w:r>
        <w:rPr>
          <w:rtl w:val="true"/>
        </w:rPr>
        <w:t>:</w:t>
      </w:r>
      <w:bookmarkEnd w:id="162"/>
    </w:p>
    <w:p>
      <w:pPr>
        <w:pStyle w:val="BookText"/>
        <w:rPr/>
      </w:pPr>
      <w:r>
        <w:rPr>
          <w:rFonts w:ascii="IRNazanin" w:hAnsi="IRNazanin" w:eastAsia="IRNazanin"/>
          <w:color w:val="111111"/>
          <w:sz w:val="28"/>
          <w:sz w:val="28"/>
          <w:szCs w:val="28"/>
          <w:rtl w:val="true"/>
          <w:lang w:bidi="fa-IR"/>
        </w:rPr>
        <w:t>در اين گفت‌وگو، در مورد مسئله‌ي ايران و آمريكا چنين وانمود شده كه عدم رابطه با آمريكا برخلاف منافع ملي ايران، و ستيز با امريكا به نفع غرب و ايالات متحده است</w:t>
      </w:r>
      <w:r>
        <w:rPr>
          <w:rFonts w:eastAsia="IRNazanin" w:cs="IRNazanin"/>
          <w:color w:val="111111"/>
          <w:sz w:val="28"/>
          <w:szCs w:val="28"/>
          <w:rtl w:val="true"/>
          <w:lang w:bidi="fa-IR"/>
        </w:rPr>
        <w:t>.</w:t>
      </w:r>
    </w:p>
    <w:p>
      <w:pPr>
        <w:pStyle w:val="Heading3"/>
        <w:numPr>
          <w:ilvl w:val="2"/>
          <w:numId w:val="1"/>
        </w:numPr>
        <w:rPr/>
      </w:pPr>
      <w:bookmarkStart w:id="163" w:name="__RefHeading___Toc1764323_730472459"/>
      <w:bookmarkStart w:id="164" w:name="_Toc58"/>
      <w:bookmarkEnd w:id="163"/>
      <w:r>
        <w:rPr>
          <w:rtl w:val="true"/>
        </w:rPr>
        <w:t>نقد و بررسي</w:t>
      </w:r>
      <w:r>
        <w:rPr>
          <w:rtl w:val="true"/>
        </w:rPr>
        <w:t xml:space="preserve">: </w:t>
      </w:r>
      <w:r>
        <w:rPr>
          <w:rtl w:val="true"/>
        </w:rPr>
        <w:t>منافع آمريكا در چالش روابط مخاصمه‌آميز با ايران</w:t>
      </w:r>
      <w:bookmarkEnd w:id="164"/>
    </w:p>
    <w:p>
      <w:pPr>
        <w:pStyle w:val="BookText"/>
        <w:rPr/>
      </w:pPr>
      <w:r>
        <w:rPr>
          <w:rFonts w:ascii="Amiri" w:hAnsi="Amiri" w:eastAsia="Amiri" w:cs="Amiri"/>
          <w:color w:val="111111"/>
          <w:sz w:val="28"/>
          <w:sz w:val="28"/>
          <w:szCs w:val="28"/>
          <w:rtl w:val="true"/>
          <w:lang w:bidi="ar-SA"/>
        </w:rPr>
        <w:t>عباس بصير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گفت‌وگويي كه با آقاي ابراهيم نبوي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آمريكا ستيزي سال‌هاست كه به نفع آمريكاست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چنين وانمود شده است كه نداشتن رابطه‌ي با آمريكا، برخلاف منافع ملي ايران، و ستيز با </w:t>
      </w:r>
    </w:p>
    <w:p>
      <w:pPr>
        <w:pStyle w:val="BookText"/>
        <w:rPr/>
      </w:pPr>
      <w:r>
        <w:rPr>
          <w:rFonts w:ascii="IRNazanin" w:hAnsi="IRNazanin" w:eastAsia="IRNazanin"/>
          <w:color w:val="111111"/>
          <w:sz w:val="28"/>
          <w:sz w:val="28"/>
          <w:szCs w:val="28"/>
          <w:rtl w:val="true"/>
          <w:lang w:bidi="fa-IR"/>
        </w:rPr>
        <w:t>آمريكا، به نفع غرب و ايالات متحده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نوشته‌ي زير در نقدي بر گفت‌و‌گوي مذكور، با نگاهي كوتاه به منافع آمريكا در جهان و منطقه، بر نقش جمهوري اسلامي ايران در نظام روابط بين‌الملل تأكيد نموده است و مناسبات مخاصمه‌آميز بين آمريكا و ايران را چالش بزرگي در راه منافع آمريكا تلقي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يك جمع‌بندي كلّي، منافع آمريكا در مناطق حساس و مهم جهان از اين قرارند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منافع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تسلط بر محيط امنيتي اروپا، شرق آسيا، خاورميانه و خليج فارس؛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منافع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دست‌رسي به بازارهاي اروپا، شرق و جنوب شرق آسيا، خاورميانه و خليج فارس، كنترل منابع و مسيرهاي انتقال انرژي، و در صورت لزوم، امكان استفاده از آنها به عنوان ابزاري عليه كشورهاي متخاصم؛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منافع ايدئولوژيكي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حاكميت نظام‌هاي سياسي و اقتصادي و فرهنگي باز به اروپاي مركزي و شرقي، شوروي سابق، شرق و جنوب شرق آسيا، و تداوم حاكميت حكومت‌هاي غرب‌گرا، در كشورهايي كه فضاي باز سياسي به منافع امنيتي و اقتصادي آمريكا لطمه نزند؛ همانند بسياري از كشورهاي خاورميانه و خليج فارس</w:t>
      </w:r>
      <w:r>
        <w:rPr>
          <w:rFonts w:eastAsia="IRNazanin" w:cs="IRNazanin"/>
          <w:color w:val="111111"/>
          <w:sz w:val="28"/>
          <w:szCs w:val="28"/>
          <w:rtl w:val="true"/>
          <w:lang w:bidi="fa-IR"/>
        </w:rPr>
        <w:t>.</w:t>
      </w:r>
      <w:r>
        <w:rPr>
          <w:rStyle w:val="FootnoteAnchor"/>
          <w:rtl w:val="true"/>
        </w:rPr>
        <w:footnoteReference w:id="92"/>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منافع ملي، ستاره‌ي راه‌نماي كشورها در حوزه‌ي سياست خارجي تلقي مي‌شود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نيكسون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منافع ملي را به منافع حياتي، منافع اصلي و </w:t>
      </w:r>
    </w:p>
    <w:p>
      <w:pPr>
        <w:pStyle w:val="BookText"/>
        <w:rPr/>
      </w:pPr>
      <w:r>
        <w:rPr>
          <w:rFonts w:ascii="IRNazanin" w:hAnsi="IRNazanin" w:eastAsia="IRNazanin"/>
          <w:color w:val="111111"/>
          <w:sz w:val="28"/>
          <w:sz w:val="28"/>
          <w:szCs w:val="28"/>
          <w:rtl w:val="true"/>
          <w:lang w:bidi="fa-IR"/>
        </w:rPr>
        <w:t>منافع جانبي تقسيم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حياتي دربرگيرنده‌ي مباني ارزشي در ساختار هر كشور و نظام سياسي است، از جمله شاخص‌هاي منافع حياتي مي‌توان به امنيت مرزها، مقابله با تهديدات نظامي و تأمين نيازهاي استراتژيك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دست‌رسي به مواد خام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خليج فارس، از جنگ جهاني دوّم تاكنون، همواره به عنوان بخشي از منافع حياتي و حوزه‌ي امنيت ملي ايالات متحده محسوب مي‌شده است</w:t>
      </w:r>
      <w:r>
        <w:rPr>
          <w:rFonts w:eastAsia="IRNazanin" w:cs="IRNazanin"/>
          <w:color w:val="111111"/>
          <w:sz w:val="28"/>
          <w:szCs w:val="28"/>
          <w:rtl w:val="true"/>
          <w:lang w:bidi="fa-IR"/>
        </w:rPr>
        <w:t>.</w:t>
      </w:r>
      <w:r>
        <w:rPr>
          <w:rStyle w:val="FootnoteAnchor"/>
          <w:rtl w:val="true"/>
        </w:rPr>
        <w:footnoteReference w:id="9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ذخاير نفتي منطقه‌ي خليج فارس و نيازهاي كشورهاي صنعتي به آنها، عامل اصلي اهمّيّت منطقه و توجّه قدرت‌هاي بزرگ به آن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اين منطقه باعث شد كه قدرت‌هاي رقيب دوران جنگ سرد، متوجه فعل و انفعالات داخلي و حاشيه‌اي آن شوند و خليج فارس به يكي از مناطق چالش بر انگيز در رفتار متقابل قدرت‌هاي بزرگ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ايالات متحده، خليج‌فارس را به عنوان بخشي از منافع حياتي خود تلقّي مي‌كرد؛ ولي به علت وجود قدرت‌هاي تأثيرگذاري چون شوروي، برخورد آمريكا احتياط‌آميز و مبتني بر احترام متقابل بود؛ امّا بعد از جنگ سرد، خليج‌فارس در صدر اولويت‌هاي منطقه‌اي سياست خارجي آمريكا قرار گرفت و اين كشور با قدرت تمام و با به كارگيري الگوي امنيت تك‌قطبي، وارد خليج فارس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استراتژي ايالت متحده در دوران بعد از جنگ سرد بر گسترش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Enlargment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قرار گرفته است، كه براساس آن، هر تحولي </w:t>
      </w:r>
    </w:p>
    <w:p>
      <w:pPr>
        <w:pStyle w:val="BookText"/>
        <w:rPr/>
      </w:pPr>
      <w:r>
        <w:rPr>
          <w:rFonts w:ascii="Amiri" w:hAnsi="Amiri" w:eastAsia="Amiri" w:cs="Amiri"/>
          <w:color w:val="111111"/>
          <w:sz w:val="28"/>
          <w:sz w:val="28"/>
          <w:szCs w:val="28"/>
          <w:rtl w:val="true"/>
          <w:lang w:bidi="ar-SA"/>
        </w:rPr>
        <w:t>مي‌بايست براي تحقق اهداف سياسي و منافع منطقه‌اي آمريكا به انجام برسد</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 xml:space="preserve">سياست امنيت تك قطبي در خليج‌فارس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بازتاب ظهور نظم نوين جهاني و تلاش آمريكا‌يي‌ها براي نهادينه كردن آن در شرايط تاريخي بعد از جنگ سرد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راستاي اين استراتژي به كار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 در عين اين‌كه امنيت و ثبات را در خليج‌فارس، در راستاي منافع منطقه‌اي آمريكا تأمين مي‌كند، اين كشور را به برخي از اهداف منطقه‌اي آن در خاورميانه نيز نائل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تسريع در روند صلح اعراب و اسراييل و بي‌اثرسازي جنبش‌هاي اسلامي در خاورميانه و شمال آفريقا، يكي از اهداف اساسي در دوران بعد از جنگ سرد تلقّي مي‌شود، آمريكايي‌ها در صدد‌ند با بهره‌گيري از ابزارهاي نظامي و سياست و امنيت تك‌قطبي در خليج‌فارس، امنيت كشورهاي محافظه‌كار خليج‌فارس و خاورميانه را فراهم آورند تا مقاومت كشورهاي خط مقدم نبرد با اسراييل را تحت تأثير قرار دهد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روند فوق را مي‌توان در دوران بعد از جنگ دوّم خليج فارس به گونه‌ي مشهودتري مورد توجّه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مهم‌ترين هدف سياست خارجي آمريكا شناسايي كامل اسراييل و انعقاد قرارداد صلح بين گروه‌هاي متخاصم بود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در يك جمع‌بندي كلّي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و امنيت نظامي، سياسي و بازرگاني ايالت متحده، استقرار ثبات و نظم را در كمربندي از سرزمين‌هايي كه از كازابلانكا تا هند و ماوراي </w:t>
      </w:r>
    </w:p>
    <w:p>
      <w:pPr>
        <w:pStyle w:val="BookText"/>
        <w:rPr/>
      </w:pPr>
      <w:r>
        <w:rPr>
          <w:rFonts w:ascii="IRNazanin" w:hAnsi="IRNazanin" w:eastAsia="IRNazanin"/>
          <w:color w:val="111111"/>
          <w:sz w:val="28"/>
          <w:sz w:val="28"/>
          <w:szCs w:val="28"/>
          <w:rtl w:val="true"/>
          <w:lang w:bidi="fa-IR"/>
        </w:rPr>
        <w:t>آن گسترده است و جهان اسلام و هندو را تشكيل مي‌دهد، ايجاب مي‌كند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استراتژي گسترش و سياست امنيت تك‌قطبي آمريكا در خليج‌فارس پيامدهاي زيادي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اين پيامدها، اصطكاك ايالات متحده با جمهوري اسلامي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كشوري مهم در منطقه و حوزه‌ي خليج‌فارس است و هر موضع آن مي‌تواند در نظام بين‌الملل تأثيرگذار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جايگاه بر سياست‌مداران غربي، به ويژه آمريكا، مخفي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بارها بر نقش ايران در تأمين منافع غرب در منطقه، تأكيد داشته و براي جلب همكاري اين كشور، سرمايه‌گذاري‌هاي زيادي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سخن هارولد مك ميلان، نخست وزير اسبق انگليس را كه در آستانه‌ي سقوط رژيم شاه گفت كه</w:t>
      </w:r>
    </w:p>
    <w:p>
      <w:pPr>
        <w:pStyle w:val="BookText"/>
        <w:rPr/>
      </w:pPr>
      <w:r>
        <w:rPr>
          <w:rFonts w:ascii="IRNazanin" w:hAnsi="IRNazanin" w:eastAsia="IRNazanin"/>
          <w:color w:val="111111"/>
          <w:sz w:val="28"/>
          <w:sz w:val="28"/>
          <w:szCs w:val="28"/>
          <w:rtl w:val="true"/>
          <w:lang w:bidi="fa-IR"/>
        </w:rPr>
        <w:t>اگر ايران سقوط كند معناي ديگري جز پايان همه چيز نخواهد بود</w:t>
      </w:r>
      <w:r>
        <w:rPr>
          <w:rFonts w:eastAsia="IRNazanin" w:cs="IRNazanin"/>
          <w:color w:val="111111"/>
          <w:sz w:val="28"/>
          <w:szCs w:val="28"/>
          <w:rtl w:val="true"/>
          <w:lang w:bidi="fa-IR"/>
        </w:rPr>
        <w:t>.</w:t>
      </w:r>
      <w:r>
        <w:rPr>
          <w:rStyle w:val="FootnoteAnchor"/>
          <w:rtl w:val="true"/>
        </w:rPr>
        <w:footnoteReference w:id="97"/>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توجّه قرار دهيم، درخواهيم يافت كه رابطه‌ي همكاري بين ايران و غرب، به ويژه آمريكا، براي اين كشورها بسيار، مهم و حياتي است، ولي برخوردهاي يك جانبه‌ي آمريكا در نظام بين‌المللي، به خصوص در خليج‌فارس، باعث شد كه بين ايران و آمريكا تقابلي جدّي ايجاد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واكنش ايران در مقابل ايالات متحده، بنيان‌هاي ايدئولوژيك، ژئوپليتيكي و تاريخي دارد</w:t>
      </w:r>
      <w:r>
        <w:rPr>
          <w:rFonts w:eastAsia="IRNazanin" w:cs="IRNazanin"/>
          <w:color w:val="111111"/>
          <w:sz w:val="28"/>
          <w:szCs w:val="28"/>
          <w:rtl w:val="true"/>
          <w:lang w:bidi="fa-IR"/>
        </w:rPr>
        <w:t xml:space="preserve">. </w:t>
      </w:r>
      <w:bookmarkStart w:id="165" w:name="pg14788_158395"/>
    </w:p>
    <w:p>
      <w:pPr>
        <w:pStyle w:val="Heading3"/>
        <w:numPr>
          <w:ilvl w:val="2"/>
          <w:numId w:val="1"/>
        </w:numPr>
        <w:rPr/>
      </w:pPr>
      <w:bookmarkStart w:id="166" w:name="__RefHeading___Toc1764325_730472459"/>
      <w:bookmarkStart w:id="167" w:name="_Toc59"/>
      <w:bookmarkEnd w:id="165"/>
      <w:bookmarkEnd w:id="166"/>
      <w:r>
        <w:rPr>
          <w:rtl w:val="true"/>
        </w:rPr>
        <w:t>بنيان‌هاي تقابل ايران و آمريكا</w:t>
      </w:r>
      <w:bookmarkEnd w:id="1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ايدئولوژي سياسي جمهوري اسلامي ايران مبتني بر نفي سلطه و مقابله با توسعه‌طلبي قدرت‌هاي بزرگ است و بر صدور آرمان‌ها و ارزش‌هاي انقلاب اسلامي تأكيد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ژئوپليتيكي ايران نيز به گونه‌اي است كه هر نوع حضور و مداخله‌ي خارجي در خليج‌فارس را در تعارض با منافع امنيتي خود تلقّي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سواحل طولاني، تسلط بر نقاط استراتژيك در منطقه، از جمله تنگه‌ي هرمز، و بهره‌گيري از جزايري كه سپر دفاعي تلقّي مي‌گردند، شرايط و شاخص‌هاي ژئوپليتيكي ايران را افزايش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تاريخي نيز عواملي وجود دارد كه حساسيت ايران را نسبت به ايالات متحده بر مي‌انگيزد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همه‌ي اين شاخص‌ها موجب مي‌شود كه ايران حضور آمريكا در منطقه را بحران‌آفرين تلقّي كند و در برابر آن موضع منفي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شاخص‌هايي كه در مورد اهداف و منافع ملي آمريكا و ايران ذكر شد، اين تعارض را طبيعي مي‌نمايد و اين تعارض، چالش جدّي را در برابر منافع و اهداف امنيتي، اقتصادي، سياسي و ايدئولوژيكي آمريكا در منطقه ايجاد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نمونه‌اي از اين چالش را در خاورميانه شاهديم؛ حمايت جدّي ايران از مقاومت لبنان و فلسطين، ضمن اين‌كه نقش منطقه‌اي اين كشور را بالا مي‌برد، مانع عمده‌اي در راه تلاش‌هاي صلح آمريكا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گذشت، تسريع روند صلح اعراب و اسراييل، از اهداف عمده‌ي ايالات متحده در منطقه محسوب مي‌شود كه با منافع حياتي اين كشور ارتباط </w:t>
      </w:r>
    </w:p>
    <w:p>
      <w:pPr>
        <w:pStyle w:val="BookText"/>
        <w:rPr/>
      </w:pPr>
      <w:r>
        <w:rPr>
          <w:rFonts w:ascii="IRNazanin" w:hAnsi="IRNazanin" w:eastAsia="IRNazanin"/>
          <w:color w:val="111111"/>
          <w:sz w:val="28"/>
          <w:sz w:val="28"/>
          <w:szCs w:val="28"/>
          <w:rtl w:val="true"/>
          <w:lang w:bidi="fa-IR"/>
        </w:rPr>
        <w:t>مستقيم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روند كند شود، اين منافع آمريكا در منطقه ضربه مي‌خورد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براين اساس است كه استراتژيست‌هاي آمريكايي نيز، ايران را مهم‌ترين چالش منطقه‌اي عليه آمريكا تلقّي نموده‌اند و اظهار مي‌دارند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ايران در تقابل با نظم و ثبات منطقه است و اين كشور از ابزارها و رويه‌هاي غيرمستقيم، همانند براندازي و بي‌ثبات‌سازي حكومت كشورهاي عضو شوراي همكاري خليج‌فارس، بهره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روند، ايالات متحده و كشورهاي متحد آن در جنگ خليج فارس، با وضعيت مبهمي روبه‌رو شده‌اند، به گونه‌اي كه در اين شرايط، پاسخ واكنش آنها نسبت به اقدامات محدود كننده در ايران، در خليج فارس مبهم به نظر مي‌رسد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چيزي كه بر اين ابهام مي‌افزايد،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 تنش‌زدايي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سال‌هاي اخير از سوي جمهوري اسلامي تعقيب مي‌شود اين سياست كه مبتني بر گفت‌و‌گو و تفاهم است، در عين اين‌كه ايران را از انزواي سياسي بيرون مي‌كشد، براي آمريكا نيز در جهت مقابله با ايران، به ويژه مقابله‌ي نظامي، محدوديت ايجاد مي‌نمايد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 جريان رابطه‌ي مخاصمه‌آميز آمريكا و ايران، تنها ايران نيست كه با مشكلات عديده‌اي مواجه مي‌گردد، بلكه منافع آمريكا نيز در منطقه به چالش كشيده مي‌شود و اين، مشكلي است كه از ناحيه‌ي خود آمريكايي‌ها ايجاد شده است؛ سياست استيلاطلبانه‌ي آمريكا در منطقه و نگاه يك‌سويه‌ي اين كشور به ايران، مهم‌ترين عامل تقابل و دوري ايران و آمريكا بوده است؛ چرا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روحيه‌ي استقلال‌طلبي ملّت ايران اين سياست را بر نمي‌تابد و تا زماني كه آمريكا با چنين منشي در حوزه‌ي سياست بين‌الملل عمل مي‌كند، ديوار بلند بي‌اعتمادي بين ايران و آمريكا كه در طول سال‌هاي متمادي ايجاد شده است هم‌چنان باقي و پابرجا خواهد بود</w:t>
      </w:r>
      <w:r>
        <w:rPr>
          <w:rFonts w:eastAsia="IRNazanin" w:cs="IRNazanin"/>
          <w:color w:val="111111"/>
          <w:sz w:val="28"/>
          <w:szCs w:val="28"/>
          <w:rtl w:val="true"/>
          <w:lang w:bidi="fa-IR"/>
        </w:rPr>
        <w:t xml:space="preserve">. </w:t>
      </w:r>
      <w:bookmarkStart w:id="168" w:name="pg14788_158398"/>
    </w:p>
    <w:p>
      <w:pPr>
        <w:pStyle w:val="Heading2"/>
        <w:numPr>
          <w:ilvl w:val="1"/>
          <w:numId w:val="1"/>
        </w:numPr>
        <w:rPr/>
      </w:pPr>
      <w:bookmarkStart w:id="169" w:name="__RefHeading___Toc1764327_730472459"/>
      <w:bookmarkStart w:id="170" w:name="_Toc60"/>
      <w:bookmarkEnd w:id="168"/>
      <w:bookmarkEnd w:id="169"/>
      <w:r>
        <w:rPr>
          <w:rtl w:val="true"/>
        </w:rPr>
        <w:t>مقاله مورد نقد</w:t>
      </w:r>
      <w:r>
        <w:rPr>
          <w:rtl w:val="true"/>
        </w:rPr>
        <w:t xml:space="preserve">: </w:t>
      </w:r>
      <w:r>
        <w:rPr>
          <w:rtl w:val="true"/>
        </w:rPr>
        <w:t>نقدي بر دموكراسي ديني</w:t>
      </w:r>
      <w:bookmarkEnd w:id="170"/>
    </w:p>
    <w:p>
      <w:pPr>
        <w:pStyle w:val="Heading3"/>
        <w:numPr>
          <w:ilvl w:val="2"/>
          <w:numId w:val="1"/>
        </w:numPr>
        <w:rPr/>
      </w:pPr>
      <w:bookmarkStart w:id="171" w:name="__RefHeading___Toc1764329_730472459"/>
      <w:bookmarkStart w:id="172" w:name="_Toc61"/>
      <w:bookmarkEnd w:id="171"/>
      <w:r>
        <w:rPr>
          <w:rtl w:val="true"/>
        </w:rPr>
        <w:t>اشاره</w:t>
      </w:r>
      <w:bookmarkEnd w:id="172"/>
    </w:p>
    <w:p>
      <w:pPr>
        <w:pStyle w:val="BookText"/>
        <w:rPr/>
      </w:pPr>
      <w:r>
        <w:rPr>
          <w:rFonts w:ascii="Amiri" w:hAnsi="Amiri" w:eastAsia="Amiri" w:cs="Amiri"/>
          <w:color w:val="111111"/>
          <w:sz w:val="28"/>
          <w:sz w:val="28"/>
          <w:szCs w:val="28"/>
          <w:rtl w:val="true"/>
          <w:lang w:bidi="ar-SA"/>
        </w:rPr>
        <w:t>نقدي بر دموكراسي ديني</w:t>
      </w:r>
      <w:r>
        <w:rPr>
          <w:rStyle w:val="FootnoteAnchor"/>
          <w:rtl w:val="true"/>
        </w:rPr>
        <w:footnoteReference w:id="99"/>
      </w:r>
    </w:p>
    <w:p>
      <w:pPr>
        <w:pStyle w:val="Heading3"/>
        <w:numPr>
          <w:ilvl w:val="2"/>
          <w:numId w:val="1"/>
        </w:numPr>
        <w:rPr/>
      </w:pPr>
      <w:bookmarkStart w:id="173" w:name="__RefHeading___Toc1764331_730472459"/>
      <w:bookmarkStart w:id="174" w:name="_Toc62"/>
      <w:bookmarkEnd w:id="173"/>
      <w:r>
        <w:rPr>
          <w:rtl w:val="true"/>
        </w:rPr>
        <w:t>چكيده</w:t>
      </w:r>
      <w:r>
        <w:rPr>
          <w:rtl w:val="true"/>
        </w:rPr>
        <w:t>:</w:t>
      </w:r>
      <w:bookmarkEnd w:id="174"/>
    </w:p>
    <w:p>
      <w:pPr>
        <w:pStyle w:val="BookText"/>
        <w:rPr/>
      </w:pPr>
      <w:r>
        <w:rPr>
          <w:rFonts w:ascii="IRNazanin" w:hAnsi="IRNazanin" w:eastAsia="IRNazanin"/>
          <w:color w:val="111111"/>
          <w:sz w:val="28"/>
          <w:sz w:val="28"/>
          <w:szCs w:val="28"/>
          <w:rtl w:val="true"/>
          <w:lang w:bidi="fa-IR"/>
        </w:rPr>
        <w:t xml:space="preserve">نويسنده در اين مقاله با روشن گرفتن مفهوم دموكراسي و تلقي آن به منزله‌ي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 و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نتيجه، رد امكان توصيف حد بينابيني براي آن و بيان اختلاف قرائت از دين در دو چارچوب سنتي و مدرن، ضمن نقد دموكراسي ديني بر تناقض دين با دموكراسي تأكيد كرده و در نتيجه، اشكالات متعددي را بر بنيان‌هاي نظريه‌ي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مردم‌سالاري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داشته و بر عدم توفيق آن در عرصه‌ي عمل تكيه كرده است</w:t>
      </w:r>
      <w:r>
        <w:rPr>
          <w:rFonts w:eastAsia="IRNazanin" w:cs="IRNazanin"/>
          <w:color w:val="111111"/>
          <w:sz w:val="28"/>
          <w:szCs w:val="28"/>
          <w:rtl w:val="true"/>
          <w:lang w:bidi="fa-IR"/>
        </w:rPr>
        <w:t>.</w:t>
      </w:r>
    </w:p>
    <w:p>
      <w:pPr>
        <w:pStyle w:val="Heading3"/>
        <w:numPr>
          <w:ilvl w:val="2"/>
          <w:numId w:val="1"/>
        </w:numPr>
        <w:rPr/>
      </w:pPr>
      <w:bookmarkStart w:id="175" w:name="__RefHeading___Toc1764333_730472459"/>
      <w:bookmarkStart w:id="176" w:name="_Toc63"/>
      <w:bookmarkEnd w:id="175"/>
      <w:r>
        <w:rPr>
          <w:rtl w:val="true"/>
        </w:rPr>
        <w:t>نقد و بررسي</w:t>
      </w:r>
      <w:r>
        <w:rPr>
          <w:rtl w:val="true"/>
        </w:rPr>
        <w:t xml:space="preserve">: </w:t>
      </w:r>
      <w:r>
        <w:rPr>
          <w:rtl w:val="true"/>
        </w:rPr>
        <w:t>مردم‌سالاري ديني نه دموكراسي است و نه استبداد</w:t>
      </w:r>
      <w:bookmarkEnd w:id="176"/>
    </w:p>
    <w:p>
      <w:pPr>
        <w:pStyle w:val="BookText"/>
        <w:rPr/>
      </w:pPr>
      <w:r>
        <w:rPr>
          <w:rFonts w:ascii="Amiri" w:hAnsi="Amiri" w:eastAsia="Amiri" w:cs="Amiri"/>
          <w:color w:val="111111"/>
          <w:sz w:val="28"/>
          <w:sz w:val="28"/>
          <w:szCs w:val="28"/>
          <w:rtl w:val="true"/>
          <w:lang w:bidi="ar-SA"/>
        </w:rPr>
        <w:t>محمد ملك‌زاده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مقاله‌اي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نقدي بر دموكراسي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آقاي رضا دلبري در روزنامه‌ي مردم سالاري به چاپ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نويسنده در آن ضمن طرح </w:t>
      </w:r>
    </w:p>
    <w:p>
      <w:pPr>
        <w:pStyle w:val="BookText"/>
        <w:rPr/>
      </w:pPr>
      <w:r>
        <w:rPr>
          <w:rFonts w:ascii="IRNazanin" w:hAnsi="IRNazanin" w:eastAsia="IRNazanin"/>
          <w:color w:val="111111"/>
          <w:sz w:val="28"/>
          <w:sz w:val="28"/>
          <w:szCs w:val="28"/>
          <w:rtl w:val="true"/>
          <w:lang w:bidi="fa-IR"/>
        </w:rPr>
        <w:t>مسئله‌ي دموكراسي ديني و نقد آن، بر تناقض دين با دموكراسي تأكيد دارد كه از جهاتي قابل بررسي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مقدمتاً خاطرنشان مي‌شود كه بحث درباره‌ي دموكراسي و نظام‌هاي مدني غرب و قابليت انطباق آن با بستر شريعت ديني، قدمتي ديرينه دارد و به زمان آشنايي مسلمانان با آراي افلاطون و ارسطو و نظريه‌ي حكومت‌هاي چهارگانه‌ي اريستوكراسي، دموكراسي، اليگارشي و تيراني باز مي‌گردد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در جهان اسلام، با توجّه به چالش‌هاي نظامي و سياسي عثماني با كشورهاي اروپايي در چند سده‌ي اخير و وجود طبقه‌ي تحصيل كرده‌ي مصري، سوري و ترك در ممالك اروپايي، بحث تطبيق دموكراسي با دين با شدّت بيش‌تري مطرح گرديد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در طول اين دوران همواره دو ديدگاه كلّي درباره ي ارتباط شريعت و حكومت دموكراتيك وجود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سازگاري دموكراسي با حاكميت ديني؛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سازگاري دموكراسي با حاكميت ديني</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هر دو ديدگاه همواره هواداراني از هر دو گروه انديشمندان مذهبي و لائيك داشته است؛</w:t>
      </w:r>
      <w:r>
        <w:rPr>
          <w:rStyle w:val="FootnoteAnchor"/>
          <w:rtl w:val="true"/>
        </w:rPr>
        <w:footnoteReference w:id="103"/>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هر گروه با ديد خاصي به واقعيت اين </w:t>
      </w:r>
    </w:p>
    <w:p>
      <w:pPr>
        <w:pStyle w:val="BookText"/>
        <w:rPr/>
      </w:pPr>
      <w:r>
        <w:rPr>
          <w:rFonts w:ascii="IRNazanin" w:hAnsi="IRNazanin" w:eastAsia="IRNazanin"/>
          <w:color w:val="111111"/>
          <w:sz w:val="28"/>
          <w:sz w:val="28"/>
          <w:szCs w:val="28"/>
          <w:rtl w:val="true"/>
          <w:lang w:bidi="fa-IR"/>
        </w:rPr>
        <w:t>مسئله توجّه داشته‌اند و پاسخ هر دسته ناظر به بخشي از اصول دين و دموكراسي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قايلين به انطباق دموكراسي با دين، وجوه مشترك دين و دموكراسي را مدّنظر داشته‌اند و هرگز نخواسته‌اند دين را با مفهوم دموكراسي به معناي مدرن و غربي آن تطابق دهند؛، زيرا نظام دموكراسي، علي‌رغم داشتن نكات مثبت، تناقضات و معايب عديده‌اي نيز با خود دارد كه در تضاد با دين است؛ و آن دسته كه معتقد به عدم سازگاري دين با دموكراسي شده‌اند نيز، به همين ابعاد نامطلوب و تناقض در دموكراسي نظر داشته‌اند؛ تناقضاتي كه حتّي بسياري از خود نظريه‌پردازان غربي هم به آن اعتراف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رابرت ميخلز،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 سياسي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دموكراسي را روندي براي فريب توده‌ها توسط سلطه‌ي آهنين نخبه‌سالاران دموكراتيك توصيف مي‌كند</w:t>
      </w:r>
      <w:r>
        <w:rPr>
          <w:rFonts w:eastAsia="IRNazanin" w:cs="IRNazanin"/>
          <w:color w:val="111111"/>
          <w:sz w:val="28"/>
          <w:szCs w:val="28"/>
          <w:rtl w:val="true"/>
          <w:lang w:bidi="fa-IR"/>
        </w:rPr>
        <w:t>.</w:t>
      </w:r>
      <w:r>
        <w:rPr>
          <w:rStyle w:val="FootnoteAnchor"/>
          <w:rtl w:val="true"/>
        </w:rPr>
        <w:footnoteReference w:id="104"/>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اختلافات در دموكراسي، به دليل پيچيدگي و گستردگي مفهومي آن مي‌باشد، چيزي كه نگارنده‌ي مقاله‌ي مذكور در صدر به آن اشاره داشته است، لكن در ذيل مقاله، با چرخشي آشكار، دموكراسي را مفهومي كاملاً روشن و به منزله‌ي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 و 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حدّ بينابيني ندارد، توصيف كرده است و همين مسئله باعث شده است تا اشكالاتي را بر مردم‌سالاري ديني وارد بداند، كه در ذيل به اختصار به بررسي آنها مي‌پردازيم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ادعاي چالش دروني و ضعف نظريه‌ي مردم‌سالاري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اين ادعا، چارچوب كلّي اين نظريّه كاملاً روشن و محكم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مردم‌سالاري ديني، به لحاظ نظري، مبتني بر نظريّه‌ي حق حاكميت الهي و قانون‌گذاري براساس شريعت ديني مي‌باشد؛ بنابر اين نظريه، از آن‌جا كه دين به لحاظ آسماني بودن و اتصال به منبع وحي، مصون از خطاست و از آن‌جا كه مبناي اين نظريّه پيروي از حق است نه صرف اكثريت، لذا رأيِ اكثريت در چارچوب دين پذيرفتني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خواست اكثريت در مقام عمل و اجرا و نيز در جايي كه در تشخيص حق اختلاف‌نظر باشد تعيين كننده خواهد بود؛ لذا نمي‌توان نقش اكثريت را در نظام ديني ناديده انگاشت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ادعاي تعارض ذات دموكراسي با اصول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وقتي است كه دين را با دموكراسي مطلق و به مفهوم غربي ارزيابي كنيم؛ امّا قيد ديني تناقضات دموكراسي با دين را نفي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 مقيد ساختن دموكراسي را موجب نابوديِ آن دانست؛ زيرا در عالم خارج كم‌تر پديده‌اي يافت مي‌شود كه بدون قيد تحقق يابد؛ خصوصاً پديده‌اي چون دموكراسي با آن ابعاد پيچيده و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كشور را مي‌توان نام برد كه دموكراسي بدون قيد در آن عينيت يافته باشد؟ نابرابري، بي‌عدالتي و فقر، واقعيت‌هاي انكارناپذير جوامع مدعي دموكراسي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ادعاي نابرابري سياسي در دين و برتري‌جويي عده‌اي به صرف ادعاي دست‌يابي به منابع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 از اساس متزلزل است؛ زيرا در دين اسلام، راه نيل به مناصب حكومتي و كسب شرايط آن، براي همه‌ي افراد جامعه باز است و هيچ رهبر يا فقيه عادلي در نظام اسلامي، خود را برتر از ديگران نمي‌داند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همه‌ي افراد جامعه، از جمله عالي‌ترين مراجع ديني و حكومتي، در برابر قانون يكسان‌اند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برتري فقط به معناي مسؤوليت بيش‌تر فقيه عادل براي حفظ دين و قانون الهي است كه به لحاظ داشتن مشروعيت الهي و پذيرش جامعه، مي‌تواند اعمال ولايت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برتري به لحاظ حقوقي است، نه حقيقي، و در همه جاي دنيا حتّي حكومت‌هاي دموكراتيك نيز معمول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ادعاي قرباني شدن دموكراسي در تقابل با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پرسيد كه كدام دموكراسي؟ اگر منظور دموكراسي غربي با تمام معايب و تناقضات آن باشد، كه از ابتدا هم دين آن را نپذيرفته است؛ امّا دموكراسي ديني چيزي است كه هم جامع محاسن موجود در دموكراسي است و هم دين را حفظ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نمونه، تئوري ولايت فقيه است؛ زيرا از يك سو مبناي مشروعيت حكومت را در ماهيت ديني حكومت جست‌وجو مي‌كند و از طرف ديگر، مدل حكومتي به گونه‌اي طراحي شده است كه همه‌ي نهادهاي حكومتي، به </w:t>
      </w:r>
    </w:p>
    <w:p>
      <w:pPr>
        <w:pStyle w:val="BookText"/>
        <w:rPr/>
      </w:pPr>
      <w:r>
        <w:rPr>
          <w:rFonts w:ascii="IRNazanin" w:hAnsi="IRNazanin" w:eastAsia="IRNazanin"/>
          <w:color w:val="111111"/>
          <w:sz w:val="28"/>
          <w:sz w:val="28"/>
          <w:szCs w:val="28"/>
          <w:rtl w:val="true"/>
          <w:lang w:bidi="fa-IR"/>
        </w:rPr>
        <w:t>طور مستقيم يا غير مستقيم، با انتخابات و به صورت دموكراتيك برگزيده مي‌شوند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ادعاي محدود بودن مشاركت مردمي در انتخابات، در مردم‌سالاري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است كه حتّي در نظام‌هاي سياسي غرب نيز كسي نمي‌تواند ادعا كند حكومت، بازتابي از اراده‌ي مردم است؛ زيرا ميان مردم و نظام‌هاي سياسي، لايه‌هايي از رهبران حزبي و يا منافع طبقاتي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مكانيسم‌هاي استعماري هدايت افكار عمومي و تبليغات، به گونه‌اي عمل مي‌كنند كه امواج رأي مردم را به خدمت خود در مي‌آورند، بدون آن كه به خواست واقعي آنها توجه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درحقيقت در نظام‌هاي دموكراتيك، حاكم اصلي سرمايه‌داري و امپرياليزم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پروسه‌اي براي مشروعيت دادن به هواپرستي جمعي و سودجويي سرمايه‌داران صاحب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كسي ادعا ندارد كه در همه‌ي كشورهاي اسلامي، نظام مردم‌سالاري ديني حاكم است تا بگويد در اين كشورها از دموكراسي فقط به انتخابات آن توجّه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مردم‌سالاري ديني، آحاد مردم در قبال حكومت مسؤول‌اند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مكانيسم‌هاي مهم در زمينه‌ي مشاركت مردمي در نظام مردم‌سالاري ديني، مشاركت فعّال ايشان در امر نظارت مستمر و انتقادي بر حاكمان است، كه از طريق اصل امر به معروف و نهي از منكر اعمال مي‌شود، چيزي كه درهيچ نظام ديگري وجود ندارد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مقام معظم رهبري درباره‌ي تفاوت مردم‌سالاري ديني با دموكراسي به مفهوم غربيِ‌آن خاطرنشان مي‌كنند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مردم‌سالاري ديني به ريشه‌هاي دموكراسي غربي مطلقاً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ما دموكراسي غربي را بگيريم و به دين سنجاق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مردم‌سالاري متعلق به دين است و دو 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 آن عبارت است از اين كه شكل نظام به وسيله‌ي اراده و رأي مردم صورت بگيرد، يعني مردم نظام را انتخاب كنند، اين همان چيزي است كه غرب هم ادعاي آن را دارد ولي واقعيت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ديگر آن است كه پس از انتخاب، ما در قبال آنها وظايف جدّي و حقيقي داريم</w:t>
      </w:r>
      <w:r>
        <w:rPr>
          <w:rFonts w:eastAsia="IRNazanin" w:cs="IRNazanin"/>
          <w:color w:val="111111"/>
          <w:sz w:val="28"/>
          <w:szCs w:val="28"/>
          <w:rtl w:val="true"/>
          <w:lang w:bidi="fa-IR"/>
        </w:rPr>
        <w:t>...</w:t>
      </w:r>
      <w:r>
        <w:rPr>
          <w:rStyle w:val="FootnoteAnchor"/>
          <w:rtl w:val="true"/>
        </w:rPr>
        <w:footnoteReference w:id="107"/>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همان گونه كه درباره‌ي جمهوري اسلامي نمي‌توان گفت قيد اسلامي با جمهوريت و حاكميت ملي منافاتي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اسلام انتخاب و خواست خود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مردم‌سالاري ديني نيز اين ايراد وارد نيست و در حقيقت مدل حكومتي جمهوري اسلامي، تنها راه عملي و ممكن تحقق حاكميت ديني است</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7" w:name="pg14788_158406"/>
      <w:bookmarkStart w:id="178" w:name="pg14788_158406"/>
      <w:bookmarkEnd w:id="178"/>
    </w:p>
    <w:p>
      <w:pPr>
        <w:pStyle w:val="Heading2"/>
        <w:numPr>
          <w:ilvl w:val="1"/>
          <w:numId w:val="1"/>
        </w:numPr>
        <w:rPr/>
      </w:pPr>
      <w:bookmarkStart w:id="179" w:name="pg14788_158406"/>
      <w:bookmarkStart w:id="180" w:name="__RefHeading___Toc1764335_730472459"/>
      <w:bookmarkStart w:id="181" w:name="_Toc64"/>
      <w:bookmarkEnd w:id="179"/>
      <w:bookmarkEnd w:id="180"/>
      <w:r>
        <w:rPr>
          <w:rtl w:val="true"/>
        </w:rPr>
        <w:t>مقاله‌ي مورد نقد</w:t>
      </w:r>
      <w:r>
        <w:rPr>
          <w:rtl w:val="true"/>
        </w:rPr>
        <w:t xml:space="preserve">: </w:t>
      </w:r>
      <w:r>
        <w:rPr>
          <w:rtl w:val="true"/>
        </w:rPr>
        <w:t>عصر مداراي ديني در جوامع غربي</w:t>
      </w:r>
      <w:bookmarkEnd w:id="181"/>
    </w:p>
    <w:p>
      <w:pPr>
        <w:pStyle w:val="Heading3"/>
        <w:numPr>
          <w:ilvl w:val="2"/>
          <w:numId w:val="1"/>
        </w:numPr>
        <w:rPr/>
      </w:pPr>
      <w:bookmarkStart w:id="182" w:name="__RefHeading___Toc1764337_730472459"/>
      <w:bookmarkStart w:id="183" w:name="_Toc65"/>
      <w:bookmarkEnd w:id="182"/>
      <w:r>
        <w:rPr>
          <w:rtl w:val="true"/>
        </w:rPr>
        <w:t>اشاره</w:t>
      </w:r>
      <w:bookmarkEnd w:id="183"/>
    </w:p>
    <w:p>
      <w:pPr>
        <w:pStyle w:val="BookText"/>
        <w:rPr/>
      </w:pPr>
      <w:r>
        <w:rPr>
          <w:rFonts w:ascii="Amiri" w:hAnsi="Amiri" w:eastAsia="Amiri" w:cs="Amiri"/>
          <w:color w:val="111111"/>
          <w:sz w:val="28"/>
          <w:sz w:val="28"/>
          <w:szCs w:val="28"/>
          <w:rtl w:val="true"/>
          <w:lang w:bidi="ar-SA"/>
        </w:rPr>
        <w:t>عصر مداراي ديني در جوامع غربي</w:t>
      </w:r>
      <w:r>
        <w:rPr>
          <w:rStyle w:val="FootnoteAnchor"/>
          <w:rtl w:val="true"/>
        </w:rPr>
        <w:footnoteReference w:id="108"/>
      </w:r>
    </w:p>
    <w:p>
      <w:pPr>
        <w:pStyle w:val="Heading3"/>
        <w:numPr>
          <w:ilvl w:val="2"/>
          <w:numId w:val="1"/>
        </w:numPr>
        <w:rPr/>
      </w:pPr>
      <w:bookmarkStart w:id="184" w:name="__RefHeading___Toc1764339_730472459"/>
      <w:bookmarkStart w:id="185" w:name="_Toc66"/>
      <w:bookmarkEnd w:id="184"/>
      <w:r>
        <w:rPr>
          <w:rtl w:val="true"/>
        </w:rPr>
        <w:t>چكيده</w:t>
      </w:r>
      <w:r>
        <w:rPr>
          <w:rtl w:val="true"/>
        </w:rPr>
        <w:t>:</w:t>
      </w:r>
      <w:bookmarkEnd w:id="18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چندي پيش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هابرماس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فيلسوف معاصر آلماني، در جمع انجمن حكمت و فلسفه، در ايران سخناني ايراد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پس از تبيين سير تحول معنايي واژه‌اي تلرانس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tolerance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مغرب زمين، مداراي ديني را به عنوان دستاوردي نوين در جوامع غربي و راهكاري مناسب در جهت فروكش كردن تضادها و چالش‌هاي بشر امروز معرفي كرد و لزوم فرهنگ شدن اين دستاورد را در ميان جوامع شرقي، به ويژه كشورهاي اسلامي گوشزد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ادامه، يكي از راهكارهاي وصول به اين مدنيه‌ي فاضله را، تن دادن به سكولاريسم و تفكيك حوزه‌ي دين از دايره‌ي اخلاق اجتماعي و حكومتي و پيوستن به هنجارهاي به اصطلاح دموكراتيك و غربي عنوان مي‌كند</w:t>
      </w:r>
      <w:r>
        <w:rPr>
          <w:rFonts w:eastAsia="IRNazanin" w:cs="IRNazanin"/>
          <w:color w:val="111111"/>
          <w:sz w:val="28"/>
          <w:szCs w:val="28"/>
          <w:rtl w:val="true"/>
          <w:lang w:bidi="fa-IR"/>
        </w:rPr>
        <w:t xml:space="preserve">. </w:t>
      </w:r>
      <w:bookmarkStart w:id="186" w:name="pg14788_158407"/>
    </w:p>
    <w:p>
      <w:pPr>
        <w:pStyle w:val="Heading3"/>
        <w:numPr>
          <w:ilvl w:val="2"/>
          <w:numId w:val="1"/>
        </w:numPr>
        <w:rPr/>
      </w:pPr>
      <w:bookmarkStart w:id="187" w:name="__RefHeading___Toc1764341_730472459"/>
      <w:bookmarkStart w:id="188" w:name="_Toc67"/>
      <w:bookmarkEnd w:id="186"/>
      <w:bookmarkEnd w:id="187"/>
      <w:r>
        <w:rPr>
          <w:rtl w:val="true"/>
        </w:rPr>
        <w:t>نقد و بررسي</w:t>
      </w:r>
      <w:r>
        <w:rPr>
          <w:rtl w:val="true"/>
        </w:rPr>
        <w:t xml:space="preserve">: </w:t>
      </w:r>
      <w:r>
        <w:rPr>
          <w:rtl w:val="true"/>
        </w:rPr>
        <w:t>سكولاريزم هزار چهره</w:t>
      </w:r>
      <w:bookmarkEnd w:id="188"/>
    </w:p>
    <w:p>
      <w:pPr>
        <w:pStyle w:val="BookText"/>
        <w:rPr/>
      </w:pPr>
      <w:r>
        <w:rPr>
          <w:rFonts w:ascii="IRNazanin" w:hAnsi="IRNazanin" w:eastAsia="IRNazanin"/>
          <w:color w:val="111111"/>
          <w:sz w:val="28"/>
          <w:sz w:val="28"/>
          <w:szCs w:val="28"/>
          <w:rtl w:val="true"/>
          <w:lang w:bidi="fa-IR"/>
        </w:rPr>
        <w:t>هبت الله صدرالسّادات‌زاده</w:t>
      </w:r>
    </w:p>
    <w:p>
      <w:pPr>
        <w:pStyle w:val="BookText"/>
        <w:rPr/>
      </w:pPr>
      <w:r>
        <w:rPr>
          <w:rFonts w:ascii="Amiri" w:hAnsi="Amiri" w:eastAsia="Amiri" w:cs="Amiri"/>
          <w:color w:val="111111"/>
          <w:sz w:val="28"/>
          <w:sz w:val="28"/>
          <w:szCs w:val="28"/>
          <w:rtl w:val="true"/>
          <w:lang w:bidi="ar-SA"/>
        </w:rPr>
        <w:t>يكي از خطرهايي كه مي‌تواند يك جامعه را تهديد كند و بنيادهاي معرفتي آن را متزلزل سازد، تهاجم افكار معارض در لباس و قالبي غيرمتعارف و همسو با باورهاي ديني و اجتماعي آن جامعه است</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چندي پيش، هابرماس، فيلسوف معاصر آلماني، با ايراد سخناني در انجمن حكمت و فلسفه در ايران، مطالبي را حول محور مداراي ديني در جوامع غربي عنوان كرد كه با همين عنوان، در برخي از مطبوعات كشور</w:t>
      </w:r>
      <w:r>
        <w:rPr>
          <w:rStyle w:val="FootnoteAnchor"/>
          <w:rtl w:val="true"/>
        </w:rPr>
        <w:footnoteReference w:id="109"/>
      </w:r>
      <w:r>
        <w:rPr>
          <w:rFonts w:ascii="IRNazanin" w:hAnsi="IRNazanin" w:eastAsia="IRNazanin"/>
          <w:color w:val="111111"/>
          <w:sz w:val="28"/>
          <w:sz w:val="28"/>
          <w:szCs w:val="28"/>
          <w:rtl w:val="true"/>
          <w:lang w:bidi="fa-IR"/>
        </w:rPr>
        <w:t>منعكس شد كه دقّت در آن تأملاتي را مي‌طلبد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نخست به نظر مي‌آيد كه گفتار مذكور در صدد بيان مداراي ديني و زندگي مسالمت‌آميز اقوام و اديان مختلف در مغرب زمين و تبليغ اين فرهنگ در جوامع شرقي و به ويژه اسلامي و ايران است؛ امّا كمي تأمل در آن، از واقعيتي تلخ به نام تبليغ سكولاريسم پرده بر مي‌دارد كه اينك در پس نقاب زيبا و فريبنده‌ي مداراي ديني موضع گرفته است و قصد دارد تا راه نفوذي در تنها دژ مستحكم جهان اسلام، يعني نظام جمهوري اسلامي ايران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هابرماس كوشيده است تا به گونه‌ي غير مستقيم و بدون ايجاد حساسيت، به هدف خود نايل شود؛ و در اين راستا، نخست سير تحول معنايي واژه‌ي تلرانس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tolerance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در ادبيات ژرمن‌ها و اروپاييان تبيين مي‌كند و آن را يگانه راه حل براي فروكش كردن نزاع‌ها </w:t>
      </w:r>
    </w:p>
    <w:p>
      <w:pPr>
        <w:pStyle w:val="BookText"/>
        <w:rPr/>
      </w:pPr>
      <w:r>
        <w:rPr>
          <w:rFonts w:ascii="IRNazanin" w:hAnsi="IRNazanin" w:eastAsia="IRNazanin"/>
          <w:color w:val="111111"/>
          <w:sz w:val="28"/>
          <w:sz w:val="28"/>
          <w:szCs w:val="28"/>
          <w:rtl w:val="true"/>
          <w:lang w:bidi="fa-IR"/>
        </w:rPr>
        <w:t>و پايان پذيرفتن خشونت و درگيري بين معتقدان به اديان گوناگون معرفي مي‌نمايد؛ راه حلي كه به گمان ايشان، پس از عبور از فراز و نشيب‌هاي فراوان در طول سه سده، اينك به دوران رشد و بلوغ خود رسيده است و ره‌آورد تمدن كنوني جهان غرب به شمار مي‌آيد و در پرتو آن مي‌توان گلستاني عاري از جنگ و گريز و خشونت و تدمير را به نظاره نشست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 دستاورد بزرگ مغرب زمين كه هابرماس با به رخ كشيدن آن كوشيده است به گونه‌اي تلويحي، ضرورت تحول كشورهاي اسلامي، به ويژه ايران را در چارچوب آن گوشزد كند، چيزي جز مداراي ديني و احترام به حقوق اقليت‌هاي مذهبي نسيت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 كه برخي از بي‌خبران از معارف رفيع و ژرف و بي‌كران اسلامي، چنان مات و مبهوت و حيرت‌زده و انگشت به دهان گزيده، محو اين سخنان شده‌اند كه گويي تراوش نوين انديشه‌ي از ما بهتران فرنگ، روزنه‌ي اميدي را پيش روي بشر خسته از كشاكش و چالش‌هاي كنوني جهان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بحث درباره‌ي ميزان عملي شدن و مورد پذيرش قرار گرفتن و فرهنگ شدن اين راه حل در مغرب زمين را وجهه‌ي همت خود قرار نمي دهد؛ چنان كه تحولات سياسي اروپا و پيروزي احزاب راست افراطي در سطحي كلان، گواهي بر واكنش منفي و نپذيرفتن آن از سوي مردم آن سامان است؛ امّا اين دستاورد به اصطلاح نوين و عظيم غرب، چيزي نيست، جز يكي از اصول مترقي اسلام، كه زير‌بناي حكومت پيامبر 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چهارده قرن پيش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امروزه جهان غرب در زير فشار افكار عمومي و اقليت‌هاي مذهبي و نژادي و نياز حكومت به كسب آراي تعيين كننده‌ي آنان در انتخاب، تن به گفتمان مداراي ديني داده است، در چهارده قرن پيش، حكومت مقتدر اسلامي كه در زمان اوج و شكوه و هيمنه و نفوذ و صلابت خود قرار داشت و از چنان قدرتي برخوردار بود كه مي‌توانست هر صداي مخالفي را خاموش سازد، بدون فشار افكار عمومي، خود، چنين اصلي را يكي از زير‌بناهاي زمام‌داري اسلامي معرفي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مقدس اسلام در زمان اوج و شكوه خود، پي‌ريز طرح گفت‌وگوي منطقي با ساير اديان شد و تبليغ خود را با اصل گفت‌و‌گو و منطق و حكمت و جدال استوار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كريم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كه چنانچه كفار دست به شيطنت و ستيز با مسلمانان نزنند، با آنها مدارا و صلح پيشه كنند؛</w:t>
      </w:r>
    </w:p>
    <w:p>
      <w:pPr>
        <w:pStyle w:val="BookText"/>
        <w:rPr/>
      </w:pPr>
      <w:r>
        <w:rPr>
          <w:rFonts w:ascii="Amiri" w:hAnsi="Amiri" w:eastAsia="Amiri" w:cs="Amiri"/>
          <w:color w:val="111111"/>
          <w:sz w:val="28"/>
          <w:sz w:val="28"/>
          <w:szCs w:val="28"/>
          <w:rtl w:val="true"/>
          <w:lang w:bidi="ar-SA"/>
        </w:rPr>
        <w:t>وَ إِنْ جَنَحُوا لِلسَّلْمِ فَاجْنَحْ لَها وَ تَوَكَّلْ عَلَي اللهِ إِنَّهُ هُوَ السَّمِيعُ الْعَلِيمُ</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در سايه‌ي همين اصل متعالي و بينش اسلامي، دفاع از اقليت‌هاي مذهبي مورد عنايت پيامر گرامي اسلام و حكومت ايشان قرار گرفت، به گونه‌اي كه آن حضرت رنجاندن ذمي را رنجاندن خود خواندند و فرمودند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اذي ذميّاً فَاَنا خَصْمُه وَ مَنْ كُنْتُ خَصْمُه خَصَمْتُه يَومَ القيمة</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در اين روايت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آزار به اهل كتاب را مساوي دشمني با خويش تلقي، و اعلام كردند كه در قيامت، براي دفاع از مظلوم، هر چند يهودي، برخواهند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توجّه خاص به اقليت‌ها را در دوران زمام‌داري اسلامي به وفور مي‌توان يافت كه از باب نمونه، واقعه‌ي شهر انبار را ياد‌آور مي‌شويم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انبار يكي از مناطق تحت حكومت امام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مسلمان و يهودي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 از لشكريان معاويه به آن دست‌برد زدند و زيورآلات برخي از زنان، از جمله يك زن يهودي را به يغما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شنيدن اين خبر، چنان اندوهناك شد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مسلماني از شنيدن خبر غارت يك زن يهودي كه تحت حمايت حكومت اسلامي است، بميرد پيش من نه تنها سزاوار ملامت نيست، بلكه شايسته‌ي تكريم و اجر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از اين رو، متفكران و نويسندگان غربي نيز لب به اعتراف گشوده و مداراي اسلامي را مورد تأييد قرار داده‌اند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دين مسيح را تفبيح مي كند، با اين همه نسبت به ايشان خوش‌بين است و خواستار ارتباطي دوستانه بين آنها و پيروان خويش است، حتي پس از برخوردي كه با پيروان دين يهود داشت، با اهل كتاب كه همانا يهوديان و مسيحيان بودند، راه مدارا پيش گرفت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كونت هانري دي كاستري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نويسنده‌ي فرانسوي، بقاي نسب يهود را معلول مداراي دولت‌هاي اسلامي با آنان مي‌داند</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آدام متز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كليساها و صومعه‌ها در دوران حكومت اسلامي چنان مي‌نمود كه گويي خارج از حكومت اسلامي به سر مي‌بردند و به نظر مي‌رسيد بخشي از سرزمين ديگر هستند، كه اين خود موجب مي‌شد چنان فضايي از تسامح برقرار گردد كه اروپا در سده‌هاي ميانه با آن آشنايي نداشتند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با توجّه به مطالب فوق روشن شد كه دستاورد نوين غرب با چشم‌پوشي از مناقشاتِ پيرامون فرايند از سخن تا عمل، چيز جديدي نبود و نوع مترقي آن، هم‌زاد با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گفته شد، طرح گفتمان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مداراي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نقابي ظاهر فريب است، تا گوينده‌ي محترم در پس آن، مكنونات قلبي خود را كه همان ترويج سكولاريسم است با رنگ ولعابي جذاب، به خورد مخاطبان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اين ادعا، اين سخن هابرماس است كه مي‌گويد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تعاليم ديني كه روزگاري پايه‌هاي مقدس مشروعيت حكومت را فراهم مي‌كرد، امروزه ضرورت غير سياسي شدن را براي خود توجيه مي‌كند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اينك بايد روشن شود كه اگر اين ضرورتِ عقب‌نشينيِ تعاليم ديني از ميدان سياست، براي نيل به مداراي ديني است، بايد گفت شايد اين امر درباره‌ي اديان غير اسلام راهكاري مؤثر باشد؛ امّا با گفتار پيشين روشن شد كه نوع مترقي مداراي ديني و احترام به حقوق اقليت‌ها، يكي از پايه‌هاي زمام‌داري اسلامي است، كه نه تنها تعاليم ديني در صورت آميزش با سياست و حكومت آن را كم رنگ نمي‌كند، بلكه وجود حاكميت ديني اسلامي مي‌تواند چتر حمايتي مناسبي را به سر اقليت‌هاي ديني بگستراند تا آنان بتوانند در سايه‌ي آن از آزادي و امنيت و رفاه بيش‌تري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تعميم ضرورت غير سياسي شدن تعاليم ديني به اسلام، يا ناشي از بي‌اطلاعي است و يا ناشي از تجاهل از تفاوت‌هاي اين دين با ساير اديان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قسمت ديگري از سخنانشان، براي حساسيت‌زدايي و دوري از تداعي شدن معناي سكولاريسم و به اصطلاح، دادن آدرس اشتباه، 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تفكيك بدون درگيري اين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جامعه‌ي ديني و عضو جامعه‌ي شهروندي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تطبيق آداب و سنن ديني با قوانين جامعه‌ي سكولار منحصر نيست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البتّه جالب اين كه در ادامه مي‌افزايند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بلكه مقتضي، تفكيك معرفتي اخلاق اجتماعي و قوانين دموكراتيك ثبت شده از آداب و سنن اجتماعي است</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سخن در اين است كه اين تفكيك معرفتي، اگر تنها در محدوده‌ي فضاي ذهني آدمي صورت گيرد، بدون ترديد، مشكل‌گشاي معضلات بشر امروز نخواهد بود؛ زيرا چالش‌هاي انسان معاصر در بستر امور رئال شكل گرفته است و نه ايده‌آل و افكار و اوهام؛ و اگر اين گفتار ناظر به رفتارهاي اجتماعي است، به گونه‌اي كه طبق اين تئوري نبايد روش خاص رفتاري و اجتماعي در چارچوب تعاليم ديني در جامعه، مورد توجّه قرار گيرد، و به قول ايشان، تنها به اخلاق اجتماعي و قوانين دموكراتيكِ ثبت شده بايد بسنده كرد؛ پرسش اين است كه آيا اين سخن چيزي جز سكولاريسم و خارج شدن دين از عرصه‌ي اجتماع مي‌تواند باشد؟ به خصوص اين كه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دموكراتيك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اصطلاح اين شهروند غربي، بار معنايي خاص خود را افاده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از اين نكته نبايد غافل شد كه جداي از بحث مداراي ديني، با توجّه به كاستي‌ها و ضعف‌هاي مسيحيت و الهيات آن، شايد سكولاريسم و عقب‌نشيني دين از حوزه‌هاي امور اجتماعي و سياسي براي جامعه‌ي مسيحيت، امري موجه بنمايد، امّا تسري آن به دين اسلام، از بي‌اطلاعي و يا تجاهل گويندگان آن خبر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بررسي تاريخ مغرب زمين مي‌توان گفت كه مهم‌ترين عوامل پيدايش و گسترش سكولاريسم در جهان مسيحيت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جزميت افراطي و بي‌دليل سران كليساي قرون وسطي؛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رفتار خشن كليسا نسبت به مخالفان؛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فساد مالي و اخلاقي؛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و ناتواني كليسا در پاسخ به شبهات كلامي و فلسفه؛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ناسازگاري مطالب كتاب مقدس با دستاوردهاي جديد علم و صنعت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عوامل فوق باعث شد كه دين مسيحيت در معرض افول و زوال قرار گيرد و از اين رهگذر مارتي لوتر و هم‌فكرانش، در واكنش به شرايط به وجود آمده، ظهور پيدا كردند، تا با ارائه‌ي قرائتي جديد از مسيحيت و خارج ساختن آن از حوزه‌ي سياست و امور اجتماعي، آن را از بن‌بست پيش آمده نجات دهند و جاني دوباره به آن بخشند، اگر چه از سوي كاتوليك‌ها، متهم به كفر والحاد شدند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بررسي خاستگاه و عوامل پيدايش و رشد سكولاريسم در جهان مسيحيت و مقايسه‌ي آن با دين اسلام و با توجّه به پيراستگي آن از ضعف‌هاي موجود در مسيحيت، روشن مي‌شود كه نه تنها گسترش سكولاريسم در محدوده‌ي جهان اسلام ضرورت ندارد، بلكه نبود خاستگاه و بستر لازم و عوامل و شرايط توجيه كننده، وجود آن را بر نمي‌تابد؛ و همين امر باعث شده است كه مروجان و مبلّغان سكولاريسم، سعي نمايند آن را در قالبي ديگر و با اسم و عنواني نو، به خورد مسلمانان دهند؛ پديده‌ي ناميموني كه مي‌كوشد متناسب و هم‌نوا و هم گرا با محيط، رنگ عوض كند و هر بار در پوستيني جديد در آشفته‌بازار فعلي معرفت عرضه شود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محمد، آيه‌ي </w:t>
      </w:r>
      <w:r>
        <w:rPr>
          <w:rFonts w:eastAsia="IRNazanin" w:cs="IRNazanin"/>
          <w:b w:val="false"/>
          <w:bCs w:val="false"/>
          <w:i w:val="false"/>
          <w:iCs w:val="false"/>
          <w:color w:val="333333"/>
          <w:sz w:val="20"/>
          <w:szCs w:val="20"/>
        </w:rPr>
        <w:t>24</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غاشيه، آيه‌ي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ق، آيه‌ي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مائده، آيه‌ي </w:t>
      </w:r>
      <w:r>
        <w:rPr>
          <w:rFonts w:eastAsia="IRNazanin" w:cs="IRNazanin"/>
          <w:b w:val="false"/>
          <w:bCs w:val="false"/>
          <w:i w:val="false"/>
          <w:iCs w:val="false"/>
          <w:color w:val="333333"/>
          <w:sz w:val="20"/>
          <w:szCs w:val="20"/>
        </w:rPr>
        <w:t>64</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 سال پيش طي تحقيقاتي فهميدند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 انسان اوليه با انسان امروز فرق دارد و اصلاً از نظر ژنتيكي امكان ندارد كه انسان از چنين موجودي به وجود آيد و اشتقاق پيدا كند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اسراء، آيه‌ي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نساء، آيه‌ي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حجر، آيه‌ي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طارق، آيه‌ي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عبدالكريم سروش،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مهدويت و احياي 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آفتاب، 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بهمن،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اسراء، آيه‌ي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اسراء آيه‌ي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ابراهيم، آيه‌ي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آل عمران، آيه‌ي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نور، آيه‌ي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نساء آيه‌ي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نساء آيه‌ي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انعام، آيه‌ي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بقره، آيه‌ي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اعراف، آيه‌ي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شريف قرشي، زندگاني خاتم الاوصياء امام 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ترجمه‌ي ابوالفضل اسلامي،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مؤسسه‌ي نشر فقاهت، قم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آفتاب، 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محمد حسين باستاني، بحران هويت، مسلمه‌اي جهاني، نامه‌ي فرهنگ، ش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عاملي، 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به نقل از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شؤون اختيارات ولي فقيه،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آل عمران، آيه‌ي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مائده، آيه‌ي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شؤون و اختيارت ولي فقيه،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الشيعه،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قاضي،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به نقل از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شؤون اختيارت ولي فقيه،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احاديث و روايات منقول در كتاب شؤون اختيارت ولي فقيه،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شؤون اختيارت ولي فقيه،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احاديث و روايات منقول در كتاب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سينما تأتر ايران، ضميمه‌ي روزنامه‌ي ايران، ش </w:t>
      </w:r>
      <w:r>
        <w:rPr>
          <w:rFonts w:eastAsia="IRNazanin" w:cs="IRNazanin"/>
          <w:b w:val="false"/>
          <w:bCs w:val="false"/>
          <w:i w:val="false"/>
          <w:iCs w:val="false"/>
          <w:color w:val="333333"/>
          <w:sz w:val="20"/>
          <w:szCs w:val="20"/>
        </w:rPr>
        <w:t>1928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14/7/80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سينما تأتر ايران، ضميمه‌ي روزنامه ايران، </w:t>
      </w:r>
      <w:r>
        <w:rPr>
          <w:rFonts w:eastAsia="IRNazanin" w:cs="IRNazanin"/>
          <w:b w:val="false"/>
          <w:bCs w:val="false"/>
          <w:i w:val="false"/>
          <w:iCs w:val="false"/>
          <w:color w:val="333333"/>
          <w:sz w:val="20"/>
          <w:szCs w:val="20"/>
        </w:rPr>
        <w:t>14/7/80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عرفي شدن عليه عرفي شدن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آنجا كه در روايت شريفه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فاما من كان من الفقهاء صائناً لنفسه حافظاً لدينه مخالفاً علي هواه مطيعاً لامر مولاه فللعوام ان يقلّدوه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وسايل 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33401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سينما تئاتر ايران ضميمه‌ي روزنامه‌ي ايران، </w:t>
      </w:r>
      <w:r>
        <w:rPr>
          <w:rFonts w:eastAsia="IRNazanin" w:cs="IRNazanin"/>
          <w:b w:val="false"/>
          <w:bCs w:val="false"/>
          <w:i w:val="false"/>
          <w:iCs w:val="false"/>
          <w:color w:val="333333"/>
          <w:sz w:val="20"/>
          <w:szCs w:val="20"/>
        </w:rPr>
        <w:t>14/7/80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عرفي شدن عليه عرفي شدن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كليني، اصول 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دفتر نشر و فرهنگ اهل‌بيت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فصل علم، باب المستأكل بعلمه،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الدين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الشهيد 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منية المريد،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نشر مجمع ذخاير اسلامي، طبع مطبعة الخيام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ولايت 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مؤسسه‌ي تنظيم و نشر آثار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هفتم، تابستان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صحيفه‌ي نور،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مدارك فرهنگي انقلاب اسلامي، چاپ شركت افست، بهمن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سينما تئاتر ايران ضميمه‌ي روزنامه‌ي ايران، </w:t>
      </w:r>
      <w:r>
        <w:rPr>
          <w:rFonts w:eastAsia="IRNazanin" w:cs="IRNazanin"/>
          <w:b w:val="false"/>
          <w:bCs w:val="false"/>
          <w:i w:val="false"/>
          <w:iCs w:val="false"/>
          <w:color w:val="333333"/>
          <w:sz w:val="20"/>
          <w:szCs w:val="20"/>
        </w:rPr>
        <w:t>14/7/80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عرفي شدن عليه عرفي شدن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جوادي آملي، شريعت در آيينه‌ي معرفت،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 اسراء چ دوّم، تابستان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با تلخيص</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طبرستان سبز، شماره چهاردهم، </w:t>
      </w:r>
      <w:r>
        <w:rPr>
          <w:rFonts w:eastAsia="IRNazanin" w:cs="IRNazanin"/>
          <w:b w:val="false"/>
          <w:bCs w:val="false"/>
          <w:i w:val="false"/>
          <w:iCs w:val="false"/>
          <w:color w:val="333333"/>
          <w:sz w:val="20"/>
          <w:szCs w:val="20"/>
        </w:rPr>
        <w:t>22/6/80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گفتمان ديني، نشست شانزدهم، مركز مطالعات و پژوهش‌هاي فرهنگي حوزه‌ي علميه، و محمد جواد نوروزي، فلسفه‌ي سياست،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مؤسسه‌ي آموزشي و پژوهشي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چهارم،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آل عمران، آيه‌ي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حجرات، آيه‌ي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بقره، آيه‌ي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آل عمران، آيه‌ي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سوره‌ي حج، آيه‌ي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سوره‌ي شعراء، آيات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طالقاني، مناره‌اي در كوير،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قلم، چ اول،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تدوين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بسته‌نگار،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انسان، آيه‌ي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توبه، آيه‌ي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احزاب، آيه‌ي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عنكبوت، آيه‌ي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ابراهيم، آيه‌ي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عبدالله جوادي آملي، تفسير موضوعي قرآن 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نشر اسراء،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چ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مكارم شيرازي، تفسير نمونه،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دارالكتب الاسلامية، تهران، بي‌تا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ص، آيه‌ي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محمد، آيه‌ي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سعيدي روشن، علوم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 اوّل، مؤسسه‌ي آموزشي و پژوهشي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جوادي آملي، تفسير موضوضوعي قرآن 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 اوّل، قم،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گفت‌وگو با آيت الله معرفت، نشست شانزدهم،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زبان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كانون گفتمان ديني مركز مطالعات و پژوهش‌هاي حوزه‌ي علميه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روزنامه‌ي حيات نو، شماره‌ي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26/8/80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رهبري </w:t>
      </w:r>
      <w:r>
        <w:rPr>
          <w:rFonts w:eastAsia="IRNazanin" w:cs="IRNazanin"/>
          <w:b w:val="false"/>
          <w:bCs w:val="false"/>
          <w:i w:val="false"/>
          <w:iCs w:val="false"/>
          <w:color w:val="333333"/>
          <w:sz w:val="20"/>
          <w:szCs w:val="20"/>
        </w:rPr>
        <w:t>27/9/65</w:t>
      </w:r>
      <w:r>
        <w:rPr>
          <w:rFonts w:ascii="IRNazanin" w:hAnsi="IRNazanin" w:eastAsia="IRNazanin"/>
          <w:b w:val="false"/>
          <w:b w:val="false"/>
          <w:bCs w:val="false"/>
          <w:i w:val="false"/>
          <w:i w:val="false"/>
          <w:iCs w:val="false"/>
          <w:color w:val="333333"/>
          <w:sz w:val="20"/>
          <w:sz w:val="20"/>
          <w:szCs w:val="20"/>
          <w:rtl w:val="true"/>
        </w:rPr>
        <w:t xml:space="preserve">، دومين كنگره‌ي شعر و ادب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دانشگاهي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هنر، چ اوّل، دفتر نشر فرهنگ اسلامي، تهران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رهبري </w:t>
      </w:r>
      <w:r>
        <w:rPr>
          <w:rFonts w:eastAsia="IRNazanin" w:cs="IRNazanin"/>
          <w:b w:val="false"/>
          <w:bCs w:val="false"/>
          <w:i w:val="false"/>
          <w:iCs w:val="false"/>
          <w:color w:val="333333"/>
          <w:sz w:val="20"/>
          <w:szCs w:val="20"/>
        </w:rPr>
        <w:t>16/11/60</w:t>
      </w:r>
      <w:r>
        <w:rPr>
          <w:rFonts w:ascii="IRNazanin" w:hAnsi="IRNazanin" w:eastAsia="IRNazanin"/>
          <w:b w:val="false"/>
          <w:b w:val="false"/>
          <w:bCs w:val="false"/>
          <w:i w:val="false"/>
          <w:i w:val="false"/>
          <w:iCs w:val="false"/>
          <w:color w:val="333333"/>
          <w:sz w:val="20"/>
          <w:sz w:val="20"/>
          <w:szCs w:val="20"/>
          <w:rtl w:val="true"/>
        </w:rPr>
        <w:t xml:space="preserve">، ديدار با واحد فرهنگي روزنامه‌ي جمهوري، كتاب هنر،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شرفخاني خويي، انسان، غنا، موسيقي،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 اوّل، انتشارات مشهور قم،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آقاي موسوي تبريزي، حيات‌نو،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سينما جوان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آقاي محمد موسوي، اطلاعات،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صداي عدالت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آقاي جعفري، نشريه‌ي زنان، ش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مهر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هنگامه‌ي اخوان، حيات نو،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ايشان نيز خواستار آزادي زنان در آوازخواني تحت شرايط خاص و كنترل شده گرديد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مرتضي مطهري، تعليم و تربيت در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 دهم، انتشارات الزهراء تهران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علامه جعفري، مباني فقهي، روايي موسيقي</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صحيفه‌ي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غنا، موسيقي،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محمد اسماعيل، نوري، موسيقي از ديدگاه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آزادي بي‌تا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تأثير موسيقي بر روان و اعصاب،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رهبري، دهه‌ي فجر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جوانان، روزنامه‌ي جمهوري اسلامي،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1377</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مطهري، تعليم و تربيت در اسلام،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حج، آيه‌ي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سوره‌ي لقمان، آيه‌ي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عاملي، وسائل‌الشيعه،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كتابفروشي اسلاميه‌ي 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ري‌شهري، ميزان الحكمة،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 اوّل، دفتر تبليغات اسلامي قم،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امام راحل ، مقام معظّم رهبري، آيت الله گلپايگاني، آيت الله فاضل لنكراني و آقاي تبريزي،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انسان، غنا، موسيقي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استفتاءات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احكام روابط زن و مرد و مسائل اجتماعي آنان، مركز انتشارات دفتر تبليغات اسلامي،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نظرهاي مراجع از توضيح‌المسائل و يا استفتاء درج شده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صحيفه‌ي نور، گردآورنده مركز مدارك فرهنگي انقلاب اسلامي، بهمن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نبوي، روزنامه‌ي توسعه، شماره‌ي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5/9/80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مبني سنبلي،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استراتژي كلان آمريكا پس از جنگ سرد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سياست خارجي، ش اوّل، بهار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ابراهيم، متقي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شاخص‌ها و چالش‌هاي الگوي امنيت يك قطبي در خليج‌فارس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راهبرد،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عبدالرضا هوشنگ مهدوي صحنه‌هايي از تاريخ معاصر ايران،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انتشارات علمي،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پرويز راجي، خدمت‌گزار تخت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اطلاعات،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Bruce R.Kuniholm, Orgins Of Cold War in the Near East, [prencetpn vniresity Press, 1980], P168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روزنامه‌ي مردم‌سالاري، شماره‌ي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2/11/80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جواد طباطبايي زوال انديشه‌ي سياسي در ايران،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اميركبير، چ اوّل،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عنايت، سيري در انديشه‌ي سياسي غرب، سارمي،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 اميركبير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حكومت اسلامي از ديدگاه راشد غنوشي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مجله‌ي كيان، ش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عبدالهادي حائري، نخستين روياروييِ انديشه‌گران ايران،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 گسترده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رابرت ميخلز، احزاب سياسي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پويان، چ اوّل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جوادي آملي، عبدالله، ولايت 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اسراء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قانون اساسي</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مردم‌سالاري ديني</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روزنامه‌ي همشهري، سي‌ام ارديبهشت،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ديني در جوامع غربي</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روزنامه‌ي همشهري، سي‌ام ارديبهشت،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ديني در جوامع غربي</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عنكبوت، آيه‌ي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انفال، آيه‌ي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جعفر سبحاني، مباني حكومت اسلامي، انتشارات توحيد، قم، 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فيض الاسلام، خطبه‌ي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حسن الصفّار، چند گونگي و آزادي در اسلام، ترجمه‌ي حميد رضا آژير، نشر بقيع،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روزنامه‌ي همشهري، سي‌ام ارديبهشت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عبدالحسين خسروپناه، كلام جديد،دفتر تبليغات اسلامي،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قم،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image" Target="media/image2.jpeg"/><Relationship Id="rId138" Type="http://schemas.openxmlformats.org/officeDocument/2006/relationships/image" Target="media/image2.jpeg"/><Relationship Id="rId139" Type="http://schemas.openxmlformats.org/officeDocument/2006/relationships/footer" Target="footer132.xml"/><Relationship Id="rId140" Type="http://schemas.openxmlformats.org/officeDocument/2006/relationships/footnotes" Target="footnotes.xml"/><Relationship Id="rId141" Type="http://schemas.openxmlformats.org/officeDocument/2006/relationships/numbering" Target="numbering.xml"/><Relationship Id="rId142" Type="http://schemas.openxmlformats.org/officeDocument/2006/relationships/fontTable" Target="fontTable.xml"/><Relationship Id="rId143" Type="http://schemas.openxmlformats.org/officeDocument/2006/relationships/settings" Target="settings.xml"/><Relationship Id="rId1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138</Pages>
  <Words>25207</Words>
  <Characters>102966</Characters>
  <CharactersWithSpaces>127432</CharactersWithSpaces>
  <Paragraphs>1034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2026-08-24T17:23:08Z</dcterms:created>
  <dc:creator>ghaemiyeh.com</dc:creator>
  <dc:description/>
  <dc:language>en-US</dc:language>
  <cp:lastModifiedBy/>
  <dcterms:modified xsi:type="dcterms:W3CDTF">2026-08-24T20:53:12Z</dcterms:modified>
  <cp:revision>1</cp:revision>
  <dc:subject/>
  <dc:title>آسیب شناسی مطبوعات جلد 2</dc:title>
</cp:coreProperties>
</file>

<file path=docProps/custom.xml><?xml version="1.0" encoding="utf-8"?>
<Properties xmlns="http://schemas.openxmlformats.org/officeDocument/2006/custom-properties" xmlns:vt="http://schemas.openxmlformats.org/officeDocument/2006/docPropsVTypes"/>
</file>