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آسیب شناسی مطبوعات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8772_73047245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48774_73047245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48776_730472459">
            <w:r>
              <w:rPr>
                <w:webHidden/>
                <w:rStyle w:val="IndexLink"/>
                <w:rtl w:val="true"/>
              </w:rPr>
              <w:t>تقديم به</w:t>
            </w:r>
            <w:r>
              <w:rPr>
                <w:rStyle w:val="IndexLink"/>
                <w:rtl w:val="true"/>
              </w:rPr>
              <w:t>:</w:t>
              <w:tab/>
            </w:r>
            <w:r>
              <w:rPr>
                <w:rStyle w:val="IndexLink"/>
              </w:rPr>
              <w:t>6</w:t>
            </w:r>
          </w:hyperlink>
        </w:p>
        <w:p>
          <w:pPr>
            <w:pStyle w:val="Contents2"/>
            <w:tabs>
              <w:tab w:val="clear" w:pos="8743"/>
              <w:tab w:val="right" w:pos="9026" w:leader="dot"/>
            </w:tabs>
            <w:rPr/>
          </w:pPr>
          <w:hyperlink w:anchor="__RefHeading___Toc1748778_730472459">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748780_730472459">
            <w:r>
              <w:rPr>
                <w:webHidden/>
                <w:rStyle w:val="IndexLink"/>
                <w:rtl w:val="true"/>
              </w:rPr>
              <w:t>مقاله‌ي مورد نقد</w:t>
            </w:r>
            <w:r>
              <w:rPr>
                <w:rStyle w:val="IndexLink"/>
                <w:rtl w:val="true"/>
              </w:rPr>
              <w:t xml:space="preserve">: </w:t>
            </w:r>
            <w:r>
              <w:rPr>
                <w:rStyle w:val="IndexLink"/>
                <w:rtl w:val="true"/>
              </w:rPr>
              <w:t>توسل به قوه‌ي قهريه مخصوص دولت است و نه هيچ نهاد ديگري</w:t>
            </w:r>
            <w:r>
              <w:rPr>
                <w:rStyle w:val="IndexLink"/>
                <w:rtl w:val="true"/>
              </w:rPr>
              <w:tab/>
            </w:r>
            <w:r>
              <w:rPr>
                <w:rStyle w:val="IndexLink"/>
              </w:rPr>
              <w:t>14</w:t>
            </w:r>
          </w:hyperlink>
        </w:p>
        <w:p>
          <w:pPr>
            <w:pStyle w:val="Contents3"/>
            <w:tabs>
              <w:tab w:val="clear" w:pos="8459"/>
              <w:tab w:val="right" w:pos="9026" w:leader="dot"/>
            </w:tabs>
            <w:rPr/>
          </w:pPr>
          <w:hyperlink w:anchor="__RefHeading___Toc1748782_73047245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748784_730472459">
            <w:r>
              <w:rPr>
                <w:webHidden/>
                <w:rStyle w:val="IndexLink"/>
                <w:rtl w:val="true"/>
              </w:rPr>
              <w:t>چكيده</w:t>
            </w:r>
            <w:r>
              <w:rPr>
                <w:rStyle w:val="IndexLink"/>
                <w:rtl w:val="true"/>
              </w:rPr>
              <w:t>:</w:t>
              <w:tab/>
            </w:r>
            <w:r>
              <w:rPr>
                <w:rStyle w:val="IndexLink"/>
              </w:rPr>
              <w:t>14</w:t>
            </w:r>
          </w:hyperlink>
        </w:p>
        <w:p>
          <w:pPr>
            <w:pStyle w:val="Contents3"/>
            <w:tabs>
              <w:tab w:val="clear" w:pos="8459"/>
              <w:tab w:val="right" w:pos="9026" w:leader="dot"/>
            </w:tabs>
            <w:rPr/>
          </w:pPr>
          <w:hyperlink w:anchor="__RefHeading___Toc1748786_730472459">
            <w:r>
              <w:rPr>
                <w:webHidden/>
                <w:rStyle w:val="IndexLink"/>
                <w:rtl w:val="true"/>
              </w:rPr>
              <w:t>حكومت و سياست در فقه سنّتي و سيره‌ي فقهاء</w:t>
            </w:r>
            <w:r>
              <w:rPr>
                <w:rStyle w:val="IndexLink"/>
                <w:rtl w:val="true"/>
              </w:rPr>
              <w:tab/>
            </w:r>
            <w:r>
              <w:rPr>
                <w:rStyle w:val="IndexLink"/>
              </w:rPr>
              <w:t>15</w:t>
            </w:r>
          </w:hyperlink>
        </w:p>
        <w:p>
          <w:pPr>
            <w:pStyle w:val="Contents3"/>
            <w:tabs>
              <w:tab w:val="clear" w:pos="8459"/>
              <w:tab w:val="right" w:pos="9026" w:leader="dot"/>
            </w:tabs>
            <w:rPr/>
          </w:pPr>
          <w:hyperlink w:anchor="__RefHeading___Toc1748788_730472459">
            <w:r>
              <w:rPr>
                <w:webHidden/>
                <w:rStyle w:val="IndexLink"/>
                <w:rtl w:val="true"/>
              </w:rPr>
              <w:t>فقه سنتي و مسائل حكومتي و اجراي حدود</w:t>
            </w:r>
            <w:r>
              <w:rPr>
                <w:rStyle w:val="IndexLink"/>
                <w:rtl w:val="true"/>
              </w:rPr>
              <w:tab/>
            </w:r>
            <w:r>
              <w:rPr>
                <w:rStyle w:val="IndexLink"/>
              </w:rPr>
              <w:t>16</w:t>
            </w:r>
          </w:hyperlink>
        </w:p>
        <w:p>
          <w:pPr>
            <w:pStyle w:val="Contents3"/>
            <w:tabs>
              <w:tab w:val="clear" w:pos="8459"/>
              <w:tab w:val="right" w:pos="9026" w:leader="dot"/>
            </w:tabs>
            <w:rPr/>
          </w:pPr>
          <w:hyperlink w:anchor="__RefHeading___Toc1748790_730472459">
            <w:r>
              <w:rPr>
                <w:webHidden/>
                <w:rStyle w:val="IndexLink"/>
                <w:rtl w:val="true"/>
              </w:rPr>
              <w:t>فقهاي شيعه و جهاد و مبارزه</w:t>
            </w:r>
            <w:r>
              <w:rPr>
                <w:rStyle w:val="IndexLink"/>
                <w:rtl w:val="true"/>
              </w:rPr>
              <w:tab/>
            </w:r>
            <w:r>
              <w:rPr>
                <w:rStyle w:val="IndexLink"/>
              </w:rPr>
              <w:t>21</w:t>
            </w:r>
          </w:hyperlink>
        </w:p>
        <w:p>
          <w:pPr>
            <w:pStyle w:val="Contents3"/>
            <w:tabs>
              <w:tab w:val="clear" w:pos="8459"/>
              <w:tab w:val="right" w:pos="9026" w:leader="dot"/>
            </w:tabs>
            <w:rPr/>
          </w:pPr>
          <w:hyperlink w:anchor="__RefHeading___Toc1748792_730472459">
            <w:r>
              <w:rPr>
                <w:webHidden/>
                <w:rStyle w:val="IndexLink"/>
                <w:rtl w:val="true"/>
              </w:rPr>
              <w:t>مبارزات مسلحانه و بنيادگرايي</w:t>
            </w:r>
            <w:r>
              <w:rPr>
                <w:rStyle w:val="IndexLink"/>
                <w:rtl w:val="true"/>
              </w:rPr>
              <w:tab/>
            </w:r>
            <w:r>
              <w:rPr>
                <w:rStyle w:val="IndexLink"/>
              </w:rPr>
              <w:t>26</w:t>
            </w:r>
          </w:hyperlink>
        </w:p>
        <w:p>
          <w:pPr>
            <w:pStyle w:val="Contents2"/>
            <w:tabs>
              <w:tab w:val="clear" w:pos="8743"/>
              <w:tab w:val="right" w:pos="9026" w:leader="dot"/>
            </w:tabs>
            <w:rPr/>
          </w:pPr>
          <w:hyperlink w:anchor="__RefHeading___Toc1748794_730472459">
            <w:r>
              <w:rPr>
                <w:webHidden/>
                <w:rStyle w:val="IndexLink"/>
                <w:rtl w:val="true"/>
              </w:rPr>
              <w:t>مقاله‌ي مورد نقد</w:t>
            </w:r>
            <w:r>
              <w:rPr>
                <w:rStyle w:val="IndexLink"/>
                <w:rtl w:val="true"/>
              </w:rPr>
              <w:t xml:space="preserve">: </w:t>
            </w:r>
            <w:r>
              <w:rPr>
                <w:rStyle w:val="IndexLink"/>
                <w:rtl w:val="true"/>
              </w:rPr>
              <w:t>ضمانت اجرايي قانون خوب، اراده‌ي ملي است</w:t>
            </w:r>
            <w:r>
              <w:rPr>
                <w:rStyle w:val="IndexLink"/>
                <w:rtl w:val="true"/>
              </w:rPr>
              <w:tab/>
            </w:r>
            <w:r>
              <w:rPr>
                <w:rStyle w:val="IndexLink"/>
              </w:rPr>
              <w:t>30</w:t>
            </w:r>
          </w:hyperlink>
        </w:p>
        <w:p>
          <w:pPr>
            <w:pStyle w:val="Contents3"/>
            <w:tabs>
              <w:tab w:val="clear" w:pos="8459"/>
              <w:tab w:val="right" w:pos="9026" w:leader="dot"/>
            </w:tabs>
            <w:rPr/>
          </w:pPr>
          <w:hyperlink w:anchor="__RefHeading___Toc1748796_73047245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748798_730472459">
            <w:r>
              <w:rPr>
                <w:webHidden/>
                <w:rStyle w:val="IndexLink"/>
                <w:rtl w:val="true"/>
              </w:rPr>
              <w:t>چكيده</w:t>
            </w:r>
            <w:r>
              <w:rPr>
                <w:rStyle w:val="IndexLink"/>
                <w:rtl w:val="true"/>
              </w:rPr>
              <w:t>:</w:t>
              <w:tab/>
            </w:r>
            <w:r>
              <w:rPr>
                <w:rStyle w:val="IndexLink"/>
              </w:rPr>
              <w:t>30</w:t>
            </w:r>
          </w:hyperlink>
        </w:p>
        <w:p>
          <w:pPr>
            <w:pStyle w:val="Contents3"/>
            <w:tabs>
              <w:tab w:val="clear" w:pos="8459"/>
              <w:tab w:val="right" w:pos="9026" w:leader="dot"/>
            </w:tabs>
            <w:rPr/>
          </w:pPr>
          <w:hyperlink w:anchor="__RefHeading___Toc1748800_730472459">
            <w:r>
              <w:rPr>
                <w:webHidden/>
                <w:rStyle w:val="IndexLink"/>
                <w:rtl w:val="true"/>
              </w:rPr>
              <w:t>تأملي در باب مشروعيت حكومتي ديني</w:t>
            </w:r>
            <w:r>
              <w:rPr>
                <w:rStyle w:val="IndexLink"/>
                <w:rtl w:val="true"/>
              </w:rPr>
              <w:tab/>
            </w:r>
            <w:r>
              <w:rPr>
                <w:rStyle w:val="IndexLink"/>
              </w:rPr>
              <w:t>30</w:t>
            </w:r>
          </w:hyperlink>
        </w:p>
        <w:p>
          <w:pPr>
            <w:pStyle w:val="Contents3"/>
            <w:tabs>
              <w:tab w:val="clear" w:pos="8459"/>
              <w:tab w:val="right" w:pos="9026" w:leader="dot"/>
            </w:tabs>
            <w:rPr/>
          </w:pPr>
          <w:hyperlink w:anchor="__RefHeading___Toc1748802_730472459">
            <w:r>
              <w:rPr>
                <w:webHidden/>
                <w:rStyle w:val="IndexLink"/>
                <w:rtl w:val="true"/>
              </w:rPr>
              <w:t>ملاك مشروعيت حكومت‌ها</w:t>
            </w:r>
            <w:r>
              <w:rPr>
                <w:rStyle w:val="IndexLink"/>
                <w:rtl w:val="true"/>
              </w:rPr>
              <w:t>:</w:t>
              <w:tab/>
            </w:r>
            <w:r>
              <w:rPr>
                <w:rStyle w:val="IndexLink"/>
              </w:rPr>
              <w:t>31</w:t>
            </w:r>
          </w:hyperlink>
        </w:p>
        <w:p>
          <w:pPr>
            <w:pStyle w:val="Contents3"/>
            <w:tabs>
              <w:tab w:val="clear" w:pos="8459"/>
              <w:tab w:val="right" w:pos="9026" w:leader="dot"/>
            </w:tabs>
            <w:rPr/>
          </w:pPr>
          <w:hyperlink w:anchor="__RefHeading___Toc1748804_730472459">
            <w:r>
              <w:rPr>
                <w:webHidden/>
                <w:rStyle w:val="IndexLink"/>
                <w:rtl w:val="true"/>
              </w:rPr>
              <w:t>مشروعيت حكومت در اسلام</w:t>
            </w:r>
            <w:r>
              <w:rPr>
                <w:rStyle w:val="IndexLink"/>
                <w:rtl w:val="true"/>
              </w:rPr>
              <w:tab/>
            </w:r>
            <w:r>
              <w:rPr>
                <w:rStyle w:val="IndexLink"/>
              </w:rPr>
              <w:t>32</w:t>
            </w:r>
          </w:hyperlink>
        </w:p>
        <w:p>
          <w:pPr>
            <w:pStyle w:val="Contents3"/>
            <w:tabs>
              <w:tab w:val="clear" w:pos="8459"/>
              <w:tab w:val="right" w:pos="9026" w:leader="dot"/>
            </w:tabs>
            <w:rPr/>
          </w:pPr>
          <w:hyperlink w:anchor="__RefHeading___Toc1748806_730472459">
            <w:r>
              <w:rPr>
                <w:webHidden/>
                <w:rStyle w:val="IndexLink"/>
                <w:rtl w:val="true"/>
              </w:rPr>
              <w:t>نقش مردم در حكومت الهي</w:t>
            </w:r>
            <w:r>
              <w:rPr>
                <w:rStyle w:val="IndexLink"/>
                <w:rtl w:val="true"/>
              </w:rPr>
              <w:t>:</w:t>
              <w:tab/>
            </w:r>
            <w:r>
              <w:rPr>
                <w:rStyle w:val="IndexLink"/>
              </w:rPr>
              <w:t>34</w:t>
            </w:r>
          </w:hyperlink>
        </w:p>
        <w:p>
          <w:pPr>
            <w:pStyle w:val="Contents2"/>
            <w:tabs>
              <w:tab w:val="clear" w:pos="8743"/>
              <w:tab w:val="right" w:pos="9026" w:leader="dot"/>
            </w:tabs>
            <w:rPr/>
          </w:pPr>
          <w:hyperlink w:anchor="__RefHeading___Toc1748808_730472459">
            <w:r>
              <w:rPr>
                <w:webHidden/>
                <w:rStyle w:val="IndexLink"/>
                <w:rtl w:val="true"/>
              </w:rPr>
              <w:t>مقاله‌ي مورد نقد</w:t>
            </w:r>
            <w:r>
              <w:rPr>
                <w:rStyle w:val="IndexLink"/>
                <w:rtl w:val="true"/>
              </w:rPr>
              <w:t xml:space="preserve">: </w:t>
            </w:r>
            <w:r>
              <w:rPr>
                <w:rStyle w:val="IndexLink"/>
                <w:rtl w:val="true"/>
              </w:rPr>
              <w:t>ضرورت گفت‌و‌گوي اديان</w:t>
            </w:r>
            <w:r>
              <w:rPr>
                <w:rStyle w:val="IndexLink"/>
                <w:rtl w:val="true"/>
              </w:rPr>
              <w:tab/>
            </w:r>
            <w:r>
              <w:rPr>
                <w:rStyle w:val="IndexLink"/>
              </w:rPr>
              <w:t>38</w:t>
            </w:r>
          </w:hyperlink>
        </w:p>
        <w:p>
          <w:pPr>
            <w:pStyle w:val="Contents3"/>
            <w:tabs>
              <w:tab w:val="clear" w:pos="8459"/>
              <w:tab w:val="right" w:pos="9026" w:leader="dot"/>
            </w:tabs>
            <w:rPr/>
          </w:pPr>
          <w:hyperlink w:anchor="__RefHeading___Toc1748810_73047245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748812_730472459">
            <w:r>
              <w:rPr>
                <w:webHidden/>
                <w:rStyle w:val="IndexLink"/>
                <w:rtl w:val="true"/>
              </w:rPr>
              <w:t>چكيده</w:t>
            </w:r>
            <w:r>
              <w:rPr>
                <w:rStyle w:val="IndexLink"/>
                <w:rtl w:val="true"/>
              </w:rPr>
              <w:t>:</w:t>
              <w:tab/>
            </w:r>
            <w:r>
              <w:rPr>
                <w:rStyle w:val="IndexLink"/>
              </w:rPr>
              <w:t>38</w:t>
            </w:r>
          </w:hyperlink>
        </w:p>
        <w:p>
          <w:pPr>
            <w:pStyle w:val="Contents3"/>
            <w:tabs>
              <w:tab w:val="clear" w:pos="8459"/>
              <w:tab w:val="right" w:pos="9026" w:leader="dot"/>
            </w:tabs>
            <w:rPr/>
          </w:pPr>
          <w:hyperlink w:anchor="__RefHeading___Toc1748814_730472459">
            <w:r>
              <w:rPr>
                <w:webHidden/>
                <w:rStyle w:val="IndexLink"/>
                <w:rtl w:val="true"/>
              </w:rPr>
              <w:t>پلوراليسم، بستري نامناسب براي گفتگوي اديان</w:t>
            </w:r>
            <w:r>
              <w:rPr>
                <w:rStyle w:val="IndexLink"/>
                <w:rtl w:val="true"/>
              </w:rPr>
              <w:tab/>
            </w:r>
            <w:r>
              <w:rPr>
                <w:rStyle w:val="IndexLink"/>
              </w:rPr>
              <w:t>38</w:t>
            </w:r>
          </w:hyperlink>
        </w:p>
        <w:p>
          <w:pPr>
            <w:pStyle w:val="Contents2"/>
            <w:tabs>
              <w:tab w:val="clear" w:pos="8743"/>
              <w:tab w:val="right" w:pos="9026" w:leader="dot"/>
            </w:tabs>
            <w:rPr/>
          </w:pPr>
          <w:hyperlink w:anchor="__RefHeading___Toc1748816_730472459">
            <w:r>
              <w:rPr>
                <w:webHidden/>
                <w:rStyle w:val="IndexLink"/>
                <w:rtl w:val="true"/>
              </w:rPr>
              <w:t>مقاله مورد نقد</w:t>
            </w:r>
            <w:r>
              <w:rPr>
                <w:rStyle w:val="IndexLink"/>
                <w:rtl w:val="true"/>
              </w:rPr>
              <w:t xml:space="preserve">: </w:t>
            </w:r>
            <w:r>
              <w:rPr>
                <w:rStyle w:val="IndexLink"/>
                <w:rtl w:val="true"/>
              </w:rPr>
              <w:t>هرمنوتيك، قرائت‌هاي متعدد و بازسازي فكر ديني</w:t>
            </w:r>
            <w:r>
              <w:rPr>
                <w:rStyle w:val="IndexLink"/>
                <w:rtl w:val="true"/>
              </w:rPr>
              <w:tab/>
            </w:r>
            <w:r>
              <w:rPr>
                <w:rStyle w:val="IndexLink"/>
              </w:rPr>
              <w:t>44</w:t>
            </w:r>
          </w:hyperlink>
        </w:p>
        <w:p>
          <w:pPr>
            <w:pStyle w:val="Contents3"/>
            <w:tabs>
              <w:tab w:val="clear" w:pos="8459"/>
              <w:tab w:val="right" w:pos="9026" w:leader="dot"/>
            </w:tabs>
            <w:rPr/>
          </w:pPr>
          <w:hyperlink w:anchor="__RefHeading___Toc1748818_73047245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748820_730472459">
            <w:r>
              <w:rPr>
                <w:webHidden/>
                <w:rStyle w:val="IndexLink"/>
                <w:rtl w:val="true"/>
              </w:rPr>
              <w:t>چکیده</w:t>
            </w:r>
            <w:r>
              <w:rPr>
                <w:rStyle w:val="IndexLink"/>
                <w:rtl w:val="true"/>
              </w:rPr>
              <w:tab/>
            </w:r>
            <w:r>
              <w:rPr>
                <w:rStyle w:val="IndexLink"/>
              </w:rPr>
              <w:t>44</w:t>
            </w:r>
          </w:hyperlink>
        </w:p>
        <w:p>
          <w:pPr>
            <w:pStyle w:val="Contents3"/>
            <w:tabs>
              <w:tab w:val="clear" w:pos="8459"/>
              <w:tab w:val="right" w:pos="9026" w:leader="dot"/>
            </w:tabs>
            <w:rPr/>
          </w:pPr>
          <w:hyperlink w:anchor="__RefHeading___Toc1748822_730472459">
            <w:r>
              <w:rPr>
                <w:webHidden/>
                <w:rStyle w:val="IndexLink"/>
                <w:rtl w:val="true"/>
              </w:rPr>
              <w:t>هرمنوتيك فلسفي ارمغاني جز نسبيّت و شكاكيت معرفتي ندارد</w:t>
            </w:r>
            <w:r>
              <w:rPr>
                <w:rStyle w:val="IndexLink"/>
                <w:rtl w:val="true"/>
              </w:rPr>
              <w:tab/>
            </w:r>
            <w:r>
              <w:rPr>
                <w:rStyle w:val="IndexLink"/>
              </w:rPr>
              <w:t>44</w:t>
            </w:r>
          </w:hyperlink>
        </w:p>
        <w:p>
          <w:pPr>
            <w:pStyle w:val="Contents3"/>
            <w:tabs>
              <w:tab w:val="clear" w:pos="8459"/>
              <w:tab w:val="right" w:pos="9026" w:leader="dot"/>
            </w:tabs>
            <w:rPr/>
          </w:pPr>
          <w:hyperlink w:anchor="__RefHeading___Toc1748824_730472459">
            <w:r>
              <w:rPr>
                <w:webHidden/>
                <w:rStyle w:val="IndexLink"/>
              </w:rPr>
              <w:t>1</w:t>
            </w:r>
            <w:r>
              <w:rPr>
                <w:rStyle w:val="IndexLink"/>
                <w:rtl w:val="true"/>
              </w:rPr>
              <w:t xml:space="preserve">. </w:t>
            </w:r>
            <w:r>
              <w:rPr>
                <w:rStyle w:val="IndexLink"/>
                <w:rtl w:val="true"/>
              </w:rPr>
              <w:t>مغالطات موجود در مقاله؛</w:t>
            </w:r>
            <w:r>
              <w:rPr>
                <w:rStyle w:val="IndexLink"/>
                <w:rtl w:val="true"/>
              </w:rPr>
              <w:tab/>
            </w:r>
            <w:r>
              <w:rPr>
                <w:rStyle w:val="IndexLink"/>
              </w:rPr>
              <w:t>44</w:t>
            </w:r>
          </w:hyperlink>
        </w:p>
        <w:p>
          <w:pPr>
            <w:pStyle w:val="Contents3"/>
            <w:tabs>
              <w:tab w:val="clear" w:pos="8459"/>
              <w:tab w:val="right" w:pos="9026" w:leader="dot"/>
            </w:tabs>
            <w:rPr/>
          </w:pPr>
          <w:hyperlink w:anchor="__RefHeading___Toc1748826_730472459">
            <w:r>
              <w:rPr>
                <w:webHidden/>
                <w:rStyle w:val="IndexLink"/>
              </w:rPr>
              <w:t>2</w:t>
            </w:r>
            <w:r>
              <w:rPr>
                <w:rStyle w:val="IndexLink"/>
                <w:rtl w:val="true"/>
              </w:rPr>
              <w:t xml:space="preserve">. </w:t>
            </w:r>
            <w:r>
              <w:rPr>
                <w:rStyle w:val="IndexLink"/>
                <w:rtl w:val="true"/>
              </w:rPr>
              <w:t>نكات محتوايي اين مقاله</w:t>
            </w:r>
            <w:r>
              <w:rPr>
                <w:rStyle w:val="IndexLink"/>
                <w:rtl w:val="true"/>
              </w:rPr>
              <w:tab/>
            </w:r>
            <w:r>
              <w:rPr>
                <w:rStyle w:val="IndexLink"/>
              </w:rPr>
              <w:t>47</w:t>
            </w:r>
          </w:hyperlink>
        </w:p>
        <w:p>
          <w:pPr>
            <w:pStyle w:val="Contents2"/>
            <w:tabs>
              <w:tab w:val="clear" w:pos="8743"/>
              <w:tab w:val="right" w:pos="9026" w:leader="dot"/>
            </w:tabs>
            <w:rPr/>
          </w:pPr>
          <w:hyperlink w:anchor="__RefHeading___Toc1748828_730472459">
            <w:r>
              <w:rPr>
                <w:webHidden/>
                <w:rStyle w:val="IndexLink"/>
                <w:rtl w:val="true"/>
              </w:rPr>
              <w:t>مقاله‌ي مورد نقد</w:t>
            </w:r>
            <w:r>
              <w:rPr>
                <w:rStyle w:val="IndexLink"/>
                <w:rtl w:val="true"/>
              </w:rPr>
              <w:t xml:space="preserve">: </w:t>
            </w:r>
            <w:r>
              <w:rPr>
                <w:rStyle w:val="IndexLink"/>
                <w:rtl w:val="true"/>
              </w:rPr>
              <w:t>ليبراليسم با اسلام منافاتي ندارد</w:t>
            </w:r>
            <w:r>
              <w:rPr>
                <w:rStyle w:val="IndexLink"/>
                <w:rtl w:val="true"/>
              </w:rPr>
              <w:tab/>
            </w:r>
            <w:r>
              <w:rPr>
                <w:rStyle w:val="IndexLink"/>
              </w:rPr>
              <w:t>54</w:t>
            </w:r>
          </w:hyperlink>
        </w:p>
        <w:p>
          <w:pPr>
            <w:pStyle w:val="Contents3"/>
            <w:tabs>
              <w:tab w:val="clear" w:pos="8459"/>
              <w:tab w:val="right" w:pos="9026" w:leader="dot"/>
            </w:tabs>
            <w:rPr/>
          </w:pPr>
          <w:hyperlink w:anchor="__RefHeading___Toc1748830_73047245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748832_730472459">
            <w:r>
              <w:rPr>
                <w:webHidden/>
                <w:rStyle w:val="IndexLink"/>
                <w:rtl w:val="true"/>
              </w:rPr>
              <w:t>چكيده</w:t>
            </w:r>
            <w:r>
              <w:rPr>
                <w:rStyle w:val="IndexLink"/>
                <w:rtl w:val="true"/>
              </w:rPr>
              <w:t>:</w:t>
              <w:tab/>
            </w:r>
            <w:r>
              <w:rPr>
                <w:rStyle w:val="IndexLink"/>
              </w:rPr>
              <w:t>54</w:t>
            </w:r>
          </w:hyperlink>
        </w:p>
        <w:p>
          <w:pPr>
            <w:pStyle w:val="Contents3"/>
            <w:tabs>
              <w:tab w:val="clear" w:pos="8459"/>
              <w:tab w:val="right" w:pos="9026" w:leader="dot"/>
            </w:tabs>
            <w:rPr/>
          </w:pPr>
          <w:hyperlink w:anchor="__RefHeading___Toc1748834_730472459">
            <w:r>
              <w:rPr>
                <w:webHidden/>
                <w:rStyle w:val="IndexLink"/>
                <w:rtl w:val="true"/>
              </w:rPr>
              <w:t>چالش هاي نظري بين اسلام و ليبراليسم</w:t>
            </w:r>
            <w:r>
              <w:rPr>
                <w:rStyle w:val="IndexLink"/>
                <w:rtl w:val="true"/>
              </w:rPr>
              <w:tab/>
            </w:r>
            <w:r>
              <w:rPr>
                <w:rStyle w:val="IndexLink"/>
              </w:rPr>
              <w:t>54</w:t>
            </w:r>
          </w:hyperlink>
        </w:p>
        <w:p>
          <w:pPr>
            <w:pStyle w:val="Contents2"/>
            <w:tabs>
              <w:tab w:val="clear" w:pos="8743"/>
              <w:tab w:val="right" w:pos="9026" w:leader="dot"/>
            </w:tabs>
            <w:rPr/>
          </w:pPr>
          <w:hyperlink w:anchor="__RefHeading___Toc1748836_730472459">
            <w:r>
              <w:rPr>
                <w:webHidden/>
                <w:rStyle w:val="IndexLink"/>
                <w:rtl w:val="true"/>
              </w:rPr>
              <w:t>مقاله‌ي مورد نقد</w:t>
            </w:r>
            <w:r>
              <w:rPr>
                <w:rStyle w:val="IndexLink"/>
                <w:rtl w:val="true"/>
              </w:rPr>
              <w:t xml:space="preserve">: </w:t>
            </w:r>
            <w:r>
              <w:rPr>
                <w:rStyle w:val="IndexLink"/>
                <w:rtl w:val="true"/>
              </w:rPr>
              <w:t>جهاني شدن و حاكميت ملي</w:t>
            </w:r>
            <w:r>
              <w:rPr>
                <w:rStyle w:val="IndexLink"/>
                <w:rtl w:val="true"/>
              </w:rPr>
              <w:tab/>
            </w:r>
            <w:r>
              <w:rPr>
                <w:rStyle w:val="IndexLink"/>
              </w:rPr>
              <w:t>62</w:t>
            </w:r>
          </w:hyperlink>
        </w:p>
        <w:p>
          <w:pPr>
            <w:pStyle w:val="Contents3"/>
            <w:tabs>
              <w:tab w:val="clear" w:pos="8459"/>
              <w:tab w:val="right" w:pos="9026" w:leader="dot"/>
            </w:tabs>
            <w:rPr/>
          </w:pPr>
          <w:hyperlink w:anchor="__RefHeading___Toc1748838_730472459">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748840_730472459">
            <w:r>
              <w:rPr>
                <w:webHidden/>
                <w:rStyle w:val="IndexLink"/>
                <w:rtl w:val="true"/>
              </w:rPr>
              <w:t>چكيده</w:t>
            </w:r>
            <w:r>
              <w:rPr>
                <w:rStyle w:val="IndexLink"/>
                <w:rtl w:val="true"/>
              </w:rPr>
              <w:t>:</w:t>
              <w:tab/>
            </w:r>
            <w:r>
              <w:rPr>
                <w:rStyle w:val="IndexLink"/>
              </w:rPr>
              <w:t>62</w:t>
            </w:r>
          </w:hyperlink>
        </w:p>
        <w:p>
          <w:pPr>
            <w:pStyle w:val="Contents3"/>
            <w:tabs>
              <w:tab w:val="clear" w:pos="8459"/>
              <w:tab w:val="right" w:pos="9026" w:leader="dot"/>
            </w:tabs>
            <w:rPr/>
          </w:pPr>
          <w:hyperlink w:anchor="__RefHeading___Toc1748842_730472459">
            <w:r>
              <w:rPr>
                <w:webHidden/>
                <w:rStyle w:val="IndexLink"/>
                <w:rtl w:val="true"/>
              </w:rPr>
              <w:t>جهاني شدن نقدي بر نگرش خوش‌بينانه‌ي افراطي</w:t>
            </w:r>
            <w:r>
              <w:rPr>
                <w:rStyle w:val="IndexLink"/>
                <w:rtl w:val="true"/>
              </w:rPr>
              <w:tab/>
            </w:r>
            <w:r>
              <w:rPr>
                <w:rStyle w:val="IndexLink"/>
              </w:rPr>
              <w:t>62</w:t>
            </w:r>
          </w:hyperlink>
        </w:p>
        <w:p>
          <w:pPr>
            <w:pStyle w:val="Contents2"/>
            <w:tabs>
              <w:tab w:val="clear" w:pos="8743"/>
              <w:tab w:val="right" w:pos="9026" w:leader="dot"/>
            </w:tabs>
            <w:rPr/>
          </w:pPr>
          <w:hyperlink w:anchor="__RefHeading___Toc1748844_730472459">
            <w:r>
              <w:rPr>
                <w:webHidden/>
                <w:rStyle w:val="IndexLink"/>
                <w:rtl w:val="true"/>
              </w:rPr>
              <w:t>مقاله‌ي مورد نظر</w:t>
            </w:r>
            <w:r>
              <w:rPr>
                <w:rStyle w:val="IndexLink"/>
                <w:rtl w:val="true"/>
              </w:rPr>
              <w:t xml:space="preserve">: </w:t>
            </w:r>
            <w:r>
              <w:rPr>
                <w:rStyle w:val="IndexLink"/>
                <w:rtl w:val="true"/>
              </w:rPr>
              <w:t>فرداي بنيادگرايي</w:t>
            </w:r>
            <w:r>
              <w:rPr>
                <w:rStyle w:val="IndexLink"/>
                <w:rtl w:val="true"/>
              </w:rPr>
              <w:tab/>
            </w:r>
            <w:r>
              <w:rPr>
                <w:rStyle w:val="IndexLink"/>
              </w:rPr>
              <w:t>70</w:t>
            </w:r>
          </w:hyperlink>
        </w:p>
        <w:p>
          <w:pPr>
            <w:pStyle w:val="Contents3"/>
            <w:tabs>
              <w:tab w:val="clear" w:pos="8459"/>
              <w:tab w:val="right" w:pos="9026" w:leader="dot"/>
            </w:tabs>
            <w:rPr/>
          </w:pPr>
          <w:hyperlink w:anchor="__RefHeading___Toc1748846_73047245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748848_730472459">
            <w:r>
              <w:rPr>
                <w:webHidden/>
                <w:rStyle w:val="IndexLink"/>
                <w:rtl w:val="true"/>
              </w:rPr>
              <w:t>چكيده</w:t>
            </w:r>
            <w:r>
              <w:rPr>
                <w:rStyle w:val="IndexLink"/>
                <w:rtl w:val="true"/>
              </w:rPr>
              <w:t>:</w:t>
              <w:tab/>
            </w:r>
            <w:r>
              <w:rPr>
                <w:rStyle w:val="IndexLink"/>
              </w:rPr>
              <w:t>70</w:t>
            </w:r>
          </w:hyperlink>
        </w:p>
        <w:p>
          <w:pPr>
            <w:pStyle w:val="Contents3"/>
            <w:tabs>
              <w:tab w:val="clear" w:pos="8459"/>
              <w:tab w:val="right" w:pos="9026" w:leader="dot"/>
            </w:tabs>
            <w:rPr/>
          </w:pPr>
          <w:hyperlink w:anchor="__RefHeading___Toc1748850_730472459">
            <w:r>
              <w:rPr>
                <w:webHidden/>
                <w:rStyle w:val="IndexLink"/>
                <w:rtl w:val="true"/>
              </w:rPr>
              <w:t>ناكامي در تحليل جنبش‌هاي اسلامي معاصر</w:t>
            </w:r>
            <w:r>
              <w:rPr>
                <w:rStyle w:val="IndexLink"/>
                <w:rtl w:val="true"/>
              </w:rPr>
              <w:tab/>
            </w:r>
            <w:r>
              <w:rPr>
                <w:rStyle w:val="IndexLink"/>
              </w:rPr>
              <w:t>70</w:t>
            </w:r>
          </w:hyperlink>
        </w:p>
        <w:p>
          <w:pPr>
            <w:pStyle w:val="Contents2"/>
            <w:tabs>
              <w:tab w:val="clear" w:pos="8743"/>
              <w:tab w:val="right" w:pos="9026" w:leader="dot"/>
            </w:tabs>
            <w:rPr/>
          </w:pPr>
          <w:hyperlink w:anchor="__RefHeading___Toc1748852_730472459">
            <w:r>
              <w:rPr>
                <w:webHidden/>
                <w:rStyle w:val="IndexLink"/>
                <w:rtl w:val="true"/>
              </w:rPr>
              <w:t>مقاله مورد نقد</w:t>
            </w:r>
            <w:r>
              <w:rPr>
                <w:rStyle w:val="IndexLink"/>
                <w:rtl w:val="true"/>
              </w:rPr>
              <w:t xml:space="preserve">: </w:t>
            </w:r>
            <w:r>
              <w:rPr>
                <w:rStyle w:val="IndexLink"/>
                <w:rtl w:val="true"/>
              </w:rPr>
              <w:t>نكند پدرم مرا نشناسد</w:t>
            </w:r>
            <w:r>
              <w:rPr>
                <w:rStyle w:val="IndexLink"/>
                <w:rtl w:val="true"/>
              </w:rPr>
              <w:tab/>
            </w:r>
            <w:r>
              <w:rPr>
                <w:rStyle w:val="IndexLink"/>
              </w:rPr>
              <w:t>82</w:t>
            </w:r>
          </w:hyperlink>
        </w:p>
        <w:p>
          <w:pPr>
            <w:pStyle w:val="Contents3"/>
            <w:tabs>
              <w:tab w:val="clear" w:pos="8459"/>
              <w:tab w:val="right" w:pos="9026" w:leader="dot"/>
            </w:tabs>
            <w:rPr/>
          </w:pPr>
          <w:hyperlink w:anchor="__RefHeading___Toc1748854_73047245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748856_730472459">
            <w:r>
              <w:rPr>
                <w:webHidden/>
                <w:rStyle w:val="IndexLink"/>
                <w:rtl w:val="true"/>
              </w:rPr>
              <w:t>چکیده</w:t>
            </w:r>
            <w:r>
              <w:rPr>
                <w:rStyle w:val="IndexLink"/>
                <w:rtl w:val="true"/>
              </w:rPr>
              <w:tab/>
            </w:r>
            <w:r>
              <w:rPr>
                <w:rStyle w:val="IndexLink"/>
              </w:rPr>
              <w:t>82</w:t>
            </w:r>
          </w:hyperlink>
        </w:p>
        <w:p>
          <w:pPr>
            <w:pStyle w:val="Contents3"/>
            <w:tabs>
              <w:tab w:val="clear" w:pos="8459"/>
              <w:tab w:val="right" w:pos="9026" w:leader="dot"/>
            </w:tabs>
            <w:rPr/>
          </w:pPr>
          <w:hyperlink w:anchor="__RefHeading___Toc1748858_730472459">
            <w:r>
              <w:rPr>
                <w:webHidden/>
                <w:rStyle w:val="IndexLink"/>
                <w:rtl w:val="true"/>
              </w:rPr>
              <w:t>فقر روش و بينش در بعضي مقالات حجاب</w:t>
            </w:r>
            <w:r>
              <w:rPr>
                <w:rStyle w:val="IndexLink"/>
                <w:rtl w:val="true"/>
              </w:rPr>
              <w:tab/>
            </w:r>
            <w:r>
              <w:rPr>
                <w:rStyle w:val="IndexLink"/>
              </w:rPr>
              <w:t>82</w:t>
            </w:r>
          </w:hyperlink>
        </w:p>
        <w:p>
          <w:pPr>
            <w:pStyle w:val="Contents3"/>
            <w:tabs>
              <w:tab w:val="clear" w:pos="8459"/>
              <w:tab w:val="right" w:pos="9026" w:leader="dot"/>
            </w:tabs>
            <w:rPr/>
          </w:pPr>
          <w:hyperlink w:anchor="__RefHeading___Toc1748860_730472459">
            <w:r>
              <w:rPr>
                <w:webHidden/>
                <w:rStyle w:val="IndexLink"/>
              </w:rPr>
              <w:t>1</w:t>
            </w:r>
            <w:r>
              <w:rPr>
                <w:rStyle w:val="IndexLink"/>
                <w:rtl w:val="true"/>
              </w:rPr>
              <w:t>.</w:t>
            </w:r>
            <w:r>
              <w:rPr>
                <w:rStyle w:val="IndexLink"/>
                <w:rtl w:val="true"/>
              </w:rPr>
              <w:t>فقر در روش</w:t>
            </w:r>
            <w:r>
              <w:rPr>
                <w:rStyle w:val="IndexLink"/>
                <w:rtl w:val="true"/>
              </w:rPr>
              <w:tab/>
            </w:r>
            <w:r>
              <w:rPr>
                <w:rStyle w:val="IndexLink"/>
              </w:rPr>
              <w:t>83</w:t>
            </w:r>
          </w:hyperlink>
        </w:p>
        <w:p>
          <w:pPr>
            <w:pStyle w:val="Contents3"/>
            <w:tabs>
              <w:tab w:val="clear" w:pos="8459"/>
              <w:tab w:val="right" w:pos="9026" w:leader="dot"/>
            </w:tabs>
            <w:rPr/>
          </w:pPr>
          <w:hyperlink w:anchor="__RefHeading___Toc1748862_730472459">
            <w:r>
              <w:rPr>
                <w:webHidden/>
                <w:rStyle w:val="IndexLink"/>
              </w:rPr>
              <w:t>2</w:t>
            </w:r>
            <w:r>
              <w:rPr>
                <w:rStyle w:val="IndexLink"/>
                <w:rtl w:val="true"/>
              </w:rPr>
              <w:t xml:space="preserve">. </w:t>
            </w:r>
            <w:r>
              <w:rPr>
                <w:rStyle w:val="IndexLink"/>
                <w:rtl w:val="true"/>
              </w:rPr>
              <w:t>فقر در بينش</w:t>
            </w:r>
            <w:r>
              <w:rPr>
                <w:rStyle w:val="IndexLink"/>
                <w:rtl w:val="true"/>
              </w:rPr>
              <w:tab/>
            </w:r>
            <w:r>
              <w:rPr>
                <w:rStyle w:val="IndexLink"/>
              </w:rPr>
              <w:t>85</w:t>
            </w:r>
          </w:hyperlink>
        </w:p>
        <w:p>
          <w:pPr>
            <w:pStyle w:val="Contents3"/>
            <w:tabs>
              <w:tab w:val="clear" w:pos="8459"/>
              <w:tab w:val="right" w:pos="9026" w:leader="dot"/>
            </w:tabs>
            <w:rPr/>
          </w:pPr>
          <w:hyperlink w:anchor="__RefHeading___Toc1748864_730472459">
            <w:r>
              <w:rPr>
                <w:webHidden/>
                <w:rStyle w:val="IndexLink"/>
                <w:rtl w:val="true"/>
              </w:rPr>
              <w:t>جمع‌بندي و نتيجه‌گيري</w:t>
            </w:r>
            <w:r>
              <w:rPr>
                <w:rStyle w:val="IndexLink"/>
                <w:rtl w:val="true"/>
              </w:rPr>
              <w:tab/>
            </w:r>
            <w:r>
              <w:rPr>
                <w:rStyle w:val="IndexLink"/>
              </w:rPr>
              <w:t>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82_160585"/>
      <w:bookmarkStart w:id="1" w:name="pg14782_160585"/>
      <w:bookmarkEnd w:id="1"/>
    </w:p>
    <w:p>
      <w:pPr>
        <w:pStyle w:val="Heading2"/>
        <w:numPr>
          <w:ilvl w:val="1"/>
          <w:numId w:val="1"/>
        </w:numPr>
        <w:rPr/>
      </w:pPr>
      <w:bookmarkStart w:id="2" w:name="pg14782_160585"/>
      <w:bookmarkStart w:id="3" w:name="__RefHeading___Toc1748772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واحد مطبوعات؛ ویراستار مهدی زارعی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مطالعات و پژوهش‌های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9647</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9647</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Pathology of the press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مطبوعات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مطبوعات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مطبوعات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PN5449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079/55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11378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8774_730472459"/>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آسيب‌شناسي مطبوعات</w:t>
      </w:r>
    </w:p>
    <w:p>
      <w:pPr>
        <w:pStyle w:val="BookText"/>
        <w:rPr/>
      </w:pPr>
      <w:r>
        <w:rPr>
          <w:rFonts w:ascii="Amiri" w:hAnsi="Amiri" w:eastAsia="Amiri" w:cs="Amiri"/>
          <w:color w:val="111111"/>
          <w:sz w:val="28"/>
          <w:sz w:val="28"/>
          <w:szCs w:val="28"/>
          <w:rtl w:val="true"/>
          <w:lang w:bidi="ar-SA"/>
        </w:rPr>
        <w:t>جمعي از محققين واحد مطبوعات</w:t>
      </w:r>
    </w:p>
    <w:p>
      <w:pPr>
        <w:pStyle w:val="BookText"/>
        <w:rPr/>
      </w:pPr>
      <w:r>
        <w:rPr>
          <w:rFonts w:ascii="IRNazanin" w:hAnsi="IRNazanin" w:eastAsia="IRNazanin"/>
          <w:color w:val="111111"/>
          <w:sz w:val="28"/>
          <w:sz w:val="28"/>
          <w:szCs w:val="28"/>
          <w:rtl w:val="true"/>
          <w:lang w:bidi="fa-IR"/>
        </w:rPr>
        <w:t>تهيه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و پژوهش هاي فرهنگي حوزه‌ي علميه</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مديريت حوزه علميه قم</w:t>
      </w:r>
    </w:p>
    <w:p>
      <w:pPr>
        <w:pStyle w:val="BookText"/>
        <w:rPr/>
      </w:pPr>
      <w:r>
        <w:rPr>
          <w:rFonts w:ascii="Amiri" w:hAnsi="Amiri" w:eastAsia="Amiri" w:cs="Amiri"/>
          <w:color w:val="111111"/>
          <w:sz w:val="28"/>
          <w:sz w:val="28"/>
          <w:szCs w:val="28"/>
          <w:rtl w:val="true"/>
          <w:lang w:bidi="ar-SA"/>
        </w:rPr>
        <w:t>ويراستاران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شريفي، حميده انصاري</w:t>
      </w:r>
    </w:p>
    <w:p>
      <w:pPr>
        <w:pStyle w:val="BookText"/>
        <w:rPr/>
      </w:pPr>
      <w:r>
        <w:rPr>
          <w:rFonts w:ascii="IRNazanin" w:hAnsi="IRNazanin" w:eastAsia="IRNazanin"/>
          <w:color w:val="111111"/>
          <w:sz w:val="28"/>
          <w:sz w:val="28"/>
          <w:szCs w:val="28"/>
          <w:rtl w:val="true"/>
          <w:lang w:bidi="fa-IR"/>
        </w:rPr>
        <w:t>حروف‌چين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يوسفي</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قم، صندوق پستي </w:t>
      </w:r>
      <w:r>
        <w:rPr>
          <w:rFonts w:eastAsia="IRNazanin" w:cs="IRNazanin"/>
          <w:color w:val="111111"/>
          <w:sz w:val="28"/>
          <w:szCs w:val="28"/>
          <w:lang w:bidi="fa-IR"/>
        </w:rPr>
        <w:t>4466/37185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دارالشفاء، فروشگاه مركز مديريت حوزه‌ي علميه،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7740971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 شهدا، ك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مركز مطالعات و پژوهش‌هاي فرهنگي حوزه‌ي علميه،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انتشارات بني‌الزهرا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 آيت‌ا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مرعشي نجفي، پاساژ قدس، شماره‌ي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7732730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بين خيابان ارديبهشت و فروردين، ساختمان كتاب‌هاي جيبي اميركبير، طبقه سوّم،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مؤسسه‌ي فرهنگي دانش و انديشه‌ي معاصر،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6492300</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كليه حقوق براي ناشر محفوظ است</w:t>
      </w:r>
      <w:r>
        <w:rPr>
          <w:rFonts w:eastAsia="Amiri" w:cs="Amiri" w:ascii="Amiri" w:hAnsi="Amiri"/>
          <w:color w:val="111111"/>
          <w:sz w:val="28"/>
          <w:szCs w:val="28"/>
          <w:rtl w:val="true"/>
          <w:lang w:bidi="ar-SA"/>
        </w:rPr>
        <w:t xml:space="preserve">. </w:t>
      </w:r>
      <w:bookmarkStart w:id="7" w:name="pg14782_160587"/>
    </w:p>
    <w:p>
      <w:pPr>
        <w:pStyle w:val="Heading2"/>
        <w:numPr>
          <w:ilvl w:val="1"/>
          <w:numId w:val="1"/>
        </w:numPr>
        <w:rPr/>
      </w:pPr>
      <w:bookmarkStart w:id="8" w:name="__RefHeading___Toc1748776_730472459"/>
      <w:bookmarkStart w:id="9" w:name="_Toc3"/>
      <w:bookmarkEnd w:id="7"/>
      <w:bookmarkEnd w:id="8"/>
      <w:r>
        <w:rPr>
          <w:rtl w:val="true"/>
        </w:rPr>
        <w:t>تقديم به</w:t>
      </w:r>
      <w:r>
        <w:rPr>
          <w:rtl w:val="true"/>
        </w:rPr>
        <w:t>:</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جاري در زمان، طراوت روح و جان، اميرالمؤمنين، امام المتقين، همو كه هم زينت سماوات هست و هم زمين، يعني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bookmarkStart w:id="10" w:name="pg14782_160590"/>
    </w:p>
    <w:p>
      <w:pPr>
        <w:pStyle w:val="Heading2"/>
        <w:numPr>
          <w:ilvl w:val="1"/>
          <w:numId w:val="1"/>
        </w:numPr>
        <w:rPr/>
      </w:pPr>
      <w:bookmarkStart w:id="11" w:name="__RefHeading___Toc1748778_730472459"/>
      <w:bookmarkStart w:id="12" w:name="_Toc4"/>
      <w:bookmarkEnd w:id="10"/>
      <w:bookmarkEnd w:id="11"/>
      <w:r>
        <w:rPr>
          <w:rtl w:val="true"/>
        </w:rPr>
        <w:t>مقدمه</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يكي از مهم‌ترين و بارزترين ابزار ارتباط جمعي است كه مخاطبان را از اخبار و نظريه‌ها آگاه مي‌سازد، به ويژه در عصر انفجار اطلاعات كه توليد فرهنگ و انديشه از حجم فراواني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توليدات به عرصه‌ي بهره‌وري مي‌رسند كه به طرز بهينه‌اي توزيع گردند، و مطبوعات در عصر حاضر ابزار مناسبي براي توزيع انديشه‌ها و فرهنگ‌هاست و علي‌رغم داشتن ويژگي‌هاي مثبت، در معرض آسيب‌هايي نيز مي‌باشد كه آسيب‌شناسان اجتماعي و فرهنگي بايد به كشف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عمده‌ترين آسيب مطبوعات، نگارش مقالات ظاهراً فني و علمي و ديني توسط غير كارشناسان است؛ و كارشناسان در حوزه‌هاي مختلف موظف‌اند به كالبدشكافي مقالات بپردازند و چالش‌هاي آنها را بازشناسند و مخاطبان عزيز را از آنها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اهداف و وظايف مركز مطالعات و پژوهش‌هاي فرهنگي حوزه‌ي علميه، آسيب‌شناسي مطبوعات و دفع و رفع شبهات از اين عرصه است كه توسط واحد بررسي مطبوعات پي‌گيري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متأسفانه برخي از روزنامه‌هاي آسيب پذيرنسبت به چاپ اين نقدها </w:t>
      </w:r>
    </w:p>
    <w:p>
      <w:pPr>
        <w:pStyle w:val="BookText"/>
        <w:rPr/>
      </w:pPr>
      <w:r>
        <w:rPr>
          <w:rFonts w:ascii="IRNazanin" w:hAnsi="IRNazanin" w:eastAsia="IRNazanin"/>
          <w:color w:val="111111"/>
          <w:sz w:val="28"/>
          <w:sz w:val="28"/>
          <w:szCs w:val="28"/>
          <w:rtl w:val="true"/>
          <w:lang w:bidi="fa-IR"/>
        </w:rPr>
        <w:t>استقبال خوبي نشان نمي‌دهند، بدين سبب، اين مركز تصميم گرفته است تا اين‌گونه نقدها و بررسي‌ها را به صورت كتاب، تحت عنوان آسيب‌شناسي مطبوعات منتشر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شماره، مقاله‌ي دين‌داري و تجددگرايي كه به روشن‌گري اذهان درباره‌ي رابطه‌ي مدرنيسم و اسلام پرداخته و نقد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 و احياي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عرفي شدن عليه عرفي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طالقاني و نوگرايي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موسيقي و تك‌خواني خانم‌ها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آمريكاستيزي سال‌هاست كه به نفع آمريكاست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نقدي بر دموكراسي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عصرمداراي ديني در جوامع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براي خوانندگان عزيز مفيد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محققان واحد بررسي مطبوعات، به ويژه آقاي حسن رضايي‌مهر، مدير محترم اين واحد، كمال تشكر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عبدالحسين خسروپناه</w:t>
      </w:r>
    </w:p>
    <w:p>
      <w:pPr>
        <w:pStyle w:val="BookText"/>
        <w:rPr/>
      </w:pPr>
      <w:r>
        <w:rPr>
          <w:rFonts w:ascii="IRNazanin" w:hAnsi="IRNazanin" w:eastAsia="IRNazanin"/>
          <w:color w:val="111111"/>
          <w:sz w:val="28"/>
          <w:sz w:val="28"/>
          <w:szCs w:val="28"/>
          <w:rtl w:val="true"/>
          <w:lang w:bidi="fa-IR"/>
        </w:rPr>
        <w:t>جانشين مركز مطالعات و پژوهش‌هاي فرهنگي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حوزه‌ي علميه‌ي قم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آسيب شناسي مطبوعات </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16" o:detectmouseclick="t"/>
                <v:stroke color="#3465a4" joinstyle="round" endcap="flat"/>
                <w10:wrap type="none"/>
              </v:shape>
            </w:pict>
          </mc:Fallback>
        </mc:AlternateContent>
      </w:r>
      <w:bookmarkStart w:id="13" w:name="pg14784_160595"/>
    </w:p>
    <w:p>
      <w:pPr>
        <w:pStyle w:val="Heading2"/>
        <w:numPr>
          <w:ilvl w:val="1"/>
          <w:numId w:val="1"/>
        </w:numPr>
        <w:rPr/>
      </w:pPr>
      <w:bookmarkStart w:id="14" w:name="__RefHeading___Toc1748780_730472459"/>
      <w:bookmarkStart w:id="15" w:name="_Toc5"/>
      <w:bookmarkEnd w:id="13"/>
      <w:bookmarkEnd w:id="14"/>
      <w:r>
        <w:rPr>
          <w:rtl w:val="true"/>
        </w:rPr>
        <w:t>مقاله‌ي مورد نقد</w:t>
      </w:r>
      <w:r>
        <w:rPr>
          <w:rtl w:val="true"/>
        </w:rPr>
        <w:t xml:space="preserve">: </w:t>
      </w:r>
      <w:r>
        <w:rPr>
          <w:rtl w:val="true"/>
        </w:rPr>
        <w:t>توسل به قوه‌ي قهريه مخصوص دولت است و نه هيچ نهاد ديگري</w:t>
      </w:r>
      <w:bookmarkEnd w:id="15"/>
    </w:p>
    <w:p>
      <w:pPr>
        <w:pStyle w:val="Heading3"/>
        <w:numPr>
          <w:ilvl w:val="2"/>
          <w:numId w:val="1"/>
        </w:numPr>
        <w:rPr/>
      </w:pPr>
      <w:bookmarkStart w:id="16" w:name="__RefHeading___Toc1748782_73047245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توسل به قوه‌ي قهريه مخصوص دولت است و نه هيچ نهاد ديگري</w:t>
      </w:r>
      <w:r>
        <w:rPr>
          <w:rStyle w:val="FootnoteAnchor"/>
          <w:rtl w:val="true"/>
        </w:rPr>
        <w:footnoteReference w:id="2"/>
      </w:r>
    </w:p>
    <w:p>
      <w:pPr>
        <w:pStyle w:val="Heading3"/>
        <w:numPr>
          <w:ilvl w:val="2"/>
          <w:numId w:val="1"/>
        </w:numPr>
        <w:rPr/>
      </w:pPr>
      <w:bookmarkStart w:id="18" w:name="__RefHeading___Toc1748784_730472459"/>
      <w:bookmarkStart w:id="19" w:name="_Toc7"/>
      <w:bookmarkEnd w:id="18"/>
      <w:r>
        <w:rPr>
          <w:rtl w:val="true"/>
        </w:rPr>
        <w:t>چكيده</w:t>
      </w:r>
      <w:r>
        <w:rPr>
          <w:rtl w:val="true"/>
        </w:rPr>
        <w:t>:</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گفت‌وگو، مباني تئوريك خشونت از منظر تاريخي، جامعه شناختي و فقهي مورد بررسي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آغاجري در اين مقاله ضمن تأكيد بر وجود دو قرائت در حوزه‌ي شريعت و فقه؛ يكي مبتني بر وضع ماقبل دولت و ديگري مبتني بر وجود دولت، فقه سنّتي را فقه شخصي و روح آن را معطوف به حل مسائل افراد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فقها نسبت مي‌دهد كه قائل به عدم اجراي حدود در عصر غيبت مي‌باشند و آن را از وظايف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برقراري دولت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قرائت شخصي از فقه را منشأ خشونت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ادامه با فرق نهادن بين دو قرائت سنت‌گرا و بنيادگرا، قرائت سنّت‌گرا را به علت عدم كنش معطوف به قدرت و يا ضعيف بودن چنين كنشي، مسالمت جو و صلح‌آميز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گفتگو به تاريخ مناسبات فقيهان با نهاد دولت پرداخته و اين مناسبات را مبتني بر هم‌گرايي و همكاري متقابل معرفي كرده است</w:t>
      </w:r>
      <w:r>
        <w:rPr>
          <w:rFonts w:eastAsia="IRNazanin" w:cs="IRNazanin"/>
          <w:color w:val="111111"/>
          <w:sz w:val="28"/>
          <w:szCs w:val="28"/>
          <w:rtl w:val="true"/>
          <w:lang w:bidi="fa-IR"/>
        </w:rPr>
        <w:t xml:space="preserve">. </w:t>
      </w:r>
      <w:bookmarkStart w:id="20" w:name="pg14784_160596"/>
    </w:p>
    <w:p>
      <w:pPr>
        <w:pStyle w:val="Heading3"/>
        <w:numPr>
          <w:ilvl w:val="2"/>
          <w:numId w:val="1"/>
        </w:numPr>
        <w:rPr/>
      </w:pPr>
      <w:bookmarkStart w:id="21" w:name="__RefHeading___Toc1748786_730472459"/>
      <w:bookmarkStart w:id="22" w:name="_Toc8"/>
      <w:bookmarkEnd w:id="20"/>
      <w:bookmarkEnd w:id="21"/>
      <w:r>
        <w:rPr>
          <w:rtl w:val="true"/>
        </w:rPr>
        <w:t>حكومت و سياست در فقه سنّتي و سيره‌ي فقهاء</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 حكومت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قانون بر جامعه حكم‌فرمايي 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عالم 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بپاخاست و تشكيل حكومت داد، همان ولايتي را كه حضرت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اداره‌ي جامعه داشت دارا مي‌باشد، و بر همه‌ي مردم لازم است كه از او اطاعت كنند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امام خميني با اين جملات دست به احياي دوباره‌ي تفكّر اسلامي زدند و در اين راستا با مجاهدات خستگي‌ناپذير و با همكاري فقهاء و فضلاء و مردم مؤمن، موفق به برقراري حاكميت فقيه عادل شدند و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مطلقه‌ي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استحكام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مهجوريت شيعه در طول تاريخ سبب فراموشي اين اصل شده بود و موجب گرديد درخشندگي اين نظريّه مترقّي از لابلاي كتب مدوّن فقه شيعه به چشم نيايد؛ امّا در طول تاريخ، فقهاي بنام شيعه علي‌رغم محكوميت تاريخي خود با اطلاق عناويني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جانشين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القاب رايج فقيهان شيعي شمرده مي‌شوند، همواره از آن ياد مي‌نمودند و پيوند خود را با مسائل حكومت اسلام بيان مي‌نمودند كه در ادامه با ذكر شواهد فقهي و تاريخي به آن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ذكر اين مقدّمه به بازخواني مطالب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سنّتي و تاريخ فقهاي شيعه و مبارزات آن‌ها و بنيادگرايي اسلامي</w:t>
      </w:r>
      <w:r>
        <w:rPr>
          <w:rFonts w:eastAsia="IRNazanin" w:cs="IRNazanin"/>
          <w:color w:val="111111"/>
          <w:sz w:val="28"/>
          <w:szCs w:val="28"/>
          <w:rtl w:val="true"/>
          <w:lang w:bidi="fa-IR"/>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مي‌پردازيم و در سه بخش آن را پي مي‌گيريم</w:t>
      </w:r>
      <w:r>
        <w:rPr>
          <w:rFonts w:eastAsia="IRNazanin" w:cs="IRNazanin"/>
          <w:color w:val="111111"/>
          <w:sz w:val="28"/>
          <w:szCs w:val="28"/>
          <w:rtl w:val="true"/>
          <w:lang w:bidi="fa-IR"/>
        </w:rPr>
        <w:t xml:space="preserve">: </w:t>
      </w:r>
      <w:bookmarkStart w:id="23" w:name="pg14784_160597"/>
    </w:p>
    <w:p>
      <w:pPr>
        <w:pStyle w:val="BookText"/>
        <w:rPr/>
      </w:pPr>
      <w:bookmarkEnd w:id="2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سنتي و مسائل حكومتي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فقهاي شيعه و جهاد و مبارزه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مبارزه‌ي مسلحانه و بنيادگرايي</w:t>
      </w:r>
      <w:r>
        <w:rPr>
          <w:rFonts w:eastAsia="IRNazanin" w:cs="IRNazanin"/>
          <w:color w:val="111111"/>
          <w:sz w:val="28"/>
          <w:szCs w:val="28"/>
          <w:rtl w:val="true"/>
          <w:lang w:bidi="fa-IR"/>
        </w:rPr>
        <w:t>.</w:t>
      </w:r>
    </w:p>
    <w:p>
      <w:pPr>
        <w:pStyle w:val="Heading3"/>
        <w:numPr>
          <w:ilvl w:val="2"/>
          <w:numId w:val="1"/>
        </w:numPr>
        <w:rPr/>
      </w:pPr>
      <w:bookmarkStart w:id="24" w:name="__RefHeading___Toc1748788_730472459"/>
      <w:bookmarkStart w:id="25" w:name="_Toc9"/>
      <w:bookmarkEnd w:id="24"/>
      <w:r>
        <w:rPr>
          <w:rtl w:val="true"/>
        </w:rPr>
        <w:t>فقه سنتي و مسائل حكومتي و اجراي حدود</w:t>
      </w:r>
      <w:bookmarkEnd w:id="25"/>
    </w:p>
    <w:p>
      <w:pPr>
        <w:pStyle w:val="BookText"/>
        <w:rPr/>
      </w:pPr>
      <w:r>
        <w:rPr>
          <w:rFonts w:ascii="IRNazanin" w:hAnsi="IRNazanin" w:eastAsia="IRNazanin"/>
          <w:color w:val="111111"/>
          <w:sz w:val="28"/>
          <w:sz w:val="28"/>
          <w:szCs w:val="28"/>
          <w:rtl w:val="true"/>
          <w:lang w:bidi="fa-IR"/>
        </w:rPr>
        <w:t>ايشان در اين‌باره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سنتي ما اساساً فقه شخصي است و روح اين فقه معطوف به حلّ مسائل حقوقي بين افراد است نه بين جامعه و دولت؛ به همين دليل بسياري از فقهاي ما اصولاً در عصر غيبت اجراي آن بخش از فقه را كه همراه با مجازات‌هايي از قبيل اعدام يا حتّي اجراي حدود و تعزيرات منتهي به نقص عضو است، جايز نمي‌دانستند و آن احكام را در شرايط ما قبل دولت در واقع تعطيل شده مي‌دانسته‌اند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براي روشن شدن صحت و سقم مطالب فوق و زدودن زنگارهاي ابهام و ترديد، شواهدي از ادوار مختلف فقهي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اجراي حدود و تعزيرات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مي‌كنيم تا بهتر به روح فقه شيعه پي ببريم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جنيد اسكافي را كه از علماي قرن چهارم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عدّه‌اي ديگر را نام مي‌برند كه قائل به اقامه‌ي حدود در زمان غيبت مي‌باشند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مفيد كه از فقهاي بزرگ قرن پنجم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ائمه‌ي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اقامه‌ي حدود را به فقهاي شيعه تفويض فرموده‌اند و آن‌ها اگر بتوانند بر مملوك و يا فرزند و يا خويشاوندان خود اقامه‌ي حد كنند مثل اين‌كه سارق را دست بريده و زاني را تازيانه زده و قاتل را بكشند، واجب است اين كار را انجام دهند البتّه اگر از طرف حكام جور در </w:t>
      </w:r>
    </w:p>
    <w:p>
      <w:pPr>
        <w:pStyle w:val="BookText"/>
        <w:rPr/>
      </w:pPr>
      <w:r>
        <w:rPr>
          <w:rFonts w:ascii="IRNazanin" w:hAnsi="IRNazanin" w:eastAsia="IRNazanin"/>
          <w:color w:val="111111"/>
          <w:sz w:val="28"/>
          <w:sz w:val="28"/>
          <w:szCs w:val="28"/>
          <w:rtl w:val="true"/>
          <w:lang w:bidi="fa-IR"/>
        </w:rPr>
        <w:t xml:space="preserve">خطر نباشند و اگر كسي براي او فرصتي پيش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قضاوت و ولايت بر گروهي از مردم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اقامه‌ي حدود، تنفيذ احكام و امر به معروف و نهي از منكر و جهاد با كفار بر او لازم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در عبارت مذكور مي‌بينيم به صراحت بر وجوب اجراي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مجازات‌هاي 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 قطع دست و اعدام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امكان آن تأكيد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سيد مرتضي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ساليان متمادي، متصدّي مناصب قضاوت، امير الحاج و مرجع تظلمات و شكايات مردم بودند و با تمسّك به ولايتي كه از جانب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اجراي حدود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امر به معروف و نهي از منكر موقوف بر قتل و جرح باشد و سلطان وقت نتواند اجراء نمايد، فقهاء از جانب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دارند كه حدود و احكام را اقامه كنند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ابوالصلاح 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مي‌تواند در اجراي حكم كه شامل اقامه‌ي حدود و تعزيرات نيز مي‌باشد، حكم كرده و آن را تنفيذ نمايند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مدرسي، محمد علي، ريحانة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انتشارات خيّام، تهران،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سلار، حمزة بن عزيز،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حرمين،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دكتر محمود بستاني،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حلبي، ابي‌الصلاح،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مكتبه اميرالمؤمنين اصفهان،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رضا استادي،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الطايفه مرحوم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غيبت و عدم بسط يد ائمه حق و چيرگي ستمگران، فقهاء مي‌توانند در صورت حفظ از حكّام، اجراي حدود نمايند حداقل بر نزديكان و فرزند و مملوك و</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همين امر، مرحوم عماد الدين طوسي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مرحوم ابن ادريس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محقق حلي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الاحكام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علامه‌ي حلي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الاحكام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الاحكام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تصريح مي‌نمايند و علامه‌ي حلي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در بيان علت اجراي حدود در عصر غيبت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تعطيلي حدود به ارتكاب محرمات و انتشار مفاسد اجتماعي منجر مي‌گردد و ترك اين امر مطلوب شارع مقدس نمي‌باشد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مرحوم مقدس اردبيلي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ولايت فقهاء در فتوا و حكم تصريح مي‌كنند و در فروضي آن را واجب مي‌دانند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فقهاي ژرف‌انديش ديگري مانند ملا احمد نراقي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الايام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مرحوم نائيني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آيت الله بروجردي</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بر ولايت فقيه و اجراي احكام تصريح مي‌دارند و مرحوم صاحب جواهر نيز در موارد متعددي بر ولايت فقيه و جواز تصدي او در مسائل حكومت و اجراي حدود تأكيد مي‌كنند و مي‌آورند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طوسي و ابن جنيد و شيخ مفيد و سلار و علامه و شهيد اول و شهيد ثاني و فاضل مقداد و محقق كركي و سبزواري و محدث كاشاني و فقهاي ديگر قائل به اجراي حدود در عصر غيبت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اين قول را قولي مشهور دانسته و در گامي بالاتر مي‌گويند در اين‌باره نظر مخالفي نيست و آن را امري مفروغ عنه در نزد فقهاء برشمرده‌اند؛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كتاب‌هاي آنها مملو است از جملاتي كه شاهد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اين مطلب تشكيك و وسوسه كند از طعم فقه چيزي نچشيده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راحل در كتاب ولايت فقيه بعد از بيان اين‌كه اسلام براي امور اجتماع و حكومت، قانون و راه و رسم دارد، از احكام و حقوق تدوين شده شيعه سخن گفته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اسلام يك حقوق مترقي و متكامل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قطوري از ديرزمان در زمينه‌هاي مختلف حقوقي تدوين شده است؛ از احكام قضاء معاملات و حدود و قصاص گرفته تا روابط</w:t>
      </w:r>
    </w:p>
    <w:p>
      <w:pPr>
        <w:pStyle w:val="BookText"/>
        <w:rPr/>
      </w:pPr>
      <w:r>
        <w:rPr>
          <w:rFonts w:ascii="IRNazanin" w:hAnsi="IRNazanin" w:eastAsia="IRNazanin"/>
          <w:color w:val="111111"/>
          <w:sz w:val="28"/>
          <w:sz w:val="28"/>
          <w:szCs w:val="28"/>
          <w:rtl w:val="true"/>
          <w:lang w:bidi="fa-IR"/>
        </w:rPr>
        <w:t>بين ملّت‌ها و مقررات صلح و جنگ و حقوق بين‌الملل عمومي و خصوصي شمه‌اي از احكام و نظامات اسلام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نتيجه بسيار روشن است كه فقهاي شيعه، اجراي احكام حكومتي و اجراي حدود را در زمان غيبت تعطيل شده نمي‌دانند و اين‌طور نيست كه اين مجموعه قوانين بعد از تأسيس جمهوري اسلامي وارد دستگاه قضايي</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شده باشد، بلكه در تمام ادوار مختلف فقه شيعه علي‌رغم عدم بسط يد فقها، پيرامون احكام حكومتي و اجراي حدود و قصاص به دقت بحث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پس از برپايي حكومت اسلامي در ايران فصل جديدي گشوده شد و لوازمات خود را اقتضاء مي‌كند كه بايد با تكيه بر پتانسيل موجود در فقه شيعه به حل آن‌ها پرداخت و با برقراري حكومت ولايت فقيه، نظام واحدي تشكيل شده كه همه بايد تابع آن باشند، همان‌طور كه در اين زمينه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مسائل حكومتي و اجتماعي مراجعه به مراجع مختلف موجب هرج و مرج و اختلال نظام مي‌شود از اين رو اظهارنظر در مسائل جامعه‌ي اسلامي فقط به مجتهدي سپرده شده كه در رأس جامعه قرار دارد و به تمام مصالح و مفاسد جامعه آگاهي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اختلاف فتواي ولي فقيه با فقهاي ديگر در امور اجتماعي، هميشه نظر ولي فقيه مقدم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مسئله در نظريّه‌ي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مطلقه‌ي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متبلور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ولايي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حكومت قانون و نظم و يكپارچگي است كه در سايه‌ي </w:t>
      </w:r>
      <w:bookmarkStart w:id="26" w:name="pg14784_160602"/>
    </w:p>
    <w:p>
      <w:pPr>
        <w:pStyle w:val="BookText"/>
        <w:rPr/>
      </w:pPr>
      <w:bookmarkEnd w:id="26"/>
      <w:r>
        <w:rPr>
          <w:rFonts w:ascii="Amiri" w:hAnsi="Amiri" w:eastAsia="Amiri" w:cs="Amiri"/>
          <w:color w:val="111111"/>
          <w:sz w:val="28"/>
          <w:sz w:val="28"/>
          <w:szCs w:val="28"/>
          <w:rtl w:val="true"/>
          <w:lang w:bidi="ar-SA"/>
        </w:rPr>
        <w:t>آن مسئله‌ي امر به معروف و نهي از منكر حلّ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و ثغور دخالت افراد خارج از كادر حكومت و دولت را ولي فقيه تعيين مي‌كند و اشخاص در محدوده‌اي كه براي تصدي دولت اسلامي تعيين شده حق دخالت ندارند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748790_730472459"/>
      <w:bookmarkStart w:id="28" w:name="_Toc10"/>
      <w:bookmarkEnd w:id="27"/>
      <w:r>
        <w:rPr>
          <w:rtl w:val="true"/>
        </w:rPr>
        <w:t>فقهاي شيعه و جهاد و مبارزه</w:t>
      </w:r>
      <w:bookmarkEnd w:id="28"/>
    </w:p>
    <w:p>
      <w:pPr>
        <w:pStyle w:val="BookText"/>
        <w:rPr/>
      </w:pPr>
      <w:r>
        <w:rPr>
          <w:rFonts w:ascii="IRNazanin" w:hAnsi="IRNazanin" w:eastAsia="IRNazanin"/>
          <w:color w:val="111111"/>
          <w:sz w:val="28"/>
          <w:sz w:val="28"/>
          <w:szCs w:val="28"/>
          <w:rtl w:val="true"/>
          <w:lang w:bidi="fa-IR"/>
        </w:rPr>
        <w:t>ايشان پيرامون نگاه فقهاء به حكومت و رابطه‌ي مسالمت‌آميز آنان با دولت‌هاي حاكم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شاهد بوديم كه از داخل اين فقه سنّتي، مبارزه و جهاد و نبرد مسلحانه و براندازانه عليه دولت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تمام فقهاي ما به استثناي معدودي در تمام طول تاريخ تشيع با نهاد دولت مناسبات مبتني بر همگرايي و همكاري متقابل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دين را از سياست جدا مي‌كنند تا بتوانند سلامت دين را حفظ كنند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در بررسي اين مطلب نكاتي ذكر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 است كه فقهاي شيعه به دنبال جنگ و خون‌ريزي و خشونت نبودند و هميشه براساس آموزه‌هاي ديني به دنبال ايجاد صلح و امنيت و آرامش بودند، امّا هيچ‌گاه با دولت‌هاي جبّار سازش نداشته و در مقابل ظلم و جور آنان ساكت نمي‌نشستند و به هيچ‌گونه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بيان شواهد تاريخي، پاي صحبت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مي‌نشينيم كه حتماً براي ايشان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كتاب ولايت فقيه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فقهاي اسلام از اين حرف‌ها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همكاري و ورود در دستگاه ظلم و جور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منزه‌اند، وضعشان از صدر اسلام تاكنون روشن است مثل نور پيش ما مي‌درخشند و لكه‌اي ندارند، آن آخوندهايي كه در آن زمان با دستگاه </w:t>
      </w:r>
    </w:p>
    <w:p>
      <w:pPr>
        <w:pStyle w:val="BookText"/>
        <w:rPr/>
      </w:pPr>
      <w:r>
        <w:rPr>
          <w:rFonts w:ascii="IRNazanin" w:hAnsi="IRNazanin" w:eastAsia="IRNazanin"/>
          <w:color w:val="111111"/>
          <w:sz w:val="28"/>
          <w:sz w:val="28"/>
          <w:szCs w:val="28"/>
          <w:rtl w:val="true"/>
          <w:lang w:bidi="fa-IR"/>
        </w:rPr>
        <w:t>بودند از مذهب ما نبودند، فقهاي اسلام نه تنها اطاعت آن‌ها را نكردند بلكه مخالفت كردند، حبس‌ها رفتند، زجرها كشيدند و اطاعت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خيال نكند كه علماي اسلام در اين دستگاه‌ها وارد بوده يا هستند البتّه بعضي مواقع براي كنترل يا منقلب ساختن دستگاه وارد مي‌شدند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ايشان همچنين در منشور روحانيت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حماسه‌سازان هميشه جاويد روحانيت كه رساله‌ي علميه و عمليه خود را به دم شهادت و مركب خون نوشته‌اند، سلام بر آنان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منذران صادقي شدند كه بند بند حديث صداقت‌شان را قطرات خون و قطعات پاره پاره پيكرشان گواهي كرده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به حق و راه خونين مبارزه‌ي مردم خود اولين قرباني‌ها را بدهد و مُهر ختام دفترش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انقلاب مردمي اسلامي را سراغ كنيم كه در آن حوزه و روحانيّت پيش‌كسوت شهادت نبوده‌اند و بر بالاي دار نرفته‌اند و اجساد مطهرشان بر سنگ‌فرش‌هاي حوادث خونين به شهادت نايستاده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اگر به قول آقاي آغاجري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تمام فقها به استثناء محدودي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مبارزه به دور بودند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براي چه كساني گفته است براي همان عدّه‌ي معدود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روشن شدن تحريف تاريخ فقهاي شيعه در كلام ايشان كافي است،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نوشته‌ي علامه‌ي بزرگوار اميني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نويسنده‌ي كتاب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نماييد كه در آن شرح حال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برجسته‌ترين عالمان شهيد شيعه در مبارزه بر عليه ظلم و ستم و ترويج دين ذكر شده است و</w:t>
      </w:r>
    </w:p>
    <w:p>
      <w:pPr>
        <w:pStyle w:val="BookText"/>
        <w:rPr/>
      </w:pPr>
      <w:r>
        <w:rPr>
          <w:rFonts w:ascii="IRNazanin" w:hAnsi="IRNazanin" w:eastAsia="IRNazanin"/>
          <w:color w:val="111111"/>
          <w:sz w:val="28"/>
          <w:sz w:val="28"/>
          <w:szCs w:val="28"/>
          <w:rtl w:val="true"/>
          <w:lang w:bidi="fa-IR"/>
        </w:rPr>
        <w:t>همچنين كتاب‌هاي متعددي كه شرح حال علما را نوشته‌اند، مملوّ از مجاهدات و مبارزات علماي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علماي شيعه در مقاطع مختلف تاريخ، شجاعانه به ميدان آمدند و وارد عرصه‌ي سياست و حكومت و مبارزه شدند كه به عنوان نمونه به فتواي تاريخي ميرزاي شيرازي در نهضت تنباكو و در مبارزه با استعمار مي‌توان اشاره نمود و همچنين در جنبش مشروطه كه از آغاز تا پايان آن چندين نفر از مجتهدين وقت حضور فعال داشته و تني چند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مي‌توان از شهيد 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شيخ محمد باقر اصطهباناتي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سيد احمد معين الاسلام دشتكي نام برد كه تيرباران و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اجسادشان را نيز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اين واقعه در روزنامه‌ي حبل‌المتين شماره‌ي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 و در اين جريان، عالم ديگري چون عبدالحسين لاري بر عليه انگليس در خطه‌ي جنوب حكم به جهاد صادر كرد</w:t>
      </w:r>
      <w:r>
        <w:rPr>
          <w:rFonts w:eastAsia="IRNazanin" w:cs="IRNazanin"/>
          <w:color w:val="111111"/>
          <w:sz w:val="28"/>
          <w:szCs w:val="28"/>
          <w:rtl w:val="true"/>
          <w:lang w:bidi="fa-IR"/>
        </w:rPr>
        <w:t>.</w:t>
      </w:r>
      <w:r>
        <w:rPr>
          <w:rStyle w:val="FootnoteAnchor"/>
          <w:rtl w:val="true"/>
        </w:rPr>
        <w:footnoteReference w:id="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تهران و نجف علماي متعددي وارد صحنه‌ي مبارزه شدند و شهيد شيخ فضل الله نوري در اين راه جان خويش را تقديم نمود و همچنين مي‌توان از نهضت عراق و انقلاب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ميان آورد كه در آن جريان علماي نجف چون شيخ الاسلام و آيت الله سيّد مصطفي كاشاني و سيد محمد كاظم يزدي و ديگران از مراجع وقت، فتوي به جهاد دادند و بزرگاني چون آيت الله سيّد مصطفي كاشاني و آيت الله شيخ الشريعه‌ي اصفهاني و سيد علي داماد و سيد محمد سعيد حبوبي كه همگي از مراجع تقليد بودند به همراه عدّه‌ي كثيري از علماء و طلاب در اين </w:t>
      </w:r>
    </w:p>
    <w:p>
      <w:pPr>
        <w:pStyle w:val="BookText"/>
        <w:rPr/>
      </w:pPr>
      <w:r>
        <w:rPr>
          <w:rFonts w:ascii="IRNazanin" w:hAnsi="IRNazanin" w:eastAsia="IRNazanin"/>
          <w:color w:val="111111"/>
          <w:sz w:val="28"/>
          <w:sz w:val="28"/>
          <w:szCs w:val="28"/>
          <w:rtl w:val="true"/>
          <w:lang w:bidi="fa-IR"/>
        </w:rPr>
        <w:t>جهاد حضور داشته و با استعمار انگليس جنگيدند و عدّه‌اي به شهادت رسيدند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افرادي مانند آيت الله العظمي سيّد ابوالحسن اصفهاني و آيت الله العظمي نائيني و مرحوم شهرستاني از عراق به ايران تبعيد شدند و شخصيت‌هايي مانند آيت الله العظمي سيد محمد تقي خوانساري به اسارت و زندان رفته‌اند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در اين ميان مجاهدت‌هاي شجاعانه‌ي شهيد مدرس و مرحوم آيت الله كاشاني و صدها نفر علماي شيعه را نبايد فراموش كرد كه به قول امام راحل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يقيناً رقم شهداي گمنام حوزه‌ها و روحانيّت كه در مسير نشر معارف و احكام الهي به دست مزدوران و نامردان، غريبانه جان باخته‌اند زياد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روابط علماي بزرگ با دولت‌هاي وقت، از اين باب نبوده كه معتقد بوده‌اند كه فقه مجموعه‌اي از احكام شخصي است و در عصر غيبت، وظيفه‌ي حكومتي نداشته و براي حفظ دين و ايمان در عمل به نوعي لائيسم رسيده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بلكه اين خود شاهد صادقي است كه اينها دين را اجتماعي مي‌دانستند و در حد امكان و توان براي ترويج شيعه و اجراي احكام الهي تلاش مي‌نمودند لذا مي‌بينيم شيخ مفيد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براي فقيهي فرصتي پيش آمد كه بتواند احكام و حدود را اجرا كند واجب است عهده‌دار گردد</w:t>
      </w:r>
      <w:r>
        <w:rPr>
          <w:rFonts w:eastAsia="IRNazanin" w:cs="IRNazanin"/>
          <w:color w:val="111111"/>
          <w:sz w:val="28"/>
          <w:szCs w:val="28"/>
          <w:rtl w:val="true"/>
          <w:lang w:bidi="fa-IR"/>
        </w:rPr>
        <w:t>»</w:t>
      </w:r>
      <w:r>
        <w:rPr>
          <w:rStyle w:val="FootnoteAnchor"/>
          <w:rtl w:val="true"/>
        </w:rPr>
        <w:footnoteReference w:id="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علماي شيعه بنابر نفوذي كه در اجتماع داشتند با حكومت برخورد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مي‌ديدند ارتباط </w:t>
      </w:r>
    </w:p>
    <w:p>
      <w:pPr>
        <w:pStyle w:val="BookText"/>
        <w:rPr/>
      </w:pPr>
      <w:r>
        <w:rPr>
          <w:rFonts w:ascii="IRNazanin" w:hAnsi="IRNazanin" w:eastAsia="IRNazanin"/>
          <w:color w:val="111111"/>
          <w:sz w:val="28"/>
          <w:sz w:val="28"/>
          <w:szCs w:val="28"/>
          <w:rtl w:val="true"/>
          <w:lang w:bidi="fa-IR"/>
        </w:rPr>
        <w:t xml:space="preserve">آن‌ها ثمربخش نبوده، به شدّت پرهيز كرده و دوري مي‌گزيدند؛ مانند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جهت كه بيم داشتند اگر براي زيارت مرقد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بيايند، شايد مجبور شوند با شاه عباس صفوي ملاقات كنند به ايران مسافرت نكردند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 همچنين مرحوم ميرزاي 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از درخواست فتحعلي شاه براي ازدواج دختر خود با پسرش مطلع شد، دست به دعا برداشت و مرگ فرزند را خواستار گرديد كه مبادا سبب ارتباط او با دولت حاكم گردد و طولي نكشيد كه پسر او رحلت نمود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از مرحوم ميرزاي شيرازي و حجت الاسلام شفتي و صاحب فصول و وحيد بهبهاني و ملا محسن 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حكاياتي نقل شده كه به شدّت از حكومت و دربار پرهيز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عدّه‌اي از علماي ديگر در شرايط متفاوت و به علت نفوذ فوق‌العاده علمي و اجتماعي به درخواست حكومت پاسخ مثبت مي‌دادند كه در اين باره تنها به سخني از امام راحل اكتفاء مي‌كنيم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طايفه از علماء گذشت كرده‌اند از يك مقاماتي، و متّصل شده‌اند به يك سلاطيني و اين سلاطين را وادار كرده‌اند خواهي نخواهي براي ترويج مذهب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درباري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اغراض سياسي داشتند اغراض ديني </w:t>
      </w:r>
      <w:bookmarkStart w:id="29" w:name="pg14784_160607"/>
    </w:p>
    <w:p>
      <w:pPr>
        <w:pStyle w:val="BookText"/>
        <w:rPr/>
      </w:pPr>
      <w:bookmarkEnd w:id="29"/>
      <w:r>
        <w:rPr>
          <w:rFonts w:ascii="Amiri" w:hAnsi="Amiri" w:eastAsia="Amiri" w:cs="Amiri"/>
          <w:color w:val="111111"/>
          <w:sz w:val="28"/>
          <w:sz w:val="28"/>
          <w:szCs w:val="28"/>
          <w:rtl w:val="true"/>
          <w:lang w:bidi="ar-SA"/>
        </w:rPr>
        <w:t>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شما به آن‌ها اشكال مي‌كنيد از باب اين‌كه اطلاع بر واقعه نداريد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نتيجه به وضوح مي‌بينيم تاريخ فقهاي شيعه مملوّ از مبارزات و مجاهدت‌هاست و ارتباط آن‌ها با دولت‌ها نيز در پي اغراض سياسي و ديني و پذيرفتن نقش اجتماعي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خود شاهدي است كه فقه سنتي و فقهاي شيعه يك‌نوع نگرش سياسي اجتماعي به دين داشتند و در مواقع لازم به جهاد و مبارزه نيز برخاستند</w:t>
      </w:r>
      <w:r>
        <w:rPr>
          <w:rFonts w:eastAsia="IRNazanin" w:cs="IRNazanin"/>
          <w:color w:val="111111"/>
          <w:sz w:val="28"/>
          <w:szCs w:val="28"/>
          <w:rtl w:val="true"/>
          <w:lang w:bidi="fa-IR"/>
        </w:rPr>
        <w:t>.</w:t>
      </w:r>
    </w:p>
    <w:p>
      <w:pPr>
        <w:pStyle w:val="Heading3"/>
        <w:numPr>
          <w:ilvl w:val="2"/>
          <w:numId w:val="1"/>
        </w:numPr>
        <w:rPr/>
      </w:pPr>
      <w:bookmarkStart w:id="30" w:name="__RefHeading___Toc1748792_730472459"/>
      <w:bookmarkStart w:id="31" w:name="_Toc11"/>
      <w:bookmarkEnd w:id="30"/>
      <w:r>
        <w:rPr>
          <w:rtl w:val="true"/>
        </w:rPr>
        <w:t>مبارزات مسلحانه و بنيادگرايي</w:t>
      </w:r>
      <w:bookmarkEnd w:id="31"/>
    </w:p>
    <w:p>
      <w:pPr>
        <w:pStyle w:val="BookText"/>
        <w:rPr/>
      </w:pPr>
      <w:r>
        <w:rPr>
          <w:rFonts w:ascii="IRNazanin" w:hAnsi="IRNazanin" w:eastAsia="IRNazanin"/>
          <w:color w:val="111111"/>
          <w:sz w:val="28"/>
          <w:sz w:val="28"/>
          <w:szCs w:val="28"/>
          <w:rtl w:val="true"/>
          <w:lang w:bidi="fa-IR"/>
        </w:rPr>
        <w:t xml:space="preserve">آقاي آغاجري در تحليل مبارزات مسلحانه‌ي صدساله‌ي اخير بعد از مشروطيت و در بيان عملكرد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فدائيان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جريان فدائيان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دهه‌ي چهل و پنجاه شمسي كم و بيش تفكري ادامه يافت كه به نظر محصول آن، پيوند نگرشِ سنّتي با نگرش بنيادگرايانه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بنيادگرايي به معناي منفي كه بازگشت قشري به اسلام و توسل به روش‌هاي قهر‌آميز و خشونت‌گرا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روشن شدن برداشت ناصحيح ايشان از فقه سنّتي و دوري گزيدن علماء از اجراي حدود و هرگونه فعاليّت سياسي و مبارزه و جهاد، بخشي از مقدّمه تحليل ايشان باطل شده و فرو مي‌پاشد و با اطلاع بر سيره‌ي فقهاي نام‌آور در جهاد عليه استعمار، نمي‌توان هر حركتي را قشري‌نگري قلمداد نمود؛ امّا در جواب اين بخش از كلام‌شان خوانندگان را به بازخواني بندهاي ديگر از مصاحبه‌ي ايشان دعوت مي‌كنم تا تناقض آن آشكار شده و تحليل‌هاي </w:t>
      </w:r>
    </w:p>
    <w:p>
      <w:pPr>
        <w:pStyle w:val="BookText"/>
        <w:rPr/>
      </w:pPr>
      <w:r>
        <w:rPr>
          <w:rFonts w:ascii="IRNazanin" w:hAnsi="IRNazanin" w:eastAsia="IRNazanin"/>
          <w:color w:val="111111"/>
          <w:sz w:val="28"/>
          <w:sz w:val="28"/>
          <w:szCs w:val="28"/>
          <w:rtl w:val="true"/>
          <w:lang w:bidi="fa-IR"/>
        </w:rPr>
        <w:t>جهت‌دار برملا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اواخر مصاحبه آن‌جا كه از مبارزات مسلحانه‌ي دهه‌ي پنجاه سخن مي‌گويد، وقتي كه به ترورهاي سازمان مجاهدين انقلاب اسلامي مي‌رسد،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ترورها كه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عنوان دفاع مسلحانه از مردم، دست به برخي از عمليات‌هاي مسلحانه زدند؛ يعني عمليات مسلحانه در آن مقطع يك تاكتيك بود نه استراتژي</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هرچند پيش از اين جملات اعتراف نموده بودند كه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مبارزه‌ي مسلحانه را قبول نداشته و اين روش را نمي‌پسنديدند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در اين باره نكاتي ذكر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ايشان ترورهاي سازمان مذكور را توجيه مي‌كنند و آن را تاكتيك مي‌خوانند مي‌توان روش فدائيان اسلام را نيز به عنوان تاكتيك قلمداد نمود نه استراتژي، پس چطور آن را خشونت‌طلبي مي‌خوانند و عمليات مسلحانه‌ي سازمان را تأييد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كتاب تاريخچه‌ي سازمان مذكور رجوع كنيم مي‌بينيم آنها از نواب صفوي</w:t>
      </w:r>
      <w:r>
        <w:rPr>
          <w:rStyle w:val="FootnoteAnchor"/>
          <w:rtl w:val="true"/>
        </w:rPr>
        <w:footnoteReference w:id="36"/>
      </w:r>
      <w:r>
        <w:rPr>
          <w:rFonts w:ascii="Amiri" w:hAnsi="Amiri" w:eastAsia="Amiri" w:cs="Amiri"/>
          <w:color w:val="111111"/>
          <w:sz w:val="28"/>
          <w:sz w:val="28"/>
          <w:szCs w:val="28"/>
          <w:rtl w:val="true"/>
          <w:lang w:bidi="ar-SA"/>
        </w:rPr>
        <w:t>تجليل كرده و روش خود را ادامه‌ي راه او و مؤتلفه معرفي مي‌نمايند</w:t>
      </w:r>
      <w:r>
        <w:rPr>
          <w:rStyle w:val="FootnoteAnchor"/>
          <w:rtl w:val="true"/>
        </w:rPr>
        <w:footnoteReference w:id="37"/>
      </w:r>
      <w:r>
        <w:rPr>
          <w:rFonts w:ascii="IRNazanin" w:hAnsi="IRNazanin" w:eastAsia="IRNazanin"/>
          <w:color w:val="111111"/>
          <w:sz w:val="28"/>
          <w:sz w:val="28"/>
          <w:szCs w:val="28"/>
          <w:rtl w:val="true"/>
          <w:lang w:bidi="fa-IR"/>
        </w:rPr>
        <w:t xml:space="preserve">و حتّي بعد از پيروزي انقلاب در مصاحبه‌اي با روزنامه‌ي جمهوري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به نقش يك سازمان اصيل اسلاميِ سه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ايدئولوژيك، سياسي،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داريم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تاريخچه‌ي سازمان مذكور تاريخ تشكيل گروه‌هاي هفت‌گانه آن را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طرح مباحث گذشته به اين نتيجه مي‌رسيم كه انديشه‌ي حكومتي و سياسي در سراسر فقه شيعه و در طول تاريخ مبارزات فقهاي شيعه به وضوح به چشم مي‌خورد و فقهاء در مباحث علمي از احكام حكومتي و حدود و قصاص بحث كردند و در رأس آن به مسئله‌ي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به قول عالم شهير صاحب مفتاح الكرامه اين مسئله ميان فقهاء اتفاقي است</w:t>
      </w:r>
      <w:r>
        <w:rPr>
          <w:rStyle w:val="FootnoteAnchor"/>
          <w:rtl w:val="true"/>
        </w:rPr>
        <w:footnoteReference w:id="39"/>
      </w:r>
      <w:r>
        <w:rPr>
          <w:rFonts w:ascii="IRNazanin" w:hAnsi="IRNazanin" w:eastAsia="IRNazanin"/>
          <w:color w:val="111111"/>
          <w:sz w:val="28"/>
          <w:sz w:val="28"/>
          <w:szCs w:val="28"/>
          <w:rtl w:val="true"/>
          <w:lang w:bidi="fa-IR"/>
        </w:rPr>
        <w:t>و اگر اختلافي باشد در حدود اختيارات ولي فقيه است و در مقام عمل نيز هرگاه فرصتي پيش آمد به ميدان آمده و وارد عرصه‌ي حكومت و سياست شدند و در شرايط سخت نيز مردانه از كيان تشيع دفاع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بديهي است كه با برپايي حكومت ولايي و جمهوري اسلامي ايران كه حاصل قرن‌ها مجاهدات علماء و ساير اقشار جامعه بوده‌اند، همه بايد با اتحاد و يكپارچگي از اين دست‌آورد گران‌بها حفاظت نماييم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اميد آن روز كه توفيق خدمت به دين و مردم را كسب 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4784_160611"/>
      <w:bookmarkStart w:id="33" w:name="pg14784_160611"/>
      <w:bookmarkEnd w:id="33"/>
    </w:p>
    <w:p>
      <w:pPr>
        <w:pStyle w:val="Heading2"/>
        <w:numPr>
          <w:ilvl w:val="1"/>
          <w:numId w:val="1"/>
        </w:numPr>
        <w:rPr/>
      </w:pPr>
      <w:bookmarkStart w:id="34" w:name="pg14784_160611"/>
      <w:bookmarkStart w:id="35" w:name="__RefHeading___Toc1748794_730472459"/>
      <w:bookmarkStart w:id="36" w:name="_Toc12"/>
      <w:bookmarkEnd w:id="34"/>
      <w:bookmarkEnd w:id="35"/>
      <w:r>
        <w:rPr>
          <w:rtl w:val="true"/>
        </w:rPr>
        <w:t>مقاله‌ي مورد نقد</w:t>
      </w:r>
      <w:r>
        <w:rPr>
          <w:rtl w:val="true"/>
        </w:rPr>
        <w:t xml:space="preserve">: </w:t>
      </w:r>
      <w:r>
        <w:rPr>
          <w:rtl w:val="true"/>
        </w:rPr>
        <w:t>ضمانت اجرايي قانون خوب، اراده‌ي ملي است</w:t>
      </w:r>
      <w:bookmarkEnd w:id="36"/>
    </w:p>
    <w:p>
      <w:pPr>
        <w:pStyle w:val="Heading3"/>
        <w:numPr>
          <w:ilvl w:val="2"/>
          <w:numId w:val="1"/>
        </w:numPr>
        <w:rPr/>
      </w:pPr>
      <w:bookmarkStart w:id="37" w:name="__RefHeading___Toc1748796_730472459"/>
      <w:bookmarkStart w:id="38" w:name="_Toc13"/>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ضمانت اجرايي قانون خوب، اراده‌ي ملي است</w:t>
      </w:r>
      <w:r>
        <w:rPr>
          <w:rStyle w:val="FootnoteAnchor"/>
          <w:rtl w:val="true"/>
        </w:rPr>
        <w:footnoteReference w:id="40"/>
      </w:r>
    </w:p>
    <w:p>
      <w:pPr>
        <w:pStyle w:val="Heading3"/>
        <w:numPr>
          <w:ilvl w:val="2"/>
          <w:numId w:val="1"/>
        </w:numPr>
        <w:rPr/>
      </w:pPr>
      <w:bookmarkStart w:id="39" w:name="__RefHeading___Toc1748798_730472459"/>
      <w:bookmarkStart w:id="40" w:name="_Toc14"/>
      <w:bookmarkEnd w:id="39"/>
      <w:r>
        <w:rPr>
          <w:rtl w:val="true"/>
        </w:rPr>
        <w:t>چكيده</w:t>
      </w:r>
      <w:r>
        <w:rPr>
          <w:rtl w:val="true"/>
        </w:rPr>
        <w:t>:</w:t>
      </w:r>
      <w:bookmarkEnd w:id="40"/>
    </w:p>
    <w:p>
      <w:pPr>
        <w:pStyle w:val="BookText"/>
        <w:rPr/>
      </w:pPr>
      <w:r>
        <w:rPr>
          <w:rFonts w:ascii="IRNazanin" w:hAnsi="IRNazanin" w:eastAsia="IRNazanin"/>
          <w:color w:val="111111"/>
          <w:sz w:val="28"/>
          <w:sz w:val="28"/>
          <w:szCs w:val="28"/>
          <w:rtl w:val="true"/>
          <w:lang w:bidi="fa-IR"/>
        </w:rPr>
        <w:t>در اين نوشته كه گزارش يك سخنراني است، ضمن بيان اين‌كه حكومت جمهوري مردم را ذي حقّ مي‌داند، موارد اين حق را برمي‌شمارد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از سوي مردم، موقتي بودن سمت‌ها، ادواري بودن قدرت سياسي، مسؤول بودن در مقابل مردم، تساوي مسئولان در برابر قانون و فراقانوني نبودن افراد نيز از ويژگي‌هاي حكومت جمهوري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نوشته همچنين با اشاره به اين‌كه مشروعيت مهم‌ترين مسئله در حكومت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است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رضايت مردمي شرط مشروعيت يك نظام و حكومت است</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748800_730472459"/>
      <w:bookmarkStart w:id="42" w:name="_Toc15"/>
      <w:bookmarkEnd w:id="41"/>
      <w:r>
        <w:rPr>
          <w:rtl w:val="true"/>
        </w:rPr>
        <w:t>تأملي در باب مشروعيت حكومتي ديني</w:t>
      </w:r>
      <w:bookmarkEnd w:id="42"/>
    </w:p>
    <w:p>
      <w:pPr>
        <w:pStyle w:val="BookText"/>
        <w:rPr/>
      </w:pPr>
      <w:r>
        <w:rPr>
          <w:rFonts w:ascii="IRNazanin" w:hAnsi="IRNazanin" w:eastAsia="IRNazanin"/>
          <w:color w:val="111111"/>
          <w:sz w:val="28"/>
          <w:sz w:val="28"/>
          <w:szCs w:val="28"/>
          <w:rtl w:val="true"/>
          <w:lang w:bidi="fa-IR"/>
        </w:rPr>
        <w:t xml:space="preserve">مشروعيت حكومت ديني يكي از مسائل مهم مورد بحث در حوزه انديشه سياسي اسلام است كه به جهت اهميت، در فرهنگ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حقوقي اسلام از جايگاه خاصي برخوردار بوده و لذا دائماً مورد توجه انديشمندان در عرصه دين و فرهنگ ديني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تبيين مشروعيت حكومت ديني به نكاتي چند مي‌پردازيم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 مشروعيت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مفاهيمي كه هر حكومتي خواسته يا ناخواسته به آن مَحَك زده مي‌شود و موجب التزام آوري نسبت به آن حكومت و نيز مردم مي‌شود، مشروعيت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تفكر سياسي حكومت‌ها، مفهوم مشروعيت داراي جايگاه خاصي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مشروعيتي كه در فلسفه سياست از آن سخن مي‌رود، معنائي خاص دارد و مي‌توان گفت اين </w:t>
      </w:r>
      <w:bookmarkStart w:id="43" w:name="pg14784_160612"/>
    </w:p>
    <w:p>
      <w:pPr>
        <w:pStyle w:val="BookText"/>
        <w:rPr/>
      </w:pPr>
      <w:bookmarkEnd w:id="43"/>
      <w:r>
        <w:rPr>
          <w:rFonts w:ascii="IRNazanin" w:hAnsi="IRNazanin" w:eastAsia="IRNazanin"/>
          <w:color w:val="111111"/>
          <w:sz w:val="28"/>
          <w:sz w:val="28"/>
          <w:szCs w:val="28"/>
          <w:rtl w:val="true"/>
          <w:lang w:bidi="fa-IR"/>
        </w:rPr>
        <w:t xml:space="preserve">واژه در فرهنگ سياسي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مشروع بودن يك حكومتي، قانوني بودن آن قلمداد مي‌گردد</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گونه‌اي كه گروهي حق حاكميت بر مردم داشته و مردم نيز در قبال، موظف به اطاعت باشند</w:t>
      </w:r>
      <w:r>
        <w:rPr>
          <w:rFonts w:eastAsia="IRNazanin" w:cs="IRNazanin"/>
          <w:color w:val="111111"/>
          <w:sz w:val="28"/>
          <w:szCs w:val="28"/>
          <w:rtl w:val="true"/>
          <w:lang w:bidi="fa-IR"/>
        </w:rPr>
        <w:t>.</w:t>
      </w:r>
    </w:p>
    <w:p>
      <w:pPr>
        <w:pStyle w:val="Heading3"/>
        <w:numPr>
          <w:ilvl w:val="2"/>
          <w:numId w:val="1"/>
        </w:numPr>
        <w:rPr/>
      </w:pPr>
      <w:bookmarkStart w:id="44" w:name="__RefHeading___Toc1748802_730472459"/>
      <w:bookmarkStart w:id="45" w:name="_Toc16"/>
      <w:bookmarkEnd w:id="44"/>
      <w:r>
        <w:rPr>
          <w:rtl w:val="true"/>
        </w:rPr>
        <w:t>ملاك مشروعيت حكومت‌ها</w:t>
      </w:r>
      <w:r>
        <w:rPr>
          <w:rtl w:val="true"/>
        </w:rPr>
        <w:t>:</w:t>
      </w:r>
      <w:bookmarkEnd w:id="45"/>
    </w:p>
    <w:p>
      <w:pPr>
        <w:pStyle w:val="BookText"/>
        <w:rPr/>
      </w:pPr>
      <w:r>
        <w:rPr>
          <w:rFonts w:ascii="IRNazanin" w:hAnsi="IRNazanin" w:eastAsia="IRNazanin"/>
          <w:color w:val="111111"/>
          <w:sz w:val="28"/>
          <w:sz w:val="28"/>
          <w:szCs w:val="28"/>
          <w:rtl w:val="true"/>
          <w:lang w:bidi="fa-IR"/>
        </w:rPr>
        <w:t>يكي از رهيافت‌هاي مهم در اين بحث تبيين ملاك مشروعيت و قانونمندي حكومت‌هاست كه يك حكومت به چه چيز مي‌تواند مشروعيت يافته و موجب التزام عملي براي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رويكرد تاريخ‌گرايانه در باب حكومت‌ها و ملاك مشروعيت آن‌ها در مي‌يابيم كه ملاكات به حسب اجتماعات مختلف،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بر آن بوده‌اند كه ملاك مشروعيت، قراردادي اجتماعي بين دولت و مردم بوده است؛ بدين معنا كه بين دولت و مردم قراردادي منعقد مي‌گردد و ضمن آن مردم خود را مُلزم به اطاعت از حكومت دانسته و در قبال اين اطاعت، حكومت نيز خود را موظف به حفظ امنيت و نظم و رفاه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رضايت مردم را ملاك مشروعيت دانسته‌اند؛ يعني هرگاه مردم از حكومتي راضي بودند، حق دستور دادن براي حاكم را تثبيت كرده و خود را ملزم به اطاعت از قوانين و دستورات حكومت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طايفه‌اي بر آنند كه هرگاه اراده عمومي و اكثريت به حكومتي تعلق گرفت، آن حكومت قانوني و مشروع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ديگر تلاش هر حكومتي براي برپائي عدالت را ملاك قانوني بودن آن گرفته‌اند؛ لذا عدالت منشأ الزام سياسي است</w:t>
      </w:r>
      <w:r>
        <w:rPr>
          <w:rFonts w:eastAsia="IRNazanin" w:cs="IRNazanin"/>
          <w:color w:val="111111"/>
          <w:sz w:val="28"/>
          <w:szCs w:val="28"/>
          <w:rtl w:val="true"/>
          <w:lang w:bidi="fa-IR"/>
        </w:rPr>
        <w:t xml:space="preserve">. </w:t>
      </w:r>
      <w:bookmarkStart w:id="46" w:name="pg14784_160613"/>
    </w:p>
    <w:p>
      <w:pPr>
        <w:pStyle w:val="BookText"/>
        <w:rPr/>
      </w:pPr>
      <w:bookmarkEnd w:id="46"/>
      <w:r>
        <w:rPr>
          <w:rFonts w:ascii="IRNazanin" w:hAnsi="IRNazanin" w:eastAsia="IRNazanin"/>
          <w:color w:val="111111"/>
          <w:sz w:val="28"/>
          <w:sz w:val="28"/>
          <w:szCs w:val="28"/>
          <w:rtl w:val="true"/>
          <w:lang w:bidi="fa-IR"/>
        </w:rPr>
        <w:t>گروهي بر آنند هر حكومتي براي سعادت افراد جامعه تلاش كند قانوني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الزام‌آوري اين است كه حكومت به دنبال سعادت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مفهوم سعادت در آن جامعه در چه چيزي تجلي و تبلور دارد، بحث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اين انظار، نظريه ديگري هم هست و آن اين است كه معيار مشروعيت يافتن يك حكومت، الهي بودن آن است و حكومت ديني بر همين اعتقاد بنا نهاده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در اين مقاله به تبيين مشروعيت در حكومت ديني مي‌پردازيم و نقد نظريات ديگر را به مجال ديگر وا مي‌گذاريم</w:t>
      </w:r>
      <w:r>
        <w:rPr>
          <w:rFonts w:eastAsia="IRNazanin" w:cs="IRNazanin"/>
          <w:color w:val="111111"/>
          <w:sz w:val="28"/>
          <w:szCs w:val="28"/>
          <w:rtl w:val="true"/>
          <w:lang w:bidi="fa-IR"/>
        </w:rPr>
        <w:t>.</w:t>
      </w:r>
    </w:p>
    <w:p>
      <w:pPr>
        <w:pStyle w:val="Heading3"/>
        <w:numPr>
          <w:ilvl w:val="2"/>
          <w:numId w:val="1"/>
        </w:numPr>
        <w:rPr/>
      </w:pPr>
      <w:bookmarkStart w:id="47" w:name="__RefHeading___Toc1748804_730472459"/>
      <w:bookmarkStart w:id="48" w:name="_Toc17"/>
      <w:bookmarkEnd w:id="47"/>
      <w:r>
        <w:rPr>
          <w:rtl w:val="true"/>
        </w:rPr>
        <w:t>مشروعيت حكومت در اسلام</w:t>
      </w:r>
      <w:bookmarkEnd w:id="48"/>
    </w:p>
    <w:p>
      <w:pPr>
        <w:pStyle w:val="BookText"/>
        <w:rPr/>
      </w:pPr>
      <w:r>
        <w:rPr>
          <w:rFonts w:ascii="IRNazanin" w:hAnsi="IRNazanin" w:eastAsia="IRNazanin"/>
          <w:color w:val="111111"/>
          <w:sz w:val="28"/>
          <w:sz w:val="28"/>
          <w:szCs w:val="28"/>
          <w:rtl w:val="true"/>
          <w:lang w:bidi="fa-IR"/>
        </w:rPr>
        <w:t xml:space="preserve">در انديشه‌ي سياسي و نيز فقهي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 اسلام، مشروعيت حكومت و نيز حقانيت آن به ذات حضرت احديت بر مي‌گردد و اين از گزاره‌هاي ثابت و غير قابل تغيير در فرهنگ و تفكر سياسي اسلام است؛ چرا كه در پرتو اين اعتقاد، خداست كه مالك اصلي و سلطان حقيقي و حاكم مطلق است، چنان كه در تنزيل شريف در موارد متعددي به اين مطلب تصريح شده است، از جمله آنجا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الْحُكْمُ</w:t>
      </w:r>
      <w:r>
        <w:rPr>
          <w:rFonts w:eastAsia="IRNazanin" w:cs="IRNazanin"/>
          <w:color w:val="111111"/>
          <w:sz w:val="28"/>
          <w:szCs w:val="28"/>
          <w:rtl w:val="true"/>
          <w:lang w:bidi="fa-IR"/>
        </w:rPr>
        <w:t>»</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الْأَمْرَ كُلَّهُ لِلَّهِ</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و بسياري ديگر از آيات شريفه كه دلالت مطابقي بر اختصاص منصب حكومت و فرمانروائي به ذات حضرت احديت و اين‌كه هيچ كس را غير از او حق حكومت بر احدي نيست،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او فرمان داده و حكم مي‌كند حق و مشروع است و از آن‌جا كه مسلمين بر اين اعتقادند كه خداي تعالي احكامش در جهت مصالح </w:t>
      </w:r>
    </w:p>
    <w:p>
      <w:pPr>
        <w:pStyle w:val="BookText"/>
        <w:rPr/>
      </w:pPr>
      <w:r>
        <w:rPr>
          <w:rFonts w:ascii="IRNazanin" w:hAnsi="IRNazanin" w:eastAsia="IRNazanin"/>
          <w:color w:val="111111"/>
          <w:sz w:val="28"/>
          <w:sz w:val="28"/>
          <w:szCs w:val="28"/>
          <w:rtl w:val="true"/>
          <w:lang w:bidi="fa-IR"/>
        </w:rPr>
        <w:t>بندگانش بوده و از جهتي مطابق با ارزش‌هاي اخلاقي است، لذا فرمانبرداري از فرامين و دستورات او را بر خود لازم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مشروعيت به معناي التزام‌آوري ديني براي مردم جز در حكومت الله بر مردم تصور مثبت و بلكه معقول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او در حكومت خود، مختار است از اين روي مي‌تواند به هر كس كه بخواهد اين حاكميت را و يا مقداري از آن را ببخشد و بدين صورت كسي را براي حاكميت بر جامعه‌اي معين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فعالٌ لما يريد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از اين روست كه در نظام سياسي اسلام، حكومت آن شخص نيز مشروعيت مي‌يابد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نمونه‌ي بارز اعطاء حق حاكميت را مي‌توان در وجود مقدس حضرت پيغمبر به نظاره نشست، آن‌گاه كه از جانب خداي حاكم، حق حاكميت بر جامعه به او عطا شد، تا بتواند بر جامعه حكومت كرده و اهداف الهي را پياده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ديدگاه بين دو تفكر شيعي و سني اختلافي نيست و نقطه اختلاف، در حكومت حاكمان بعد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نظر تشيع همانگونه كه مشروعيت حكومت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و به اذن و نصب او بوده است، حكومت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همين‌گونه است و آنان نيز از جانب خداي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ابلاغ نبوي به حكومت منصوب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مشروعيت حكومت حاكمان در زمان غيبت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باز آن‌چه مبناي تفكر و انديشه سياسي شيعه است، مشروعيت يابي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آنان به نصب عام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همين منظر در باب مشروعيت حكومت فقيه در زمان غيبت سخن مي‌رود</w:t>
      </w:r>
      <w:r>
        <w:rPr>
          <w:rFonts w:eastAsia="Amiri" w:cs="Amiri" w:ascii="Amiri" w:hAnsi="Amiri"/>
          <w:color w:val="111111"/>
          <w:sz w:val="28"/>
          <w:szCs w:val="28"/>
          <w:rtl w:val="true"/>
          <w:lang w:bidi="ar-SA"/>
        </w:rPr>
        <w:t xml:space="preserve">. </w:t>
      </w:r>
      <w:bookmarkStart w:id="49" w:name="pg14784_160615"/>
    </w:p>
    <w:p>
      <w:pPr>
        <w:pStyle w:val="BookText"/>
        <w:rPr/>
      </w:pPr>
      <w:bookmarkEnd w:id="49"/>
      <w:r>
        <w:rPr>
          <w:rFonts w:ascii="IRNazanin" w:hAnsi="IRNazanin" w:eastAsia="IRNazanin"/>
          <w:color w:val="111111"/>
          <w:sz w:val="28"/>
          <w:sz w:val="28"/>
          <w:szCs w:val="28"/>
          <w:rtl w:val="true"/>
          <w:lang w:bidi="fa-IR"/>
        </w:rPr>
        <w:t>محصّل كلام اين‌كه حكومت ديني زماني مشروعيت مي‌يابد كه منتسب به ذات خداوند تعالي بوده باشد و در غير اين صورت هيچ‌گونه مشروعيتي الهي بر آن متصور نيست</w:t>
      </w:r>
      <w:r>
        <w:rPr>
          <w:rFonts w:eastAsia="IRNazanin" w:cs="IRNazanin"/>
          <w:color w:val="111111"/>
          <w:sz w:val="28"/>
          <w:szCs w:val="28"/>
          <w:rtl w:val="true"/>
          <w:lang w:bidi="fa-IR"/>
        </w:rPr>
        <w:t>.</w:t>
      </w:r>
    </w:p>
    <w:p>
      <w:pPr>
        <w:pStyle w:val="Heading3"/>
        <w:numPr>
          <w:ilvl w:val="2"/>
          <w:numId w:val="1"/>
        </w:numPr>
        <w:rPr/>
      </w:pPr>
      <w:bookmarkStart w:id="50" w:name="__RefHeading___Toc1748806_730472459"/>
      <w:bookmarkStart w:id="51" w:name="_Toc18"/>
      <w:bookmarkEnd w:id="50"/>
      <w:r>
        <w:rPr>
          <w:rtl w:val="true"/>
        </w:rPr>
        <w:t>نقش مردم در حكومت الهي</w:t>
      </w:r>
      <w:r>
        <w:rPr>
          <w:rtl w:val="true"/>
        </w:rPr>
        <w:t>:</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نقش مردم در حكومت ديني كه خود از گزينه‌هاي بسيار درخشان در مباحث حقوقي و سياسي به شمار مي‌آيد، بايد گفت كه مردم در حكومت ديني نقش به سزائي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حكومت به اعتباري، دو جنبه مي‌تواند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مشروعيت داشتن و جنبه عينيت يافتن و اين‌ها دو امر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كه در تبيين مشروعيت حكومت ديني گذشت مردم نسبت به حكومت، مشروعيت آفرين نيستند؛ يعني حقانيت و الهي بودن و به تبع آن التزام آوري، امري است خاص حضرت احديت همانطور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جنبه دوم حكومت يعني مقبوليت داشتن و عينيت يافتن، مردم نقشي اساسي داشته و عنصر مهم در تحقق حكومت و عينيت بخشيدن به آن هستند؛ بدين معنا كه اگر در جهت تحقق حكومت، اقدامي ننمايند، حكومت ديني نيز محقق نخواهد شد و اگر آن را پذيرفتند و در جهت تحقق آن كوشيدند، بدون شك برپا خواهد شد و مصداق بارز آن برپائي حكومت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مسلمين با اشتياق وافر براي حكومتش آغوش باز كرده و در تحققش از هرگونه كمك دريغ نورزيدند و همين باعث تحكيم پايه‌هاي حكومت نبوي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طرفي عدم پذيرش و تحرّك مردم نسبت به حكومت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عدم برپايي حكومتش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مقال هم اكنون در بيان تبيين علل و اسباب آن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حكومت چهار سال و چند ماهه او هم به جهت روي آوري جامعه به ايشان بود و نبايد اين نكته مهم را فراموش كرد كه </w:t>
      </w:r>
    </w:p>
    <w:p>
      <w:pPr>
        <w:pStyle w:val="BookText"/>
        <w:rPr/>
      </w:pPr>
      <w:r>
        <w:rPr>
          <w:rFonts w:ascii="IRNazanin" w:hAnsi="IRNazanin" w:eastAsia="IRNazanin"/>
          <w:color w:val="111111"/>
          <w:sz w:val="28"/>
          <w:sz w:val="28"/>
          <w:szCs w:val="28"/>
          <w:rtl w:val="true"/>
          <w:lang w:bidi="fa-IR"/>
        </w:rPr>
        <w:t xml:space="preserve">ولايت و حكومت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زمان خلافتش مشروعيت داشت در همان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كنار زدنش از حكومت نيز چنين بود، لكن به جهت عدم اقدام مردم در زمينه عينيت بخشيدن به آن،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عامل اصلي تحقق حكومت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سكوت، آراء و مقبوليت مردمي بوده است، نه به معناي اين است كه آراء و مقبوليت مردمي به حكومت او مشروعيت بخشيد، چنان كه كم و بيش در بعضي نوشته‌ها و نشريات گفته مي‌شود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مشروعيت حكومت در مكتب اسلام و تشيع به مراجعه به آراء و افكار مردم بوده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رضايت مردمي شرط مشروعيت يك نظام و حكومت است</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بايد گفت اگر مراد از مشروعيت در اينگونه كلمات، مشروعيت مصطلح در حكومت ديني است چنانچه بحث آن گذشت، قطعاً نمي‌تواند وجه عقلي و ديني داشته باشد سواي اين كه ساز و كار يك تحقيق علمي هم محسوب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مشروعيت، مقبوليت مردمي باشد، از آن‌جا كه در تفكر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اسلام، چنين گزينه‌اي حقيقتاً مفهومي غير از معناي مشروعيت دارد و استعمال آن در چنين معنايي مقارنت بيان را به نحو لزوم مي‌طلبد بيان چنين معنايي به نحو اطلاق، نه مجوز لغوي دارد و نه وجه علمي، غير از آن‌كه چنين استعمالي، موجب انحراف افكار نيز مي‌شود و چه بسا اركان عنصر اعتقاد و ايمان نهفته در دل و جان خداجويان و حقيقت‌طلبان را متزلزل سازد و موجب پيدايش و تورم نابهنجاري تفكري در عرصه انديشه اعتقادي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جاي بسي تأسف است كه آنان كه با قلم و آداب و رسوم آن آشنا هستند مع ذلك از اين امر مقدس استفاده ابزاري براي القاء منويات خاص خود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p>
    <w:p>
      <w:pPr>
        <w:pStyle w:val="BookText"/>
        <w:rPr/>
      </w:pPr>
      <w:r>
        <w:rPr>
          <w:rFonts w:ascii="IRNazanin" w:hAnsi="IRNazanin" w:eastAsia="IRNazanin"/>
          <w:color w:val="111111"/>
          <w:sz w:val="28"/>
          <w:sz w:val="28"/>
          <w:szCs w:val="28"/>
          <w:rtl w:val="true"/>
          <w:lang w:bidi="fa-IR"/>
        </w:rPr>
        <w:t>استعمال اين‌گونه گزاره‌ها در غير مورد خود، بستن يك سري مصادرات به پاي حكومت ديني نيست يا اين‌كه با اجتهاد در مقابل نص همسوئي يافته و يا اين‌كه ناشي از مقال در غير حيطه تخصصي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ترويج‌گران اين گزاره‌ها كه مشروعيت حكومت ديني را ناشي از آراي مردم عنوان مي‌كنند، با كدامين قياس منطقي به اين نتيجه رسيده‌اند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با كمال احترام به مشتاقان انديشه، به تمام كساني كه در حوزه انديشه‌ي ديني قلم مي‌زنند، عاجزانه اين نكته را يادآور مي‌شود كه دوستان بزرگوارم، نوشتن مسؤوليت است و هر مسؤوليتي محاسبات دارد و حساب و كتاب الهي بسي سخت و دقيق است فراموش نكنيم، ننويسيم چيزي را كه گروهي از سخن ما صراط هدايت را به بي‌راهه ضلالت بفروشند و نگوئيم آن‌چه را كه باعث ايجاد تيرگي در دل تشنگان معارف الهي و مردم حقيقت‌جوي گردد و دامن نزنيم آن‌چه را خدا نخواسته است و ترك نكنيم آن‌چه را كه مرضيّ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07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42" o:detectmouseclick="t"/>
                <v:stroke color="#3465a4" joinstyle="round" endcap="flat"/>
                <w10:wrap type="none"/>
              </v:shape>
            </w:pict>
          </mc:Fallback>
        </mc:AlternateContent>
      </w:r>
      <w:bookmarkStart w:id="52" w:name="pg14784_160619"/>
    </w:p>
    <w:p>
      <w:pPr>
        <w:pStyle w:val="Heading2"/>
        <w:numPr>
          <w:ilvl w:val="1"/>
          <w:numId w:val="1"/>
        </w:numPr>
        <w:rPr/>
      </w:pPr>
      <w:bookmarkStart w:id="53" w:name="__RefHeading___Toc1748808_730472459"/>
      <w:bookmarkStart w:id="54" w:name="_Toc19"/>
      <w:bookmarkEnd w:id="52"/>
      <w:bookmarkEnd w:id="53"/>
      <w:r>
        <w:rPr>
          <w:rtl w:val="true"/>
        </w:rPr>
        <w:t>مقاله‌ي مورد نقد</w:t>
      </w:r>
      <w:r>
        <w:rPr>
          <w:rtl w:val="true"/>
        </w:rPr>
        <w:t xml:space="preserve">: </w:t>
      </w:r>
      <w:r>
        <w:rPr>
          <w:rtl w:val="true"/>
        </w:rPr>
        <w:t>ضرورت گفت‌و‌گوي اديان</w:t>
      </w:r>
      <w:bookmarkEnd w:id="54"/>
    </w:p>
    <w:p>
      <w:pPr>
        <w:pStyle w:val="Heading3"/>
        <w:numPr>
          <w:ilvl w:val="2"/>
          <w:numId w:val="1"/>
        </w:numPr>
        <w:rPr/>
      </w:pPr>
      <w:bookmarkStart w:id="55" w:name="__RefHeading___Toc1748810_730472459"/>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ضرورت گفت‌و‌گوي اديان</w:t>
      </w:r>
      <w:r>
        <w:rPr>
          <w:rStyle w:val="FootnoteAnchor"/>
          <w:rtl w:val="true"/>
        </w:rPr>
        <w:footnoteReference w:id="51"/>
      </w:r>
    </w:p>
    <w:p>
      <w:pPr>
        <w:pStyle w:val="Heading3"/>
        <w:numPr>
          <w:ilvl w:val="2"/>
          <w:numId w:val="1"/>
        </w:numPr>
        <w:rPr/>
      </w:pPr>
      <w:bookmarkStart w:id="57" w:name="__RefHeading___Toc1748812_730472459"/>
      <w:bookmarkStart w:id="58" w:name="_Toc21"/>
      <w:bookmarkEnd w:id="57"/>
      <w:r>
        <w:rPr>
          <w:rtl w:val="true"/>
        </w:rPr>
        <w:t>چكيده</w:t>
      </w:r>
      <w:r>
        <w:rPr>
          <w:rtl w:val="true"/>
        </w:rPr>
        <w:t>:</w:t>
      </w:r>
      <w:bookmarkEnd w:id="58"/>
    </w:p>
    <w:p>
      <w:pPr>
        <w:pStyle w:val="BookText"/>
        <w:rPr/>
      </w:pPr>
      <w:r>
        <w:rPr>
          <w:rFonts w:ascii="IRNazanin" w:hAnsi="IRNazanin" w:eastAsia="IRNazanin"/>
          <w:color w:val="111111"/>
          <w:sz w:val="28"/>
          <w:sz w:val="28"/>
          <w:szCs w:val="28"/>
          <w:rtl w:val="true"/>
          <w:lang w:bidi="fa-IR"/>
        </w:rPr>
        <w:t xml:space="preserve">در اين گفت‌وگو، دكتر متري در صدد توضيح مباني نظريِ گفت‌و‌گوي بين اديان برآمده و با تأكيد بر اين كه اولاً خداوند حقيقتي است كه در قالب هيچ عقيده و مرامي نمي‌گنجد و ثانياً كشف حقايق وحياني نيازمند به تفسير است و تفاسير نيز متعددند، به آيه‌ي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هود اشاره كرده، تعدد اديان را خواسته خداوند و پلوراليزم را بستر مناسب گفت‌و‌گوي اديان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سخن گفتن خداوند به روش‌هاي گوناگون براي پيروان اديان مختلف و امكان رسيدن به خدا از راه‌هاي متفاوت سخن مي‌گويد و در بعد معرفتي بين دين و فلسفه تفاوت قائل شده و ضمن اشاره به اين‌كه در قلمرو فلسفه از دو گزاره نقيض قطعاً يكي درست است و ديگري نادرست، در قلمرو دين، مسئله را پيچيده‌تر از اين حرف‌ها مي‌خواند</w:t>
      </w:r>
      <w:r>
        <w:rPr>
          <w:rFonts w:eastAsia="IRNazanin" w:cs="IRNazanin"/>
          <w:color w:val="111111"/>
          <w:sz w:val="28"/>
          <w:szCs w:val="28"/>
          <w:rtl w:val="true"/>
          <w:lang w:bidi="fa-IR"/>
        </w:rPr>
        <w:t>.</w:t>
      </w:r>
    </w:p>
    <w:p>
      <w:pPr>
        <w:pStyle w:val="Heading3"/>
        <w:numPr>
          <w:ilvl w:val="2"/>
          <w:numId w:val="1"/>
        </w:numPr>
        <w:rPr/>
      </w:pPr>
      <w:bookmarkStart w:id="59" w:name="__RefHeading___Toc1748814_730472459"/>
      <w:bookmarkStart w:id="60" w:name="_Toc22"/>
      <w:bookmarkEnd w:id="59"/>
      <w:r>
        <w:rPr>
          <w:rtl w:val="true"/>
        </w:rPr>
        <w:t>پلوراليسم، بستري نامناسب براي گفتگوي اديان</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ذيل مي‌آيد نقدي است درون ديني بر مقاله‌اي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گفتگوي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مشروح گفتگوي جناب آقاي محمد علي ابطحي با دكتر طارق متري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دبير اجرايي بخش ارتباطات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 در شوراي جهاني كليساها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در تاريخ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در روزنامه‌ي اطلاعات درج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مجال اشاره به تمام نكات غثّ و ثمين اين گفتگو فراهم نيست، به برخي از مطالب تأمل برانگيز آن اشاره مي‌گردد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دكتر متري در جمله‌اي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تعدد اديان خواسته‌ي خود خداوند است، قرآن هم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رَبُّكَ لَجَعَلَ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تو خواسته بود، همه‌ي مردم را يك امت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مدلول اين آيه آن است كه احتمال اختلاف و تعدد آراء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اجازه داده است كه اديان متعدد وجود داشته باشند، تعدد اديان امري تصادفي نيست</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با اين گفته خواسته‌اند راه پلوراليسم ديني را از طريق استناد به تنوع و تعدد فعلي اديان هموار سازند و از اين نكته غافل گشته‌اند كه هرگز نمي‌توان از وجود چيزي به حقانيت آن پل زد و گرنه بايد بتوان از وجود عقايد متضاد به حقانيّت همه‌ي آن‌ها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سخن ايشان را تأمل برانگيزتر مي‌كند استناد ايشان به آيه‌اي از قرآن براي اثبات اين مدعاست كه هيچ ربطي با بحث پلوراليسم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تأسف دارد كه ايشان حتي اين زحمت را به خود نداده‌اند كه به يكي از تفاسير معتبر مراجعه كنند مضافاً بر اين‌كه وي انديشمندي مسيحي است و براي استناد به كتاب مسلمانان بايد آراء و برداشت‌هاي خود آنان را مد نظر قرار دهد كما اين كه ما براي استناد به كتاب مقدس اين روش را دنبال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بستر اين تفسير به رأي را از قبل هموار كرده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خلاصه، وحي حامل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كشف حقايق وحياني نيازمند تفسير است و تفاسير نيز عديده‌اند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اين سخن كه همان اعتبار قرائت‌هاي مختلف از دين است در جاي خود مورد نقد قرار گرفته است و ما تنها به اين نكته بسنده مي‌كنيم كه بازگشت اين سخن نسبيت در معرفت و در نهايت مبهم ماندن پيام خدا و در نتيجه لغو بودن ارسال كتب آسماني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بجاست كه در مورد اين آيه توضيحاتي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مفسرين گفته‌اند</w:t>
      </w:r>
      <w:r>
        <w:rPr>
          <w:rStyle w:val="FootnoteAnchor"/>
          <w:rtl w:val="true"/>
        </w:rPr>
        <w:footnoteReference w:id="5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چيزي نيست كه مورد رضايت طبع سليم باشد زيرا موجب تشتت قوا و نزاع و ناامني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نوع اختلاف از اين مقوله استثنا شده است و آن اختلافِ سلائق، استعدادها و ظرفيتهاست كه فطري است و اگر اين اختلافات نباشد جوامع انساني شكل نمي‌گيرد و لكن اختلاف در امر دين هرگز فطري نمي‌باشد و به همين دليل خداي سبحان در جاي جاي قرآن اين نوع اختلاف را به اهواء و خود بيني علماي اهل كتاب نسبت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اخْتَلَفَ فِيهِ إِلاَّ الَّذِينَ أُوتُوهُ مِنْ بَعْدِ ما جاءَتْهُمُ الْبَيِّناتُ بَغْياً بَيْنَهُمْ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اين مطلب نشان مي‌دهد كه به هيچ وجه اين نوع اختلاف مورد رضايت خدا نبوده است و لذا خداوند متعال در ادامه‌ي آيه‌ي سوره‌ي هود و بقره بيان كرده كه كساني كه مشمول رحمت او هستند از اين اختلاف مصون‌اند و اگر خداوند بدين اختلاف پايان نمي‌دهد صرفاً رخصتي تكويني است و لذا در سوره‌ي شوري آيه‌ي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كَلِمَةٌ سَبَقَتْ مِنْ رَبِّكَ لَقُضِيَ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اجل مهلتي كه براي آن‌ها مقرر شده، نبود به اين اختلاف پايان مي‌داديم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گوينده‌ي محترم بين اراده‌ي تكويني و تشريعي خلط كرده است و مي‌گويد خود خداوند اين تعدد آراء و اختلاف را مجاز شمرده است و اجازه داده است كه اديان متعدد وجود داشته باشند البته مخفي نماند كه اديان الهي متعدد بوده‌اند ولي فلسفه‌ي اين تنوع علاوه بر تحريف دين قبلي، مقتضيات زمانه و تكامل بشر بوده است وگرنه دين نزد خداي سبحان تنها يكي است و آن اسلام </w:t>
      </w:r>
    </w:p>
    <w:p>
      <w:pPr>
        <w:pStyle w:val="BookText"/>
        <w:rPr/>
      </w:pPr>
      <w:r>
        <w:rPr>
          <w:rFonts w:ascii="IRNazanin" w:hAnsi="IRNazanin" w:eastAsia="IRNazanin"/>
          <w:color w:val="111111"/>
          <w:sz w:val="28"/>
          <w:sz w:val="28"/>
          <w:szCs w:val="28"/>
          <w:rtl w:val="true"/>
          <w:lang w:bidi="fa-IR"/>
        </w:rPr>
        <w:t>و تسليم است و اين تسليم و اطاعت در برهه‌هاي مختلف، چهره‌هاي گوناگونه به خود گرفته است و لذا در قرآن دين هيچ‌گاه به صورت جمع به كار نرفته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شهيد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صدرا، چاپ هفتم،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دكتر متري در جاي ديگر براي اثبات پلوراليسم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بسيار بزرگتر از آن است كه معمولاً پنداشته مي‌شود اين نكته، يعني تنزيه خداوند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نهفته است خداوند حقيقتي است كه در قالب هيچ عقيده و مرامي نمي‌گنجد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اين سخن آن است كه چون درك و فهم همگان از حقيقت مطلق، محدود است و هيچ يك از آن‌ها با واقعيت، آن گونه كه هست مطابقت ندارد، پس هيچ يك حق نخواهد بود و كسي را نرسد كه درك خود را حق و درك ديگري را باطل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شگفتي است آن است كه اين سخن را كسي به زبان مي‌آورد كه در صدد است كه راه گفتگوي ميان اديان را هموار سازد و با اين سخن بيشتر به شعله اختلافات دامن مي‌زند گذشته از آن كه اين با جمله ديگري از وي در تعارض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پيروان ساير اديان به روشهاي ديگري سخن گفته است و آن‌ها نيز حقيقت وحي را با رجوع به دين خويش كشف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در قلمرو فلسفه رئاليست‌اند ولي در عرصه‌ي دين معتقدند كه ماجرا پيچيده‌تر از اين حرفهاست يعني ممكن است پيروان اديان گوناگون، مدعيات متفاوت و حتي ظاهراً متناقضي داشته باشند، امّا در عين حال همگي بهره‌اي از حقيقت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كه ايشان حداقل يك دليل براي اين مدعا ارائه مي‌فرمود و تبيين مي‌كردند كه گزاره‌هاي ديني از گزاره‌هاي فلسفي 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روزنامه‌ي اطلاعات،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ستون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علمي چه كم دارند كه آن‌ها را از واقع گرا بودن دور ساخته و به ورطه‌ي نسبيت فرو افكنده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مخدوش ديگري كه در عبارات دكتري متري مشاهده مي‌شود آن است كه اگر ديني خاص بر حق است چرا خداوند آن را در تمام جهان منتشر نكرده است گويا ايشان از اين نكته غفلت كرده‌اند كه خداوند همه را هدايت كرده است ولي اين انسان‌ها هستند كه به اختيار خود مي‌توانند ايمان آورند يا كافر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اگر خدا مي‌خواست تمام مردم ايمان مي‌آوردند و هدايت مي‌يافتند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ولي سنّت و مشيت الهي بر اختيار انسان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بايد متذكر شد كه ما هم مثل ايشان دغدغه‌ي راه حلي براي تفاهم ديني و زندگي مسالمت آميز پيروان اديان داريم و قرآن كريم هم به اين امر مهم توجّه داشته است و لذا در اين راستا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أَهْلَ الْكِتابِ تَعالَوْا إِلى كَلِمَةٍ سَواءٍ بَيْنَنا وَ بَيْنَكُمْ أَلاَّ نَعْبُدَ إِلاَّ اللَّهَ وَ لا نُشْرِكَ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كتاب، بيائيد بر سخني كه ميان ما و شما يكسان است بايستيم كه جز خدا را نپرستيم و چيزي را شريك او نگردانيم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9"/>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50" o:detectmouseclick="t"/>
                <v:stroke color="#3465a4" joinstyle="round" endcap="flat"/>
                <w10:wrap type="none"/>
              </v:shape>
            </w:pict>
          </mc:Fallback>
        </mc:AlternateContent>
      </w:r>
      <w:bookmarkStart w:id="61" w:name="pg14784_160625"/>
    </w:p>
    <w:p>
      <w:pPr>
        <w:pStyle w:val="Heading2"/>
        <w:numPr>
          <w:ilvl w:val="1"/>
          <w:numId w:val="1"/>
        </w:numPr>
        <w:rPr/>
      </w:pPr>
      <w:bookmarkStart w:id="62" w:name="__RefHeading___Toc1748816_730472459"/>
      <w:bookmarkStart w:id="63" w:name="_Toc23"/>
      <w:bookmarkEnd w:id="61"/>
      <w:bookmarkEnd w:id="62"/>
      <w:r>
        <w:rPr>
          <w:rtl w:val="true"/>
        </w:rPr>
        <w:t>مقاله مورد نقد</w:t>
      </w:r>
      <w:r>
        <w:rPr>
          <w:rtl w:val="true"/>
        </w:rPr>
        <w:t xml:space="preserve">: </w:t>
      </w:r>
      <w:r>
        <w:rPr>
          <w:rtl w:val="true"/>
        </w:rPr>
        <w:t>هرمنوتيك، قرائت‌هاي متعدد و بازسازي فكر ديني</w:t>
      </w:r>
      <w:bookmarkEnd w:id="63"/>
    </w:p>
    <w:p>
      <w:pPr>
        <w:pStyle w:val="Heading3"/>
        <w:numPr>
          <w:ilvl w:val="2"/>
          <w:numId w:val="1"/>
        </w:numPr>
        <w:rPr/>
      </w:pPr>
      <w:bookmarkStart w:id="64" w:name="__RefHeading___Toc1748818_730472459"/>
      <w:bookmarkStart w:id="65" w:name="_Toc24"/>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هرمنوتيك، قرائت‌هاي متعدد و بازسازي فكر ديني</w:t>
      </w:r>
      <w:r>
        <w:rPr>
          <w:rStyle w:val="FootnoteAnchor"/>
          <w:rtl w:val="true"/>
        </w:rPr>
        <w:footnoteReference w:id="58"/>
      </w:r>
    </w:p>
    <w:p>
      <w:pPr>
        <w:pStyle w:val="Heading3"/>
        <w:numPr>
          <w:ilvl w:val="2"/>
          <w:numId w:val="1"/>
        </w:numPr>
        <w:rPr/>
      </w:pPr>
      <w:bookmarkStart w:id="66" w:name="__RefHeading___Toc1748820_730472459"/>
      <w:bookmarkStart w:id="67" w:name="_Toc25"/>
      <w:bookmarkEnd w:id="66"/>
      <w:r>
        <w:rPr>
          <w:rtl w:val="true"/>
        </w:rPr>
        <w:t>چکیده</w:t>
      </w:r>
      <w:bookmarkEnd w:id="67"/>
    </w:p>
    <w:p>
      <w:pPr>
        <w:pStyle w:val="BookText"/>
        <w:rPr/>
      </w:pPr>
      <w:r>
        <w:rPr>
          <w:rFonts w:ascii="IRNazanin" w:hAnsi="IRNazanin" w:eastAsia="IRNazanin"/>
          <w:color w:val="111111"/>
          <w:sz w:val="28"/>
          <w:sz w:val="28"/>
          <w:szCs w:val="28"/>
          <w:rtl w:val="true"/>
          <w:lang w:bidi="fa-IR"/>
        </w:rPr>
        <w:t>گفت و گوئی با عنوان فوق با آقای مجتهد شبستری انجام شده است که در این گفت و گو، ایشان با تأکید بر این که هرمنوتیک فلسفی، در میان الهیات پردازان معاصر یهودی و مسیحی از اهمیت ویژه ای برخوردار است، تصور مخالفت هرمنوتیک فلسفی با ادیان را دور از واقعیت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هرمنوتیک را مایه ی تقویت معرفت دینی در دنیای مدرن و نگهدارنده و پرورش دهنده ی سنت دینی می خواند و هدف کسانی را که به طرح مقوله ی هرمنوتیک فلسفی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دینی موجود در اسلام و چاره اندیشی برای بحران قرائت رسمی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این گفت و گو، حوزه های علوم دینی را به اتخاذ رویکردی قابل قبول در هرمنوتیک دینی، برای بازیابی جایگاه خود در عصر مدرنیته فرا می خواند</w:t>
      </w:r>
      <w:r>
        <w:rPr>
          <w:rFonts w:eastAsia="IRNazanin" w:cs="IRNazanin"/>
          <w:color w:val="111111"/>
          <w:sz w:val="28"/>
          <w:szCs w:val="28"/>
          <w:rtl w:val="true"/>
          <w:lang w:bidi="fa-IR"/>
        </w:rPr>
        <w:t>.</w:t>
      </w:r>
    </w:p>
    <w:p>
      <w:pPr>
        <w:pStyle w:val="Heading3"/>
        <w:numPr>
          <w:ilvl w:val="2"/>
          <w:numId w:val="1"/>
        </w:numPr>
        <w:rPr/>
      </w:pPr>
      <w:bookmarkStart w:id="68" w:name="__RefHeading___Toc1748822_730472459"/>
      <w:bookmarkStart w:id="69" w:name="_Toc26"/>
      <w:bookmarkEnd w:id="68"/>
      <w:r>
        <w:rPr>
          <w:rtl w:val="true"/>
        </w:rPr>
        <w:t>هرمنوتيك فلسفي ارمغاني جز نسبيّت و شكاكيت معرفتي ندارد</w:t>
      </w:r>
      <w:bookmarkEnd w:id="69"/>
    </w:p>
    <w:p>
      <w:pPr>
        <w:pStyle w:val="BookText"/>
        <w:rPr/>
      </w:pPr>
      <w:r>
        <w:rPr>
          <w:rFonts w:ascii="IRNazanin" w:hAnsi="IRNazanin" w:eastAsia="IRNazanin"/>
          <w:color w:val="111111"/>
          <w:sz w:val="28"/>
          <w:sz w:val="28"/>
          <w:szCs w:val="28"/>
          <w:rtl w:val="true"/>
          <w:lang w:bidi="fa-IR"/>
        </w:rPr>
        <w:t xml:space="preserve">در گفتگويي كه با جناب آقاي محمد مجتهد شبستري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هرمنوتيك، قرائت‌هاي متعددو بازسازي فكر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نشريه‌ي نوروز شماره‌ي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نكاتي مطرح است كه ناديده گرفتن آن‌ها روانيست و بايد اندكي بر آن‌ها تأمل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اين مباحث در عرصه‌ي علمي و فرهنگي كشور مفيد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بذكر است كه نكات مذكور، ذيل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مغالطات موجود در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 محتوايي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مي‌شوند</w:t>
      </w:r>
      <w:r>
        <w:rPr>
          <w:rFonts w:eastAsia="IRNazanin" w:cs="IRNazanin"/>
          <w:color w:val="111111"/>
          <w:sz w:val="28"/>
          <w:szCs w:val="28"/>
          <w:rtl w:val="true"/>
          <w:lang w:bidi="fa-IR"/>
        </w:rPr>
        <w:t>:</w:t>
      </w:r>
    </w:p>
    <w:p>
      <w:pPr>
        <w:pStyle w:val="Heading3"/>
        <w:numPr>
          <w:ilvl w:val="2"/>
          <w:numId w:val="1"/>
        </w:numPr>
        <w:rPr/>
      </w:pPr>
      <w:bookmarkStart w:id="70" w:name="__RefHeading___Toc1748824_730472459"/>
      <w:bookmarkStart w:id="71" w:name="_Toc27"/>
      <w:bookmarkEnd w:id="70"/>
      <w:r>
        <w:rPr/>
        <w:t>1</w:t>
      </w:r>
      <w:r>
        <w:rPr>
          <w:rtl w:val="true"/>
        </w:rPr>
        <w:t xml:space="preserve">. </w:t>
      </w:r>
      <w:r>
        <w:rPr>
          <w:rtl w:val="true"/>
        </w:rPr>
        <w:t>مغالطات موجود در مقاله؛</w:t>
      </w:r>
      <w:bookmarkEnd w:id="7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مغالطه در ساده‌ترين تعريف، لغزش فكر و نتيجه‌ي ناصواب گرفتن از مقدمات استدلال است</w:t>
      </w:r>
      <w:r>
        <w:rPr>
          <w:rStyle w:val="FootnoteAnchor"/>
          <w:rtl w:val="true"/>
        </w:rPr>
        <w:footnoteReference w:id="59"/>
      </w:r>
      <w:r>
        <w:rPr>
          <w:rFonts w:ascii="Amiri" w:hAnsi="Amiri" w:eastAsia="Amiri" w:cs="Amiri"/>
          <w:color w:val="111111"/>
          <w:sz w:val="28"/>
          <w:sz w:val="28"/>
          <w:szCs w:val="28"/>
          <w:rtl w:val="true"/>
          <w:lang w:bidi="ar-SA"/>
        </w:rPr>
        <w:t xml:space="preserve">،و برخي نيز آن را تلاش </w:t>
      </w:r>
    </w:p>
    <w:p>
      <w:pPr>
        <w:pStyle w:val="BookText"/>
        <w:rPr/>
      </w:pPr>
      <w:r>
        <w:rPr>
          <w:rFonts w:ascii="Amiri" w:hAnsi="Amiri" w:eastAsia="Amiri" w:cs="Amiri"/>
          <w:color w:val="111111"/>
          <w:sz w:val="28"/>
          <w:sz w:val="28"/>
          <w:szCs w:val="28"/>
          <w:rtl w:val="true"/>
          <w:lang w:bidi="ar-SA"/>
        </w:rPr>
        <w:t>عمدي در جهت به خطا انداختن مخاطبان تعريف كرده‌اند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هر تقدير مي‌توان مغالطه را خطاي در استدلال و به خطا انداختن مخاطب نيز تعريف كرد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اكنون به نظر مي‌رسد مطالب مطرح شده در اين گفت‌و‌گو حاوي چندين مغالطه است كه ما به چند نمونه از آن‌ها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مغالطه‌ي ارزيابي يك طرفه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one- sided asseessment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اين مغالطه هنگامي رخ مي‌دهد كه صرفا ًمنافع، طرفداران و وجوه امتياز يك ديدگاه را عنوان كنيم و مضارّ، مخالفان و وجوه نقص آن ديدگاه را يادآور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ايشان به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تعدّد قرائت‌ها در درون اديان بزرگ دنيا از ديدگاه متالهان و متكلمان اين اديان امري مقبول و پذيرفته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با ذكر عقائد آراء چند انديشمند كه به نوعي اين ديدگاه را پذيرفته‌اند، پاسخ مثبت مي‌دهند امّا از سوي ديگر به خيل عظيمي از متالهان و متكلمان مسيحي و يهودي كه به مخالفت با اين سنت برخاسته‌اند و تا آنجا پيش رفته‌اند كه امثال بولتمان را تكفير و تفسيق نموده‌اند اشاره‌اي نمي‌كنند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شايسته شأن انديشمندي همچون ايشان نيست به گونه‌اي صحبت كند كه مخاطب، وجود هرگونه مخالفت با آن نوع برداشت در مسيحيت و يهوديت را متوجه نشود و يا آن را كم اهميت تلقي 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مغالطه مسموم كردن چاه؛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Poisoning the well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اين مغالطه در جايي است كه كسي ادعايي كند و براي جلوگيري از اعتراض ديگران، صفت </w:t>
      </w:r>
    </w:p>
    <w:p>
      <w:pPr>
        <w:pStyle w:val="BookText"/>
        <w:rPr/>
      </w:pPr>
      <w:r>
        <w:rPr>
          <w:rFonts w:ascii="IRNazanin" w:hAnsi="IRNazanin" w:eastAsia="IRNazanin"/>
          <w:color w:val="111111"/>
          <w:sz w:val="28"/>
          <w:sz w:val="28"/>
          <w:szCs w:val="28"/>
          <w:rtl w:val="true"/>
          <w:lang w:bidi="fa-IR"/>
        </w:rPr>
        <w:t>مذمومي را به مخالفان آن نسبت دهد، به طوري كه اگر كسي بخواهد اعتراض كند، گويا خود را مصداقي از مصاديق آن صفت مذموم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آن جهت مغالطه است كه به جاي ارائه‌ي دليل براي اثبات حرف خود، به تحقير مخالفان تمسك شده است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مي‌رسد ايشان در فرازهايي از اين مقاله دچار اين مغالطه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آنجا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آنچه گفتم معلوم مي‌شود كه اين تصور كه هرمنوتيك فلسفي مخالف اديان است و موجب مي‌شود پيروان اديان، نتوانند به كتاب‌هاي خود استناد كنند، چه‌قدر دور از واقعيت است و چگونه بي‌اطلاعي كامل از جريان‌هاي فكري و الهيات مسيحي عصر حاضر را نشان مي‌دهد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ايشان با الفاظي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بي‌اطلاعي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در تحقير مخالفان خود دارد و مجال را از ابراز ايده مخالف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مغالطه شايد ناجوان‌مردانه‌ترين مغالطات محسوب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ديگري ايشان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هركسي اطلاع مختصري از وضع مباحث هرمنوتيكي فلسفي و ديني در جهان معاصر داشته باشد به خوبي مي‌داندكه</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سبك بيان در ذيل مغالطه را هر بچه مدرسه‌اي مي‌داند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boy knows every school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مغالطه زماني روي مي‌دهد كه شخص در بحث و جدل، سخن خود را درست و مطابق با واقع و به عنوان چيزي كه در آن نبايد شك و شبهه اي كرد، معرفي مي‌نمايد و ادعا مي‌كند كه آن مطالب را هر كس با اندك اطلاع و آگاهي مي‌داند و شخص مخاطب نيز كه در صدد فرار از اتهام ضعف و ناداني است، در برابر آن مطلب سكوت مي‌كند</w:t>
      </w:r>
      <w:r>
        <w:rPr>
          <w:rFonts w:eastAsia="IRNazanin" w:cs="IRNazanin"/>
          <w:color w:val="111111"/>
          <w:sz w:val="28"/>
          <w:szCs w:val="28"/>
          <w:rtl w:val="true"/>
          <w:lang w:bidi="fa-IR"/>
        </w:rPr>
        <w:t>.</w:t>
      </w:r>
      <w:r>
        <w:rPr>
          <w:rStyle w:val="FootnoteAnchor"/>
          <w:rtl w:val="true"/>
        </w:rPr>
        <w:footnoteReference w:id="66"/>
      </w:r>
      <w:bookmarkStart w:id="72" w:name="pg14784_160628"/>
    </w:p>
    <w:p>
      <w:pPr>
        <w:pStyle w:val="BookText"/>
        <w:rPr/>
      </w:pPr>
      <w:bookmarkEnd w:id="72"/>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مغالطه ذوحدين جعلي؛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bogus dilemma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ايشان در پاسخ به اين سؤال كه ريشه‌ي برخوردهاي خصومت‌آميزي كه در ايران با اين نظريه علمي و فني مي‌شود چيست، از مغالطه ذوحدين جعلي استفاده مي‌كند و مخالفان را به دو گروه جاهلان نسبت به فرهنگ دنيايي معاصر و قدرت‌طلبان تقسيم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نتيجه اين تقسيم، برخوردهاي خصومت‌آميز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برخوردهايي غلط و نادرست تلقي مي‌گردند، در حالي كه مي‌توانيم دست كم يك مورد ديگر را نيز اضافه كنيم و نادرست بودن برخوردها را انكار نماييم و آن اين‌كه بعضي از اين برخوردها از كساني سرمي‌زند كه از پيامدهاي منفي و زيان‌بار وجود قرائت‌هاي مختلف آگاهي دارند و از اين روي به مخالفت با آن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در اينجا نيز مغالطه روي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 مذكور مغالطه‌هاي ديگري نيز وجود دارد كه از بررسي آن‌ها صرف نظر كرده و به بررسي محتواي اين نوشتار مي‌پردازيم و نكات مورد نظر خود را متذكر مي‌شويم</w:t>
      </w:r>
      <w:r>
        <w:rPr>
          <w:rFonts w:eastAsia="IRNazanin" w:cs="IRNazanin"/>
          <w:color w:val="111111"/>
          <w:sz w:val="28"/>
          <w:szCs w:val="28"/>
          <w:rtl w:val="true"/>
          <w:lang w:bidi="fa-IR"/>
        </w:rPr>
        <w:t>.</w:t>
      </w:r>
    </w:p>
    <w:p>
      <w:pPr>
        <w:pStyle w:val="Heading3"/>
        <w:numPr>
          <w:ilvl w:val="2"/>
          <w:numId w:val="1"/>
        </w:numPr>
        <w:rPr/>
      </w:pPr>
      <w:bookmarkStart w:id="73" w:name="__RefHeading___Toc1748826_730472459"/>
      <w:bookmarkStart w:id="74" w:name="_Toc28"/>
      <w:bookmarkEnd w:id="73"/>
      <w:r>
        <w:rPr/>
        <w:t>2</w:t>
      </w:r>
      <w:r>
        <w:rPr>
          <w:rtl w:val="true"/>
        </w:rPr>
        <w:t xml:space="preserve">. </w:t>
      </w:r>
      <w:r>
        <w:rPr>
          <w:rtl w:val="true"/>
        </w:rPr>
        <w:t>نكات محتوايي اين مقاله</w:t>
      </w:r>
      <w:bookmarkEnd w:id="7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شلاير ماخر را بنيانگذار هرمنوتيك فلسفي معرفي مي‌كند حال آن‌كه شلايرماخر بنيان‌گذار هرمنوتيك رمانتيك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مكتب تفاوت‌هاي مهم و بسيار عميقي وجود دارد؛ از باب مثال هرمنوتيك فلسفي به شدت متن محور است تا آنجا كه حتي بعضي از پيروان اين مكتب، مؤلف را نيز يكي از مفسران متن تلقي مي‌كند و يا انديشمند ديگري اعلام ميدارد كه مؤلف بعد از ايجاد و اثر متن مرده است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هرمنوتيك رمانتيك مؤلف محور </w:t>
      </w:r>
    </w:p>
    <w:p>
      <w:pPr>
        <w:pStyle w:val="BookText"/>
        <w:rPr/>
      </w:pPr>
      <w:r>
        <w:rPr>
          <w:rFonts w:ascii="IRNazanin" w:hAnsi="IRNazanin" w:eastAsia="IRNazanin"/>
          <w:color w:val="111111"/>
          <w:sz w:val="28"/>
          <w:sz w:val="28"/>
          <w:szCs w:val="28"/>
          <w:rtl w:val="true"/>
          <w:lang w:bidi="fa-IR"/>
        </w:rPr>
        <w:t>است و سعي دارد مراد مؤلف را از متن و اثر بدست آورده بولتمان در مقاله‌ي مسئله‌ي هرمنوتيك خود، درباره‌ي ديدگاه شلايرماخر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اذعان مي‌دارد كه تركيب و هماهنگي و يكپارچگي يك اثر، صرفاً با تحليل منطقي صوري و تحليل سبك و روش نمي‌تواند درك شود، بلكه اثر بايد به عنوان يك لحظه و آن در زندگي مولف آن فهميده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بيروني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مفسّر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درونيِ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درك كند؛ شكل دروني‌اي كه موضوع تفسيري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گويانه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ذهني است نه يك تفسير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تفسير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بازآفريني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ارتباط كامل و هميشگي با خود فرايند توليد ادبي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با توجه به اين مطلب و نكات ديگري كه ميان اين دو مكتب هرمنوتيك و تفسيري تفاوت ايجاد مي‌كنند اطلاق بنيانگذار هرمنوتيك فلسفي بر شلايرماخر كاملاً خطا و ناصواب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مكتب هرمنوتيك فلسفي از جمله گادامر معتقدند كه فهم و درك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انديشمندان ايراني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از امتزاج افق معنايي مفسر متن و افق معنايي متن حاصل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مفسر متن با پيش‌دانسته‌ها و ذهنيت خاص خود، وارد يك گفت‌و‌گوي ديالكتيكي با متن مي‌شود و آن‌قدر به پرسش و پاسخ با متن ادامه مي‌دهد كه ميان افق معنايي متن و مفسر، امتزاجي روي دهد كه در اين هنگام فهم، درك و قرائت حاصل مي‌گردد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با توجه به اين مطلب، مفسران مختلف با افق‌هاي معنايي متفاوت با متن مواجه مي‌شوند و آن‌قدر به پرسش و پاسخ با متن مي‌پردازند تا قرائتي براي آن‌ها حاصل شود، و چون هركدام از آن مفسران افق معنايي خاص به </w:t>
      </w:r>
    </w:p>
    <w:p>
      <w:pPr>
        <w:pStyle w:val="BookText"/>
        <w:rPr/>
      </w:pPr>
      <w:r>
        <w:rPr>
          <w:rFonts w:ascii="IRNazanin" w:hAnsi="IRNazanin" w:eastAsia="IRNazanin"/>
          <w:color w:val="111111"/>
          <w:sz w:val="28"/>
          <w:sz w:val="28"/>
          <w:szCs w:val="28"/>
          <w:rtl w:val="true"/>
          <w:lang w:bidi="fa-IR"/>
        </w:rPr>
        <w:t>خود دارند، در مواجهه با متن، تفسير و قرائتي خاص به خود پيدا مي‌كنند و چون مفسران متن تا بي‌نهايت مي‌توانند موجود باشند، بي‌نهايت قرائت ممكن است پديد آيد و البتّه چون هركدام از آن قرائت‌ها برپايه گفت‌و‌گوي ديالكتيكي با متن حاصل شده‌اند، همه آن‌ها معتبرند و همه‌ي آن‌ها حجت‌اند و نمي‌شود گفت قرائتي معتبر نيست و به تعبير ديگر، تحقق قرائت،تحقق اعتبار آن قرائت مي‌باشد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اكنون نويسنده‌ي محترم كه خود را پيرو هرمنوتيك فلسفي مي‌داند و در اين مقاله در پي برشمردن خدمات و حسنات اين نحله‌ي هرمنوتيكي است، از پايه‌گذاران اين مكتب گامي به جلوتر برداشته و قرائت پذيري متون را محدود تلقي مي‌نمايد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قرائت كه از استدلال كافي براي قبول شدن برخوردار نشود،كنار گذاشته مي‌شود و باطل اعلام مي‌گردد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حال آن‌كه نه هايدگر نه گادامر نه دريدا و نه ميشل‌فوكو هيچكدام ضرورت وجود استدلال كافي براي قبول شدن و پذيرفته شدن يك قرائت را در نظر نگرفته‌اند و پديدآمدن يك قرائت خود دليل بر اعتبار خودش تلقي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است كه اساس فرضيه‌ي قرائت‌هاي مختلف مطرح مي‌شود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وجود قرائت‌هاي مختلف در مسيحيت را عامل رواج مسيحيت تلقي كرده‌اند و نه ضعف آن؛ بايد پرسيد منظور از رواج مسيحيت چيست؟ آيا منظور ايشان گسترش مسيحيت در عالم است؟ در پاسخ بايد گفت كه اگر برفرض مسيحيت در عالم رواج و گسترش پيدا كرده، بيشتر به جهت فعاليت </w:t>
      </w:r>
    </w:p>
    <w:p>
      <w:pPr>
        <w:pStyle w:val="BookText"/>
        <w:rPr/>
      </w:pPr>
      <w:r>
        <w:rPr>
          <w:rFonts w:ascii="IRNazanin" w:hAnsi="IRNazanin" w:eastAsia="IRNazanin"/>
          <w:color w:val="111111"/>
          <w:sz w:val="28"/>
          <w:sz w:val="28"/>
          <w:szCs w:val="28"/>
          <w:rtl w:val="true"/>
          <w:lang w:bidi="fa-IR"/>
        </w:rPr>
        <w:t xml:space="preserve">تبليغي و فرهنگي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بوده است نه گسترش هرمنوتيك 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است كه اگر از تازه مسيحيان عالم پرسيده شود چرا به مسيحيت گرايش پيدا كرده‌اند بعيد است كسي بگويد به علّت وجود و پديد آمدن هرمنوتيك فلسفي در غرب بوده است و يا به دليل وجود قرائت‌هاي مختلف مسيحي بوده‌است، البتّه به طور حتم كساني را خواهيد يافت كه از مسيحيت به دليل وجود قرائت‌هاي مختلف بريده‌اند و حتي بي دين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منظور ايشان از رواج مسيحيت، عميق شدن، دقيق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بايد گفت پيامد وجود قرائت‌هاي مختلف نسبيّت، شكاكيت و لاادري‌گري است نه دقيق شدن و عميق شدن و لذا به نظر مي‌رسد كه اينجا لغزشي در بيان مطلب روي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وجود قرائت‌هاي مختلف را كه ناشي از هرمنوتيك فلسفي است يك نعمت و راه نجات مي‌خواند</w:t>
      </w:r>
      <w:r>
        <w:rPr>
          <w:rStyle w:val="FootnoteAnchor"/>
          <w:rtl w:val="true"/>
        </w:rPr>
        <w:footnoteReference w:id="72"/>
      </w:r>
      <w:r>
        <w:rPr>
          <w:rFonts w:ascii="IRNazanin" w:hAnsi="IRNazanin" w:eastAsia="IRNazanin"/>
          <w:color w:val="111111"/>
          <w:sz w:val="28"/>
          <w:sz w:val="28"/>
          <w:szCs w:val="28"/>
          <w:rtl w:val="true"/>
          <w:lang w:bidi="fa-IR"/>
        </w:rPr>
        <w:t>و در اين باره توضيح چنداني ارائه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ما اين است كه اگر دو قرائت كه كاملاً با هم متعارض و متناقض هستند، معتبر شمرده شوند چه نعمتي حاصل مي‌شود و چه راه نجاتي از آن بدست مي‌آيد؟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ظاهراً تنها هرمنوتيك را در تفسير متون ديني در نظر گرفته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هرمنوتيك اصلاً تئوري و تعليمات تفسير و تأويل سنت است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 كه هنر و فن هرمنوتيك همان‌گونه كه در تاريخچه و شرح تطورات آن مشاهده مي‌شود بر روي تفسير آثار و متون هنري، ادبي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p>
    <w:p>
      <w:pPr>
        <w:pStyle w:val="BookText"/>
        <w:rPr/>
      </w:pPr>
      <w:r>
        <w:rPr>
          <w:rFonts w:ascii="Amiri" w:hAnsi="Amiri" w:eastAsia="Amiri" w:cs="Amiri"/>
          <w:color w:val="111111"/>
          <w:sz w:val="28"/>
          <w:sz w:val="28"/>
          <w:szCs w:val="28"/>
          <w:rtl w:val="true"/>
          <w:lang w:bidi="ar-SA"/>
        </w:rPr>
        <w:t>مثال، ارسطو قواعد هرمنوتيكي را براي تفسير متون ادبي معرفي مي‌كند</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و ياديلتاي در اين‌باره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هرمنوتيك معرفتي است به اين‌كه چگونه يك فرد مي‌تواند به دركي به طور عام معتبر و عيني از بيان ديگر افراد از زندگي آن‌گونه كه در معناها و مفادها گرديده است نايل 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البتّه بدون ترديد سنت و متون ديني نيز از جمله اموري است كه فرايند تفسير بر آن واقع 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ظاهراً درك كاملي از هرمنوتيك فلسفي آن‌گونه كه گادامر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استفاده از هرمنوتيك فلسفي در جستجوي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كتاب‌هاي مقدس و تعليمات پيامبران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يكي از مهم‌ترين آموزه‌هاي هرمنوتيك فلسفي اين است كه فهم عيني از متن امكان پذير نيست؛ يعني به علّت فاصله زماني ميان مفسر و متن و نيز دخالت افق معنايي مفسر در عمل فهم هيچ‌گاه درك مطابق با واقع حاصل نمي‌شود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اكنون اگر منظور ايشان از حقيقت يعني انچه كه مطابق با واقع است و آنچه كه پيام حقيقي متون دينيِ فرستاده شده از ناحيه حق‌تعالي است، چون در تمام فهم‌ها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هرمنوتيك 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ذهنيت مفسر دخيل بوده است، نيل به چنين حقيقتي، پنداري بيش نيست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نيز معتقديم كه حقيقت دائماً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مخدوش نگردد، امّا مسئله اينجاست كه ابزار اين كار هرمنوتيك فلسفي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نوعي ذهنيتگرايي و سابجكتيويسم را بر فهم و درك ما حاكم مي‌كند تا آنجا كه حتي نيل به حقيقت را ناممكن </w:t>
      </w:r>
    </w:p>
    <w:p>
      <w:pPr>
        <w:pStyle w:val="BookText"/>
        <w:rPr/>
      </w:pPr>
      <w:r>
        <w:rPr>
          <w:rFonts w:ascii="IRNazanin" w:hAnsi="IRNazanin" w:eastAsia="IRNazanin"/>
          <w:color w:val="111111"/>
          <w:sz w:val="28"/>
          <w:sz w:val="28"/>
          <w:szCs w:val="28"/>
          <w:rtl w:val="true"/>
          <w:lang w:bidi="fa-IR"/>
        </w:rPr>
        <w:t>مي‌سازد، نيست بلكه اين عمل در ضمن فرايند تفسيري صحيح كه مبتني بر فلسفه‌اي كامل و معتبر است حاصل مي‌آ‌يد و بايد مفسران ما روز به روز در جهت نيل به حقيقت گام‌هاي مؤثرتري بردارند و تصور نكنند به حقيقت كامل رسيده‌اند و اين چيزي نيست مگر استفاده صحيح از منابع معرفت ديني</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نوشتار مورد بحث نقاط ضعف و ابهام ديگري نيز داشت كه به علّت كمي فرصت از آن‌ها صرف نظر 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67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1"/>
                        <a:stretch/>
                      </pic:blipFill>
                      <pic:spPr>
                        <a:xfrm>
                          <a:off x="0" y="0"/>
                          <a:ext cx="5334120" cy="5867280"/>
                        </a:xfrm>
                        <a:prstGeom prst="rect">
                          <a:avLst/>
                        </a:prstGeom>
                        <a:ln w="0">
                          <a:noFill/>
                        </a:ln>
                      </pic:spPr>
                    </pic:pic>
                  </a:graphicData>
                </a:graphic>
              </wp:inline>
            </w:drawing>
          </mc:Choice>
          <mc:Fallback>
            <w:pict>
              <v:shape id="shape_0" stroked="f" o:allowincell="f" style="position:absolute;margin-left:0pt;margin-top:-462.05pt;width:419.95pt;height:461.95pt;mso-wrap-style:none;v-text-anchor:middle;mso-position-horizontal:left;mso-position-vertical:top" type="_x0000_t75">
                <v:imagedata r:id="rId62" o:detectmouseclick="t"/>
                <v:stroke color="#3465a4" joinstyle="round" endcap="flat"/>
                <w10:wrap type="none"/>
              </v:shape>
            </w:pict>
          </mc:Fallback>
        </mc:AlternateContent>
      </w:r>
      <w:bookmarkStart w:id="75" w:name="pg14784_160635"/>
    </w:p>
    <w:p>
      <w:pPr>
        <w:pStyle w:val="Heading2"/>
        <w:numPr>
          <w:ilvl w:val="1"/>
          <w:numId w:val="1"/>
        </w:numPr>
        <w:rPr/>
      </w:pPr>
      <w:bookmarkStart w:id="76" w:name="__RefHeading___Toc1748828_730472459"/>
      <w:bookmarkStart w:id="77" w:name="_Toc29"/>
      <w:bookmarkEnd w:id="75"/>
      <w:bookmarkEnd w:id="76"/>
      <w:r>
        <w:rPr>
          <w:rtl w:val="true"/>
        </w:rPr>
        <w:t>مقاله‌ي مورد نقد</w:t>
      </w:r>
      <w:r>
        <w:rPr>
          <w:rtl w:val="true"/>
        </w:rPr>
        <w:t xml:space="preserve">: </w:t>
      </w:r>
      <w:r>
        <w:rPr>
          <w:rtl w:val="true"/>
        </w:rPr>
        <w:t>ليبراليسم با اسلام منافاتي ندارد</w:t>
      </w:r>
      <w:bookmarkEnd w:id="77"/>
    </w:p>
    <w:p>
      <w:pPr>
        <w:pStyle w:val="Heading3"/>
        <w:numPr>
          <w:ilvl w:val="2"/>
          <w:numId w:val="1"/>
        </w:numPr>
        <w:rPr/>
      </w:pPr>
      <w:bookmarkStart w:id="78" w:name="__RefHeading___Toc1748830_730472459"/>
      <w:bookmarkStart w:id="79" w:name="_Toc30"/>
      <w:bookmarkEnd w:id="78"/>
      <w:r>
        <w:rPr>
          <w:rtl w:val="true"/>
        </w:rPr>
        <w:t>اشاره</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ليبراليسم با اسلام منافاتي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0" w:name="__RefHeading___Toc1748832_730472459"/>
      <w:bookmarkStart w:id="81" w:name="_Toc31"/>
      <w:bookmarkEnd w:id="80"/>
      <w:r>
        <w:rPr>
          <w:rtl w:val="true"/>
        </w:rPr>
        <w:t>چكيده</w:t>
      </w:r>
      <w:r>
        <w:rPr>
          <w:rtl w:val="true"/>
        </w:rPr>
        <w:t>:</w:t>
      </w:r>
      <w:bookmarkEnd w:id="81"/>
    </w:p>
    <w:p>
      <w:pPr>
        <w:pStyle w:val="BookText"/>
        <w:rPr/>
      </w:pPr>
      <w:r>
        <w:rPr>
          <w:rFonts w:ascii="IRNazanin" w:hAnsi="IRNazanin" w:eastAsia="IRNazanin"/>
          <w:color w:val="111111"/>
          <w:sz w:val="28"/>
          <w:sz w:val="28"/>
          <w:szCs w:val="28"/>
          <w:rtl w:val="true"/>
          <w:lang w:bidi="fa-IR"/>
        </w:rPr>
        <w:t xml:space="preserve">در اين مطلب پس از ذكر برخي پيامدهاي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آثار نيك آزادي بر شمرده شده و سپس عنوان شده است كه اسلام آزادي انديشه، بيان و عقيده را تجويز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گفته شده نمي‌توان ليبراليسم را به آن دليل كه از غرب آمده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آن كه اگر تلقي ما از ليبراليسم، بي‌بندوباري باشد به اسلام ناب آسيب رسانده‌ايم،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ليبراليسم به معناي آزادي بيان عقايد، حق انتفاد، به وجود آوردن نهادهاي مدني و احزاب و مطبوعات آزاد، با اسلام مغايرتي ندارد</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748834_730472459"/>
      <w:bookmarkStart w:id="83" w:name="_Toc32"/>
      <w:bookmarkEnd w:id="82"/>
      <w:r>
        <w:rPr>
          <w:rtl w:val="true"/>
        </w:rPr>
        <w:t>چالش هاي نظري بين اسلام و ليبراليسم</w:t>
      </w:r>
      <w:bookmarkEnd w:id="83"/>
    </w:p>
    <w:p>
      <w:pPr>
        <w:pStyle w:val="BookText"/>
        <w:rPr/>
      </w:pPr>
      <w:r>
        <w:rPr>
          <w:rFonts w:ascii="IRNazanin" w:hAnsi="IRNazanin" w:eastAsia="IRNazanin"/>
          <w:color w:val="111111"/>
          <w:sz w:val="28"/>
          <w:sz w:val="28"/>
          <w:szCs w:val="28"/>
          <w:rtl w:val="true"/>
          <w:lang w:bidi="fa-IR"/>
        </w:rPr>
        <w:t>ليبراليسم پديده‌اي متعلق به جهان غرب و جهان نو بوده است و در خلال قرنهاي پانزدهم و شانزدهم در اروپاي غربي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ليبراليسم يك نظريه‌ي سياسي، مكتب فكري و ايدئولوژي سياسي است كه نگرش خاصي به زندگي انسان دارد و بر ارزشهايي همچون آزادي، برابري، قانون‌گرايي، عقل‌گرايي، تساهل و تسامح تأكيد مي‌كند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مي‌دانيد در اسلام نيز اين ارزشها به نحوي مورد توجه قرار گرفته است، اين همگوني ظاهري موجب شده است كه </w:t>
      </w:r>
    </w:p>
    <w:p>
      <w:pPr>
        <w:pStyle w:val="BookText"/>
        <w:rPr/>
      </w:pPr>
      <w:r>
        <w:rPr>
          <w:rFonts w:ascii="Amiri" w:hAnsi="Amiri" w:eastAsia="Amiri" w:cs="Amiri"/>
          <w:color w:val="111111"/>
          <w:sz w:val="28"/>
          <w:sz w:val="28"/>
          <w:szCs w:val="28"/>
          <w:rtl w:val="true"/>
          <w:lang w:bidi="ar-SA"/>
        </w:rPr>
        <w:t xml:space="preserve">برخي توهم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ليبراليسم با اسلام مغايرتي ندارد</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ولي مطالعه‌ي نظام فكري ليبراليسم و مباني آن روشن مي‌كند كه بين اسلام و ليبراليسم فاصله‌هاي عميقي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مباني حفظ شود نه تنها ليبراليسم و اسلام به هم نمي‌رسند، بلكه همواره در چالش و تعارض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نوشته به صورت بسيار فشرده، مواردي از چالش بين اسلام و ليبراليسم را بيان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مورد چالش اسلام و ليبراليسم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آزادي يك ارزش انساني است، همگان اتفاق نظر دارند؛ اما سخن در اين است كه آيا آزادي داراي ارزش مطلق است يا نسبي؟ يكي از مهم‌ترين ويژگي‌هاي انديشه ليبرال، اعتقاد به ارزش آزادي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ارزشي است كه فوق همه‌ي ارزشها است و هيچ ارزشي نمي‌تواند با آن برابري كند و يا آن را مخدوش و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صورتي مي‌توان آزادي را محدود كرد كه آزادي ديگران در خطر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ليبرالها اعتقاد عميق دارند كه همه عقائد حتي عقائد باطل و گمراه كننده بايد در بيان آزاد باشد و هيچ مرزي حتي دين نمي‌تواند آن را محدود نمايد</w:t>
      </w:r>
      <w:r>
        <w:rPr>
          <w:rFonts w:eastAsia="IRNazanin" w:cs="IRNazanin"/>
          <w:color w:val="111111"/>
          <w:sz w:val="28"/>
          <w:szCs w:val="28"/>
          <w:rtl w:val="true"/>
          <w:lang w:bidi="fa-IR"/>
        </w:rPr>
        <w:t>.</w:t>
      </w:r>
      <w:r>
        <w:rPr>
          <w:rStyle w:val="FootnoteAnchor"/>
          <w:rtl w:val="true"/>
        </w:rPr>
        <w:footnoteReference w:id="7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انديشه‌ي ديني در عين اين‌كه آزادي را يك ارزش بزرگ انساني تلقي مي‌كند، به هيچ وجه آن را فوق همه‌ي ارزشها،قرار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آزادي در اسلام مصالح مادي و معنوي افراد و اجتماع است؛ يعني همچنان‌كه نمي‌توان </w:t>
      </w:r>
    </w:p>
    <w:p>
      <w:pPr>
        <w:pStyle w:val="BookText"/>
        <w:rPr/>
      </w:pPr>
      <w:r>
        <w:rPr>
          <w:rFonts w:ascii="IRNazanin" w:hAnsi="IRNazanin" w:eastAsia="IRNazanin"/>
          <w:color w:val="111111"/>
          <w:sz w:val="28"/>
          <w:sz w:val="28"/>
          <w:szCs w:val="28"/>
          <w:rtl w:val="true"/>
          <w:lang w:bidi="fa-IR"/>
        </w:rPr>
        <w:t>آزادي اجتماعي و منافع مادي اجتماع را به خطر انداخت، نمي‌توان به معنويت اجتماع نيز لطمه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آزاد نيستند كه هر عمل اجتماعي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اسلام و بانگ قرآن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دوست دارند زشتيها در ميان مردم با ايمان شيوع يابد،عذاب دردناكي براي آن‌ها در دنيا و آخرت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نه تنها نمي‌توان گناهكاري و زشتي‌ها را در ميان اجتماع شيوع بخشيد، بلكه براي دوستداران گسترش زشتي‌ها و پليدي‌ها نيز عذابي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جنسي بين زن و مرد حريم دارد و هرگونه مراوده و معاشرتي آزاد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بيان نيز حدود و مرزهايي دارد، مثلاً ترويج كتب ضالّه و افكار الحادي ممنوع است، انكار ضروريات دين باعث ارتداد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ليبراليستي، خودكشي و خودسوزي، چون تجاوز به آزادي و حقوق ديگران نيست، ممنوعيت قانوني ندارد، ولي اسلام خودكشي و اقدام به آن را نيز جرم مي‌داند و ممنوع كرده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ليبراليسم به انسان يك نگاه اومانيستي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و كيفيتي از تفكر است كه بر اساس منافع بشري و كمال مطلوب به جاي اصول مذهبي و الهيات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نگرش انسان محور و مدار همه چيز و خالق همه ارزشها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مدار و محور همه‌ي ارزشها تلقي مي‌كند و اگر به انسان حق تعيين سرنوشت مي‌دهد، در محدوده‌اي است كه خداوند تعيين و مشخص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ليبراليسم اول انسان را به جاي خدا مي‌نشاند و آنگاه وي را به گونه‌اي تعريف مي‌كند كه كاملاً مادي‌گرايانه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ليبرال انسان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وقتي از حقوق انسان سخن مي‌گويد، منظور فقط حقوق طبيعي يعني حيات، آزادي و مالكيت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ديويد هيوم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بنيانگذاران مكتب ليبراليسم به صراحت اظهار مي‌دارد كه انسان چيزي نيست جز مجموعه‌اي از غرائز و اميال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حتي اين بحث را مطرح مي‌كند كه عقل آدمي مهيمن بر اميال و غرائز او نيست، بلكه صرفاً ابزاري است كه در جهت يافتن راههايي براي نيل به اميال تلاش مي‌كند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اين طرز نگرش به انسان باعث مي‌شود كه از يك سو ابعاد روحي و معنوي انسان به فراموشي سپرده شده، مباحث مربوط به روح آدمي و معنويت جايگاه خود را از دست بدهد، از سوي ديگر وجدان، خرد و عقل آدمي جاي دين و قوانين ديني را در زندگي اجتماعي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ليبراليسم در زندگي اجتماعي، تمشيت امور و تنظيم روابط اجتماع اعتنايي به دين و بعد معنوي زندگي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ليبرالها، نيل به آزادي كامل، مستلزم دنيوي يا غيرديني ساختن زندگي عمومي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عقل و خواست اجتماع را راهنما و هدايتگر خود مي‌دانند و نه وحي و دين را و بدين ترتيب ليبراليسم همسويي كامل با سكولاريزم دارد نه اسلام، اسلام اولاً انسان را يك موجود دو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 و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مي‌داند كه سير الي </w:t>
      </w:r>
    </w:p>
    <w:p>
      <w:pPr>
        <w:pStyle w:val="BookText"/>
        <w:rPr/>
      </w:pPr>
      <w:r>
        <w:rPr>
          <w:rFonts w:ascii="IRNazanin" w:hAnsi="IRNazanin" w:eastAsia="IRNazanin"/>
          <w:color w:val="111111"/>
          <w:sz w:val="28"/>
          <w:sz w:val="28"/>
          <w:szCs w:val="28"/>
          <w:rtl w:val="true"/>
          <w:lang w:bidi="fa-IR"/>
        </w:rPr>
        <w:t>الله دارد و لذا در عين تشويق به توسعه بعد مادي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او را در تقوي و رشد بعد معنوي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ضمن احترام به عقل به عنوان يكي از منابع شناخت احكام الهي، معيار اصلي را خواست و اراده‌ي خداوند تلقي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مطابق با حكم خدا، حكم نكنند از ظالمين‌اند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بر اين اساس بين اسلام و ليبراليسم تعارض‌هاي جدي رخ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رهيافت ليبراليسم، قانوني بر جامعه حكومت مي‌كند كه از خواست مردم برخاسته باشد و هيچ كس حتي خداوند حق دخالت در آن عرصه را ندارد، در حالي كه در گرايش اسلام معيار قانون خدا است و ما بايدها و نبايدهايمان را از خداوند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احياناً تعارضي بين خواست خدا و مردم بود، خواست خدا را مقدم مي‌كنيم؟</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محدود يا حداقل، از مهم‌ترين عناصر آموزه‌ي ليبراليسم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ليبرال دولتي است كه مسئوليتهاي آن به طور چشمگيري اندك بوده، فقط از چارچوبهاي كلي حيات اجتماعي دفاع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دولت حق ندارد به هيچ بهانه‌اي ولو ديني، محدوديتهايي را براي جامعه ببار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انديشه‌ي ديني، دولت علاوه بر اين‌كه بايد نظم و امنيت و رفاه بياورد، بايد فضيلت گسترهم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حافظ جان، مال و ناموس شهروندان است، پاسدار حريم فضيلت‌هاي اخلاقي و الهي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بايد مراقبت كند، </w:t>
      </w:r>
    </w:p>
    <w:p>
      <w:pPr>
        <w:pStyle w:val="BookText"/>
        <w:rPr/>
      </w:pPr>
      <w:r>
        <w:rPr>
          <w:rFonts w:ascii="IRNazanin" w:hAnsi="IRNazanin" w:eastAsia="IRNazanin"/>
          <w:color w:val="111111"/>
          <w:sz w:val="28"/>
          <w:sz w:val="28"/>
          <w:szCs w:val="28"/>
          <w:rtl w:val="true"/>
          <w:lang w:bidi="fa-IR"/>
        </w:rPr>
        <w:t xml:space="preserve">حدود الهي مورد خدشه قرار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حُدُودُ اللَّهِ فَلا تَعْتَدُوها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اين احكام حدود دين است، از آن سركشي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است كه شراب خواري، قوّادي و روزه‌خواري آشكار در ماه رمضان موجب حد و تعزير توسط حاكم شرع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تساهل و تسامح جزء ارزشهاي انعطاف‌ناپذير ليبراليسم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مذهب و گرايش مذهبي رابطه‌اي بين فرد و خداي اوست و او در زمينه‌ي انتخاب مذهب و يا عدم انتخاب هرگونه مذهبي و ديني و عمل به هر گونه حكم و دستورالعمل آن كاملاً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حاليكه ما متعقديم اسلام كفر والحاد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تكويناً در انتخاب دين و حتي بي‌ديني آزاد است و در اين مقام هيچگونه اجبار و الزامي در كار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تشريعاً جز اسلام از او پذيرفته نيست و جز يك انتخاب ندارد و آن اسلام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همين شكل انجام اعمالي كه ضداخلاقي شمرده مي‌شود،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اقليت‌هاي مذهبي هر چند فعاليت‌شان در محدوده‌ي خاصي مجاز مي‌باشد ولي نمي توانند در جامعه‌ي اسلامي اقتدار سياسي را بدست بگيرند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 و ترويج عقايد انحرافي ممنوع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بين اسلام و ليبراليسم معارضه‌اي آشتي ناپذير وجود دارد و نمي‌توانيم بين اين دو مكتب، يگانگي ايجاد كنيم، مگر اين‌كه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ليبراليسم از مباني خود فاصله بگيرد و در رابطه با شعارهايي كه مطرح مي‌كند از قبيل آزادي، قانون‌گرايي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اسلام هماهنگ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چنين پيش فرضي حتي مي‌توان بين اسلام و كمونيسم كه از عدالت و برابري سخن مي‌گويد، نيز آشتي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صورت ليبراليسم و كمونيسم ديگر آن مكتبي نخواهند بود كه بنيانگذاران آن‌ها مطرح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627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1"/>
                        <a:stretch/>
                      </pic:blipFill>
                      <pic:spPr>
                        <a:xfrm>
                          <a:off x="0" y="0"/>
                          <a:ext cx="5334120" cy="6362640"/>
                        </a:xfrm>
                        <a:prstGeom prst="rect">
                          <a:avLst/>
                        </a:prstGeom>
                        <a:ln w="0">
                          <a:noFill/>
                        </a:ln>
                      </pic:spPr>
                    </pic:pic>
                  </a:graphicData>
                </a:graphic>
              </wp:inline>
            </w:drawing>
          </mc:Choice>
          <mc:Fallback>
            <w:pict>
              <v:shape id="shape_0" stroked="f" o:allowincell="f" style="position:absolute;margin-left:0pt;margin-top:-501.05pt;width:419.95pt;height:500.95pt;mso-wrap-style:none;v-text-anchor:middle;mso-position-horizontal:left;mso-position-vertical:top" type="_x0000_t75">
                <v:imagedata r:id="rId72" o:detectmouseclick="t"/>
                <v:stroke color="#3465a4" joinstyle="round" endcap="flat"/>
                <w10:wrap type="none"/>
              </v:shape>
            </w:pict>
          </mc:Fallback>
        </mc:AlternateContent>
      </w:r>
      <w:bookmarkStart w:id="84" w:name="pg14784_160643"/>
    </w:p>
    <w:p>
      <w:pPr>
        <w:pStyle w:val="Heading2"/>
        <w:numPr>
          <w:ilvl w:val="1"/>
          <w:numId w:val="1"/>
        </w:numPr>
        <w:rPr/>
      </w:pPr>
      <w:bookmarkStart w:id="85" w:name="__RefHeading___Toc1748836_730472459"/>
      <w:bookmarkStart w:id="86" w:name="_Toc33"/>
      <w:bookmarkEnd w:id="84"/>
      <w:bookmarkEnd w:id="85"/>
      <w:r>
        <w:rPr>
          <w:rtl w:val="true"/>
        </w:rPr>
        <w:t>مقاله‌ي مورد نقد</w:t>
      </w:r>
      <w:r>
        <w:rPr>
          <w:rtl w:val="true"/>
        </w:rPr>
        <w:t xml:space="preserve">: </w:t>
      </w:r>
      <w:r>
        <w:rPr>
          <w:rtl w:val="true"/>
        </w:rPr>
        <w:t>جهاني شدن و حاكميت ملي</w:t>
      </w:r>
      <w:bookmarkEnd w:id="86"/>
    </w:p>
    <w:p>
      <w:pPr>
        <w:pStyle w:val="Heading3"/>
        <w:numPr>
          <w:ilvl w:val="2"/>
          <w:numId w:val="1"/>
        </w:numPr>
        <w:rPr/>
      </w:pPr>
      <w:bookmarkStart w:id="87" w:name="__RefHeading___Toc1748838_730472459"/>
      <w:bookmarkStart w:id="88" w:name="_Toc34"/>
      <w:bookmarkEnd w:id="87"/>
      <w:r>
        <w:rPr>
          <w:rtl w:val="true"/>
        </w:rPr>
        <w:t>اشاره</w:t>
      </w:r>
      <w:bookmarkEnd w:id="88"/>
    </w:p>
    <w:p>
      <w:pPr>
        <w:pStyle w:val="BookText"/>
        <w:rPr/>
      </w:pPr>
      <w:r>
        <w:rPr>
          <w:rFonts w:ascii="Amiri" w:hAnsi="Amiri" w:eastAsia="Amiri" w:cs="Amiri"/>
          <w:color w:val="111111"/>
          <w:sz w:val="28"/>
          <w:sz w:val="28"/>
          <w:szCs w:val="28"/>
          <w:rtl w:val="true"/>
          <w:lang w:bidi="ar-SA"/>
        </w:rPr>
        <w:t>جهاني شدن و حاكميت ملي</w:t>
      </w:r>
      <w:r>
        <w:rPr>
          <w:rStyle w:val="FootnoteAnchor"/>
          <w:rtl w:val="true"/>
        </w:rPr>
        <w:footnoteReference w:id="89"/>
      </w:r>
    </w:p>
    <w:p>
      <w:pPr>
        <w:pStyle w:val="Heading3"/>
        <w:numPr>
          <w:ilvl w:val="2"/>
          <w:numId w:val="1"/>
        </w:numPr>
        <w:rPr/>
      </w:pPr>
      <w:bookmarkStart w:id="89" w:name="__RefHeading___Toc1748840_730472459"/>
      <w:bookmarkStart w:id="90" w:name="_Toc35"/>
      <w:bookmarkEnd w:id="89"/>
      <w:r>
        <w:rPr>
          <w:rtl w:val="true"/>
        </w:rPr>
        <w:t>چكيده</w:t>
      </w:r>
      <w:r>
        <w:rPr>
          <w:rtl w:val="true"/>
        </w:rPr>
        <w:t>:</w:t>
      </w:r>
      <w:bookmarkEnd w:id="90"/>
    </w:p>
    <w:p>
      <w:pPr>
        <w:pStyle w:val="BookText"/>
        <w:rPr/>
      </w:pPr>
      <w:r>
        <w:rPr>
          <w:rFonts w:ascii="IRNazanin" w:hAnsi="IRNazanin" w:eastAsia="IRNazanin"/>
          <w:color w:val="111111"/>
          <w:sz w:val="28"/>
          <w:sz w:val="28"/>
          <w:szCs w:val="28"/>
          <w:rtl w:val="true"/>
          <w:lang w:bidi="fa-IR"/>
        </w:rPr>
        <w:t>در بررسي رابطه‌ي جهاني شدن با چهار حوزه‌ي فني، اقتصادي، سياسي و فرهنگي اوّلاً بر ضرورت جهاني شدن در راستاي جلوگيري از خودسريهاي دولت‌هاي محلي، تأمين صلح و تضمين حقوق بشر تأكيد و تمدن جديد را عقلاني و دوران قديم را دوران فريب، دروغ، توهم و خيال‌پردازي و جهل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نگرشي خوش‌بينانه سعي در پاك كردن وجهه‌ي جهاني شدن از نسبت با امپرياليسم، 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91" w:name="__RefHeading___Toc1748842_730472459"/>
      <w:bookmarkStart w:id="92" w:name="_Toc36"/>
      <w:bookmarkEnd w:id="91"/>
      <w:r>
        <w:rPr>
          <w:rtl w:val="true"/>
        </w:rPr>
        <w:t>جهاني شدن نقدي بر نگرش خوش‌بينانه‌ي افراطي</w:t>
      </w:r>
      <w:bookmarkEnd w:id="92"/>
    </w:p>
    <w:p>
      <w:pPr>
        <w:pStyle w:val="BookText"/>
        <w:rPr/>
      </w:pPr>
      <w:r>
        <w:rPr>
          <w:rFonts w:ascii="IRNazanin" w:hAnsi="IRNazanin" w:eastAsia="IRNazanin"/>
          <w:color w:val="111111"/>
          <w:sz w:val="28"/>
          <w:sz w:val="28"/>
          <w:szCs w:val="28"/>
          <w:rtl w:val="true"/>
          <w:lang w:bidi="fa-IR"/>
        </w:rPr>
        <w:t xml:space="preserve">آنچه به طور بسيار گذرا و كوتاه در زير مي‌خوانيد ناظر به برخي از فرازهاي سخنراني آقاي حسين بشيريه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جهاني شدن و حاكميت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نشريه‌ي آبان شماره‌ي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نيمه‌ي دوّم شهريور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در بررسي رابطه‌ي جهاني شدن با حاكميت ملي ابعادي از جهاني شدن را مورد نگرش قرار داده، كه از جهاتي محتاج نقد و بررسي هر چند بسيار گذرا و مختصر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نويسنده‌ي محترم مقاله‌ي خويش را با كلامي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اسپينوزا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كرده‌اند كه توجّه در مفاد آن بيانگر آن است كه در جهان كنوني از ديدگاه اسپينوزا حتي دولت‌هايي كه سردمدار آزادي‌اند، از اين گردونه خارج‌اند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دولت آزاد هر كس مي‌تواند درباره‌ي هر چه مي‌خواهد بيانديشد و هر چه را كه در انديشه دارد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اساسي اين است كه </w:t>
      </w:r>
    </w:p>
    <w:p>
      <w:pPr>
        <w:pStyle w:val="BookText"/>
        <w:rPr/>
      </w:pPr>
      <w:r>
        <w:rPr>
          <w:rFonts w:ascii="IRNazanin" w:hAnsi="IRNazanin" w:eastAsia="IRNazanin"/>
          <w:color w:val="111111"/>
          <w:sz w:val="28"/>
          <w:sz w:val="28"/>
          <w:szCs w:val="28"/>
          <w:rtl w:val="true"/>
          <w:lang w:bidi="fa-IR"/>
        </w:rPr>
        <w:t>آيا دولت آزاد به اين معنا امكان تحقق داشته يا دارد؟ واقع اين است كه حتي يك نظام سياسي كه در آن بيان هر انديشه‌اي آزاد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حداقل محدوديت براي آزادي در جوامع دموكراتيك فردي، مزاحمت براي منافع و حقوق ديگران است؛ خصوصاً كه در جامعه‌ي فرانسه يعني مهد آزادي ذهنيت جامعه‌ي جهاني، افرادي نظير روژه گارودي را سراغ دارد كه جز ترويج انديشه، جرمي نداشت؛ گذشته از اين كه چنين آزادي چه مبناي عقلاني دارد و آيا در مسير تكامل انسان چه تأثيري جز پيامدهاي سوء جوامع ليبرال دموكراسي داشته است؟ در همين راستا قانون اساسي آزادي توأم با مسئوليت انسان را به رسميت مي‌شناسد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اساسي، اصل دوّم بند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در تبيين مفهوم جهاني شدن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توده‌اي از اقتدار كه در سطح جهاني و بين‌المللي در حال تشكيل است كه خواه ناخواه به اقتدار سنتي دولت‌هاي محلي آسيب مي‌رساند در عين حال اين اقتدار در سطح جهاني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بستري از ملاحظات عقلاني و عمومي تكوين يافته كه معطوف به تأمين صلح، تضمين حقوق بشر و جلوگيري از خودسري‌هاي دولت‌هاي محلي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گفته در آسيب ديدگي اجباري و قهري اقتدار سنتي دولت‌هاي محلي از فرايند جهاني شدن، به ميزان توانمندي فرهنگ‌هاي محلي و تفاوت‌هاي موجود در اين زمينه و خاصيّت استحكام و نفوذ ناپذيري برخي از فرهنگ‌ها و سنّت‌ها اشاره‌اي نشده و ناديده انگاشته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از ديدگاه ما ميزان قوت، پايداري و اقتدار سنتي دولت‌هاي محلي در يك سطح نبوده، قياس هر يك با سايرين احتمالاً قياس مع‌الفارق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حكم كلّي در اين باره و چشم‌پوشي از مكاتب نيرومندي كه امكان مقابله و دفاع در برابر تهاجم فرهنگي دارند، از صبغه‌ي علمي خارج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 در تعريف و تبيين جهاني شدن، بايسته‌هاي ارزشي آن گنجانيده شده كه خلط بين بايدها و هست‌ها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جهاني شدن در مفهوم و تحقق عيني خود نسبت به مقولات ارزشي در نقطه‌ي تساوي قرار دارد بطوري كه مي‌تواند عقلاني تحقق يابد، مي‌تواند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معطوف به سير تأمين صلح باشد، و شايد نباشد و نيز ممكن است در راستاي تضمين حقوق بشر باشد و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كه روند جهاني شدن بيش از آن‌كه همراه با جلوگيري از خودسري‌هاي دولت‌هاي محلي باشد، در راستاي خودسري‌هاي مدعيان سردمداري دهكده‌ي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بيش از مدعاي فوق اثبات شدني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نويسنده در بخشي از مقاله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جهاني شدن را نمي‌توان ساده‌لوحانه در مفهوم قديمي امپرياليسم خلاصه كرد كه ظاهراً بر بستري از ملاحظات نفع طلبانه و سلطه جويانه استوار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خوش بينانه افراطي به مفهوم جهاني شدن، ساده‌لوحانه مي‌نمايد و حاكي از تعمد بر گريز از واقعيات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استعمار نوين و ماهيت استكباري در روابط بين‌الملل و ملاحظات نفع طلبانه و سلطه‌جويانه محصول تفكر تسامح گرايانه است كه با نگاه ارزشي به مسائل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در برهه‌ي كنوني فرايندي است كه به دنبال تسهيل استقرار نظام موسوم به دهكده‌ي جهاني است كه آمريكا كدخداي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دهكده، قانون، عدالت، منشور ملل متحد، قوانين بين‌المللي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ابزارهايي براي تحكيم استقرار حاكميت امريكا بر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بايد از حادثه‌ي نيويورك و واشنگتن ياد كرد كه به دنبال خود يك ليست طولاني از اعمال خلاف قانون و عدالت كشورهاي غربي به رهبري امريكا را به دنبال داشته و </w:t>
      </w:r>
    </w:p>
    <w:p>
      <w:pPr>
        <w:pStyle w:val="BookText"/>
        <w:rPr/>
      </w:pPr>
      <w:r>
        <w:rPr>
          <w:rFonts w:ascii="IRNazanin" w:hAnsi="IRNazanin" w:eastAsia="IRNazanin"/>
          <w:color w:val="111111"/>
          <w:sz w:val="28"/>
          <w:sz w:val="28"/>
          <w:szCs w:val="28"/>
          <w:rtl w:val="true"/>
          <w:lang w:bidi="fa-IR"/>
        </w:rPr>
        <w:t xml:space="preserve">خواهد داشت كه اولين نمونه‌ي آن حمله‌ي امريكا به افغانستان به بهانه‌ي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تروريسم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محاسبه اساساً امريكا يعني جهان و جهان براي امريكا است و منطق امريكا بايد منطق جهاني تلقّي گشته، همه به دنبال منافع اين كشور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به دنبال بروز جنگ جهاني اوّل و دوّم مشروعيت جنگ به حداقل موارد تقليل يافته كه مي‌توان به موارد فصل هفتم منشور ملل متحد به عنوان مبناي آن اشاره كرد به طوري كه اساساً جنگ تنها در مورد دفاع مشروع براي دولت‌ها مجاز شمرده شده و شوراي امنيت نيز تنها در قالب فصل هفتم مجاز به راه انداختن لشكركشي براي مقابله با تهديد يا نقض صلح و امنيت بين‌الملل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سردمدار شعار 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 نقض منشور و زيرپا گذاشتن آن به حساب مي‌آيد و از آنجا كه منطق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مشروعيت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صريحاً اعلام مي‌كند كه اساساً نيازي به قطعنامه‌هاي شوراي امنيت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پيداست كه آيا ايجاد رابطه بين جهاني شدن و امپرياليسم از سر ساده‌لوحي است؟ يا انكار و نفي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نويسنده پيام خويش را در اين نوشتار مبتني بر اين پيش‌فرض دانسته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جديد به تكوين عقلي جهاني انجاميده است كه مبتني بر ملاحظات اخلاقي و انسان دوستانه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اين عقل جهاني، تمدن عقل پايه‌ي مدرن واحدي در سطح جهان در حال شكل‌گيري است كه مباني فكري و فرهنگي آن با تمدن‌هاي محلّي پيشين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هم رفته دوران قديم، دوران دروغ و فريب، توهم و خيال پردازي، بي‌سرپرستي انسان و جهل و ناداني و تبعيض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واقعاً معلوم نيست نويسنده‌ي محترم در خلأ، اين مطالب بر ايشان ثابت شده است يا در محيط جهاني ملموس و عيني كه ما و ايشان شاهديم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p>
    <w:p>
      <w:pPr>
        <w:pStyle w:val="BookText"/>
        <w:rPr/>
      </w:pPr>
      <w:r>
        <w:rPr>
          <w:rFonts w:ascii="IRNazanin" w:hAnsi="IRNazanin" w:eastAsia="IRNazanin"/>
          <w:color w:val="111111"/>
          <w:sz w:val="28"/>
          <w:sz w:val="28"/>
          <w:szCs w:val="28"/>
          <w:rtl w:val="true"/>
          <w:lang w:bidi="fa-IR"/>
        </w:rPr>
        <w:t>راستي جهاني كه برخي متفكران بر آن نام جاهليت نهادند، عقلاني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عقلانيت چيست؟ بهينه سازي بهره‌وري از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جز بهينه سازي بهره‌وري از طبيعت كدام دستاورد را عرضه كرده است؟ آيا نشانه‌ي عقلانيت نوين همان تبعيد خدا از سطح زندگي به انزواي كليسا است؟ فقدان معنويت نشانه‌ي عقلانيت است؟ زرادخانه‌هاي اتمي امريكا و اسرائيل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تهديدي جدّي براي بشريت معاصرند پيام عقلانيت مي‌آورند؟ عملكرد ناعادلانه‌ي شوراي امنيت در طول عمر خود، در برخورد با تهديد كنندگان و ناقضان صلح و امنيت بين‌الملل، سوء استفاده از عناوين حقوق بشر آزادي، دموكراسي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عليه كشورهاي ضعيف وجود حق وتو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پيامدهاي تمدني هستند كه نويسنده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جهاني عقل پايه‌ي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فوق كه تعجب نويسنده را برانگيخت سخن از بي‌سرپرستي انسان در عصري است كه اساساً قيموميت و سرپرستي به شديدترين وجهي مورد تهاجم است و در شأن انسان قلمداد نمي‌شود كه سرپرست داشته باشد جاي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انسان در جهان مدرن كيست؟ سازمان ملل كه در برابر چشمان او هر روز بيگناهان فلسطيني به دست دژخيمان صهيونيستي به شهادت مي‌رسند و عكس‌العمل مؤثري نداشته است؟ كميسيون حقوق بشر كه آلت دست قدرتمنداني است كه در پي سوء استفاده از عنوان حقوق بشر عليه كشورهاي جهان سومي هستند و براي آن‌ها از كاه كوه مي‌سازند و كوههاي نقض حقوق بشر از سوي قدرت‌هاي بزرگ را كاه مي‌بينند؟ اگر انسان جهان مدرن سرپرست دارد پس چرا آينده‌ي انسان معاصر اين قدر كور و تاريك است و بچه‌هاي فلسطيني براي دفاع از خود در برابر تانك و توپ و سلاح شيميايي به سنگ پناه مي‌برند؟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بازسازي سنّت، نويسنده معتقد است كه هر سنتي قابل بازسازي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سنّت‌هايي كه قائل به اين باشند كه گروه خاصي در جامعه انحصار، معرفت را در دست دارد و انحصار حق حكومت را در دست دارد، چگونه مي‌توانيم اينها را بازسازي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اشاره به اين نكته كافي است، كه اولاً قبل از پرداختن به بازسازي پذيري سنّت بايد به اين پرداخت كه آيا هر سنتي را بازسازي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بازسازي سنّت منوط به سنّت بودن نيست بلكه منوط به غير عقلاني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ظاهراً مراد نويسنده كه در مقايسه‌ي اسلام و مسيحيت در روند تجديد و نوسازي اين جملات را گفته، اشاره به نظام سياسي اسلام است كه در آن حدود و شرايط خاصي براي حاكمان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شرط تصدي حاكميت را نمي‌توان عضويت در گروه و صنف خاصي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سياسي اسلام شرايط خاصي را براي حاكمان مقرر داشته كه با رعايت آن‌ها خاصيت نفوذ ناپذيري را به اين نظام داده كه آن را از فروپاشي مصون مي‌دارد، و اين را بايد نقطه‌ي قوت اين نظام دانست كه ساير نظام‌هاي سياسي نيز مكانيزم‌هايي در اين خصوص دارند كه بعضاً اگر به مراتب سخت‌گيرانه‌تر از نظام سياسي اسلام نباشد در حدّ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صحبت از بازسازي سنّت‌هاي اين‌چنيني باشد مراد از آن چه مي‌تواند باشد؟ توقع اين‌كه يك نظام سياسي مكانيزمي براي حفظ خود نداشته باشد به هيچ وجه توقع قابل دفاعي نيست، هنگامي كه اين جمله را خواندم به ياد بازي فوتبالي افتادم كه تيم مقابل گله‌مند باشد كه چرا حركت‌هاي دفاعي تيم مقابل اجازه‌ي نفوذ به آن تيم را نمي‌دهد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بازسازي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زمينه‌اي معنايي جز قلب ماهيت نظام سياسي و تبديل آن به ضد آن را ندارد اينچنين بازسازي همان اصلاحي است كه قرآن به شدت آن را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افساد مي‌داند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نَحْنُ مُصْلِحُونَ أَلا إِنَّهُمْ هُمُ الْمُفْسِدُونَ</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كه بعيد مي‌دانم نويسنده‌ي محترم به چنين امري نظر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08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1"/>
                        <a:stretch/>
                      </pic:blipFill>
                      <pic:spPr>
                        <a:xfrm>
                          <a:off x="0" y="0"/>
                          <a:ext cx="5334120" cy="6108840"/>
                        </a:xfrm>
                        <a:prstGeom prst="rect">
                          <a:avLst/>
                        </a:prstGeom>
                        <a:ln w="0">
                          <a:noFill/>
                        </a:ln>
                      </pic:spPr>
                    </pic:pic>
                  </a:graphicData>
                </a:graphic>
              </wp:inline>
            </w:drawing>
          </mc:Choice>
          <mc:Fallback>
            <w:pict>
              <v:shape id="shape_0" stroked="f" o:allowincell="f" style="position:absolute;margin-left:0pt;margin-top:-481.05pt;width:419.95pt;height:480.95pt;mso-wrap-style:none;v-text-anchor:middle;mso-position-horizontal:left;mso-position-vertical:top" type="_x0000_t75">
                <v:imagedata r:id="rId82" o:detectmouseclick="t"/>
                <v:stroke color="#3465a4" joinstyle="round" endcap="flat"/>
                <w10:wrap type="none"/>
              </v:shape>
            </w:pict>
          </mc:Fallback>
        </mc:AlternateContent>
      </w:r>
      <w:bookmarkStart w:id="93" w:name="pg14784_160651"/>
    </w:p>
    <w:p>
      <w:pPr>
        <w:pStyle w:val="Heading2"/>
        <w:numPr>
          <w:ilvl w:val="1"/>
          <w:numId w:val="1"/>
        </w:numPr>
        <w:rPr/>
      </w:pPr>
      <w:bookmarkStart w:id="94" w:name="__RefHeading___Toc1748844_730472459"/>
      <w:bookmarkStart w:id="95" w:name="_Toc37"/>
      <w:bookmarkEnd w:id="93"/>
      <w:bookmarkEnd w:id="94"/>
      <w:r>
        <w:rPr>
          <w:rtl w:val="true"/>
        </w:rPr>
        <w:t>مقاله‌ي مورد نظر</w:t>
      </w:r>
      <w:r>
        <w:rPr>
          <w:rtl w:val="true"/>
        </w:rPr>
        <w:t xml:space="preserve">: </w:t>
      </w:r>
      <w:r>
        <w:rPr>
          <w:rtl w:val="true"/>
        </w:rPr>
        <w:t>فرداي بنيادگرايي</w:t>
      </w:r>
      <w:bookmarkEnd w:id="95"/>
    </w:p>
    <w:p>
      <w:pPr>
        <w:pStyle w:val="Heading3"/>
        <w:numPr>
          <w:ilvl w:val="2"/>
          <w:numId w:val="1"/>
        </w:numPr>
        <w:rPr/>
      </w:pPr>
      <w:bookmarkStart w:id="96" w:name="__RefHeading___Toc1748846_730472459"/>
      <w:bookmarkStart w:id="97" w:name="_Toc38"/>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فرداي بنيادگرايي</w:t>
      </w:r>
      <w:r>
        <w:rPr>
          <w:rStyle w:val="FootnoteAnchor"/>
          <w:rtl w:val="true"/>
        </w:rPr>
        <w:footnoteReference w:id="91"/>
      </w:r>
    </w:p>
    <w:p>
      <w:pPr>
        <w:pStyle w:val="Heading3"/>
        <w:numPr>
          <w:ilvl w:val="2"/>
          <w:numId w:val="1"/>
        </w:numPr>
        <w:rPr/>
      </w:pPr>
      <w:bookmarkStart w:id="98" w:name="__RefHeading___Toc1748848_730472459"/>
      <w:bookmarkStart w:id="99" w:name="_Toc39"/>
      <w:bookmarkEnd w:id="98"/>
      <w:r>
        <w:rPr>
          <w:rtl w:val="true"/>
        </w:rPr>
        <w:t>چكيده</w:t>
      </w:r>
      <w:r>
        <w:rPr>
          <w:rtl w:val="true"/>
        </w:rPr>
        <w:t>:</w:t>
      </w:r>
      <w:bookmarkEnd w:id="99"/>
    </w:p>
    <w:p>
      <w:pPr>
        <w:pStyle w:val="BookText"/>
        <w:rPr/>
      </w:pPr>
      <w:r>
        <w:rPr>
          <w:rFonts w:ascii="IRNazanin" w:hAnsi="IRNazanin" w:eastAsia="IRNazanin"/>
          <w:color w:val="111111"/>
          <w:sz w:val="28"/>
          <w:sz w:val="28"/>
          <w:szCs w:val="28"/>
          <w:rtl w:val="true"/>
          <w:lang w:bidi="fa-IR"/>
        </w:rPr>
        <w:t xml:space="preserve">نويسنده در بررسي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فرداي بنيادگرايي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بخش سخن رانده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رابطه‌ي اسلام و سياست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بخش با تأكيد بر جدايي دين از سياست، آينده را از آن گروه‌هاي اسلامي‌اي مي‌داند كه بر وجه قدسي و معنوي دين تأكيد كرده و از وجوه سياسي آن بكاهند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جمال و بنيادگرايي</w:t>
      </w:r>
    </w:p>
    <w:p>
      <w:pPr>
        <w:pStyle w:val="BookText"/>
        <w:rPr/>
      </w:pPr>
      <w:r>
        <w:rPr>
          <w:rFonts w:ascii="IRNazanin" w:hAnsi="IRNazanin" w:eastAsia="IRNazanin"/>
          <w:color w:val="111111"/>
          <w:sz w:val="28"/>
          <w:sz w:val="28"/>
          <w:szCs w:val="28"/>
          <w:rtl w:val="true"/>
          <w:lang w:bidi="fa-IR"/>
        </w:rPr>
        <w:t xml:space="preserve">در اين بخش در بررسي پيشينه‌ي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بنيادگرايي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جمال را آغازگر جريان بنيادگرايي در ايران معرفي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ريشه‌ي فكري انقلاب اسلامي</w:t>
      </w:r>
    </w:p>
    <w:p>
      <w:pPr>
        <w:pStyle w:val="BookText"/>
        <w:rPr/>
      </w:pPr>
      <w:r>
        <w:rPr>
          <w:rFonts w:ascii="IRNazanin" w:hAnsi="IRNazanin" w:eastAsia="IRNazanin"/>
          <w:color w:val="111111"/>
          <w:sz w:val="28"/>
          <w:sz w:val="28"/>
          <w:szCs w:val="28"/>
          <w:rtl w:val="true"/>
          <w:lang w:bidi="fa-IR"/>
        </w:rPr>
        <w:t>در اين بخش با پررنگ كردن نقش شريعتي ادعا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 روشنفكري بود كه با روشنگري كساني چون شريعتي به وقوع پيوست</w:t>
      </w:r>
      <w:r>
        <w:rPr>
          <w:rFonts w:eastAsia="IRNazanin" w:cs="IRNazanin"/>
          <w:color w:val="111111"/>
          <w:sz w:val="28"/>
          <w:szCs w:val="28"/>
          <w:rtl w:val="true"/>
          <w:lang w:bidi="fa-IR"/>
        </w:rPr>
        <w:t>.»</w:t>
      </w:r>
    </w:p>
    <w:p>
      <w:pPr>
        <w:pStyle w:val="Heading3"/>
        <w:numPr>
          <w:ilvl w:val="2"/>
          <w:numId w:val="1"/>
        </w:numPr>
        <w:rPr/>
      </w:pPr>
      <w:bookmarkStart w:id="100" w:name="__RefHeading___Toc1748850_730472459"/>
      <w:bookmarkStart w:id="101" w:name="_Toc40"/>
      <w:bookmarkEnd w:id="100"/>
      <w:r>
        <w:rPr>
          <w:rtl w:val="true"/>
        </w:rPr>
        <w:t>ناكامي در تحليل جنبش‌هاي اسلامي معاصر</w:t>
      </w:r>
      <w:bookmarkEnd w:id="10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چندي پيش بخش چهارم از گفت‌و‌گوي گروه فرهنگ و انديشه‌ي روزنامه‌ي ايران با دكتر حميد احمدي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جنبش‌هاي اسلامي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فرداي بنيادگرايي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كردم و با توجّه به چالش جدّي‌اي كه در دو حوزه‌ي اسلامي و تاريخي در آن به نظر رسيد، نسبت به آن‌ها ملاحظاتي مطرح مي‌گردد كه مطالب مورد نظر را در سه بخش و با توجّه به كلام ايشان به </w:t>
      </w:r>
    </w:p>
    <w:p>
      <w:pPr>
        <w:pStyle w:val="BookText"/>
        <w:rPr/>
      </w:pPr>
      <w:r>
        <w:rPr>
          <w:rFonts w:ascii="IRNazanin" w:hAnsi="IRNazanin" w:eastAsia="IRNazanin"/>
          <w:color w:val="111111"/>
          <w:sz w:val="28"/>
          <w:sz w:val="28"/>
          <w:szCs w:val="28"/>
          <w:rtl w:val="true"/>
          <w:lang w:bidi="fa-IR"/>
        </w:rPr>
        <w:t>عرض مي‌رسانم اگر چه ملاحظاتي ديگر نيز مطرح است كه از بيان آن‌ها صرف‌نظر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در بخشي از صحبت‌هايشان در مقام بيان كيفيت رويكرد جريانات مختلف اسلامي به سياست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عدّه‌اي نمي‌خواهند اسلام را سياسي و ابزار كسب و اعمال قدرت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واقع اوّلاً اسلام با سياست كاري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عدّه‌اي مي‌خواهند اسلام را سياسي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سياست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كسب و 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مي‌كنند و بعد در مقام تحليل كيفيّت رويكرد مسلمانان به اسلام و جايگاه اسلام در جهان اعلام نظر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چشم‌انداز آتي اسلام‌گرايي، عمدتاً تأكيد بر وجه قدسي و معنوي دين خواهد بود و از وجوه سياسي آن كاسته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ايران هم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اين نقش را مدتي است ايران شروع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كه نتيجه‌ي بديهي اين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جدائي دين از سياست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ايران و جهان اسلام و تقويت وجه فرديّت دين و تضعيف رويكرد اجتماعي و سياسي اسلام مي‌باشد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تبيين اشكال ديدگاه ايشان نسبت به سياست در اسلام و رويكرد مسلمانان به سياست اسلامي، لازم ديده شد اشاره‌اي به نظريّه‌ي اسلام در باب حكومت و سياست نموده و اين سؤال اساسي طرح شود كه آيا دين در صحنه‌ي سياست دخالت دارد و اگر دارد با چه رويكردي؛ سؤال مهمّي كه قرن‌ها در كشورها و جوامع گوناگون مطرح گشته و در كشور ما نيز، به </w:t>
      </w:r>
    </w:p>
    <w:p>
      <w:pPr>
        <w:pStyle w:val="BookText"/>
        <w:rPr/>
      </w:pPr>
      <w:r>
        <w:rPr>
          <w:rFonts w:ascii="IRNazanin" w:hAnsi="IRNazanin" w:eastAsia="IRNazanin"/>
          <w:color w:val="111111"/>
          <w:sz w:val="28"/>
          <w:sz w:val="28"/>
          <w:szCs w:val="28"/>
          <w:rtl w:val="true"/>
          <w:lang w:bidi="fa-IR"/>
        </w:rPr>
        <w:t>خصوص از زمان مشروطيت به اين سو، مطرح شده و در اطراف آن بحث‌هاي گوناگوني انجام گرفته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غربي، دين از جامعيّت برخوردار نيست و به گونه‌اي تعريف مي‌شود كه عرصه‌هاي مسائل اجتماعي و سياسي را در برنمي‌گيرد و دين تنها بيان‌گر رابطه‌ي انسان با خدا و ترسيم كننده‌ي رابطه‌ي شخصي و فردي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مسائل اجتماعي و سياسي و بين‌المللي و روابط بين دولت و مردم و دولت‌ها با يكديگر، از حوزه‌ي رابطه‌ي انسان با خداوند خارج است و در نتيجه بيگانه با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نگاه مسلمانان، دين از جامعيّت برخوردار است و همه‌ي مسائل فردي و اجتماعي انسان را در بر مي‌گيرد و شامل روابط انسان با خدا و انسان با انسان‌هاي ديگر و تمام عرصه‌هاي مسائل اجتماعي، سياسي و بين‌المللي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منظر اسلام خداوند حاكم بر جهان و انسان است، بنابراين عرصه‌ي سياست، اقتصاد، تعليم، تربيت، مديريّت و ساير مسائلي كه به زندگي انسان ارتباط دارد، زير مجموعه‌ي احكام و ارزش‌هاي دين است و از همين منظر است كه بايد به جنبش‌هاي اسلامي معاصر در جهان اسلام و ايران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ايران با توجّه به انقلاب اسلامي و بيانات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معروفي كه توسط مرحوم شهيد مدرس بر تارك انديشه‌ي سياسي ما نقش بست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ديانت ما عين سياست ماست و سياست ما عين ديانت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براي مردم ما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قدرت‌هاي بزرگ و استعمارگر و مدعي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ترويج تفكر تفكيك دين از سياست، فعاليّت‌هاي فرهنگي و تبليغي گسترده‌اي </w:t>
      </w:r>
    </w:p>
    <w:p>
      <w:pPr>
        <w:pStyle w:val="BookText"/>
        <w:rPr/>
      </w:pPr>
      <w:r>
        <w:rPr>
          <w:rFonts w:ascii="IRNazanin" w:hAnsi="IRNazanin" w:eastAsia="IRNazanin"/>
          <w:color w:val="111111"/>
          <w:sz w:val="28"/>
          <w:sz w:val="28"/>
          <w:szCs w:val="28"/>
          <w:rtl w:val="true"/>
          <w:lang w:bidi="fa-IR"/>
        </w:rPr>
        <w:t xml:space="preserve">را آغاز كرده و هنوز هم دست نكشيده‌اند ولي خدمت جناب دكتر احمدي بايد گفت كه آيا بهتر نيست به جاي گمانه‌زني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همراهي آگاهانه يا غيرآگاهانه با اين محور فعاليّت فرهنگي سكولاريزم و مترجمان انديشه‌ي سياسي غرب، با احساس تعهّد نسبت به دين، ملت و مليّت خود ابتدا با جايگاه سياست در اسلام آشنا شويم؟ آشنايي‌اي كه با اندك شناخت نسبت به زبان عربي و مراجعه‌ي سطحي به قرآن مي‌تواند حاصل شود و در مسير تقويت دين كامل خدا، اسلام، همگي مسلمانان را در اين حركت همراه نماييم و از ايجاد تزلزل در افكار و انديشه‌ي جوانان خودداري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ايشان در پاسخ به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مي‌گويند آغاز بنيادگرايي، در ايران و توسط يك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تعبير، اين تحليل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 يك بنيادگراي افراطي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هر حال روايت خاصّي از سلفي‌گري و رجوع به بنيادها را عرضه مي‌كرد و لذا مي‌توان آغاز بنيادگرايي را توسط اين تفكر ايراني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تبيين جايگاه تفكر سيد جمال در تاريخ معاصر جهان اسلام و ايران ابتدا ناچارم به يك تقسيم‌بندي كلّي پيرامون كيفيت واكنش‌ها و مواضع مختلف فكري، سياسي در جهان اسلام، بعد از هجوم گسترده و همه جانبه استعمار غربي و پي بردن مسلمانان به عقب ماندگي داخلي‌شان، اشاره نموده تا با دو جريان به وجود آمده در ميان مسلمانان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پيروي از تمدن غرب، از غرب‌گرايي تا غربزدگي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احيا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بازسازي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تفكر ديني؛ از بنيادگرايي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 راديكاليسم اسلامي؛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اصلاح‌طلبي 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جريان اوّل كه با يك تقدم تاريخي نسبت به جريان دوّم، از ناحيه‌ي روشنفكران شكل گرفت، تركيب اجتماعي از سياستمداران و رجال سياسي، اداري، نظامي و دانشجويان را تشكيل داد كه هر يك از اين گروه‌ها از لحاظ روانشناختي انگيزه‌ها و اهداف گوناگوني داشتند ولي مشخصه‌ي اصلي آن‌ها از طرفي تقليد و تبعيّت از نهادها، ارزشها، گرايش‌ها و الگوهاي غربي و فرهنگ و تمدن غرب و خودباختگي، بي‌هويتي و جهت‌گيري‌هاي مبتني بر سكولاريسم، ماترياليسم، اومانيسم، ليبراليسم و ناسيوناليسم بود و از طرف ديگر ردّ بدون ملاك و ميزان ارزش‌ها، گرايش‌ها، مايه‌هاي فكري، اجتماعي، تاريخي، فرهنگي و ديني و تمدن گذشته‌ي خود بوده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جريان دوّم به دنبال مسئله‌ي احيا و تجديد حيات اسلام و بيداري مسلمانان و در مرحله‌ي پيشرفته‌تر آن، تجديد بنا يا بازسازي تفكر ديني، در دو سه قرن اخير از طرف رهبران، علما، مصلحان و متفكران ديني جهان اسلام به منظور حل و رفع مسئله‌ي عقب‌ماندگي و انحطاط داخلي و نيز برخورد با مسئله‌ي غرب و هجوم فرهنگ و تمدن و استعمار غربي، مطرح و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تفكر به خصوص از نيمه‌ي دوّم قرن نوزدهم و اوايل قرن بيستم تا دوره‌ي </w:t>
      </w:r>
    </w:p>
    <w:p>
      <w:pPr>
        <w:pStyle w:val="BookText"/>
        <w:rPr/>
      </w:pPr>
      <w:r>
        <w:rPr>
          <w:rFonts w:ascii="IRNazanin" w:hAnsi="IRNazanin" w:eastAsia="IRNazanin"/>
          <w:color w:val="111111"/>
          <w:sz w:val="28"/>
          <w:sz w:val="28"/>
          <w:szCs w:val="28"/>
          <w:rtl w:val="true"/>
          <w:lang w:bidi="fa-IR"/>
        </w:rPr>
        <w:t>جنگ جهاني اوّل، انديشه‌ي غالب بر جريان‌هاي فكري و سياسي مسلمانان بود و تأثيرات زيادي بر حيات فرهنگي، سياسي و اجتماعي جهان اسلام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نيز به ويژه پس از انقلاب اسلامي در ايران و رشد و گسترش جنبش‌هاي اسلامي، پس از يك دوره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فاصله‌ي جنگ جهاني اوّل تا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به شدت مورد توجّه جهان اسلام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جريان اصلاح‌طلبي ديني در دو قرن اخير به دو بخش و شاخه تقسيم شد</w:t>
      </w:r>
      <w:r>
        <w:rPr>
          <w:rFonts w:eastAsia="Amiri" w:cs="Amiri" w:ascii="Amiri" w:hAnsi="Amiri"/>
          <w:color w:val="111111"/>
          <w:sz w:val="28"/>
          <w:szCs w:val="28"/>
          <w:rtl w:val="true"/>
          <w:lang w:bidi="ar-SA"/>
        </w:rPr>
        <w:t>.</w:t>
      </w:r>
      <w:r>
        <w:rPr>
          <w:rStyle w:val="FootnoteAnchor"/>
        </w:rPr>
        <w:footnoteReference w:id="9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شاخه‌ي بنيادگرايي از ابن‌عبدالوهاب تا رشيدرضا و مودودي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شاخه‌ي راديكاليسم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سيد جمال تا اقبال و شريعتي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شاخه‌ي فوق شعارهاي اصلاحي مشتركي داشتند، امّا به دليل درون‌مايه‌هاي متفاوت فكري، فلسفي و اجتهادي، وجوه افتراقي نيز 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بنيادگرايي، عميقاً ريشه در نهضت سلفيه و افكار افرادي چون ابن تيميّه و غزالي دارد و بنام سلفيه نيز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آن‌ها بازگشت به كتاب و سنّت و وحدت مسلمين عليه خطرات فرهنگي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داراي گرايش‌هاي ضد عقل، فلسفه، كلام، عرفان، علوم تجربي و دانش‌هاي جديد بودند و اساساً با هرگونه ژرف‌نگري و فراتر رفتن از ظواهر، در هر شكل آن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بنيادگرايي و يا اصول‌گرايي، خواهان بازگشت به اصول و بنيادهاي اوليه با همان سادگي نخستين آن و فاقد ديدي مثبت، اجتهادي، انقلابي، نوگرا و آينده‌نگر است؛ لذا به جمود، قشريگري، تحجّر و محافظه‌كاري منتهي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شاخه‌ي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اصلاح‌طلبي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راديكاليسم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مرحله‌ي پيشرفته‌تر و تكامل يافته‌تر جنبش‌هاي اسلامي و ضد استعماري مسلمانان در دوره‌ي معاصر است و مهم‌ترين و عمده‌ترين نقش را در حيات فكري و سياسي مسلمانان از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دهه‌هاي اخير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برخلاف شاخه‌ي اوّل، با عمق و غناي فراوان به عقل، اجتهاد، ابتكار، نوآوري و علوم جديد توجّه كردند و در برخورد با مسئله‌ي غرب و مبارزه با چهره‌ي استعماري آن، به اخذ و اقتباس از علوم و تكنيك پيشرفته‌ي تمدن غرب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شاخه‌ي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متحجران و نيز بنيادگرايان، هيچ يك از دو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مطلق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نپذيرفتند و با شناخت عميق‌تر و غني‌تر، به تفكيك جنبه‌هاي مثبت و منفي آن از هم معتقد شدند و اخذ و اقتباس جنبه‌هاي مثبت و مفيد فرهنگ و تمدن غرب و مبارزه با چهره‌ي استعماري آن در همه‌ي ابعاد را خواستار شدند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مطالب فوق، توجه جناب آقاي دكتر احمدي را به اين سؤال جلب مي‌كنم كه آيا عدم تفكيك اين دو شاخه و يكي دانستن اصلاح‌طلبي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رهبري سيد جمال‌الدين اسدآبادي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سلفيه از خطاها و لغزش‌هاي قابل اغماض است؟ خطايي كه داراي عوارض منفي و سردرگمي‌هاي زيان‌باري است و هيچ محقق و پژوهش‌گري بر آن رضايت نخواهد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ايشان در بخشي ديگر از گفت‌و‌گو، دچار چالش جدّي ديگري پيرامون تحليل ريشه‌ي فكري انقلاب اسلامي مي‌شوند و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روشنگري بود كه با روشنگري كساني چون شريعتي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صحّت و سقم ادعاي فوق، لازم ديده شد مطالبي پيرامون ريشه‌ي انقلاب اسلامي ايران ارائه شود تا معلوم شود كه انقلاب اسلامي با چه مباني فكري فرهنگي و توسط چه عواملي شكل گرفت؟</w:t>
      </w:r>
    </w:p>
    <w:p>
      <w:pPr>
        <w:pStyle w:val="BookText"/>
        <w:rPr/>
      </w:pPr>
      <w:r>
        <w:rPr>
          <w:rFonts w:ascii="IRNazanin" w:hAnsi="IRNazanin" w:eastAsia="IRNazanin"/>
          <w:color w:val="111111"/>
          <w:sz w:val="28"/>
          <w:sz w:val="28"/>
          <w:szCs w:val="28"/>
          <w:rtl w:val="true"/>
          <w:lang w:bidi="fa-IR"/>
        </w:rPr>
        <w:t>چرايي و چگونگي انقلاب اسلامي، كارگزاران، رهبري، نقاط عطف، نيروهاي تأثيرگذار انقلاب و روابط قبل و بعد از پيروزي ايران با دولت‌ها و ملت‌ها، در عداد صدها مبحث گوناگون است كه طي دو دهه‌ي گذشته، طيّ مقالات، كتب و مجلات متعدد و پرتيراژ مورد بحث و بررسي قرار گرفته است كه مجال پرداختن به برخي از آنان نيز در اين مقال كوتاه فراهم نمي‌باشد، امّا جاي اين سؤال و بررسي آن باقي است كه آيا انقلاب اسلامي خود به خود و بدون پشتوانه‌ي فكري و نظري واقع شده يا اين‌كه قبل از وقوع انقلاب، براي زمينه‌سازي آن تلاش‌هاي فكري و نظري صورت گرفته است؟ اگر چنين تلاش‌هاي فكري و نظري انجام شده، از سوي چه گروه و جرياني بوده و كدام جريان فكري در سال‌هاي قبل از انقلاب اسلامي، طرحي از انديشه‌ي اسلامي داشته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بررسي سؤال فوق بايد بگويم كه تحولات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انقلاب‌ها، خصوصاً انقلابي به عظمت انقلاب اسلامي، مسبوق به انديشه و تفكر است و بدون پشتوانه‌ي فكري و نظري، وقوع انقلاب و سرنگوني نظام سياسي مستقر </w:t>
      </w:r>
    </w:p>
    <w:p>
      <w:pPr>
        <w:pStyle w:val="BookText"/>
        <w:rPr/>
      </w:pPr>
      <w:r>
        <w:rPr>
          <w:rFonts w:ascii="IRNazanin" w:hAnsi="IRNazanin" w:eastAsia="IRNazanin"/>
          <w:color w:val="111111"/>
          <w:sz w:val="28"/>
          <w:sz w:val="28"/>
          <w:szCs w:val="28"/>
          <w:rtl w:val="true"/>
          <w:lang w:bidi="fa-IR"/>
        </w:rPr>
        <w:t xml:space="preserve">ممكن نمي‌باشد و به تعبير شهيد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نهضت اجتماعي بايد پشتوانه‌اي از نهضت فكري و فرهنگي داشته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جهت بررسي و جستجوي مكتب فكري حامل انديشه‌ي انقلاب اسلامي ناچاريم به طور عمده به تحولات 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فرهنگي سال‌هاي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بيافكنيم؛ چرا كه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رسمي بن‌بست انديشه‌ها و بينش‌هاي غير مذهبي و مادّي در ايران دانسته‌اند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زيرا با اين كودتا، عملاً دوره‌ي تفكر ناسيوناليستي غربگرا و تلاش براي اصلاح حكومت از طريق مبارزه‌ي پارلمانيستي اصلاح‌طلبانه به شكست انجاميد و متعاقب آن و در پي تحكيم ديكتاتوري محمد رضا و حاكميّت امريكا در ايران، حزب توده و جريان فكري ماركسيستي نيز به افول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عملي اين انديشه‌ها و جريان‌ها در عرصه‌ي مبارزات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زمينه را براي پذيرش بديل‌هاي مذهبي فراهم كرد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بن‌بست انديشه‌ها و جريان‌هاي وارداتي، مادّي و غير مذهبي در حل مشكل جامعه‌ي ايران، حاوي اين پيام بود كه در شرايط جديد بايد الگوي جديد و جامعي ايجاد شود كه مبادي فلسفي و نظري جامعه‌ي سنّتي و مذهبي را با نتايج و مسائل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عصر جديد پيوند داده و طرحي نو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در دوره‌ي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ظهور انديشه‌ها و جريان‌هاي </w:t>
      </w:r>
    </w:p>
    <w:p>
      <w:pPr>
        <w:pStyle w:val="BookText"/>
        <w:rPr/>
      </w:pPr>
      <w:r>
        <w:rPr>
          <w:rFonts w:ascii="IRNazanin" w:hAnsi="IRNazanin" w:eastAsia="IRNazanin"/>
          <w:color w:val="111111"/>
          <w:sz w:val="28"/>
          <w:sz w:val="28"/>
          <w:szCs w:val="28"/>
          <w:rtl w:val="true"/>
          <w:lang w:bidi="fa-IR"/>
        </w:rPr>
        <w:t>مختلف فكري در چارچوب الگوي تفكر اسلامي هستيم كه به منظور حل مشكل جامعه، يكديگر را به چالش مي‌طلبند و راه‌حل‌هايي ارائه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فكري اصلاح‌طلب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برداشتي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شناختي از مشكل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فعاليّت در چارچوب قانون اساسي و سلطنت مشروطه روي آورد و براي اصلاح ديكتاتوري، به دولت فشار وارد كرد تا به امتيازي در جهت اصلاح امور دست يابد، از سوي ديگر، اين جريان كه پايه و اساس مذهبي دارد و به مسائل جديد و علوم جديد نيز واقف است سعي مي‌كند از طريق تحليل علمي دين، بين اسلام و مسائل و معيارهاي دمكراتيك جديد پل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فكر اين جريان، نقد دين و روحانيّت و اصلاح جنبه‌هايي از تفكر ديني به منظور توانمند ساختن دين در مواجهه با مشكلات جامعه و تحوّلات عصر جديد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دچار نوعي از التقاط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جريان فكري فقاهتي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ولايتي با برداشتي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فلسفي از مشكل جامعه، به فعاليّت‌هاي فكري و فرهنگي روي مي‌آورد و با اهتمام به تربيت و آموزش مردم در صدد تقويت بنيادهاي فكري مردم و ايجاد تحولي اساسي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روبنايي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مبناي تفكّر اين جريان فكري آن بود كه اصلاح جامعه و شئون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اقتصادي و اجتماعي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بيروني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به تغيير و تحول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دروني و 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فكري ضمن اعتقاد راسخ به تماميت و جامعيت دين اسلام، مشكل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و انحطاط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ناشي از تخريب و تحليل فرهنگ اسلامي و مباني آموزش مذهبي مي‌داند و راه‌حلش، احياي ارزش‌هاي اسلامي از طريق تزكيه و تعليم و آموزش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مباني فكري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گفتمان جديد، زوال و انحطاط را درد جامعه مي‌داند و پالايش اخلاقي و اجتماعي را به عنوان نسخه درمان طرح مي‌كند و حل معظلات اجتماعي را بر فلسفه و اخلاق مبتني مي‌سازد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4784_160663"/>
      <w:bookmarkStart w:id="103" w:name="pg14784_160663"/>
      <w:bookmarkEnd w:id="103"/>
    </w:p>
    <w:p>
      <w:pPr>
        <w:pStyle w:val="Heading2"/>
        <w:numPr>
          <w:ilvl w:val="1"/>
          <w:numId w:val="1"/>
        </w:numPr>
        <w:rPr/>
      </w:pPr>
      <w:bookmarkStart w:id="104" w:name="pg14784_160663"/>
      <w:bookmarkStart w:id="105" w:name="__RefHeading___Toc1748852_730472459"/>
      <w:bookmarkStart w:id="106" w:name="_Toc41"/>
      <w:bookmarkEnd w:id="104"/>
      <w:bookmarkEnd w:id="105"/>
      <w:r>
        <w:rPr>
          <w:rtl w:val="true"/>
        </w:rPr>
        <w:t>مقاله مورد نقد</w:t>
      </w:r>
      <w:r>
        <w:rPr>
          <w:rtl w:val="true"/>
        </w:rPr>
        <w:t xml:space="preserve">: </w:t>
      </w:r>
      <w:r>
        <w:rPr>
          <w:rtl w:val="true"/>
        </w:rPr>
        <w:t>نكند پدرم مرا نشناسد</w:t>
      </w:r>
      <w:bookmarkEnd w:id="106"/>
    </w:p>
    <w:p>
      <w:pPr>
        <w:pStyle w:val="Heading3"/>
        <w:numPr>
          <w:ilvl w:val="2"/>
          <w:numId w:val="1"/>
        </w:numPr>
        <w:rPr/>
      </w:pPr>
      <w:bookmarkStart w:id="107" w:name="__RefHeading___Toc1748854_730472459"/>
      <w:bookmarkStart w:id="108" w:name="_Toc42"/>
      <w:bookmarkEnd w:id="107"/>
      <w:r>
        <w:rPr>
          <w:rtl w:val="true"/>
        </w:rPr>
        <w:t>اشاره</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نكند پدرم مرا نشناسد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09" w:name="__RefHeading___Toc1748856_730472459"/>
      <w:bookmarkStart w:id="110" w:name="_Toc43"/>
      <w:bookmarkEnd w:id="109"/>
      <w:r>
        <w:rPr>
          <w:rtl w:val="true"/>
        </w:rPr>
        <w:t>چکیده</w:t>
      </w:r>
      <w:bookmarkEnd w:id="110"/>
    </w:p>
    <w:p>
      <w:pPr>
        <w:pStyle w:val="BookText"/>
        <w:rPr/>
      </w:pPr>
      <w:r>
        <w:rPr>
          <w:rFonts w:ascii="IRNazanin" w:hAnsi="IRNazanin" w:eastAsia="IRNazanin"/>
          <w:color w:val="111111"/>
          <w:sz w:val="28"/>
          <w:sz w:val="28"/>
          <w:szCs w:val="28"/>
          <w:rtl w:val="true"/>
          <w:lang w:bidi="fa-IR"/>
        </w:rPr>
        <w:t>در این نوشته، با تعبیراتی ادبی و احساسی، چادر مشکی مورد اعتراض قرار گرفته، پوشیدن لباس های تیره برای خانمها موجب هم شکل شدن زنان و از یاد بردن رنگ های دیگر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نویسنده از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 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که او را پیرزنی شکسته و خمیده می خواهند، فریاد شادی اش را آوای شوم می دانند، چشم هایش را به روی شادی می بندند و پاهایش را از گام برداشتن پرهیز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سطرهای پایانی نوشته خواستهای خود را چنین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جوان بمانم، عشق بورزم، سپید بپوشم، شاد باشم، شاد کنم و به سوی آرمان بلند اندیشه ام گام بردارم</w:t>
      </w:r>
      <w:r>
        <w:rPr>
          <w:rFonts w:eastAsia="IRNazanin" w:cs="IRNazanin"/>
          <w:color w:val="111111"/>
          <w:sz w:val="28"/>
          <w:szCs w:val="28"/>
          <w:rtl w:val="true"/>
          <w:lang w:bidi="fa-IR"/>
        </w:rPr>
        <w:t>.</w:t>
      </w:r>
    </w:p>
    <w:p>
      <w:pPr>
        <w:pStyle w:val="Heading3"/>
        <w:numPr>
          <w:ilvl w:val="2"/>
          <w:numId w:val="1"/>
        </w:numPr>
        <w:rPr/>
      </w:pPr>
      <w:bookmarkStart w:id="111" w:name="__RefHeading___Toc1748858_730472459"/>
      <w:bookmarkStart w:id="112" w:name="_Toc44"/>
      <w:bookmarkEnd w:id="111"/>
      <w:r>
        <w:rPr>
          <w:rtl w:val="true"/>
        </w:rPr>
        <w:t>فقر روش و بينش در بعضي مقالات حجاب</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چندي قبل روزنامه‌ي نوروز گزارش يك نشست مشترك چند دختر و پسر جوان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هم‌انديشي جوانان درباره‌ي لباس 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نمود كه در آن به طور ضمني و صريح به نكوهش مصاديق حجاب برتر زنان مثل چادر مشكي و در مقابل به تمجيد از لباس‌هاي كوتاه، نازك و رنگين پرداخته شده بود</w:t>
      </w:r>
      <w:r>
        <w:rPr>
          <w:rFonts w:eastAsia="IRNazanin" w:cs="IRNazanin"/>
          <w:color w:val="111111"/>
          <w:sz w:val="28"/>
          <w:szCs w:val="28"/>
          <w:rtl w:val="true"/>
          <w:lang w:bidi="fa-IR"/>
        </w:rPr>
        <w:t>.</w:t>
      </w:r>
      <w:r>
        <w:rPr>
          <w:rStyle w:val="FootnoteAnchor"/>
          <w:rtl w:val="true"/>
        </w:rPr>
        <w:footnoteReference w:id="9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بنده در ضمن مقاله‌اي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هم‌انديشي منطقي با جوانان درباره‌ي 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منظور كمك به تفكّر منطقي جوانان به نقد و بررسي استدلالي مطالب </w:t>
      </w:r>
      <w:bookmarkStart w:id="113" w:name="pg14784_160664"/>
    </w:p>
    <w:p>
      <w:pPr>
        <w:pStyle w:val="BookText"/>
        <w:rPr/>
      </w:pPr>
      <w:bookmarkEnd w:id="113"/>
      <w:r>
        <w:rPr>
          <w:rFonts w:ascii="IRNazanin" w:hAnsi="IRNazanin" w:eastAsia="IRNazanin"/>
          <w:color w:val="111111"/>
          <w:sz w:val="28"/>
          <w:sz w:val="28"/>
          <w:szCs w:val="28"/>
          <w:rtl w:val="true"/>
          <w:lang w:bidi="fa-IR"/>
        </w:rPr>
        <w:t>مطرح شده در هم‌انديشي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ارسال مقاله براي روزنامه‌ي نوروز هنوز برايم معلوم نيست كه چرا مقاله‌ي اينجانب در روزنامه چاپ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فلسفه‌ي وجودي مطبوعات تنوير افكار عمومي از طريق تضارب آراء نيست تا انديشه‌هاي صحيح از آن متولد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اضربوا بعض الرأي ببعض يتولّد منه الصواب</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استقبل وجوه الآراء عرف مواقع الخطا</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آن كه به نظرها و عقيده‌هاي ديگران روي آورد، موارد خطا را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مطبوعات به رغم طرح شعارهاي زيبايي مثل هم‌انديشي و نقدپذيري، متأسفانه در عمل، گرفتار تك انديشي و نقد ناپذيري ژرف و عميقي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مشكل انحصارگرايي و تك انديشي، مشكل اصلي اين گونه مطبوعات ابتلاي آن‌ها به آفت و بيماري فقر در روش و بينش در مقالاتي است كه درباره‌ي حجاب و پوشش منتشر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مقاله‌ي حاضر به طور مختصر به اين موضوع پرداخته شده است</w:t>
      </w:r>
      <w:r>
        <w:rPr>
          <w:rFonts w:eastAsia="IRNazanin" w:cs="IRNazanin"/>
          <w:color w:val="111111"/>
          <w:sz w:val="28"/>
          <w:szCs w:val="28"/>
          <w:rtl w:val="true"/>
          <w:lang w:bidi="fa-IR"/>
        </w:rPr>
        <w:t>.</w:t>
      </w:r>
    </w:p>
    <w:p>
      <w:pPr>
        <w:pStyle w:val="Heading3"/>
        <w:numPr>
          <w:ilvl w:val="2"/>
          <w:numId w:val="1"/>
        </w:numPr>
        <w:rPr/>
      </w:pPr>
      <w:bookmarkStart w:id="114" w:name="__RefHeading___Toc1748860_730472459"/>
      <w:bookmarkStart w:id="115" w:name="_Toc45"/>
      <w:bookmarkEnd w:id="114"/>
      <w:r>
        <w:rPr/>
        <w:t>1</w:t>
      </w:r>
      <w:r>
        <w:rPr>
          <w:rtl w:val="true"/>
        </w:rPr>
        <w:t>.</w:t>
      </w:r>
      <w:r>
        <w:rPr>
          <w:rtl w:val="true"/>
        </w:rPr>
        <w:t>فقر در روش</w:t>
      </w:r>
      <w:bookmarkEnd w:id="11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ترديدي نيست كه رسالت و وظيفه‌ي اصلي مطبوعات ارتقاي سطح معرفت و بينش مردم است و انتخاب روش صحيح در هر كاري و از جمله در ارتقاي بينش بسيار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هر كاري از راه صحيح آن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توصيه‌ي عقلاني و منطقي قرآن كريم، متأسفانه مشاهده مي‌گردد بعضي از مطبوعات، مثل روزنامه‌ي نوروز از نظر استفاده از روش‌هاي علمي و منطقي براي فرهنگ سازي عميق، با </w:t>
      </w:r>
    </w:p>
    <w:p>
      <w:pPr>
        <w:pStyle w:val="BookText"/>
        <w:rPr/>
      </w:pPr>
      <w:r>
        <w:rPr>
          <w:rFonts w:ascii="IRNazanin" w:hAnsi="IRNazanin" w:eastAsia="IRNazanin"/>
          <w:color w:val="111111"/>
          <w:sz w:val="28"/>
          <w:sz w:val="28"/>
          <w:szCs w:val="28"/>
          <w:rtl w:val="true"/>
          <w:lang w:bidi="fa-IR"/>
        </w:rPr>
        <w:t>فقر و تنگدستي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تأييد و تصديق مدعاي ياد شده كافي است نگاه مختصري به روش‌هاي انتخابي روزنامه‌ي مذكور در دو مقاله‌ي آن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مقاله‌گونه‌ي روزنامه‌ي نوروز از هم‌انديشي جوانان درباره‌ي لباس كه در بالا از آن نام برده شد، به دليل عدم استناد به نظرات كارشناسي و عدم حضور كارشناسان مسائل مختلف لباس فاقد هرگونه ارزش و اعتبار علمي و منطقي است اتخاذ اين گونه روش‌ها ممكن است براي بعضي جوانان جذاب و فريبنده باشد، ولي از نظر روش شناسي، ارزش و اعتبار علمي ندارد و بيشتر به استفاده‌ي ابزاري از جوانان شباهت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روزنامه‌ي نوروز، مقاله‌اي ادبي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نكند پدرم مرا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نموده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مقاله‌ي مذكور نيز همانند مقاله‌ي قبلي از فقر و بلكه بالاتر، از فقدان روش علمي و منطقي شديداً رنج مي‌برد؛ زيرا مسأله‌ي لباس و پوشش از جمله مسائل مهم و نيازمند مباحث كارشناسي عميق است و كارآمدي يا ناكارآمدي بعضي مصاديق حجاب و پوشش، مانند چادر مشكي در بيرون از منزل بايد در نشست‌ها و گفتگوهاي علمي و كارشناسانه مورد بحث و كنكاش منطقي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 به وسيله‌ي يك قطعه‌ي ادبي كه اصل و اساس آن را خيال‌پردازي و فقدان منطق شكل مي‌دهد، درباره‌ي آن داوري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چگونه مي‌توان پذيرفت از مقولاتي مثل ادب، هنر و قلم كه اموري مقدس و ارزشمند هستند در سركوب و تخريب امور مقدس و ارزشمند ديگري مثل حجاب مشكي بانوان متدين و عفيف استفاده‌ي ابزاري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استفاده از اين گونه روش‌هاي غير علمي و غير منطقي منحصر </w:t>
      </w:r>
      <w:bookmarkStart w:id="116" w:name="pg14784_160666"/>
    </w:p>
    <w:p>
      <w:pPr>
        <w:pStyle w:val="BookText"/>
        <w:rPr/>
      </w:pPr>
      <w:bookmarkEnd w:id="116"/>
      <w:r>
        <w:rPr>
          <w:rFonts w:ascii="IRNazanin" w:hAnsi="IRNazanin" w:eastAsia="IRNazanin"/>
          <w:color w:val="111111"/>
          <w:sz w:val="28"/>
          <w:sz w:val="28"/>
          <w:szCs w:val="28"/>
          <w:rtl w:val="true"/>
          <w:lang w:bidi="fa-IR"/>
        </w:rPr>
        <w:t>به روزنامه‌ي ياد شده نيست بلكه اين گونه استفاده‌هاي ابزاري و غير منطقي در مقالات حجاب بعضي مطبوعات ديگر نيز وجود دارد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17" w:name="__RefHeading___Toc1748862_730472459"/>
      <w:bookmarkStart w:id="118" w:name="_Toc46"/>
      <w:bookmarkEnd w:id="117"/>
      <w:r>
        <w:rPr/>
        <w:t>2</w:t>
      </w:r>
      <w:r>
        <w:rPr>
          <w:rtl w:val="true"/>
        </w:rPr>
        <w:t xml:space="preserve">. </w:t>
      </w:r>
      <w:r>
        <w:rPr>
          <w:rtl w:val="true"/>
        </w:rPr>
        <w:t>فقر در بينش</w:t>
      </w:r>
      <w:bookmarkEnd w:id="118"/>
    </w:p>
    <w:p>
      <w:pPr>
        <w:pStyle w:val="BookText"/>
        <w:rPr/>
      </w:pPr>
      <w:r>
        <w:rPr>
          <w:rFonts w:ascii="IRNazanin" w:hAnsi="IRNazanin" w:eastAsia="IRNazanin"/>
          <w:color w:val="111111"/>
          <w:sz w:val="28"/>
          <w:sz w:val="28"/>
          <w:szCs w:val="28"/>
          <w:rtl w:val="true"/>
          <w:lang w:bidi="fa-IR"/>
        </w:rPr>
        <w:t>بدتر از فقر در روش، آفت و بيماري فقر در بينش است كه بعضي از مقالات مطبوعاتي حجاب، مانند مقاله‌ي ادبي ياد شده‌ي روزنامه‌ي نوروز از آن شديداً رنج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فقر در بينش مقاله‌ي گزارش‌گونه‌ي روزنامه‌ي نوروز با عنوان هم‌انديشي، قبلاً در مقاله‌ي مستقلي تفصيلاً مورد بررسي قرار گرفته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لذا در مقاله‌ي حاضر فقط به بررسي فقر در بينش مقاله‌ي ادبي فوق پرداخته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تأييد و تصديق مدعاي ياد شده و آشنايي با بعضي مصاديق آن، نخست عين بعضي از عبارت‌هاي قابل بررسي نگارنده‌ي محترم را نقل مي‌نماييم و سپس براي آشكار شدن فقر در بينشِ مقاله‌ي مذكور، آنها را مورد نقد منطقي قرار مي‌دهيم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هيچ وقت مرا بيرون خانه نمي‌شناسد، مي‌گويد همه‌تان سياه پوشيده‌ايد، راست مي‌گويد يكدست سياهيم سياه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قرينه و شاهد وجود دارد كه مراد گوينده‌ي محترم در عبارت فوق سياه‌پوشي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قرينه‌ي اوّل اين كه گوينده خود از بانوان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قرينه‌ي دوّم اين كه مردان اكثراً از لباس‌هاي متنوع رنگي استفاده مي‌كنند برخلاف بانوان كه بعضاً در بيرون از منزل از لباس‌هاي مشكي مثل مانتو، مقنعه و چادر مشكي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دو قرينه‌ي ياد شده مي‌توان گفت نگارنده‌ي محترم در عبارت فوق ادعا نموده همه‌ي زنان يك دست سياه مي‌پوشند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عيني و خارجي و مشهود روزانه همه‌ي ما، حاكي از اين است كه ادعاي سياه پوش بودن همه‌ي زنان، ادعاي درستي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پوشش‌هاي رنگين خانم‌ها در سطح جامعه، اعم از شهرهاي بزرگي مانند تهران و غير آن و پوشش زنان روستايي استان‌هاي مختلف، تكذيب كننده‌ي ادعاي مذكور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مي‌كنيم آن گونه كه ايشان ادعا نموده‌اند همه‌ي زنان در بيرون منزل و در مواجهه با نامحرم از مصاديق مختلف حجاب مشكي مثل مانتو، مقنعه و چادر مشكي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پوشش‌هاي ياد شده به دليل تأمين حجاب و پوشش بهتر و بيشتر براي زنان، قابل دفاع عقلي و شرعي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تصريح فقها به عنوان كارشناسان مسائل ديني و اسلامي، افراد خصوصاً زنان، نبايد در مواجهه با نامحرم از رنگ‌هاي مهيج و تحريك كننده استفاده نمايد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و پر واضح است كه يكي از بهترين رنگ‌هاي حجاب و پوشش بانوان كه حالت </w:t>
      </w:r>
    </w:p>
    <w:p>
      <w:pPr>
        <w:pStyle w:val="BookText"/>
        <w:rPr/>
      </w:pPr>
      <w:r>
        <w:rPr>
          <w:rFonts w:ascii="IRNazanin" w:hAnsi="IRNazanin" w:eastAsia="IRNazanin"/>
          <w:color w:val="111111"/>
          <w:sz w:val="28"/>
          <w:sz w:val="28"/>
          <w:szCs w:val="28"/>
          <w:rtl w:val="true"/>
          <w:lang w:bidi="fa-IR"/>
        </w:rPr>
        <w:t>تهييج و تحريك نامحرم در آن وجود ندارد رنگ مشكي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روانشناسي رنگ‌ها كه واقعيت عيني و خارجي نيز مؤيد آن است، اين مطلب يك امر مسلم است كه رنگ مشكي، رنگي صامت و غير فعال است و در مواجهه با نامحرم، نگاه شكن است و ترديدي نيست كه اين ويژگي رنگ مشكي فلسفه و حكمت حجاب و پوشش زنان را كه عبارت از عدم تحريك‌پذيري مردان و ايجاد آرامش روحي و رواني در سطح جامعه است، بيشتر تأمين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كاش برخي مطبوعات و نويسندگان آن‌ها به اين پرسش جدّي، پاسخي مناسب دهند كه با توجّه به ادلّه‌ي ياد شده، چرا بدون ارايه‌ي هيچ دليل معقول و منطقي و با سوء استفاده از ابزارهاي مختلف، مانند قلم ادبي و غيره جنگ روحي و رواني را بر ضد زنان متدين و عفيف كه از مقنعه و چادر مشكي، استفاده مي‌كنند آغاز كرده‌اند؟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رنگ‌ها تنها سياه را مي‌شناسم، نه قرمز را، نه آبي را، نه سبز را و نه بنفش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قرينه‌ي عبارت اولي كه نقل شد، مراد اين است كه استفاده‌ي پيوسته و مستمر ايشان از لباس‌هاي مشكي در بيرون منزل، باعث شده نگارنده‌ي محترم، رنگ‌هاي ياد شده را نشناسد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منطقي، تلازمي بين استفاده از لباس‌هاي مشكي به طور مستمر در خارج از منزل و نشناختن رنگ‌هاي ياد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استفاده از لباس‌هاي رنگين داراي رنگ‌هاي فوق در مجالس زنانه، در داخل منزل و در مقابل افراد محرم، امكان شناختن رنگ‌هاي ياد شده را به ايشان مي‌دهد</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داخل منزل، در خارج از منزل نيز ايشان و ديگر بانوان مي‌توانند از لباس‌هاي رنگين با رنگ‌هاي متنوع استفاده نمايند، البتّه به شرط اين كه به طريقي مثل استفاده از چادر مشكي در مواجهه با افراد نامحرم آن‌ها را بپوشانند زيرا لباس‌هاي رنگين به دليل زيبايي خيره كننده از مصاديق زينت به شمار مي‌آيند و بانوان و دختران براساس دستور قرآن از تبرّج و نمايش زينت‌هاي خود به نامحرمان منع شده‌اند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ولي در مجالسي كه افراد نامحرم حضور ندارند مثل مجالس زنانه و هم‌چنين در حضور شوهر و ديگر افراد محرم، مي‌توانند از زيور آلات و زينت استفاده نمايند</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و بلكه بالاتر از جواز، به استفاده از آن ترغيب و تشويق شده‌اند</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زيرا همان‌گونه كه حجاب و پوشش، نياز فطري انسان خصوصاً زنان است، استفاده از زيور آلات و خودآرايي نيز نياز فطري انسان مخصوصاً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امتيازات احكام نوراني ومترقي اسلام است كه ضمن توجّه و پاسخگويي به دو نياز مذكور از طريق دستور الزامي زنان به رعايت حجاب و پوشش، از يك سو و تشويق زنان به استفاده از زيور آلات و زينت در كنار ممنوعيت تبرج و نمايش زينت به نامحرمان، جلوي سوء استفاده‌ي آنان را گرفته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تا زمينه‌ي سلامت روحي و رواني افراد جامعه فراهم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فرياد شادي‌ام را آواي شوم مي‌دانند چشم‌هايم را به روي شادي مي‌بندند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جوان بمانم، عشق بورزم، سپيد بپوشم، شاد باشم، شاد كنم و به سوي آرمان بلند انديشه‌ام گام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عبارت ادبي فوق، نخست نگارنده‌ي محترم به عده‌اي غير مشخص كه ادعا نموده مخالفان شادي وي هستند حمله نموده و با روش تبليغ القايي منفي، اين‌گونه وانمود كرده است كه گروهي مجهول، مانع شادماني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جوان ماندن، عشق ورزيدن، سپيد پوشيدن، شاد بودن و شاد كردن را جز آرمان‌ها و آرزوهاي خويش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نمودن اتهام مخالف با شادي به عده‌اي، بدون تعيين مصاديق آن روش معقول و منطقي نيست، اي كاش گوينده‌ي محترم، مرجع ضمير فعل‌هاي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سوّمين عبارت نقل شده را مشخص مي‌نمود تا به طور شفاف و صريح مي‌توانستيم با ايشان گفتگوي منطقي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مخاطب اتهام ياد شده معلوم نيست، از بررسي آن صرف‌نظر نموده و فقط آرزوها و آرمان‌هاي مطرح شده از سوي ايشان را بررسي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گفته‌اند مي‌خواهند جوان بمانند، كسي با خواسته‌ي ايشان مخالفتي ندارد؛ زيرا آرزومندي خصوصاً آرزوي بقاي دوران حيات‌بخش جواني از آروزهاي همه‌ي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آرزومندي در امور مقدور و معقول بر انسان‌ها خصوصاً بر جوانان عيب نيست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گفته‌اند مي‌خواهند عشق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عشق‌ورزي و پرستش نه تنها ممنوع نيست بلكه امري مقدس و محترم است و بالاتر اين‌كه يكي از مهم‌ترين نيازهاي فطري همه‌ي انسان‌هاست ولي مهم، پاسخ به اين پرسش است كه چه </w:t>
      </w:r>
    </w:p>
    <w:p>
      <w:pPr>
        <w:pStyle w:val="BookText"/>
        <w:rPr/>
      </w:pPr>
      <w:r>
        <w:rPr>
          <w:rFonts w:ascii="IRNazanin" w:hAnsi="IRNazanin" w:eastAsia="IRNazanin"/>
          <w:color w:val="111111"/>
          <w:sz w:val="28"/>
          <w:sz w:val="28"/>
          <w:szCs w:val="28"/>
          <w:rtl w:val="true"/>
          <w:lang w:bidi="fa-IR"/>
        </w:rPr>
        <w:t>چيزي شايسته‌ي عشق‌ورزي و پرستش است؟ آن‌چه مسلم است اين است كه متعلق پرستش و عشق‌ورزي انسان منحصر به امور مادّي و زودگذر نيست بلكه امور معنوي پايدار نيز، يقيناً در حيطه‌ي عشق‌ورزي انسان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گفته‌اند مي‌خواهند لباس سپيد بپوشند، بايد گفت نوع و رنگ پوشش افراد اعم از زن و مرد در هر جامعه‌اي متأثر از عوامل و شرايط مختلف شغلي، زماني، مذهبي و غيره است؛ مثلاً پزشكان و پرستاران در زمان محيط كار خود از لباس سفيد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جوان هنگام عروس شدن لباس سپيد مي‌پوشند و سپس آن را كنار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ديني و طلابي كه از سلسله‌ي جليله‌ي سادات هستند به طور دائمي از عمامه‌ي سياه رنگ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مردان در مراسم احرام حج مستحب است لباس سپيد بپوشند ولي به زنان، به دليل حساسيت بيشتر نسبت به حجاب و پوشش آن‌ها، اجازه داده شده از همان لباس معمولي ولو اين‌كه رنگ آن سپيد نباشد استفاده كنند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علاوه بر اين همه‌ي افراد اعم از زن و مرد از پوشيدن لباس شهرت، يعني لباسي كه مطابق با شأن افراد نيست و باعث انگشت‌نما شدن آنان مي‌گردد منع شده‌اند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بدون ترديد يكي از عوامل دخيل در تحقق لباس شهرت مي‌تواند رنگ آن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اين‌كه پوشيدن لباس سفيد اگر چه في حد نفسه منعي ندارد ولي ايشان همانند هر فرد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عنوان يك شهروند ايراني و خواه به </w:t>
      </w:r>
    </w:p>
    <w:p>
      <w:pPr>
        <w:pStyle w:val="BookText"/>
        <w:rPr/>
      </w:pPr>
      <w:r>
        <w:rPr>
          <w:rFonts w:ascii="IRNazanin" w:hAnsi="IRNazanin" w:eastAsia="IRNazanin"/>
          <w:color w:val="111111"/>
          <w:sz w:val="28"/>
          <w:sz w:val="28"/>
          <w:szCs w:val="28"/>
          <w:rtl w:val="true"/>
          <w:lang w:bidi="fa-IR"/>
        </w:rPr>
        <w:t xml:space="preserve">عنوان يك انسان متدين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و منع استفاده از لباس سپيد، متأثر از عوامل مختلف ياد شده هستند و اين مطلب منحصر به ايشان نيز نمي‌باشد بلكه افراد هر جامعه‌اي در انتخاب نوع و رنگ پوشش، متأثر از عوامل و شرايط متعددي، شبيه عوامل و شرايط فوق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گفته‌اند مي‌خواهند شاد باشند و ديگران را نيز شاد كنند، امر بسيار مطلوبي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عزيز و احكام نوراني و مترقي آن نيز، شاد بودن و شاد كردن ديگران بسيار مورد تشويق و توصيه قرار گرفته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آن‌چه در اين‌جا شايسته يادآوري است دو نكته مي‌باشد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با پذيرش اين پيش فرض كه استفاده‌ي از لباس مشكي لزوماً نشانه‌ي عزا و فقدان شادي است، تلاش مي‌كنند افراد استفاده كننده از لباس‌هاي مشكي را افراد غمگين و افراد استفاده كننده از لباس رنگين را افراد شاد بدانند و حال آن‌كه اين تصور و پيش فرض آن‌ها نادرست است؛ زيرا نه همه‌ي افرادي كه از لباس‌هاي مشكي استفاده مي‌كنند، لزوماً افراد غمگيني هستند و نه همه‌ي افرادي كه از لباس‌هاي رنگين استفاده مي‌كنند، لزوماً افراد شادي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نادرستي پيش‌فرض فوق اين است كه لباس مشكي، گاهي علامت و شعار عدّه‌ي خاصي قرار مي‌گيرد؛ همچون پوشش مشكي كه شعار بني عباس بوده است يا استفاده از عمامه‌ي مشكي كه هم اكنون علامت و شعار سيادت براي سلسله‌ي جليله‌ي سادات روحاني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علامت و شعار، گاهي استفاده از پوشش مشكي نشانه‌ي وقار و متانت و سنگيني است؛ مانند مواردي كه زنان از اين پوشش در بيرون منزل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ذكر </w:t>
      </w:r>
    </w:p>
    <w:p>
      <w:pPr>
        <w:pStyle w:val="BookText"/>
        <w:rPr/>
      </w:pPr>
      <w:r>
        <w:rPr>
          <w:rFonts w:ascii="IRNazanin" w:hAnsi="IRNazanin" w:eastAsia="IRNazanin"/>
          <w:color w:val="111111"/>
          <w:sz w:val="28"/>
          <w:sz w:val="28"/>
          <w:szCs w:val="28"/>
          <w:rtl w:val="true"/>
          <w:lang w:bidi="fa-IR"/>
        </w:rPr>
        <w:t>شد، اين كه بعضي خيال مي‌كنند التزام به رعايت احكام ديني و مذهبي همچون استفاده‌ي زنان از حجاب و پوشش برتر و از جمله چادر مشكي منافي شادماني و ملازم با غم و اندوه و باعث بيماري روحي و افسردگي است، تصور صحيحي نيست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بلكه برعكس، دين و مذهب و پاي‌بندي به احكام آن باعث آرامش روحي و رواني است و بهترين دليل بر اين مدعا، اعترافات صريح بعضي محققين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 كارنگي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جديدترين علم يعني روان‌پزشكي، همان چيزهايي را تعليم مي‌دهد كه پيامبران به مردم آموختند؛ زيرا آنان دريافتند كه داشتن يك ايمان محكم، نگراني، تشويش، هيجان و ترس را برطرف مي‌كند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آگاهي از مفهوم جامع و كامل شادماني باعث شده بعضي شادي و نشاط را فقط در شادي‌هاي مادّي و زودگذر منحصر نموده و از شادماني‌هاي اصيل كه از اعتقاد به امور معنوي و پايدار به دست مي‌آيد، غفلت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پژوهشگراني كه ساليان دراز در غرب زيسته و در مراكز آموزش عالي مختلف آن‌جا تدريس نموده و درباره‌ي شادي تحقيقات فراواني كرده است، به دخالت عنصر معنويت و اعتقادات در ازدياد شادي‌هاي اصيل و پايدار تأكيد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معتقد است انسان براي نجات از مشكلات كنوني خود و دستيابي به شادي هميشگي، بايد اعتقاد و باور خود را عوض كند و بپذيرد كه در زندگي شادي‌هايي به مراتب عميق‌تر از لذت‌هاي جسماني وجود دارند كه دستيابي به آن‌ها نياز به وقت، تلاش و صبر و حوصله دارد</w:t>
      </w:r>
      <w:r>
        <w:rPr>
          <w:rFonts w:eastAsia="IRNazanin" w:cs="IRNazanin"/>
          <w:color w:val="111111"/>
          <w:sz w:val="28"/>
          <w:szCs w:val="28"/>
          <w:rtl w:val="true"/>
          <w:lang w:bidi="fa-IR"/>
        </w:rPr>
        <w:t xml:space="preserve">. </w:t>
      </w:r>
      <w:bookmarkStart w:id="119" w:name="pg14784_160674"/>
    </w:p>
    <w:p>
      <w:pPr>
        <w:pStyle w:val="BookText"/>
        <w:rPr/>
      </w:pPr>
      <w:bookmarkEnd w:id="119"/>
      <w:r>
        <w:rPr>
          <w:rFonts w:ascii="IRNazanin" w:hAnsi="IRNazanin" w:eastAsia="IRNazanin"/>
          <w:color w:val="111111"/>
          <w:sz w:val="28"/>
          <w:sz w:val="28"/>
          <w:szCs w:val="28"/>
          <w:rtl w:val="true"/>
          <w:lang w:bidi="fa-IR"/>
        </w:rPr>
        <w:t>وي معتقد است با تقويت ارزش‌هاي انساني همچون عشق خدمت به مردم، خوش‌بيني، خيرخواهي، سپاسگذاري، رضايت، قناعت، گذشت و خلاصه زدودن رذائل اخلاقي مي‌توان به شادي دست يافت</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20" w:name="__RefHeading___Toc1748864_730472459"/>
      <w:bookmarkStart w:id="121" w:name="_Toc47"/>
      <w:bookmarkEnd w:id="120"/>
      <w:r>
        <w:rPr>
          <w:rtl w:val="true"/>
        </w:rPr>
        <w:t>جمع‌بندي و نتيجه‌گيري</w:t>
      </w:r>
      <w:bookmarkEnd w:id="12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به خوبي آشكار گشت كه مقالات بعضي مطبوعات درباره‌ي حجاب مبتلا به آفت و بيماري فقر در روش و بينش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ابتلاي برخي مطبوعات به مشكل ياد شده نه تنها باعث فرهنگ‌سازي صحيح كه از جمله اهداف مقدس آنهاست، نمي‌گردد، بلكه به ليبراليسم فرهنگي و هرج و مرج در رفتارهاي اجتماعي منجر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مطبوعاتي كه از فقر در روش و بينش رنج مي‌برند اگر واقعاً خواستار فرهنگ سازي عميق و صحيح هستند، به آن‌ها پيشنهاد مي‌شود به مقالات انتقادي از جمله مقاله‌ي حاضر اهمّيت داده و به چاپ آن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هم از مشكل تك‌انديشي و نقدناپذيري رهايي مي‌يابند و هم زمينه‌ي نجات از فقر در روش براي آنان فراهم مي‌گردد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آغاجري، توسعه، شماره‌ي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ولايت 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حكومت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مؤسسه‌ي تنظيم و نشر آثار امام، تهران،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آغاجري در مصاحبه‌اي دو صفحه‌اي در روزنامه‌ي توسعه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در روزنامه‌ي ملّت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حيات نو،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روزنامه‌ي توسعه،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چهارم، نشر اسلامي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طوسي، محمد بن حسن،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نشر اسلامي،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نشر اسلامي،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محمد بن علي، الوسيله،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نشر كتابخانه‌ي آيت الله مرعشي،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الحسّون،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محمد بن ادريس،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نشر اسلامي،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جعفر بن محمد، شرايع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انتشارات استقلال، تهران،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حسن بن يوسف ،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مكتبة مرتضويه، سنگي، بي‌تا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حسن بن يوسف، تحريرالأحكام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مؤسسه‌ي طوس للبلاغه‌ي والنشر، مشهد، سنگي، بي‌تا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حسن بن يوسف، قواعد الاحكام،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منشورات الرضي، قم، سنگي، بي‌تا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حسن بن يوسف، مختلف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دفتر تبليغات اسلامي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اردبيلي، شيخ احمد، مجمع الفائدة 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اوّل، نشر اسلامي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منتظري، حسينعلي، البدر الزاهر، تقريرات درس مرحوم 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دفتر تبليغات اسلامي قم،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ولايت 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حكومت 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نشر مؤسسه‌ي تنظيم و آثار امام، تهران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آغاجري چنين ادعا مي‌كند، روزنامه‌ي توسعه،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مصباح يزدي، محمد تقي، پرسش‌ها و پاسخ‌ها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نشر مؤسسه‌ي آموزش پژوهشي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جوادي آملي، عبدالله، ولايت 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فرهنگي رجا، قم،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 روحانيت، پيام به حوزه‌ها و مراجع بزرگوار،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صحيفه‌ي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اللهي، محمد تقي، ولايت فقيه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انتشارات اميركبير،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مختاري، رضا، سيماي فرزانگان،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چهارم، انتشارات دفتر تبليغات اسلامي قم،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گنجينه‌ي دانشمندان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صادقي، محمد، نگاهي به تاريخ انقلاب اسلامي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دارالفكر،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 روحانيت،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صحيفه‌ي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المقنعة، همان،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جزايري، نعمت الله، انوار النعمانية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شركت چاپ تبريز، بي‌تا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مختاري، رضا، همان،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تنكابني، محمد، قصص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علميه اسلاميه تهران، بي‌تا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مختاري، رضا، همان، ،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صحيفه‌ي نور،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تاريخچه‌ي سازمان مجاهدين انقلاب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انتشارات سازمان تهران، ارديبهشت،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بيانيه‌ي شماره‌ي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عاملي، محمد جواد 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آل البيت، قم، بي‌تا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كديور، همبستگي، شماره‌ي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يزدي، محمدتقي، حكومت و مشروعيت، فصلنامه كتاب نقد،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انعام، آيه‌ي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انعام، آيه‌ي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آيه‌ي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آيه‌ي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هود، آيه‌ي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ممدوحي، حسن، حكمت حكومت فقيه، انتشارات دفتر تبليغات اسلامي، چاپ بهمن، نوبت 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يزد، شماره‌ي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مقاله‌ي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خاتمي آخرين گزينه براي حفظ مشروعيت نظام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روزنامه‌ي همبستگي، 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طارق متري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گفت‌وگو با سيد محمد علي ابطحي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روزنامه‌ي اطلاعات، شماره‌ي </w:t>
      </w:r>
      <w:r>
        <w:rPr>
          <w:rFonts w:eastAsia="IRNazanin" w:cs="IRNazanin"/>
          <w:b w:val="false"/>
          <w:bCs w:val="false"/>
          <w:i w:val="false"/>
          <w:iCs w:val="false"/>
          <w:color w:val="333333"/>
          <w:sz w:val="20"/>
          <w:szCs w:val="20"/>
        </w:rPr>
        <w:t>22301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روزنامه‌ي اطلاعات،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ستون اوّل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علامه طباطبائي،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بقره،آيه‌ي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به آيه‌ي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يونس رجوع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مجتهد شبستري، نوروز، شماره‌ي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خندان، سيد علي اصغر، منطق كاربردي، انتشارات سمت و طه، تهران و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معلمي، حسن، منطق و تفكر انتقادي، مؤسسه‌ي آموزش پژوهشي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ويراست دوم ،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قم،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شهابي، محمود، رهبرخرد،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فروشي خيام، چاپ هفتم،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هندرسن، ايان، پديدآورندگان كلام جديد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ردولف بولتمان، حنايي كاشاني، محمد سعيد، گروسي،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كاربردي،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روزنامه‌ي نوروز، چهار 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كاربردي،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حسين‌زاده، محمد، مباني معرفت ديني، مؤسسه‌ي آموزش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 چاپ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واعظي، احمد، جزوه‌ي درسي، بي‌تا، بي‌جا، بي‌نا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Bultmann, Rudolf, New Testement and Mythology, The problem of Hermeneueutcs, scm press ltd, 1984. p 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پالمر، ريچارد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اچ، علم هرمنوتيك، محمد سعيد حنايي كاشاني ، هرمس،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روزنامه‌ي نوروز، 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معرفت ديني، 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روزنامه‌ي نوروز، 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 testement and my theology;p.70</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 p. 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معرفت ديني،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سالوين شاپيرو، ليبراليسم؛ معنا و تاريخ آن، نشر مركز، تهران،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ترجمه‌ي محمدسعيد حنايي كاشاني،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تغاير اسلام و ليبراليسم، مطلبي است كه از حجت الاسلام آقاي علي ايازي در نشريه‌ي توسعه، شماره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14/8/80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ليبراليسم با اسلام مغايرتي ندارد، درج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استفاده‌ي اطلاقي كه در عنوان آمده از متن سخنان گوينده مشكل است، ولي بهر حال عنوان مطرح شده در نشريه، خالي از تأمل نيست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سالوين شاپيرو،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نور، آيه‌ي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يزدي، محمدتقي، نظريه‌ي سياسي اسلام، مؤسسه آموزشي و پژوهشي امام خميني، 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اوّل،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آنتوني آر پلاستر، ظهور و سقوط ليبراليسم غرب، نشر مركز،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ترجمه‌ي عباس مخبر،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سالوين، شاپيرو،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مائده، آيه‌ي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يزدي، 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همچنين سوره‌ي نساء، آيه‌ي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آيه‌ي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مي‌خوانيم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براي كافران بر مؤمنين تفوق و برتري قرار نداده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بشريه، آبان، شماره‌ي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نيمه‌ي دوّم شهريور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بقره‌ي آيه‌ي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احمدي، ايران،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عبدالهادي حائري، نخستين رويارويي‌هاي انديشه‌گران ايران با دورويه تمدن بورژوازي غرب، تهران، چ سوّم اميركبير،</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عبدالهادي حائري، 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مرتضي، بررسي اجمالي نهضت‌هاي اسلامي در صد ساله‌ي اخير،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صدرا،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زيباكلام، صادق، مقدمه‌اي بر انقلاب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روزنه،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مانادشتگلي نوروز، شماره‌ي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گيو نمازي،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شلوار لي، آستين كوتاه، رنگ روشن نه 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روزنامه‌ي نوروز،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اصغر، ناظم‌زاده قمي، جلوه‌هاي حكمت گزيده‌ي موضوعي كلمات اميرالمؤمنين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دفتر نشر الهادي، قم،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تحقيق صبحي صالح،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مانا دشتگُلي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 پدرم مرا نشناسد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روزنامه‌ي نوروز،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مجله‌ي زنان در بهمن و اسفند شماره‌ي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مصاحبه‌ي مفصلي درباره‌ي لباس و حجاب مشكي با مردم كوچه و بازار و خصوصاً زنان چاپ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مصاحبه‌ي ياد شده نيز به دليل دو مشكل اساسي از فقر در روش منطقي شديداً رنج مي‌برد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اوّل اين كه اين گونه مصاحبه‌ها با مردم كوچه و بازار مبتني بر نظرات سريع و نسنجيده وبدون كارشناسي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ارزش علمي و منطقي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دوّم اين كه مصاحبه كننده در جاي جاي مصاحبه با طرح سؤالات شبهه برانگيز تلاش نموده با استفاده از روش تبليغ القايي منفي مطالبي را بر ضد حجاب و پوشش مشكي به ذهن مخاطبان تحميل نمايد پرواضح است كه روش مذكور نيز شديداً باعث كاهش ارزش علمي اينگونه مصاحبه‌ها مي‌گردد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هم‌انديشي منطقي با جوانان درباره‌ي لباس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حسين مهدي‌زاده، روزنامه‌ي جمهوري اسلامي،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توضيح المسائل فقها و مراجع تقليد، مباحث مربوط به پوشش و محرم و نامحرم مراجعه شود به عنوان نمونه، در زير نظر فقهي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آيت الله خامنه‌اي ذكر مي‌گردد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بايد انسان از پوشيدن لباس شهرت كه پارچه يا رنگ يا دوخت آن براي كسي كه مي‌خواهد آن را بپوشد معمول نيست خودداري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رساله‌ي توضيح المسائل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مسأله‌ي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از انتخاب رنگ يا شكلي كه موجب جلب‌نظر و انگشت‌نما شدن است خودداري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استفتاء از آيت الله خامنه‌اي، سالنامه‌ي زن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از سوي ستاد برگزاري نمايشگاه تشخص و منزلت زن در نظام اسلامي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تَبَرَّجْنَ تَبَرُّجَ الْجاهِلِيَّةِ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سوره‌ي احزاب، آيه‌ي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غير متبرجات بزينةٍ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سوره‌ي نور، آيه‌ي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يَضْرِبْنَ بِأَرْجُلِهِنَّ لِيُعْلَمَ ما يُخْفِينَ مِنْ زِينَتِهِنَّ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سوره‌ي نور، آيه‌ي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يُبْدِينَ زِينَتَهُنَّ إِلاَّ لِبُعُولَتِهِنَّ أَوْ آبائِهِنَّ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نور، آيه‌ي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لاينبغي للمرأة ان تعطّل نفسها و لو ان تعلّق في عنقها قلادةً،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عاملي، وسايل الشيعه، دار احياء التراث العربي،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حديث اوّل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معصومي، سيد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روابط زن و مرد و مسائل اجتماعي آنان مطابق با نظرات آيات و مراجع 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دفتر تبليغات اسلامي، احكام زينت،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 الشيعه الي المسائل الشريعه،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الحج، روايات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احرام،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همچنين صدوق، المقنع،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چ مؤسسة الامام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 الشيعه،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العربي، بيروت،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احكام لباس،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هم‌چنين، طباطبائي، سيدمحمدكاظم، العروة الوثقي، مكتبة الوحداني، قم،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كتاب‌هاي احاديث ذيل واژه‌هاي سرور، بهجت، نضره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 و فرح مراجعه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كتاب حديثي 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ذيل واژه‌ي سرور، احاديثي در اين زمينه نقل شده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آگاهي از عدم صحت تصور مذكور به دومين قسمت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ادله‌ي مخالفين چادر مشكي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روزنامه‌ي جمهوري اسلامي،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مجله‌ي زندگي، دفتر شادابي،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تهيه نشر دارالحديث، قم؛ بهار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كتاب آيين زندگي،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مجله‌ي زندگي، دفتر شادابي،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تهيه و نشر مركز تحقيقات دارالحديث قم،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شادي و زندگي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دكتر مهدي بهادري نژاد، نشر اوحدي، تهران، چ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مراجعه گردد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image" Target="media/image4.jpeg"/><Relationship Id="rId42" Type="http://schemas.openxmlformats.org/officeDocument/2006/relationships/image" Target="media/image4.jpeg"/><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image" Target="media/image5.jpeg"/><Relationship Id="rId50" Type="http://schemas.openxmlformats.org/officeDocument/2006/relationships/image" Target="media/image5.jpeg"/><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image" Target="media/image6.jpeg"/><Relationship Id="rId62" Type="http://schemas.openxmlformats.org/officeDocument/2006/relationships/image" Target="media/image6.jpeg"/><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image" Target="media/image7.jpeg"/><Relationship Id="rId72" Type="http://schemas.openxmlformats.org/officeDocument/2006/relationships/image" Target="media/image7.jpeg"/><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image" Target="media/image8.jpeg"/><Relationship Id="rId82" Type="http://schemas.openxmlformats.org/officeDocument/2006/relationships/image" Target="media/image8.jpeg"/><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91.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18826</Words>
  <Characters>76460</Characters>
  <CharactersWithSpaces>94826</CharactersWithSpaces>
  <Paragraphs>699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2026-08-24T17:22:33Z</dcterms:created>
  <dc:creator>ghaemiyeh.com</dc:creator>
  <dc:description/>
  <dc:language>en-US</dc:language>
  <cp:lastModifiedBy/>
  <dcterms:modified xsi:type="dcterms:W3CDTF">2026-08-24T20:52:53Z</dcterms:modified>
  <cp:revision>1</cp:revision>
  <dc:subject/>
  <dc:title>آسیب شناسی مطبوعات جلد 1</dc:title>
</cp:coreProperties>
</file>

<file path=docProps/custom.xml><?xml version="1.0" encoding="utf-8"?>
<Properties xmlns="http://schemas.openxmlformats.org/officeDocument/2006/custom-properties" xmlns:vt="http://schemas.openxmlformats.org/officeDocument/2006/docPropsVTypes"/>
</file>