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فرائد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6785_3224264995">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766787_3224264995">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766789_3224264995">
            <w:r>
              <w:rPr>
                <w:webHidden/>
                <w:rStyle w:val="IndexLink"/>
                <w:rtl w:val="true"/>
              </w:rPr>
              <w:t>المقام الثانی</w:t>
            </w:r>
            <w:r>
              <w:rPr>
                <w:rStyle w:val="IndexLink"/>
                <w:rtl w:val="true"/>
              </w:rPr>
              <w:t xml:space="preserve">: </w:t>
            </w:r>
            <w:r>
              <w:rPr>
                <w:rStyle w:val="IndexLink"/>
                <w:rtl w:val="true"/>
              </w:rPr>
              <w:t>فی الاستصحاب</w:t>
            </w:r>
            <w:r>
              <w:rPr>
                <w:rStyle w:val="IndexLink"/>
                <w:rtl w:val="true"/>
              </w:rPr>
              <w:tab/>
            </w:r>
            <w:r>
              <w:rPr>
                <w:rStyle w:val="IndexLink"/>
              </w:rPr>
              <w:t>27</w:t>
            </w:r>
          </w:hyperlink>
        </w:p>
        <w:p>
          <w:pPr>
            <w:pStyle w:val="Contents3"/>
            <w:tabs>
              <w:tab w:val="clear" w:pos="8459"/>
              <w:tab w:val="right" w:pos="9026" w:leader="dot"/>
            </w:tabs>
            <w:rPr/>
          </w:pPr>
          <w:hyperlink w:anchor="__RefHeading___Toc5766791_322426499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766793_3224264995">
            <w:r>
              <w:rPr>
                <w:webHidden/>
                <w:rStyle w:val="IndexLink"/>
                <w:rtl w:val="true"/>
              </w:rPr>
              <w:t>تعاریف الاستصحاب</w:t>
            </w:r>
            <w:r>
              <w:rPr>
                <w:rStyle w:val="IndexLink"/>
                <w:rtl w:val="true"/>
              </w:rPr>
              <w:t>:</w:t>
              <w:tab/>
            </w:r>
            <w:r>
              <w:rPr>
                <w:rStyle w:val="IndexLink"/>
              </w:rPr>
              <w:t>27</w:t>
            </w:r>
          </w:hyperlink>
        </w:p>
        <w:p>
          <w:pPr>
            <w:pStyle w:val="Contents4"/>
            <w:tabs>
              <w:tab w:val="clear" w:pos="8176"/>
              <w:tab w:val="right" w:pos="9026" w:leader="dot"/>
            </w:tabs>
            <w:rPr/>
          </w:pPr>
          <w:hyperlink w:anchor="__RefHeading___Toc5766795_3224264995">
            <w:r>
              <w:rPr>
                <w:webHidden/>
                <w:rStyle w:val="IndexLink"/>
                <w:rtl w:val="true"/>
              </w:rPr>
              <w:t>الاستصحاب لغة و اصطلاحا</w:t>
            </w:r>
            <w:r>
              <w:rPr>
                <w:rStyle w:val="IndexLink"/>
                <w:rtl w:val="true"/>
              </w:rPr>
              <w:tab/>
            </w:r>
            <w:r>
              <w:rPr>
                <w:rStyle w:val="IndexLink"/>
              </w:rPr>
              <w:t>27</w:t>
            </w:r>
          </w:hyperlink>
        </w:p>
        <w:p>
          <w:pPr>
            <w:pStyle w:val="Contents4"/>
            <w:tabs>
              <w:tab w:val="clear" w:pos="8176"/>
              <w:tab w:val="right" w:pos="9026" w:leader="dot"/>
            </w:tabs>
            <w:rPr/>
          </w:pPr>
          <w:hyperlink w:anchor="__RefHeading___Toc5766797_3224264995">
            <w:r>
              <w:rPr>
                <w:webHidden/>
                <w:rStyle w:val="IndexLink"/>
                <w:rtl w:val="true"/>
              </w:rPr>
              <w:t>تعریف صاحب القوانین و المناقشة فیه</w:t>
            </w:r>
            <w:r>
              <w:rPr>
                <w:rStyle w:val="IndexLink"/>
                <w:rtl w:val="true"/>
              </w:rPr>
              <w:t>:</w:t>
              <w:tab/>
            </w:r>
            <w:r>
              <w:rPr>
                <w:rStyle w:val="IndexLink"/>
              </w:rPr>
              <w:t>28</w:t>
            </w:r>
          </w:hyperlink>
        </w:p>
        <w:p>
          <w:pPr>
            <w:pStyle w:val="Contents5"/>
            <w:tabs>
              <w:tab w:val="clear" w:pos="7892"/>
              <w:tab w:val="right" w:pos="9026" w:leader="dot"/>
            </w:tabs>
            <w:rPr/>
          </w:pPr>
          <w:hyperlink w:anchor="__RefHeading___Toc5766799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5766801_3224264995">
            <w:r>
              <w:rPr>
                <w:webHidden/>
                <w:rStyle w:val="IndexLink"/>
                <w:rtl w:val="true"/>
              </w:rPr>
              <w:t>توجیه تعریف القوانین</w:t>
            </w:r>
            <w:r>
              <w:rPr>
                <w:rStyle w:val="IndexLink"/>
                <w:rtl w:val="true"/>
              </w:rPr>
              <w:t>:</w:t>
              <w:tab/>
            </w:r>
            <w:r>
              <w:rPr>
                <w:rStyle w:val="IndexLink"/>
              </w:rPr>
              <w:t>28</w:t>
            </w:r>
          </w:hyperlink>
        </w:p>
        <w:p>
          <w:pPr>
            <w:pStyle w:val="Contents6"/>
            <w:tabs>
              <w:tab w:val="clear" w:pos="7609"/>
              <w:tab w:val="right" w:pos="9026" w:leader="dot"/>
            </w:tabs>
            <w:rPr/>
          </w:pPr>
          <w:hyperlink w:anchor="__RefHeading___Toc5766803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5766805_3224264995">
            <w:r>
              <w:rPr>
                <w:webHidden/>
                <w:rStyle w:val="IndexLink"/>
                <w:rtl w:val="true"/>
              </w:rPr>
              <w:t>عدم تمامیة التوجیه المذکور</w:t>
            </w:r>
            <w:r>
              <w:rPr>
                <w:rStyle w:val="IndexLink"/>
                <w:rtl w:val="true"/>
              </w:rPr>
              <w:t>:</w:t>
              <w:tab/>
            </w:r>
            <w:r>
              <w:rPr>
                <w:rStyle w:val="IndexLink"/>
              </w:rPr>
              <w:t>28</w:t>
            </w:r>
          </w:hyperlink>
        </w:p>
        <w:p>
          <w:pPr>
            <w:pStyle w:val="Contents4"/>
            <w:tabs>
              <w:tab w:val="clear" w:pos="8176"/>
              <w:tab w:val="right" w:pos="9026" w:leader="dot"/>
            </w:tabs>
            <w:rPr/>
          </w:pPr>
          <w:hyperlink w:anchor="__RefHeading___Toc5766807_3224264995">
            <w:r>
              <w:rPr>
                <w:webHidden/>
                <w:rStyle w:val="IndexLink"/>
                <w:rtl w:val="true"/>
              </w:rPr>
              <w:t>تعریف شارح المختصر</w:t>
            </w:r>
            <w:r>
              <w:rPr>
                <w:rStyle w:val="IndexLink"/>
                <w:rtl w:val="true"/>
              </w:rPr>
              <w:t>:</w:t>
              <w:tab/>
            </w:r>
            <w:r>
              <w:rPr>
                <w:rStyle w:val="IndexLink"/>
              </w:rPr>
              <w:t>29</w:t>
            </w:r>
          </w:hyperlink>
        </w:p>
        <w:p>
          <w:pPr>
            <w:pStyle w:val="Contents4"/>
            <w:tabs>
              <w:tab w:val="clear" w:pos="8176"/>
              <w:tab w:val="right" w:pos="9026" w:leader="dot"/>
            </w:tabs>
            <w:rPr/>
          </w:pPr>
          <w:hyperlink w:anchor="__RefHeading___Toc5766809_3224264995">
            <w:r>
              <w:rPr>
                <w:webHidden/>
                <w:rStyle w:val="IndexLink"/>
                <w:rtl w:val="true"/>
              </w:rPr>
              <w:t>تعریف صاحب الوافیة</w:t>
            </w:r>
            <w:r>
              <w:rPr>
                <w:rStyle w:val="IndexLink"/>
                <w:rtl w:val="true"/>
              </w:rPr>
              <w:t>:</w:t>
              <w:tab/>
            </w:r>
            <w:r>
              <w:rPr>
                <w:rStyle w:val="IndexLink"/>
              </w:rPr>
              <w:t>29</w:t>
            </w:r>
          </w:hyperlink>
        </w:p>
        <w:p>
          <w:pPr>
            <w:pStyle w:val="Contents3"/>
            <w:tabs>
              <w:tab w:val="clear" w:pos="8459"/>
              <w:tab w:val="right" w:pos="9026" w:leader="dot"/>
            </w:tabs>
            <w:rPr/>
          </w:pPr>
          <w:hyperlink w:anchor="__RefHeading___Toc5766811_3224264995">
            <w:r>
              <w:rPr>
                <w:webHidden/>
                <w:rStyle w:val="IndexLink"/>
                <w:rtl w:val="true"/>
              </w:rPr>
              <w:t>بقی الکلام فی امور</w:t>
            </w:r>
            <w:r>
              <w:rPr>
                <w:rStyle w:val="IndexLink"/>
                <w:rtl w:val="true"/>
              </w:rPr>
              <w:t>:</w:t>
              <w:tab/>
            </w:r>
            <w:r>
              <w:rPr>
                <w:rStyle w:val="IndexLink"/>
              </w:rPr>
              <w:t>31</w:t>
            </w:r>
          </w:hyperlink>
        </w:p>
        <w:p>
          <w:pPr>
            <w:pStyle w:val="Contents4"/>
            <w:tabs>
              <w:tab w:val="clear" w:pos="8176"/>
              <w:tab w:val="right" w:pos="9026" w:leader="dot"/>
            </w:tabs>
            <w:rPr/>
          </w:pPr>
          <w:hyperlink w:anchor="__RefHeading___Toc5766813_3224264995">
            <w:r>
              <w:rPr>
                <w:webHidden/>
                <w:rStyle w:val="IndexLink"/>
                <w:rtl w:val="true"/>
              </w:rPr>
              <w:t xml:space="preserve">الأمر الأوّل </w:t>
            </w:r>
            <w:r>
              <w:rPr>
                <w:rStyle w:val="IndexLink"/>
                <w:rtl w:val="true"/>
              </w:rPr>
              <w:t>:</w:t>
            </w:r>
            <w:r>
              <w:rPr>
                <w:rStyle w:val="IndexLink"/>
                <w:rtl w:val="true"/>
              </w:rPr>
              <w:t>هل الاستصحاب أصل عملیّ أو أمارة ظنّیة؟</w:t>
            </w:r>
            <w:r>
              <w:rPr>
                <w:rStyle w:val="IndexLink"/>
                <w:rtl w:val="true"/>
              </w:rPr>
              <w:tab/>
            </w:r>
            <w:r>
              <w:rPr>
                <w:rStyle w:val="IndexLink"/>
              </w:rPr>
              <w:t>31</w:t>
            </w:r>
          </w:hyperlink>
        </w:p>
        <w:p>
          <w:pPr>
            <w:pStyle w:val="Contents5"/>
            <w:tabs>
              <w:tab w:val="clear" w:pos="7892"/>
              <w:tab w:val="right" w:pos="9026" w:leader="dot"/>
            </w:tabs>
            <w:rPr/>
          </w:pPr>
          <w:hyperlink w:anchor="__RefHeading___Toc5766815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5766817_3224264995">
            <w:r>
              <w:rPr>
                <w:webHidden/>
                <w:rStyle w:val="IndexLink"/>
                <w:rtl w:val="true"/>
              </w:rPr>
              <w:t>المختار کونه من الاصول العملیّة</w:t>
            </w:r>
            <w:r>
              <w:rPr>
                <w:rStyle w:val="IndexLink"/>
                <w:rtl w:val="true"/>
              </w:rPr>
              <w:t>:</w:t>
              <w:tab/>
            </w:r>
            <w:r>
              <w:rPr>
                <w:rStyle w:val="IndexLink"/>
              </w:rPr>
              <w:t>31</w:t>
            </w:r>
          </w:hyperlink>
        </w:p>
        <w:p>
          <w:pPr>
            <w:pStyle w:val="Contents4"/>
            <w:tabs>
              <w:tab w:val="clear" w:pos="8176"/>
              <w:tab w:val="right" w:pos="9026" w:leader="dot"/>
            </w:tabs>
            <w:rPr/>
          </w:pPr>
          <w:hyperlink w:anchor="__RefHeading___Toc5766819_3224264995">
            <w:r>
              <w:rPr>
                <w:webHidden/>
                <w:rStyle w:val="IndexLink"/>
                <w:rtl w:val="true"/>
              </w:rPr>
              <w:t xml:space="preserve">الأمر الثانی </w:t>
            </w:r>
            <w:r>
              <w:rPr>
                <w:rStyle w:val="IndexLink"/>
                <w:rtl w:val="true"/>
              </w:rPr>
              <w:t>:</w:t>
            </w:r>
            <w:r>
              <w:rPr>
                <w:rStyle w:val="IndexLink"/>
                <w:rtl w:val="true"/>
              </w:rPr>
              <w:t>الوجه فی عدّ الاستصحاب من الأدلّة العقلیّة</w:t>
            </w:r>
            <w:r>
              <w:rPr>
                <w:rStyle w:val="IndexLink"/>
                <w:rtl w:val="true"/>
              </w:rPr>
              <w:tab/>
            </w:r>
            <w:r>
              <w:rPr>
                <w:rStyle w:val="IndexLink"/>
              </w:rPr>
              <w:t>34</w:t>
            </w:r>
          </w:hyperlink>
        </w:p>
        <w:p>
          <w:pPr>
            <w:pStyle w:val="Contents4"/>
            <w:tabs>
              <w:tab w:val="clear" w:pos="8176"/>
              <w:tab w:val="right" w:pos="9026" w:leader="dot"/>
            </w:tabs>
            <w:rPr/>
          </w:pPr>
          <w:hyperlink w:anchor="__RefHeading___Toc5766821_3224264995">
            <w:r>
              <w:rPr>
                <w:webHidden/>
                <w:rStyle w:val="IndexLink"/>
                <w:rtl w:val="true"/>
              </w:rPr>
              <w:t xml:space="preserve">الأمر الثالث </w:t>
            </w:r>
            <w:r>
              <w:rPr>
                <w:rStyle w:val="IndexLink"/>
                <w:rtl w:val="true"/>
              </w:rPr>
              <w:t>:</w:t>
            </w:r>
            <w:r>
              <w:rPr>
                <w:rStyle w:val="IndexLink"/>
                <w:rtl w:val="true"/>
              </w:rPr>
              <w:t>هل الاستصحاب مسألة اصولیّة أو فقهیّة؟</w:t>
            </w:r>
            <w:r>
              <w:rPr>
                <w:rStyle w:val="IndexLink"/>
                <w:rtl w:val="true"/>
              </w:rPr>
              <w:tab/>
            </w:r>
            <w:r>
              <w:rPr>
                <w:rStyle w:val="IndexLink"/>
              </w:rPr>
              <w:t>35</w:t>
            </w:r>
          </w:hyperlink>
        </w:p>
        <w:p>
          <w:pPr>
            <w:pStyle w:val="Contents5"/>
            <w:tabs>
              <w:tab w:val="clear" w:pos="7892"/>
              <w:tab w:val="right" w:pos="9026" w:leader="dot"/>
            </w:tabs>
            <w:rPr/>
          </w:pPr>
          <w:hyperlink w:anchor="__RefHeading___Toc5766823_3224264995">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5766825_3224264995">
            <w:r>
              <w:rPr>
                <w:webHidden/>
                <w:rStyle w:val="IndexLink"/>
                <w:rtl w:val="true"/>
              </w:rPr>
              <w:t>بناء علی کونه حکما عقلیا فهو مسألة اصولیّة</w:t>
            </w:r>
            <w:r>
              <w:rPr>
                <w:rStyle w:val="IndexLink"/>
                <w:rtl w:val="true"/>
              </w:rPr>
              <w:t>:</w:t>
              <w:tab/>
            </w:r>
            <w:r>
              <w:rPr>
                <w:rStyle w:val="IndexLink"/>
              </w:rPr>
              <w:t>35</w:t>
            </w:r>
          </w:hyperlink>
        </w:p>
        <w:p>
          <w:pPr>
            <w:pStyle w:val="Contents5"/>
            <w:tabs>
              <w:tab w:val="clear" w:pos="7892"/>
              <w:tab w:val="right" w:pos="9026" w:leader="dot"/>
            </w:tabs>
            <w:rPr/>
          </w:pPr>
          <w:hyperlink w:anchor="__RefHeading___Toc5766827_3224264995">
            <w:r>
              <w:rPr>
                <w:webHidden/>
                <w:rStyle w:val="IndexLink"/>
                <w:rtl w:val="true"/>
              </w:rPr>
              <w:t>بناء علی کونه من الاصول العملیّة ففی کونه من المسائل الاصولیّة غموض</w:t>
            </w:r>
            <w:r>
              <w:rPr>
                <w:rStyle w:val="IndexLink"/>
                <w:rtl w:val="true"/>
              </w:rPr>
              <w:t>:</w:t>
              <w:tab/>
            </w:r>
            <w:r>
              <w:rPr>
                <w:rStyle w:val="IndexLink"/>
              </w:rPr>
              <w:t>36</w:t>
            </w:r>
          </w:hyperlink>
        </w:p>
        <w:p>
          <w:pPr>
            <w:pStyle w:val="Contents5"/>
            <w:tabs>
              <w:tab w:val="clear" w:pos="7892"/>
              <w:tab w:val="right" w:pos="9026" w:leader="dot"/>
            </w:tabs>
            <w:rPr/>
          </w:pPr>
          <w:hyperlink w:anchor="__RefHeading___Toc5766829_3224264995">
            <w:r>
              <w:rPr>
                <w:webHidden/>
                <w:rStyle w:val="IndexLink"/>
                <w:rtl w:val="true"/>
              </w:rPr>
              <w:t>الإشکال فی کون الاستصحاب من المسائل الفرعیة</w:t>
            </w:r>
            <w:r>
              <w:rPr>
                <w:rStyle w:val="IndexLink"/>
                <w:rtl w:val="true"/>
              </w:rPr>
              <w:t>:</w:t>
              <w:tab/>
            </w:r>
            <w:r>
              <w:rPr>
                <w:rStyle w:val="IndexLink"/>
              </w:rPr>
              <w:t>36</w:t>
            </w:r>
          </w:hyperlink>
        </w:p>
        <w:p>
          <w:pPr>
            <w:pStyle w:val="Contents5"/>
            <w:tabs>
              <w:tab w:val="clear" w:pos="7892"/>
              <w:tab w:val="right" w:pos="9026" w:leader="dot"/>
            </w:tabs>
            <w:rPr/>
          </w:pPr>
          <w:hyperlink w:anchor="__RefHeading___Toc5766831_3224264995">
            <w:r>
              <w:rPr>
                <w:webHidden/>
                <w:rStyle w:val="IndexLink"/>
                <w:rtl w:val="true"/>
              </w:rPr>
              <w:t>کلام السید بحر العلوم فیما یرتبط بالمقام</w:t>
            </w:r>
            <w:r>
              <w:rPr>
                <w:rStyle w:val="IndexLink"/>
                <w:rtl w:val="true"/>
              </w:rPr>
              <w:t>:</w:t>
              <w:tab/>
            </w:r>
            <w:r>
              <w:rPr>
                <w:rStyle w:val="IndexLink"/>
              </w:rPr>
              <w:t>37</w:t>
            </w:r>
          </w:hyperlink>
        </w:p>
        <w:p>
          <w:pPr>
            <w:pStyle w:val="Contents6"/>
            <w:tabs>
              <w:tab w:val="clear" w:pos="7609"/>
              <w:tab w:val="right" w:pos="9026" w:leader="dot"/>
            </w:tabs>
            <w:rPr/>
          </w:pPr>
          <w:hyperlink w:anchor="__RefHeading___Toc5766833_3224264995">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5766835_3224264995">
            <w:r>
              <w:rPr>
                <w:webHidden/>
                <w:rStyle w:val="IndexLink"/>
                <w:rtl w:val="true"/>
              </w:rPr>
              <w:t>المناقشة فیما أفاده بحر العلوم</w:t>
            </w:r>
            <w:r>
              <w:rPr>
                <w:rStyle w:val="IndexLink"/>
                <w:rtl w:val="true"/>
              </w:rPr>
              <w:t>:</w:t>
              <w:tab/>
            </w:r>
            <w:r>
              <w:rPr>
                <w:rStyle w:val="IndexLink"/>
              </w:rPr>
              <w:t>38</w:t>
            </w:r>
          </w:hyperlink>
        </w:p>
        <w:p>
          <w:pPr>
            <w:pStyle w:val="Contents5"/>
            <w:tabs>
              <w:tab w:val="clear" w:pos="7892"/>
              <w:tab w:val="right" w:pos="9026" w:leader="dot"/>
            </w:tabs>
            <w:rPr/>
          </w:pPr>
          <w:hyperlink w:anchor="__RefHeading___Toc5766837_3224264995">
            <w:r>
              <w:rPr>
                <w:webHidden/>
                <w:rStyle w:val="IndexLink"/>
                <w:rtl w:val="true"/>
              </w:rPr>
              <w:t>الاستصحاب الجاری فی الشبهة الموضوعیّة</w:t>
            </w:r>
            <w:r>
              <w:rPr>
                <w:rStyle w:val="IndexLink"/>
                <w:rtl w:val="true"/>
              </w:rPr>
              <w:t>:</w:t>
              <w:tab/>
            </w:r>
            <w:r>
              <w:rPr>
                <w:rStyle w:val="IndexLink"/>
              </w:rPr>
              <w:t>38</w:t>
            </w:r>
          </w:hyperlink>
        </w:p>
        <w:p>
          <w:pPr>
            <w:pStyle w:val="Contents4"/>
            <w:tabs>
              <w:tab w:val="clear" w:pos="8176"/>
              <w:tab w:val="right" w:pos="9026" w:leader="dot"/>
            </w:tabs>
            <w:rPr/>
          </w:pPr>
          <w:hyperlink w:anchor="__RefHeading___Toc5766839_3224264995">
            <w:r>
              <w:rPr>
                <w:webHidden/>
                <w:rStyle w:val="IndexLink"/>
                <w:rtl w:val="true"/>
              </w:rPr>
              <w:t xml:space="preserve">الأمر الرابع </w:t>
            </w:r>
            <w:r>
              <w:rPr>
                <w:rStyle w:val="IndexLink"/>
                <w:rtl w:val="true"/>
              </w:rPr>
              <w:t>:</w:t>
            </w:r>
            <w:r>
              <w:rPr>
                <w:rStyle w:val="IndexLink"/>
                <w:rtl w:val="true"/>
              </w:rPr>
              <w:t>مناط الاستصحاب بناء علی کونه من باب التعبّد</w:t>
            </w:r>
            <w:r>
              <w:rPr>
                <w:rStyle w:val="IndexLink"/>
                <w:rtl w:val="true"/>
              </w:rPr>
              <w:tab/>
            </w:r>
            <w:r>
              <w:rPr>
                <w:rStyle w:val="IndexLink"/>
              </w:rPr>
              <w:t>39</w:t>
            </w:r>
          </w:hyperlink>
        </w:p>
        <w:p>
          <w:pPr>
            <w:pStyle w:val="Contents5"/>
            <w:tabs>
              <w:tab w:val="clear" w:pos="7892"/>
              <w:tab w:val="right" w:pos="9026" w:leader="dot"/>
            </w:tabs>
            <w:rPr/>
          </w:pPr>
          <w:hyperlink w:anchor="__RefHeading___Toc5766841_3224264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5766843_3224264995">
            <w:r>
              <w:rPr>
                <w:webHidden/>
                <w:rStyle w:val="IndexLink"/>
                <w:rtl w:val="true"/>
              </w:rPr>
              <w:t>لیس المناط الظنّ الشخصی بناء علی کونه من باب الظنّ</w:t>
            </w:r>
            <w:r>
              <w:rPr>
                <w:rStyle w:val="IndexLink"/>
                <w:rtl w:val="true"/>
              </w:rPr>
              <w:t>:</w:t>
              <w:tab/>
            </w:r>
            <w:r>
              <w:rPr>
                <w:rStyle w:val="IndexLink"/>
              </w:rPr>
              <w:t>39</w:t>
            </w:r>
          </w:hyperlink>
        </w:p>
        <w:p>
          <w:pPr>
            <w:pStyle w:val="Contents5"/>
            <w:tabs>
              <w:tab w:val="clear" w:pos="7892"/>
              <w:tab w:val="right" w:pos="9026" w:leader="dot"/>
            </w:tabs>
            <w:rPr/>
          </w:pPr>
          <w:hyperlink w:anchor="__RefHeading___Toc5766845_3224264995">
            <w:r>
              <w:rPr>
                <w:webHidden/>
                <w:rStyle w:val="IndexLink"/>
                <w:rtl w:val="true"/>
              </w:rPr>
              <w:t>کلام الشیخ البهائی فی أن المناط الظن الشخصی</w:t>
            </w:r>
            <w:r>
              <w:rPr>
                <w:rStyle w:val="IndexLink"/>
                <w:rtl w:val="true"/>
              </w:rPr>
              <w:t>:</w:t>
              <w:tab/>
            </w:r>
            <w:r>
              <w:rPr>
                <w:rStyle w:val="IndexLink"/>
              </w:rPr>
              <w:t>39</w:t>
            </w:r>
          </w:hyperlink>
        </w:p>
        <w:p>
          <w:pPr>
            <w:pStyle w:val="Contents5"/>
            <w:tabs>
              <w:tab w:val="clear" w:pos="7892"/>
              <w:tab w:val="right" w:pos="9026" w:leader="dot"/>
            </w:tabs>
            <w:rPr/>
          </w:pPr>
          <w:hyperlink w:anchor="__RefHeading___Toc5766847_3224264995">
            <w:r>
              <w:rPr>
                <w:webHidden/>
                <w:rStyle w:val="IndexLink"/>
                <w:rtl w:val="true"/>
              </w:rPr>
              <w:t>ظاهر شارح الدروس ارتضاؤه ذلک</w:t>
            </w:r>
            <w:r>
              <w:rPr>
                <w:rStyle w:val="IndexLink"/>
                <w:rtl w:val="true"/>
              </w:rPr>
              <w:t>:</w:t>
              <w:tab/>
            </w:r>
            <w:r>
              <w:rPr>
                <w:rStyle w:val="IndexLink"/>
              </w:rPr>
              <w:t>40</w:t>
            </w:r>
          </w:hyperlink>
        </w:p>
        <w:p>
          <w:pPr>
            <w:pStyle w:val="Contents5"/>
            <w:tabs>
              <w:tab w:val="clear" w:pos="7892"/>
              <w:tab w:val="right" w:pos="9026" w:leader="dot"/>
            </w:tabs>
            <w:rPr/>
          </w:pPr>
          <w:hyperlink w:anchor="__RefHeading___Toc5766849_3224264995">
            <w:r>
              <w:rPr>
                <w:webHidden/>
                <w:rStyle w:val="IndexLink"/>
                <w:rtl w:val="true"/>
              </w:rPr>
              <w:t>استظهار ذلک من کلام الشهید قدّس سرّه فی الذکری</w:t>
            </w:r>
            <w:r>
              <w:rPr>
                <w:rStyle w:val="IndexLink"/>
                <w:rtl w:val="true"/>
              </w:rPr>
              <w:t>:</w:t>
              <w:tab/>
            </w:r>
            <w:r>
              <w:rPr>
                <w:rStyle w:val="IndexLink"/>
              </w:rPr>
              <w:t>40</w:t>
            </w:r>
          </w:hyperlink>
        </w:p>
        <w:p>
          <w:pPr>
            <w:pStyle w:val="Contents4"/>
            <w:tabs>
              <w:tab w:val="clear" w:pos="8176"/>
              <w:tab w:val="right" w:pos="9026" w:leader="dot"/>
            </w:tabs>
            <w:rPr/>
          </w:pPr>
          <w:hyperlink w:anchor="__RefHeading___Toc5766851_3224264995">
            <w:r>
              <w:rPr>
                <w:webHidden/>
                <w:rStyle w:val="IndexLink"/>
                <w:rtl w:val="true"/>
              </w:rPr>
              <w:t>الأمر الخامس</w:t>
            </w:r>
            <w:r>
              <w:rPr>
                <w:rStyle w:val="IndexLink"/>
                <w:rtl w:val="true"/>
              </w:rPr>
              <w:t>:</w:t>
            </w:r>
            <w:r>
              <w:rPr>
                <w:rStyle w:val="IndexLink"/>
                <w:rtl w:val="true"/>
              </w:rPr>
              <w:t>تقوّم الاستصحاب بأمرین</w:t>
            </w:r>
            <w:r>
              <w:rPr>
                <w:rStyle w:val="IndexLink"/>
                <w:rtl w:val="true"/>
              </w:rPr>
              <w:t>:</w:t>
            </w:r>
            <w:r>
              <w:rPr>
                <w:rStyle w:val="IndexLink"/>
                <w:rtl w:val="true"/>
              </w:rPr>
              <w:t>الیقین بالحدوث،و الشکّ فی البقاء</w:t>
            </w:r>
            <w:r>
              <w:rPr>
                <w:rStyle w:val="IndexLink"/>
                <w:rtl w:val="true"/>
              </w:rPr>
              <w:tab/>
            </w:r>
            <w:r>
              <w:rPr>
                <w:rStyle w:val="IndexLink"/>
              </w:rPr>
              <w:t>42</w:t>
            </w:r>
          </w:hyperlink>
        </w:p>
        <w:p>
          <w:pPr>
            <w:pStyle w:val="Contents5"/>
            <w:tabs>
              <w:tab w:val="clear" w:pos="7892"/>
              <w:tab w:val="right" w:pos="9026" w:leader="dot"/>
            </w:tabs>
            <w:rPr/>
          </w:pPr>
          <w:hyperlink w:anchor="__RefHeading___Toc5766853_3224264995">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5766855_3224264995">
            <w:r>
              <w:rPr>
                <w:webHidden/>
                <w:rStyle w:val="IndexLink"/>
                <w:rtl w:val="true"/>
              </w:rPr>
              <w:t>الاستصحاب القهقری</w:t>
            </w:r>
            <w:r>
              <w:rPr>
                <w:rStyle w:val="IndexLink"/>
                <w:rtl w:val="true"/>
              </w:rPr>
              <w:t>:</w:t>
              <w:tab/>
            </w:r>
            <w:r>
              <w:rPr>
                <w:rStyle w:val="IndexLink"/>
              </w:rPr>
              <w:t>42</w:t>
            </w:r>
          </w:hyperlink>
        </w:p>
        <w:p>
          <w:pPr>
            <w:pStyle w:val="Contents5"/>
            <w:tabs>
              <w:tab w:val="clear" w:pos="7892"/>
              <w:tab w:val="right" w:pos="9026" w:leader="dot"/>
            </w:tabs>
            <w:rPr/>
          </w:pPr>
          <w:hyperlink w:anchor="__RefHeading___Toc5766857_3224264995">
            <w:r>
              <w:rPr>
                <w:webHidden/>
                <w:rStyle w:val="IndexLink"/>
                <w:rtl w:val="true"/>
              </w:rPr>
              <w:t>المعتبر هو الشکّ الفعلیّ</w:t>
            </w:r>
            <w:r>
              <w:rPr>
                <w:rStyle w:val="IndexLink"/>
                <w:rtl w:val="true"/>
              </w:rPr>
              <w:tab/>
            </w:r>
            <w:r>
              <w:rPr>
                <w:rStyle w:val="IndexLink"/>
              </w:rPr>
              <w:t>43</w:t>
            </w:r>
          </w:hyperlink>
        </w:p>
        <w:p>
          <w:pPr>
            <w:pStyle w:val="Contents4"/>
            <w:tabs>
              <w:tab w:val="clear" w:pos="8176"/>
              <w:tab w:val="right" w:pos="9026" w:leader="dot"/>
            </w:tabs>
            <w:rPr/>
          </w:pPr>
          <w:hyperlink w:anchor="__RefHeading___Toc5766859_3224264995">
            <w:r>
              <w:rPr>
                <w:webHidden/>
                <w:rStyle w:val="IndexLink"/>
                <w:rtl w:val="true"/>
              </w:rPr>
              <w:t>الأمر السادس</w:t>
            </w:r>
            <w:r>
              <w:rPr>
                <w:rStyle w:val="IndexLink"/>
                <w:rtl w:val="true"/>
              </w:rPr>
              <w:t>:</w:t>
            </w:r>
            <w:r>
              <w:rPr>
                <w:rStyle w:val="IndexLink"/>
                <w:rtl w:val="true"/>
              </w:rPr>
              <w:t>تقسیم الاستصحاب من وجوه</w:t>
            </w:r>
            <w:r>
              <w:rPr>
                <w:rStyle w:val="IndexLink"/>
                <w:rtl w:val="true"/>
              </w:rPr>
              <w:t>:</w:t>
              <w:tab/>
            </w:r>
            <w:r>
              <w:rPr>
                <w:rStyle w:val="IndexLink"/>
              </w:rPr>
              <w:t>44</w:t>
            </w:r>
          </w:hyperlink>
        </w:p>
        <w:p>
          <w:pPr>
            <w:pStyle w:val="Contents5"/>
            <w:tabs>
              <w:tab w:val="clear" w:pos="7892"/>
              <w:tab w:val="right" w:pos="9026" w:leader="dot"/>
            </w:tabs>
            <w:rPr/>
          </w:pPr>
          <w:hyperlink w:anchor="__RefHeading___Toc5766861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766863_3224264995">
            <w:r>
              <w:rPr>
                <w:webHidden/>
                <w:rStyle w:val="IndexLink"/>
              </w:rPr>
              <w:t>1</w:t>
            </w:r>
            <w:r>
              <w:rPr>
                <w:rStyle w:val="IndexLink"/>
                <w:rtl w:val="true"/>
              </w:rPr>
              <w:t>-</w:t>
            </w:r>
            <w:r>
              <w:rPr>
                <w:rStyle w:val="IndexLink"/>
                <w:rtl w:val="true"/>
              </w:rPr>
              <w:t>تقسیم الاستصحاب باعتبار المستصحب</w:t>
            </w:r>
            <w:r>
              <w:rPr>
                <w:rStyle w:val="IndexLink"/>
                <w:rtl w:val="true"/>
              </w:rPr>
              <w:tab/>
            </w:r>
            <w:r>
              <w:rPr>
                <w:rStyle w:val="IndexLink"/>
              </w:rPr>
              <w:t>44</w:t>
            </w:r>
          </w:hyperlink>
        </w:p>
        <w:p>
          <w:pPr>
            <w:pStyle w:val="Contents6"/>
            <w:tabs>
              <w:tab w:val="clear" w:pos="7609"/>
              <w:tab w:val="right" w:pos="9026" w:leader="dot"/>
            </w:tabs>
            <w:rPr/>
          </w:pPr>
          <w:hyperlink w:anchor="__RefHeading___Toc5766865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5766867_3224264995">
            <w:r>
              <w:rPr>
                <w:webHidden/>
                <w:rStyle w:val="IndexLink"/>
                <w:rtl w:val="true"/>
              </w:rPr>
              <w:t>الوجه الأوّل</w:t>
            </w:r>
            <w:r>
              <w:rPr>
                <w:rStyle w:val="IndexLink"/>
                <w:rtl w:val="true"/>
              </w:rPr>
              <w:t>:</w:t>
            </w:r>
            <w:r>
              <w:rPr>
                <w:rStyle w:val="IndexLink"/>
                <w:rtl w:val="true"/>
              </w:rPr>
              <w:t>المستصحب إمّا وجودیّ و إمّا عدمیّ</w:t>
            </w:r>
            <w:r>
              <w:rPr>
                <w:rStyle w:val="IndexLink"/>
                <w:rtl w:val="true"/>
              </w:rPr>
              <w:t>:</w:t>
              <w:tab/>
            </w:r>
            <w:r>
              <w:rPr>
                <w:rStyle w:val="IndexLink"/>
              </w:rPr>
              <w:t>44</w:t>
            </w:r>
          </w:hyperlink>
        </w:p>
        <w:p>
          <w:pPr>
            <w:pStyle w:val="Contents6"/>
            <w:tabs>
              <w:tab w:val="clear" w:pos="7609"/>
              <w:tab w:val="right" w:pos="9026" w:leader="dot"/>
            </w:tabs>
            <w:rPr/>
          </w:pPr>
          <w:hyperlink w:anchor="__RefHeading___Toc5766869_3224264995">
            <w:r>
              <w:rPr>
                <w:webHidden/>
                <w:rStyle w:val="IndexLink"/>
                <w:rtl w:val="true"/>
              </w:rPr>
              <w:t>کلام شریف العلماء فی خروج العدمیّات عن محلّ النزاع</w:t>
            </w:r>
            <w:r>
              <w:rPr>
                <w:rStyle w:val="IndexLink"/>
                <w:rtl w:val="true"/>
              </w:rPr>
              <w:t>:</w:t>
              <w:tab/>
            </w:r>
            <w:r>
              <w:rPr>
                <w:rStyle w:val="IndexLink"/>
              </w:rPr>
              <w:t>45</w:t>
            </w:r>
          </w:hyperlink>
        </w:p>
        <w:p>
          <w:pPr>
            <w:pStyle w:val="Contents6"/>
            <w:tabs>
              <w:tab w:val="clear" w:pos="7609"/>
              <w:tab w:val="right" w:pos="9026" w:leader="dot"/>
            </w:tabs>
            <w:rPr/>
          </w:pPr>
          <w:hyperlink w:anchor="__RefHeading___Toc5766871_3224264995">
            <w:r>
              <w:rPr>
                <w:webHidden/>
                <w:rStyle w:val="IndexLink"/>
                <w:rtl w:val="true"/>
              </w:rPr>
              <w:t>المناقشة فیما أفاده شریف العلماء</w:t>
            </w:r>
            <w:r>
              <w:rPr>
                <w:rStyle w:val="IndexLink"/>
                <w:rtl w:val="true"/>
              </w:rPr>
              <w:t>:</w:t>
              <w:tab/>
            </w:r>
            <w:r>
              <w:rPr>
                <w:rStyle w:val="IndexLink"/>
              </w:rPr>
              <w:t>46</w:t>
            </w:r>
          </w:hyperlink>
        </w:p>
        <w:p>
          <w:pPr>
            <w:pStyle w:val="Contents6"/>
            <w:tabs>
              <w:tab w:val="clear" w:pos="7609"/>
              <w:tab w:val="right" w:pos="9026" w:leader="dot"/>
            </w:tabs>
            <w:rPr/>
          </w:pPr>
          <w:hyperlink w:anchor="__RefHeading___Toc5766873_3224264995">
            <w:r>
              <w:rPr>
                <w:webHidden/>
                <w:rStyle w:val="IndexLink"/>
                <w:rtl w:val="true"/>
              </w:rPr>
              <w:t>قیام السیرة علی التمسّک بالاصول الوجودیّة و العدمیّة فی باب الألفاظ</w:t>
            </w:r>
            <w:r>
              <w:rPr>
                <w:rStyle w:val="IndexLink"/>
                <w:rtl w:val="true"/>
              </w:rPr>
              <w:tab/>
            </w:r>
            <w:r>
              <w:rPr>
                <w:rStyle w:val="IndexLink"/>
              </w:rPr>
              <w:t>46</w:t>
            </w:r>
          </w:hyperlink>
        </w:p>
        <w:p>
          <w:pPr>
            <w:pStyle w:val="Contents6"/>
            <w:tabs>
              <w:tab w:val="clear" w:pos="7609"/>
              <w:tab w:val="right" w:pos="9026" w:leader="dot"/>
            </w:tabs>
            <w:rPr/>
          </w:pPr>
          <w:hyperlink w:anchor="__RefHeading___Toc5766875_3224264995">
            <w:r>
              <w:rPr>
                <w:webHidden/>
                <w:rStyle w:val="IndexLink"/>
                <w:rtl w:val="true"/>
              </w:rPr>
              <w:t>کلام الوحید البهبهانی فی ذلک</w:t>
            </w:r>
            <w:r>
              <w:rPr>
                <w:rStyle w:val="IndexLink"/>
                <w:rtl w:val="true"/>
              </w:rPr>
              <w:t>:</w:t>
              <w:tab/>
            </w:r>
            <w:r>
              <w:rPr>
                <w:rStyle w:val="IndexLink"/>
              </w:rPr>
              <w:t>46</w:t>
            </w:r>
          </w:hyperlink>
        </w:p>
        <w:p>
          <w:pPr>
            <w:pStyle w:val="Contents6"/>
            <w:tabs>
              <w:tab w:val="clear" w:pos="7609"/>
              <w:tab w:val="right" w:pos="9026" w:leader="dot"/>
            </w:tabs>
            <w:rPr/>
          </w:pPr>
          <w:hyperlink w:anchor="__RefHeading___Toc5766877_3224264995">
            <w:r>
              <w:rPr>
                <w:webHidden/>
                <w:rStyle w:val="IndexLink"/>
                <w:rtl w:val="true"/>
              </w:rPr>
              <w:t>ما یظهر منه الاختصاص بالوجودیّات و مناقشته</w:t>
            </w:r>
            <w:r>
              <w:rPr>
                <w:rStyle w:val="IndexLink"/>
                <w:rtl w:val="true"/>
              </w:rPr>
              <w:t>:</w:t>
              <w:tab/>
            </w:r>
            <w:r>
              <w:rPr>
                <w:rStyle w:val="IndexLink"/>
              </w:rPr>
              <w:t>47</w:t>
            </w:r>
          </w:hyperlink>
        </w:p>
        <w:p>
          <w:pPr>
            <w:pStyle w:val="Contents6"/>
            <w:tabs>
              <w:tab w:val="clear" w:pos="7609"/>
              <w:tab w:val="right" w:pos="9026" w:leader="dot"/>
            </w:tabs>
            <w:rPr/>
          </w:pPr>
          <w:hyperlink w:anchor="__RefHeading___Toc5766879_3224264995">
            <w:r>
              <w:rPr>
                <w:webHidden/>
                <w:rStyle w:val="IndexLink"/>
                <w:rtl w:val="true"/>
              </w:rPr>
              <w:t>التتبّع یشهد بعدم خروج العدمیّات عن محلّ النزاع</w:t>
            </w:r>
            <w:r>
              <w:rPr>
                <w:rStyle w:val="IndexLink"/>
                <w:rtl w:val="true"/>
              </w:rPr>
              <w:t>:</w:t>
              <w:tab/>
            </w:r>
            <w:r>
              <w:rPr>
                <w:rStyle w:val="IndexLink"/>
              </w:rPr>
              <w:t>48</w:t>
            </w:r>
          </w:hyperlink>
        </w:p>
        <w:p>
          <w:pPr>
            <w:pStyle w:val="Contents6"/>
            <w:tabs>
              <w:tab w:val="clear" w:pos="7609"/>
              <w:tab w:val="right" w:pos="9026" w:leader="dot"/>
            </w:tabs>
            <w:rPr/>
          </w:pPr>
          <w:hyperlink w:anchor="__RefHeading___Toc5766881_3224264995">
            <w:r>
              <w:rPr>
                <w:webHidden/>
                <w:rStyle w:val="IndexLink"/>
                <w:rtl w:val="true"/>
              </w:rPr>
              <w:t>ظاهر جماعة خروج بعض العدمیّات عن محلّ النزاع</w:t>
            </w:r>
            <w:r>
              <w:rPr>
                <w:rStyle w:val="IndexLink"/>
                <w:rtl w:val="true"/>
              </w:rPr>
              <w:t>:</w:t>
              <w:tab/>
            </w:r>
            <w:r>
              <w:rPr>
                <w:rStyle w:val="IndexLink"/>
              </w:rPr>
              <w:t>49</w:t>
            </w:r>
          </w:hyperlink>
        </w:p>
        <w:p>
          <w:pPr>
            <w:pStyle w:val="Contents6"/>
            <w:tabs>
              <w:tab w:val="clear" w:pos="7609"/>
              <w:tab w:val="right" w:pos="9026" w:leader="dot"/>
            </w:tabs>
            <w:rPr/>
          </w:pPr>
          <w:hyperlink w:anchor="__RefHeading___Toc5766883_3224264995">
            <w:r>
              <w:rPr>
                <w:webHidden/>
                <w:rStyle w:val="IndexLink"/>
                <w:rtl w:val="true"/>
              </w:rPr>
              <w:t>الوجه الثانی</w:t>
            </w:r>
            <w:r>
              <w:rPr>
                <w:rStyle w:val="IndexLink"/>
                <w:rtl w:val="true"/>
              </w:rPr>
              <w:t xml:space="preserve">: </w:t>
            </w:r>
            <w:r>
              <w:rPr>
                <w:rStyle w:val="IndexLink"/>
                <w:rtl w:val="true"/>
              </w:rPr>
              <w:t>المستصحب إمّا حکم شرعیّ و إمّا من الامور الخارجیّة</w:t>
            </w:r>
            <w:r>
              <w:rPr>
                <w:rStyle w:val="IndexLink"/>
                <w:rtl w:val="true"/>
              </w:rPr>
              <w:t>:</w:t>
              <w:tab/>
            </w:r>
            <w:r>
              <w:rPr>
                <w:rStyle w:val="IndexLink"/>
              </w:rPr>
              <w:t>50</w:t>
            </w:r>
          </w:hyperlink>
        </w:p>
        <w:p>
          <w:pPr>
            <w:pStyle w:val="Contents6"/>
            <w:tabs>
              <w:tab w:val="clear" w:pos="7609"/>
              <w:tab w:val="right" w:pos="9026" w:leader="dot"/>
            </w:tabs>
            <w:rPr/>
          </w:pPr>
          <w:hyperlink w:anchor="__RefHeading___Toc5766885_3224264995">
            <w:r>
              <w:rPr>
                <w:webHidden/>
                <w:rStyle w:val="IndexLink"/>
                <w:rtl w:val="true"/>
              </w:rPr>
              <w:t>وقوع الخلاف فی کلیهما</w:t>
            </w:r>
            <w:r>
              <w:rPr>
                <w:rStyle w:val="IndexLink"/>
                <w:rtl w:val="true"/>
              </w:rPr>
              <w:t>:</w:t>
              <w:tab/>
            </w:r>
            <w:r>
              <w:rPr>
                <w:rStyle w:val="IndexLink"/>
              </w:rPr>
              <w:t>50</w:t>
            </w:r>
          </w:hyperlink>
        </w:p>
        <w:p>
          <w:pPr>
            <w:pStyle w:val="Contents6"/>
            <w:tabs>
              <w:tab w:val="clear" w:pos="7609"/>
              <w:tab w:val="right" w:pos="9026" w:leader="dot"/>
            </w:tabs>
            <w:rPr/>
          </w:pPr>
          <w:hyperlink w:anchor="__RefHeading___Toc5766887_3224264995">
            <w:r>
              <w:rPr>
                <w:webHidden/>
                <w:rStyle w:val="IndexLink"/>
                <w:rtl w:val="true"/>
              </w:rPr>
              <w:t>للحکم الشرعی إطلاقان</w:t>
            </w:r>
            <w:r>
              <w:rPr>
                <w:rStyle w:val="IndexLink"/>
                <w:rtl w:val="true"/>
              </w:rPr>
              <w:t>:</w:t>
              <w:tab/>
            </w:r>
            <w:r>
              <w:rPr>
                <w:rStyle w:val="IndexLink"/>
              </w:rPr>
              <w:t>51</w:t>
            </w:r>
          </w:hyperlink>
        </w:p>
        <w:p>
          <w:pPr>
            <w:pStyle w:val="Contents6"/>
            <w:tabs>
              <w:tab w:val="clear" w:pos="7609"/>
              <w:tab w:val="right" w:pos="9026" w:leader="dot"/>
            </w:tabs>
            <w:rPr/>
          </w:pPr>
          <w:hyperlink w:anchor="__RefHeading___Toc5766889_3224264995">
            <w:r>
              <w:rPr>
                <w:webHidden/>
                <w:rStyle w:val="IndexLink"/>
                <w:rtl w:val="true"/>
              </w:rPr>
              <w:t>إنکار الأخباریین جریان الاستصحاب فی الحکم بالإطلاق الأوّل</w:t>
            </w:r>
            <w:r>
              <w:rPr>
                <w:rStyle w:val="IndexLink"/>
                <w:rtl w:val="true"/>
              </w:rPr>
              <w:tab/>
            </w:r>
            <w:r>
              <w:rPr>
                <w:rStyle w:val="IndexLink"/>
              </w:rPr>
              <w:t>51</w:t>
            </w:r>
          </w:hyperlink>
        </w:p>
        <w:p>
          <w:pPr>
            <w:pStyle w:val="Contents6"/>
            <w:tabs>
              <w:tab w:val="clear" w:pos="7609"/>
              <w:tab w:val="right" w:pos="9026" w:leader="dot"/>
            </w:tabs>
            <w:rPr/>
          </w:pPr>
          <w:hyperlink w:anchor="__RefHeading___Toc5766891_3224264995">
            <w:r>
              <w:rPr>
                <w:webHidden/>
                <w:rStyle w:val="IndexLink"/>
                <w:rtl w:val="true"/>
              </w:rPr>
              <w:t>تقسیم المحقق الخوانساری الاستصحاب فی الحکم بالاطلاق الثانی</w:t>
            </w:r>
            <w:r>
              <w:rPr>
                <w:rStyle w:val="IndexLink"/>
                <w:rtl w:val="true"/>
              </w:rPr>
              <w:tab/>
            </w:r>
            <w:r>
              <w:rPr>
                <w:rStyle w:val="IndexLink"/>
              </w:rPr>
              <w:t>52</w:t>
            </w:r>
          </w:hyperlink>
        </w:p>
        <w:p>
          <w:pPr>
            <w:pStyle w:val="Contents6"/>
            <w:tabs>
              <w:tab w:val="clear" w:pos="7609"/>
              <w:tab w:val="right" w:pos="9026" w:leader="dot"/>
            </w:tabs>
            <w:rPr/>
          </w:pPr>
          <w:hyperlink w:anchor="__RefHeading___Toc5766893_3224264995">
            <w:r>
              <w:rPr>
                <w:webHidden/>
                <w:rStyle w:val="IndexLink"/>
                <w:rtl w:val="true"/>
              </w:rPr>
              <w:t>الأقوی فی حجّیة الاستصحاب من حیث هذا التقسیم</w:t>
            </w:r>
            <w:r>
              <w:rPr>
                <w:rStyle w:val="IndexLink"/>
                <w:rtl w:val="true"/>
              </w:rPr>
              <w:tab/>
            </w:r>
            <w:r>
              <w:rPr>
                <w:rStyle w:val="IndexLink"/>
              </w:rPr>
              <w:t>53</w:t>
            </w:r>
          </w:hyperlink>
        </w:p>
        <w:p>
          <w:pPr>
            <w:pStyle w:val="Contents6"/>
            <w:tabs>
              <w:tab w:val="clear" w:pos="7609"/>
              <w:tab w:val="right" w:pos="9026" w:leader="dot"/>
            </w:tabs>
            <w:rPr/>
          </w:pPr>
          <w:hyperlink w:anchor="__RefHeading___Toc5766895_3224264995">
            <w:r>
              <w:rPr>
                <w:webHidden/>
                <w:rStyle w:val="IndexLink"/>
                <w:rtl w:val="true"/>
              </w:rPr>
              <w:t>الوجه الثالث</w:t>
            </w:r>
            <w:r>
              <w:rPr>
                <w:rStyle w:val="IndexLink"/>
                <w:rtl w:val="true"/>
              </w:rPr>
              <w:t xml:space="preserve">: </w:t>
            </w:r>
            <w:r>
              <w:rPr>
                <w:rStyle w:val="IndexLink"/>
                <w:rtl w:val="true"/>
              </w:rPr>
              <w:t>المستصحب إمّا حکم تکلیفی و إمّا حکم وضعی</w:t>
            </w:r>
            <w:r>
              <w:rPr>
                <w:rStyle w:val="IndexLink"/>
                <w:rtl w:val="true"/>
              </w:rPr>
              <w:t>:</w:t>
              <w:tab/>
            </w:r>
            <w:r>
              <w:rPr>
                <w:rStyle w:val="IndexLink"/>
              </w:rPr>
              <w:t>53</w:t>
            </w:r>
          </w:hyperlink>
        </w:p>
        <w:p>
          <w:pPr>
            <w:pStyle w:val="Contents6"/>
            <w:tabs>
              <w:tab w:val="clear" w:pos="7609"/>
              <w:tab w:val="right" w:pos="9026" w:leader="dot"/>
            </w:tabs>
            <w:rPr/>
          </w:pPr>
          <w:hyperlink w:anchor="__RefHeading___Toc5766897_3224264995">
            <w:r>
              <w:rPr>
                <w:webHidden/>
                <w:rStyle w:val="IndexLink"/>
                <w:rtl w:val="true"/>
              </w:rPr>
              <w:t>القول بالتفصیل بین التکلیفی و غیره</w:t>
            </w:r>
            <w:r>
              <w:rPr>
                <w:rStyle w:val="IndexLink"/>
                <w:rtl w:val="true"/>
              </w:rPr>
              <w:t>:</w:t>
              <w:tab/>
            </w:r>
            <w:r>
              <w:rPr>
                <w:rStyle w:val="IndexLink"/>
              </w:rPr>
              <w:t>54</w:t>
            </w:r>
          </w:hyperlink>
        </w:p>
        <w:p>
          <w:pPr>
            <w:pStyle w:val="Contents5"/>
            <w:tabs>
              <w:tab w:val="clear" w:pos="7892"/>
              <w:tab w:val="right" w:pos="9026" w:leader="dot"/>
            </w:tabs>
            <w:rPr/>
          </w:pPr>
          <w:hyperlink w:anchor="__RefHeading___Toc5766899_3224264995">
            <w:r>
              <w:rPr>
                <w:webHidden/>
                <w:rStyle w:val="IndexLink"/>
              </w:rPr>
              <w:t>2</w:t>
            </w:r>
            <w:r>
              <w:rPr>
                <w:rStyle w:val="IndexLink"/>
                <w:rtl w:val="true"/>
              </w:rPr>
              <w:t>-</w:t>
            </w:r>
            <w:r>
              <w:rPr>
                <w:rStyle w:val="IndexLink"/>
                <w:rtl w:val="true"/>
              </w:rPr>
              <w:t>تقسیم الاستصحاب باعتبار دلیل المستصحب</w:t>
            </w:r>
            <w:r>
              <w:rPr>
                <w:rStyle w:val="IndexLink"/>
                <w:rtl w:val="true"/>
              </w:rPr>
              <w:tab/>
            </w:r>
            <w:r>
              <w:rPr>
                <w:rStyle w:val="IndexLink"/>
              </w:rPr>
              <w:t>55</w:t>
            </w:r>
          </w:hyperlink>
        </w:p>
        <w:p>
          <w:pPr>
            <w:pStyle w:val="Contents6"/>
            <w:tabs>
              <w:tab w:val="clear" w:pos="7609"/>
              <w:tab w:val="right" w:pos="9026" w:leader="dot"/>
            </w:tabs>
            <w:rPr/>
          </w:pPr>
          <w:hyperlink w:anchor="__RefHeading___Toc5766901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5766903_3224264995">
            <w:r>
              <w:rPr>
                <w:webHidden/>
                <w:rStyle w:val="IndexLink"/>
                <w:rtl w:val="true"/>
              </w:rPr>
              <w:t>أحدها</w:t>
            </w:r>
            <w:r>
              <w:rPr>
                <w:rStyle w:val="IndexLink"/>
                <w:rtl w:val="true"/>
              </w:rPr>
              <w:t xml:space="preserve">: </w:t>
            </w:r>
            <w:r>
              <w:rPr>
                <w:rStyle w:val="IndexLink"/>
                <w:rtl w:val="true"/>
              </w:rPr>
              <w:t>دلیل المستصحب إمّا الإجماع و إمّا غیره</w:t>
            </w:r>
            <w:r>
              <w:rPr>
                <w:rStyle w:val="IndexLink"/>
                <w:rtl w:val="true"/>
              </w:rPr>
              <w:t>:</w:t>
              <w:tab/>
            </w:r>
            <w:r>
              <w:rPr>
                <w:rStyle w:val="IndexLink"/>
              </w:rPr>
              <w:t>55</w:t>
            </w:r>
          </w:hyperlink>
        </w:p>
        <w:p>
          <w:pPr>
            <w:pStyle w:val="Contents6"/>
            <w:tabs>
              <w:tab w:val="clear" w:pos="7609"/>
              <w:tab w:val="right" w:pos="9026" w:leader="dot"/>
            </w:tabs>
            <w:rPr/>
          </w:pPr>
          <w:hyperlink w:anchor="__RefHeading___Toc5766905_3224264995">
            <w:r>
              <w:rPr>
                <w:webHidden/>
                <w:rStyle w:val="IndexLink"/>
                <w:rtl w:val="true"/>
              </w:rPr>
              <w:t>الوجه الثانی</w:t>
            </w:r>
            <w:r>
              <w:rPr>
                <w:rStyle w:val="IndexLink"/>
                <w:rtl w:val="true"/>
              </w:rPr>
              <w:t xml:space="preserve">: </w:t>
            </w:r>
            <w:r>
              <w:rPr>
                <w:rStyle w:val="IndexLink"/>
                <w:rtl w:val="true"/>
              </w:rPr>
              <w:t>المستصحب إمّا یثبت بالدلیل العقلی و إمّا بالدلیل الشرعی</w:t>
            </w:r>
            <w:r>
              <w:rPr>
                <w:rStyle w:val="IndexLink"/>
                <w:rtl w:val="true"/>
              </w:rPr>
              <w:tab/>
            </w:r>
            <w:r>
              <w:rPr>
                <w:rStyle w:val="IndexLink"/>
              </w:rPr>
              <w:t>55</w:t>
            </w:r>
          </w:hyperlink>
        </w:p>
        <w:p>
          <w:pPr>
            <w:pStyle w:val="Contents6"/>
            <w:tabs>
              <w:tab w:val="clear" w:pos="7609"/>
              <w:tab w:val="right" w:pos="9026" w:leader="dot"/>
            </w:tabs>
            <w:rPr/>
          </w:pPr>
          <w:hyperlink w:anchor="__RefHeading___Toc5766907_3224264995">
            <w:r>
              <w:rPr>
                <w:webHidden/>
                <w:rStyle w:val="IndexLink"/>
                <w:rtl w:val="true"/>
              </w:rPr>
              <w:t>الإشکال فی الاستصحاب مع ثبوت الحکم بالدلیل العقلی</w:t>
            </w:r>
            <w:r>
              <w:rPr>
                <w:rStyle w:val="IndexLink"/>
                <w:rtl w:val="true"/>
              </w:rPr>
              <w:tab/>
            </w:r>
            <w:r>
              <w:rPr>
                <w:rStyle w:val="IndexLink"/>
              </w:rPr>
              <w:t>56</w:t>
            </w:r>
          </w:hyperlink>
        </w:p>
        <w:p>
          <w:pPr>
            <w:pStyle w:val="Contents6"/>
            <w:tabs>
              <w:tab w:val="clear" w:pos="7609"/>
              <w:tab w:val="right" w:pos="9026" w:leader="dot"/>
            </w:tabs>
            <w:rPr/>
          </w:pPr>
          <w:hyperlink w:anchor="__RefHeading___Toc5766909_3224264995">
            <w:r>
              <w:rPr>
                <w:webHidden/>
                <w:rStyle w:val="IndexLink"/>
                <w:rtl w:val="true"/>
              </w:rPr>
              <w:t>عدم جریان الاستصحاب فی الأحکام العقلیّة و لا فی الأحکام الشرعیّة المستندة إلیها</w:t>
            </w:r>
            <w:r>
              <w:rPr>
                <w:rStyle w:val="IndexLink"/>
                <w:rtl w:val="true"/>
              </w:rPr>
              <w:tab/>
            </w:r>
            <w:r>
              <w:rPr>
                <w:rStyle w:val="IndexLink"/>
              </w:rPr>
              <w:t>57</w:t>
            </w:r>
          </w:hyperlink>
        </w:p>
        <w:p>
          <w:pPr>
            <w:pStyle w:val="Contents6"/>
            <w:tabs>
              <w:tab w:val="clear" w:pos="7609"/>
              <w:tab w:val="right" w:pos="9026" w:leader="dot"/>
            </w:tabs>
            <w:rPr/>
          </w:pPr>
          <w:hyperlink w:anchor="__RefHeading___Toc5766911_3224264995">
            <w:r>
              <w:rPr>
                <w:webHidden/>
                <w:rStyle w:val="IndexLink"/>
                <w:rtl w:val="true"/>
              </w:rPr>
              <w:t>استصحاب حال العقل لا یستند إلی القضیّة العقلیّة</w:t>
            </w:r>
            <w:r>
              <w:rPr>
                <w:rStyle w:val="IndexLink"/>
                <w:rtl w:val="true"/>
              </w:rPr>
              <w:t>:</w:t>
              <w:tab/>
            </w:r>
            <w:r>
              <w:rPr>
                <w:rStyle w:val="IndexLink"/>
              </w:rPr>
              <w:t>58</w:t>
            </w:r>
          </w:hyperlink>
        </w:p>
        <w:p>
          <w:pPr>
            <w:pStyle w:val="Contents6"/>
            <w:tabs>
              <w:tab w:val="clear" w:pos="7609"/>
              <w:tab w:val="right" w:pos="9026" w:leader="dot"/>
            </w:tabs>
            <w:rPr/>
          </w:pPr>
          <w:hyperlink w:anchor="__RefHeading___Toc5766913_3224264995">
            <w:r>
              <w:rPr>
                <w:webHidden/>
                <w:rStyle w:val="IndexLink"/>
                <w:rtl w:val="true"/>
              </w:rPr>
              <w:t>الوجه الثالث</w:t>
            </w:r>
            <w:r>
              <w:rPr>
                <w:rStyle w:val="IndexLink"/>
                <w:rtl w:val="true"/>
              </w:rPr>
              <w:t xml:space="preserve">: </w:t>
            </w:r>
            <w:r>
              <w:rPr>
                <w:rStyle w:val="IndexLink"/>
                <w:rtl w:val="true"/>
              </w:rPr>
              <w:t>دلیل المستصحب قد یدلّ علی الاستمرار و قد لا یدلّ</w:t>
            </w:r>
            <w:r>
              <w:rPr>
                <w:rStyle w:val="IndexLink"/>
                <w:rtl w:val="true"/>
              </w:rPr>
              <w:tab/>
            </w:r>
            <w:r>
              <w:rPr>
                <w:rStyle w:val="IndexLink"/>
              </w:rPr>
              <w:t>59</w:t>
            </w:r>
          </w:hyperlink>
        </w:p>
        <w:p>
          <w:pPr>
            <w:pStyle w:val="Contents5"/>
            <w:tabs>
              <w:tab w:val="clear" w:pos="7892"/>
              <w:tab w:val="right" w:pos="9026" w:leader="dot"/>
            </w:tabs>
            <w:rPr/>
          </w:pPr>
          <w:hyperlink w:anchor="__RefHeading___Toc5766915_3224264995">
            <w:r>
              <w:rPr>
                <w:webHidden/>
                <w:rStyle w:val="IndexLink"/>
              </w:rPr>
              <w:t>3</w:t>
            </w:r>
            <w:r>
              <w:rPr>
                <w:rStyle w:val="IndexLink"/>
                <w:rtl w:val="true"/>
              </w:rPr>
              <w:t>-</w:t>
            </w:r>
            <w:r>
              <w:rPr>
                <w:rStyle w:val="IndexLink"/>
                <w:rtl w:val="true"/>
              </w:rPr>
              <w:t>تقسیم الاستصحاب باعتبار الشکّ المأخوذ فیه</w:t>
            </w:r>
            <w:r>
              <w:rPr>
                <w:rStyle w:val="IndexLink"/>
                <w:rtl w:val="true"/>
              </w:rPr>
              <w:tab/>
            </w:r>
            <w:r>
              <w:rPr>
                <w:rStyle w:val="IndexLink"/>
              </w:rPr>
              <w:t>61</w:t>
            </w:r>
          </w:hyperlink>
        </w:p>
        <w:p>
          <w:pPr>
            <w:pStyle w:val="Contents6"/>
            <w:tabs>
              <w:tab w:val="clear" w:pos="7609"/>
              <w:tab w:val="right" w:pos="9026" w:leader="dot"/>
            </w:tabs>
            <w:rPr/>
          </w:pPr>
          <w:hyperlink w:anchor="__RefHeading___Toc5766917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5766919_3224264995">
            <w:r>
              <w:rPr>
                <w:webHidden/>
                <w:rStyle w:val="IndexLink"/>
                <w:rtl w:val="true"/>
              </w:rPr>
              <w:t>أحدها</w:t>
            </w:r>
            <w:r>
              <w:rPr>
                <w:rStyle w:val="IndexLink"/>
                <w:rtl w:val="true"/>
              </w:rPr>
              <w:t xml:space="preserve">: </w:t>
            </w:r>
            <w:r>
              <w:rPr>
                <w:rStyle w:val="IndexLink"/>
                <w:rtl w:val="true"/>
              </w:rPr>
              <w:t>منشأ الشکّ إمّا اشتباه الأمر الخارجی و إمّا اشتباه الحکم الشرعی</w:t>
            </w:r>
            <w:r>
              <w:rPr>
                <w:rStyle w:val="IndexLink"/>
                <w:rtl w:val="true"/>
              </w:rPr>
              <w:tab/>
            </w:r>
            <w:r>
              <w:rPr>
                <w:rStyle w:val="IndexLink"/>
              </w:rPr>
              <w:t>61</w:t>
            </w:r>
          </w:hyperlink>
        </w:p>
        <w:p>
          <w:pPr>
            <w:pStyle w:val="Contents6"/>
            <w:tabs>
              <w:tab w:val="clear" w:pos="7609"/>
              <w:tab w:val="right" w:pos="9026" w:leader="dot"/>
            </w:tabs>
            <w:rPr/>
          </w:pPr>
          <w:hyperlink w:anchor="__RefHeading___Toc5766921_3224264995">
            <w:r>
              <w:rPr>
                <w:webHidden/>
                <w:rStyle w:val="IndexLink"/>
                <w:rtl w:val="true"/>
              </w:rPr>
              <w:t>دخول القسمین فی محلّ النزاع</w:t>
            </w:r>
            <w:r>
              <w:rPr>
                <w:rStyle w:val="IndexLink"/>
                <w:rtl w:val="true"/>
              </w:rPr>
              <w:t>:</w:t>
              <w:tab/>
            </w:r>
            <w:r>
              <w:rPr>
                <w:rStyle w:val="IndexLink"/>
              </w:rPr>
              <w:t>61</w:t>
            </w:r>
          </w:hyperlink>
        </w:p>
        <w:p>
          <w:pPr>
            <w:pStyle w:val="Contents6"/>
            <w:tabs>
              <w:tab w:val="clear" w:pos="7609"/>
              <w:tab w:val="right" w:pos="9026" w:leader="dot"/>
            </w:tabs>
            <w:rPr/>
          </w:pPr>
          <w:hyperlink w:anchor="__RefHeading___Toc5766923_3224264995">
            <w:r>
              <w:rPr>
                <w:webHidden/>
                <w:rStyle w:val="IndexLink"/>
                <w:rtl w:val="true"/>
              </w:rPr>
              <w:t>المحکی عن الأخباریین اختصاص النزاع بالشبهة الحکمیّة</w:t>
            </w:r>
            <w:r>
              <w:rPr>
                <w:rStyle w:val="IndexLink"/>
                <w:rtl w:val="true"/>
              </w:rPr>
              <w:t>:</w:t>
              <w:tab/>
            </w:r>
            <w:r>
              <w:rPr>
                <w:rStyle w:val="IndexLink"/>
              </w:rPr>
              <w:t>61</w:t>
            </w:r>
          </w:hyperlink>
        </w:p>
        <w:p>
          <w:pPr>
            <w:pStyle w:val="Contents6"/>
            <w:tabs>
              <w:tab w:val="clear" w:pos="7609"/>
              <w:tab w:val="right" w:pos="9026" w:leader="dot"/>
            </w:tabs>
            <w:rPr/>
          </w:pPr>
          <w:hyperlink w:anchor="__RefHeading___Toc5766925_3224264995">
            <w:r>
              <w:rPr>
                <w:webHidden/>
                <w:rStyle w:val="IndexLink"/>
                <w:rtl w:val="true"/>
              </w:rPr>
              <w:t>کلام المحدّث الأسترابادی فی الفوائد المدنیة</w:t>
            </w:r>
            <w:r>
              <w:rPr>
                <w:rStyle w:val="IndexLink"/>
                <w:rtl w:val="true"/>
              </w:rPr>
              <w:t>:</w:t>
              <w:tab/>
            </w:r>
            <w:r>
              <w:rPr>
                <w:rStyle w:val="IndexLink"/>
              </w:rPr>
              <w:t>62</w:t>
            </w:r>
          </w:hyperlink>
        </w:p>
        <w:p>
          <w:pPr>
            <w:pStyle w:val="Contents6"/>
            <w:tabs>
              <w:tab w:val="clear" w:pos="7609"/>
              <w:tab w:val="right" w:pos="9026" w:leader="dot"/>
            </w:tabs>
            <w:rPr/>
          </w:pPr>
          <w:hyperlink w:anchor="__RefHeading___Toc5766927_3224264995">
            <w:r>
              <w:rPr>
                <w:webHidden/>
                <w:rStyle w:val="IndexLink"/>
                <w:rtl w:val="true"/>
              </w:rPr>
              <w:t>کلامه فی الفوائد المکیة</w:t>
            </w:r>
            <w:r>
              <w:rPr>
                <w:rStyle w:val="IndexLink"/>
                <w:rtl w:val="true"/>
              </w:rPr>
              <w:t>:</w:t>
              <w:tab/>
            </w:r>
            <w:r>
              <w:rPr>
                <w:rStyle w:val="IndexLink"/>
              </w:rPr>
              <w:t>63</w:t>
            </w:r>
          </w:hyperlink>
        </w:p>
        <w:p>
          <w:pPr>
            <w:pStyle w:val="Contents6"/>
            <w:tabs>
              <w:tab w:val="clear" w:pos="7609"/>
              <w:tab w:val="right" w:pos="9026" w:leader="dot"/>
            </w:tabs>
            <w:rPr/>
          </w:pPr>
          <w:hyperlink w:anchor="__RefHeading___Toc5766929_3224264995">
            <w:r>
              <w:rPr>
                <w:webHidden/>
                <w:rStyle w:val="IndexLink"/>
                <w:rtl w:val="true"/>
              </w:rPr>
              <w:t>الوجه الثانی</w:t>
            </w:r>
            <w:r>
              <w:rPr>
                <w:rStyle w:val="IndexLink"/>
                <w:rtl w:val="true"/>
              </w:rPr>
              <w:t xml:space="preserve">: </w:t>
            </w:r>
            <w:r>
              <w:rPr>
                <w:rStyle w:val="IndexLink"/>
                <w:rtl w:val="true"/>
              </w:rPr>
              <w:t>الشکّ فی البقاء قد یکون مع تساوی الطرفین و قد یکون مع رجحان البقاء أو الارتفاع</w:t>
            </w:r>
            <w:r>
              <w:rPr>
                <w:rStyle w:val="IndexLink"/>
                <w:rtl w:val="true"/>
              </w:rPr>
              <w:tab/>
            </w:r>
            <w:r>
              <w:rPr>
                <w:rStyle w:val="IndexLink"/>
              </w:rPr>
              <w:t>63</w:t>
            </w:r>
          </w:hyperlink>
        </w:p>
        <w:p>
          <w:pPr>
            <w:pStyle w:val="Contents6"/>
            <w:tabs>
              <w:tab w:val="clear" w:pos="7609"/>
              <w:tab w:val="right" w:pos="9026" w:leader="dot"/>
            </w:tabs>
            <w:rPr/>
          </w:pPr>
          <w:hyperlink w:anchor="__RefHeading___Toc5766931_3224264995">
            <w:r>
              <w:rPr>
                <w:webHidden/>
                <w:rStyle w:val="IndexLink"/>
                <w:rtl w:val="true"/>
              </w:rPr>
              <w:t>محلّ الخلاف فی هذه الصور</w:t>
            </w:r>
            <w:r>
              <w:rPr>
                <w:rStyle w:val="IndexLink"/>
                <w:rtl w:val="true"/>
              </w:rPr>
              <w:t>:</w:t>
              <w:tab/>
            </w:r>
            <w:r>
              <w:rPr>
                <w:rStyle w:val="IndexLink"/>
              </w:rPr>
              <w:t>64</w:t>
            </w:r>
          </w:hyperlink>
        </w:p>
        <w:p>
          <w:pPr>
            <w:pStyle w:val="Contents6"/>
            <w:tabs>
              <w:tab w:val="clear" w:pos="7609"/>
              <w:tab w:val="right" w:pos="9026" w:leader="dot"/>
            </w:tabs>
            <w:rPr/>
          </w:pPr>
          <w:hyperlink w:anchor="__RefHeading___Toc5766933_3224264995">
            <w:r>
              <w:rPr>
                <w:webHidden/>
                <w:rStyle w:val="IndexLink"/>
                <w:rtl w:val="true"/>
              </w:rPr>
              <w:t>الثالث</w:t>
            </w:r>
            <w:r>
              <w:rPr>
                <w:rStyle w:val="IndexLink"/>
                <w:rtl w:val="true"/>
              </w:rPr>
              <w:t xml:space="preserve">: </w:t>
            </w:r>
            <w:r>
              <w:rPr>
                <w:rStyle w:val="IndexLink"/>
                <w:rtl w:val="true"/>
              </w:rPr>
              <w:t>الشکّ إمّا فی المقتضی و إمّا فی الرافع</w:t>
            </w:r>
            <w:r>
              <w:rPr>
                <w:rStyle w:val="IndexLink"/>
                <w:rtl w:val="true"/>
              </w:rPr>
              <w:tab/>
            </w:r>
            <w:r>
              <w:rPr>
                <w:rStyle w:val="IndexLink"/>
              </w:rPr>
              <w:t>64</w:t>
            </w:r>
          </w:hyperlink>
        </w:p>
        <w:p>
          <w:pPr>
            <w:pStyle w:val="Contents6"/>
            <w:tabs>
              <w:tab w:val="clear" w:pos="7609"/>
              <w:tab w:val="right" w:pos="9026" w:leader="dot"/>
            </w:tabs>
            <w:rPr/>
          </w:pPr>
          <w:hyperlink w:anchor="__RefHeading___Toc5766935_3224264995">
            <w:r>
              <w:rPr>
                <w:webHidden/>
                <w:rStyle w:val="IndexLink"/>
                <w:rtl w:val="true"/>
              </w:rPr>
              <w:t>أقسام الشکّ من جهة الرافع</w:t>
            </w:r>
            <w:r>
              <w:rPr>
                <w:rStyle w:val="IndexLink"/>
                <w:rtl w:val="true"/>
              </w:rPr>
              <w:t>:</w:t>
              <w:tab/>
            </w:r>
            <w:r>
              <w:rPr>
                <w:rStyle w:val="IndexLink"/>
              </w:rPr>
              <w:t>65</w:t>
            </w:r>
          </w:hyperlink>
        </w:p>
        <w:p>
          <w:pPr>
            <w:pStyle w:val="Contents6"/>
            <w:tabs>
              <w:tab w:val="clear" w:pos="7609"/>
              <w:tab w:val="right" w:pos="9026" w:leader="dot"/>
            </w:tabs>
            <w:rPr/>
          </w:pPr>
          <w:hyperlink w:anchor="__RefHeading___Toc5766937_3224264995">
            <w:r>
              <w:rPr>
                <w:webHidden/>
                <w:rStyle w:val="IndexLink"/>
                <w:rtl w:val="true"/>
              </w:rPr>
              <w:t>محل الخلاف من هذه الأقسام</w:t>
            </w:r>
            <w:r>
              <w:rPr>
                <w:rStyle w:val="IndexLink"/>
                <w:rtl w:val="true"/>
              </w:rPr>
              <w:t>:</w:t>
              <w:tab/>
            </w:r>
            <w:r>
              <w:rPr>
                <w:rStyle w:val="IndexLink"/>
              </w:rPr>
              <w:t>65</w:t>
            </w:r>
          </w:hyperlink>
        </w:p>
        <w:p>
          <w:pPr>
            <w:pStyle w:val="Contents3"/>
            <w:tabs>
              <w:tab w:val="clear" w:pos="8459"/>
              <w:tab w:val="right" w:pos="9026" w:leader="dot"/>
            </w:tabs>
            <w:rPr/>
          </w:pPr>
          <w:hyperlink w:anchor="__RefHeading___Toc5766939_3224264995">
            <w:r>
              <w:rPr>
                <w:webHidden/>
                <w:rStyle w:val="IndexLink"/>
                <w:rtl w:val="true"/>
              </w:rPr>
              <w:t>الأقوال فی حجّیة الاستصحاب</w:t>
            </w:r>
            <w:r>
              <w:rPr>
                <w:rStyle w:val="IndexLink"/>
                <w:rtl w:val="true"/>
              </w:rPr>
              <w:tab/>
            </w:r>
            <w:r>
              <w:rPr>
                <w:rStyle w:val="IndexLink"/>
              </w:rPr>
              <w:t>67</w:t>
            </w:r>
          </w:hyperlink>
        </w:p>
        <w:p>
          <w:pPr>
            <w:pStyle w:val="Contents4"/>
            <w:tabs>
              <w:tab w:val="clear" w:pos="8176"/>
              <w:tab w:val="right" w:pos="9026" w:leader="dot"/>
            </w:tabs>
            <w:rPr/>
          </w:pPr>
          <w:hyperlink w:anchor="__RefHeading___Toc5766941_322426499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766943_3224264995">
            <w:r>
              <w:rPr>
                <w:webHidden/>
                <w:rStyle w:val="IndexLink"/>
                <w:rtl w:val="true"/>
              </w:rPr>
              <w:t>أقوی الأقوال فی الاستصحاب</w:t>
            </w:r>
            <w:r>
              <w:rPr>
                <w:rStyle w:val="IndexLink"/>
                <w:rtl w:val="true"/>
              </w:rPr>
              <w:tab/>
            </w:r>
            <w:r>
              <w:rPr>
                <w:rStyle w:val="IndexLink"/>
              </w:rPr>
              <w:t>69</w:t>
            </w:r>
          </w:hyperlink>
        </w:p>
        <w:p>
          <w:pPr>
            <w:pStyle w:val="Contents3"/>
            <w:tabs>
              <w:tab w:val="clear" w:pos="8459"/>
              <w:tab w:val="right" w:pos="9026" w:leader="dot"/>
            </w:tabs>
            <w:rPr/>
          </w:pPr>
          <w:hyperlink w:anchor="__RefHeading___Toc5766945_3224264995">
            <w:r>
              <w:rPr>
                <w:webHidden/>
                <w:rStyle w:val="IndexLink"/>
                <w:rtl w:val="true"/>
              </w:rPr>
              <w:t>کلام المحقق فی المعارج</w:t>
            </w:r>
            <w:r>
              <w:rPr>
                <w:rStyle w:val="IndexLink"/>
                <w:rtl w:val="true"/>
              </w:rPr>
              <w:t>:</w:t>
              <w:tab/>
            </w:r>
            <w:r>
              <w:rPr>
                <w:rStyle w:val="IndexLink"/>
              </w:rPr>
              <w:t>69</w:t>
            </w:r>
          </w:hyperlink>
        </w:p>
        <w:p>
          <w:pPr>
            <w:pStyle w:val="Contents3"/>
            <w:tabs>
              <w:tab w:val="clear" w:pos="8459"/>
              <w:tab w:val="right" w:pos="9026" w:leader="dot"/>
            </w:tabs>
            <w:rPr/>
          </w:pPr>
          <w:hyperlink w:anchor="__RefHeading___Toc5766947_3224264995">
            <w:r>
              <w:rPr>
                <w:webHidden/>
                <w:rStyle w:val="IndexLink"/>
                <w:rtl w:val="true"/>
              </w:rPr>
              <w:t>الاستدلال علی القول المختار</w:t>
            </w:r>
            <w:r>
              <w:rPr>
                <w:rStyle w:val="IndexLink"/>
                <w:rtl w:val="true"/>
              </w:rPr>
              <w:tab/>
            </w:r>
            <w:r>
              <w:rPr>
                <w:rStyle w:val="IndexLink"/>
              </w:rPr>
              <w:t>71</w:t>
            </w:r>
          </w:hyperlink>
        </w:p>
        <w:p>
          <w:pPr>
            <w:pStyle w:val="Contents4"/>
            <w:tabs>
              <w:tab w:val="clear" w:pos="8176"/>
              <w:tab w:val="right" w:pos="9026" w:leader="dot"/>
            </w:tabs>
            <w:rPr/>
          </w:pPr>
          <w:hyperlink w:anchor="__RefHeading___Toc5766949_322426499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766951_3224264995">
            <w:r>
              <w:rPr>
                <w:webHidden/>
                <w:rStyle w:val="IndexLink"/>
                <w:rtl w:val="true"/>
              </w:rPr>
              <w:t>الوجه الأوّل</w:t>
            </w:r>
            <w:r>
              <w:rPr>
                <w:rStyle w:val="IndexLink"/>
                <w:rtl w:val="true"/>
              </w:rPr>
              <w:t>:</w:t>
            </w:r>
            <w:r>
              <w:rPr>
                <w:rStyle w:val="IndexLink"/>
                <w:rtl w:val="true"/>
              </w:rPr>
              <w:t>ظهور کلمات جماعة فی الاتّفاق علیه</w:t>
            </w:r>
            <w:r>
              <w:rPr>
                <w:rStyle w:val="IndexLink"/>
                <w:rtl w:val="true"/>
              </w:rPr>
              <w:t>.</w:t>
              <w:tab/>
            </w:r>
            <w:r>
              <w:rPr>
                <w:rStyle w:val="IndexLink"/>
              </w:rPr>
              <w:t>71</w:t>
            </w:r>
          </w:hyperlink>
        </w:p>
        <w:p>
          <w:pPr>
            <w:pStyle w:val="Contents4"/>
            <w:tabs>
              <w:tab w:val="clear" w:pos="8176"/>
              <w:tab w:val="right" w:pos="9026" w:leader="dot"/>
            </w:tabs>
            <w:rPr/>
          </w:pPr>
          <w:hyperlink w:anchor="__RefHeading___Toc5766953_3224264995">
            <w:r>
              <w:rPr>
                <w:webHidden/>
                <w:rStyle w:val="IndexLink"/>
                <w:rtl w:val="true"/>
              </w:rPr>
              <w:t>الوجه الثانی</w:t>
            </w:r>
            <w:r>
              <w:rPr>
                <w:rStyle w:val="IndexLink"/>
                <w:rtl w:val="true"/>
              </w:rPr>
              <w:t xml:space="preserve">: </w:t>
            </w:r>
            <w:r>
              <w:rPr>
                <w:rStyle w:val="IndexLink"/>
                <w:rtl w:val="true"/>
              </w:rPr>
              <w:t>الاستقراء</w:t>
            </w:r>
            <w:r>
              <w:rPr>
                <w:rStyle w:val="IndexLink"/>
                <w:rtl w:val="true"/>
              </w:rPr>
              <w:t>:</w:t>
              <w:tab/>
            </w:r>
            <w:r>
              <w:rPr>
                <w:rStyle w:val="IndexLink"/>
              </w:rPr>
              <w:t>72</w:t>
            </w:r>
          </w:hyperlink>
        </w:p>
        <w:p>
          <w:pPr>
            <w:pStyle w:val="Contents4"/>
            <w:tabs>
              <w:tab w:val="clear" w:pos="8176"/>
              <w:tab w:val="right" w:pos="9026" w:leader="dot"/>
            </w:tabs>
            <w:rPr/>
          </w:pPr>
          <w:hyperlink w:anchor="__RefHeading___Toc5766955_3224264995">
            <w:r>
              <w:rPr>
                <w:webHidden/>
                <w:rStyle w:val="IndexLink"/>
                <w:rtl w:val="true"/>
              </w:rPr>
              <w:t>الوجه الثالث</w:t>
            </w:r>
            <w:r>
              <w:rPr>
                <w:rStyle w:val="IndexLink"/>
                <w:rtl w:val="true"/>
              </w:rPr>
              <w:t>:</w:t>
            </w:r>
            <w:r>
              <w:rPr>
                <w:rStyle w:val="IndexLink"/>
                <w:rtl w:val="true"/>
              </w:rPr>
              <w:t>الأخبار المستفیضة</w:t>
            </w:r>
            <w:r>
              <w:rPr>
                <w:rStyle w:val="IndexLink"/>
                <w:rtl w:val="true"/>
              </w:rPr>
              <w:tab/>
            </w:r>
            <w:r>
              <w:rPr>
                <w:rStyle w:val="IndexLink"/>
              </w:rPr>
              <w:t>73</w:t>
            </w:r>
          </w:hyperlink>
        </w:p>
        <w:p>
          <w:pPr>
            <w:pStyle w:val="Contents5"/>
            <w:tabs>
              <w:tab w:val="clear" w:pos="7892"/>
              <w:tab w:val="right" w:pos="9026" w:leader="dot"/>
            </w:tabs>
            <w:rPr/>
          </w:pPr>
          <w:hyperlink w:anchor="__RefHeading___Toc5766957_3224264995">
            <w:r>
              <w:rPr>
                <w:webHidden/>
                <w:rStyle w:val="IndexLink"/>
              </w:rPr>
              <w:t>1</w:t>
            </w:r>
            <w:r>
              <w:rPr>
                <w:rStyle w:val="IndexLink"/>
                <w:rtl w:val="true"/>
              </w:rPr>
              <w:t>-</w:t>
            </w:r>
            <w:r>
              <w:rPr>
                <w:rStyle w:val="IndexLink"/>
                <w:rtl w:val="true"/>
              </w:rPr>
              <w:t>صحیحة زرارة الاولی</w:t>
            </w:r>
            <w:r>
              <w:rPr>
                <w:rStyle w:val="IndexLink"/>
                <w:rtl w:val="true"/>
              </w:rPr>
              <w:t>:</w:t>
              <w:tab/>
            </w:r>
            <w:r>
              <w:rPr>
                <w:rStyle w:val="IndexLink"/>
              </w:rPr>
              <w:t>73</w:t>
            </w:r>
          </w:hyperlink>
        </w:p>
        <w:p>
          <w:pPr>
            <w:pStyle w:val="Contents6"/>
            <w:tabs>
              <w:tab w:val="clear" w:pos="7609"/>
              <w:tab w:val="right" w:pos="9026" w:leader="dot"/>
            </w:tabs>
            <w:rPr/>
          </w:pPr>
          <w:hyperlink w:anchor="__RefHeading___Toc5766959_322426499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5766961_3224264995">
            <w:r>
              <w:rPr>
                <w:webHidden/>
                <w:rStyle w:val="IndexLink"/>
                <w:rtl w:val="true"/>
              </w:rPr>
              <w:t>تقریر الاستدلال</w:t>
            </w:r>
            <w:r>
              <w:rPr>
                <w:rStyle w:val="IndexLink"/>
                <w:rtl w:val="true"/>
              </w:rPr>
              <w:t>:</w:t>
              <w:tab/>
            </w:r>
            <w:r>
              <w:rPr>
                <w:rStyle w:val="IndexLink"/>
              </w:rPr>
              <w:t>74</w:t>
            </w:r>
          </w:hyperlink>
        </w:p>
        <w:p>
          <w:pPr>
            <w:pStyle w:val="Contents6"/>
            <w:tabs>
              <w:tab w:val="clear" w:pos="7609"/>
              <w:tab w:val="right" w:pos="9026" w:leader="dot"/>
            </w:tabs>
            <w:rPr/>
          </w:pPr>
          <w:hyperlink w:anchor="__RefHeading___Toc5766963_3224264995">
            <w:r>
              <w:rPr>
                <w:webHidden/>
                <w:rStyle w:val="IndexLink"/>
                <w:rtl w:val="true"/>
              </w:rPr>
              <w:t>معنی الروایة</w:t>
            </w:r>
            <w:r>
              <w:rPr>
                <w:rStyle w:val="IndexLink"/>
                <w:rtl w:val="true"/>
              </w:rPr>
              <w:t>:</w:t>
              <w:tab/>
            </w:r>
            <w:r>
              <w:rPr>
                <w:rStyle w:val="IndexLink"/>
              </w:rPr>
              <w:t>74</w:t>
            </w:r>
          </w:hyperlink>
        </w:p>
        <w:p>
          <w:pPr>
            <w:pStyle w:val="Contents6"/>
            <w:tabs>
              <w:tab w:val="clear" w:pos="7609"/>
              <w:tab w:val="right" w:pos="9026" w:leader="dot"/>
            </w:tabs>
            <w:rPr/>
          </w:pPr>
          <w:hyperlink w:anchor="__RefHeading___Toc5766965_3224264995">
            <w:r>
              <w:rPr>
                <w:webHidden/>
                <w:rStyle w:val="IndexLink"/>
                <w:rtl w:val="true"/>
              </w:rPr>
              <w:t>کون اللام فی</w:t>
            </w:r>
            <w:r>
              <w:rPr>
                <w:rStyle w:val="IndexLink"/>
                <w:rtl w:val="true"/>
              </w:rPr>
              <w:t>«</w:t>
            </w:r>
            <w:r>
              <w:rPr>
                <w:rStyle w:val="IndexLink"/>
                <w:rtl w:val="true"/>
              </w:rPr>
              <w:t>الیقین</w:t>
            </w:r>
            <w:r>
              <w:rPr>
                <w:rStyle w:val="IndexLink"/>
                <w:rtl w:val="true"/>
              </w:rPr>
              <w:t>»</w:t>
            </w:r>
            <w:r>
              <w:rPr>
                <w:rStyle w:val="IndexLink"/>
                <w:rtl w:val="true"/>
              </w:rPr>
              <w:t>للجنس</w:t>
            </w:r>
            <w:r>
              <w:rPr>
                <w:rStyle w:val="IndexLink"/>
                <w:rtl w:val="true"/>
              </w:rPr>
              <w:t>:</w:t>
              <w:tab/>
            </w:r>
            <w:r>
              <w:rPr>
                <w:rStyle w:val="IndexLink"/>
              </w:rPr>
              <w:t>74</w:t>
            </w:r>
          </w:hyperlink>
        </w:p>
        <w:p>
          <w:pPr>
            <w:pStyle w:val="Contents5"/>
            <w:tabs>
              <w:tab w:val="clear" w:pos="7892"/>
              <w:tab w:val="right" w:pos="9026" w:leader="dot"/>
            </w:tabs>
            <w:rPr/>
          </w:pPr>
          <w:hyperlink w:anchor="__RefHeading___Toc5766967_3224264995">
            <w:r>
              <w:rPr>
                <w:webHidden/>
                <w:rStyle w:val="IndexLink"/>
              </w:rPr>
              <w:t>2</w:t>
            </w:r>
            <w:r>
              <w:rPr>
                <w:rStyle w:val="IndexLink"/>
                <w:rtl w:val="true"/>
              </w:rPr>
              <w:t>-</w:t>
            </w:r>
            <w:r>
              <w:rPr>
                <w:rStyle w:val="IndexLink"/>
                <w:rtl w:val="true"/>
              </w:rPr>
              <w:t>صحیحة زرارة الثانیة</w:t>
            </w:r>
            <w:r>
              <w:rPr>
                <w:rStyle w:val="IndexLink"/>
                <w:rtl w:val="true"/>
              </w:rPr>
              <w:t>:</w:t>
              <w:tab/>
            </w:r>
            <w:r>
              <w:rPr>
                <w:rStyle w:val="IndexLink"/>
              </w:rPr>
              <w:t>76</w:t>
            </w:r>
          </w:hyperlink>
        </w:p>
        <w:p>
          <w:pPr>
            <w:pStyle w:val="Contents6"/>
            <w:tabs>
              <w:tab w:val="clear" w:pos="7609"/>
              <w:tab w:val="right" w:pos="9026" w:leader="dot"/>
            </w:tabs>
            <w:rPr/>
          </w:pPr>
          <w:hyperlink w:anchor="__RefHeading___Toc5766969_3224264995">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5766971_3224264995">
            <w:r>
              <w:rPr>
                <w:webHidden/>
                <w:rStyle w:val="IndexLink"/>
                <w:rtl w:val="true"/>
              </w:rPr>
              <w:t>فقه الحدیث و مورد الاستدلال</w:t>
            </w:r>
            <w:r>
              <w:rPr>
                <w:rStyle w:val="IndexLink"/>
                <w:rtl w:val="true"/>
              </w:rPr>
              <w:t>:</w:t>
              <w:tab/>
            </w:r>
            <w:r>
              <w:rPr>
                <w:rStyle w:val="IndexLink"/>
              </w:rPr>
              <w:t>77</w:t>
            </w:r>
          </w:hyperlink>
        </w:p>
        <w:p>
          <w:pPr>
            <w:pStyle w:val="Contents5"/>
            <w:tabs>
              <w:tab w:val="clear" w:pos="7892"/>
              <w:tab w:val="right" w:pos="9026" w:leader="dot"/>
            </w:tabs>
            <w:rPr/>
          </w:pPr>
          <w:hyperlink w:anchor="__RefHeading___Toc5766973_3224264995">
            <w:r>
              <w:rPr>
                <w:webHidden/>
                <w:rStyle w:val="IndexLink"/>
              </w:rPr>
              <w:t>3</w:t>
            </w:r>
            <w:r>
              <w:rPr>
                <w:rStyle w:val="IndexLink"/>
                <w:rtl w:val="true"/>
              </w:rPr>
              <w:t>-</w:t>
            </w:r>
            <w:r>
              <w:rPr>
                <w:rStyle w:val="IndexLink"/>
                <w:rtl w:val="true"/>
              </w:rPr>
              <w:t>صحیحة زرارة الثالثة</w:t>
            </w:r>
            <w:r>
              <w:rPr>
                <w:rStyle w:val="IndexLink"/>
                <w:rtl w:val="true"/>
              </w:rPr>
              <w:t>:</w:t>
              <w:tab/>
            </w:r>
            <w:r>
              <w:rPr>
                <w:rStyle w:val="IndexLink"/>
              </w:rPr>
              <w:t>80</w:t>
            </w:r>
          </w:hyperlink>
        </w:p>
        <w:p>
          <w:pPr>
            <w:pStyle w:val="Contents6"/>
            <w:tabs>
              <w:tab w:val="clear" w:pos="7609"/>
              <w:tab w:val="right" w:pos="9026" w:leader="dot"/>
            </w:tabs>
            <w:rPr/>
          </w:pPr>
          <w:hyperlink w:anchor="__RefHeading___Toc5766975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5766977_3224264995">
            <w:r>
              <w:rPr>
                <w:webHidden/>
                <w:rStyle w:val="IndexLink"/>
                <w:rtl w:val="true"/>
              </w:rPr>
              <w:t>التأمّل فی الاستدلال بهذه الصحیحة</w:t>
            </w:r>
            <w:r>
              <w:rPr>
                <w:rStyle w:val="IndexLink"/>
                <w:rtl w:val="true"/>
              </w:rPr>
              <w:t>:</w:t>
              <w:tab/>
            </w:r>
            <w:r>
              <w:rPr>
                <w:rStyle w:val="IndexLink"/>
              </w:rPr>
              <w:t>80</w:t>
            </w:r>
          </w:hyperlink>
        </w:p>
        <w:p>
          <w:pPr>
            <w:pStyle w:val="Contents6"/>
            <w:tabs>
              <w:tab w:val="clear" w:pos="7609"/>
              <w:tab w:val="right" w:pos="9026" w:leader="dot"/>
            </w:tabs>
            <w:rPr/>
          </w:pPr>
          <w:hyperlink w:anchor="__RefHeading___Toc5766979_3224264995">
            <w:r>
              <w:rPr>
                <w:webHidden/>
                <w:rStyle w:val="IndexLink"/>
                <w:rtl w:val="true"/>
              </w:rPr>
              <w:t>المراد من</w:t>
            </w:r>
            <w:r>
              <w:rPr>
                <w:rStyle w:val="IndexLink"/>
                <w:rtl w:val="true"/>
              </w:rPr>
              <w:t>«</w:t>
            </w:r>
            <w:r>
              <w:rPr>
                <w:rStyle w:val="IndexLink"/>
                <w:rtl w:val="true"/>
              </w:rPr>
              <w:t>الیقین</w:t>
            </w:r>
            <w:r>
              <w:rPr>
                <w:rStyle w:val="IndexLink"/>
                <w:rtl w:val="true"/>
              </w:rPr>
              <w:t>»</w:t>
            </w:r>
            <w:r>
              <w:rPr>
                <w:rStyle w:val="IndexLink"/>
                <w:rtl w:val="true"/>
              </w:rPr>
              <w:t>فی هذه الصحیحة</w:t>
            </w:r>
            <w:r>
              <w:rPr>
                <w:rStyle w:val="IndexLink"/>
                <w:rtl w:val="true"/>
              </w:rPr>
              <w:t>:</w:t>
              <w:tab/>
            </w:r>
            <w:r>
              <w:rPr>
                <w:rStyle w:val="IndexLink"/>
              </w:rPr>
              <w:t>81</w:t>
            </w:r>
          </w:hyperlink>
        </w:p>
        <w:p>
          <w:pPr>
            <w:pStyle w:val="Contents6"/>
            <w:tabs>
              <w:tab w:val="clear" w:pos="7609"/>
              <w:tab w:val="right" w:pos="9026" w:leader="dot"/>
            </w:tabs>
            <w:rPr/>
          </w:pPr>
          <w:hyperlink w:anchor="__RefHeading___Toc5766981_3224264995">
            <w:r>
              <w:rPr>
                <w:webHidden/>
                <w:rStyle w:val="IndexLink"/>
                <w:rtl w:val="true"/>
              </w:rPr>
              <w:t>المراد من</w:t>
            </w:r>
            <w:r>
              <w:rPr>
                <w:rStyle w:val="IndexLink"/>
                <w:rtl w:val="true"/>
              </w:rPr>
              <w:t>«</w:t>
            </w:r>
            <w:r>
              <w:rPr>
                <w:rStyle w:val="IndexLink"/>
                <w:rtl w:val="true"/>
              </w:rPr>
              <w:t>البناء علی الیقین</w:t>
            </w:r>
            <w:r>
              <w:rPr>
                <w:rStyle w:val="IndexLink"/>
                <w:rtl w:val="true"/>
              </w:rPr>
              <w:t>»</w:t>
            </w:r>
            <w:r>
              <w:rPr>
                <w:rStyle w:val="IndexLink"/>
                <w:rtl w:val="true"/>
              </w:rPr>
              <w:t>فی الأخبار</w:t>
            </w:r>
            <w:r>
              <w:rPr>
                <w:rStyle w:val="IndexLink"/>
                <w:rtl w:val="true"/>
              </w:rPr>
              <w:t>:</w:t>
              <w:tab/>
            </w:r>
            <w:r>
              <w:rPr>
                <w:rStyle w:val="IndexLink"/>
              </w:rPr>
              <w:t>81</w:t>
            </w:r>
          </w:hyperlink>
        </w:p>
        <w:p>
          <w:pPr>
            <w:pStyle w:val="Contents5"/>
            <w:tabs>
              <w:tab w:val="clear" w:pos="7892"/>
              <w:tab w:val="right" w:pos="9026" w:leader="dot"/>
            </w:tabs>
            <w:rPr/>
          </w:pPr>
          <w:hyperlink w:anchor="__RefHeading___Toc5766983_3224264995">
            <w:r>
              <w:rPr>
                <w:webHidden/>
                <w:rStyle w:val="IndexLink"/>
              </w:rPr>
              <w:t>4</w:t>
            </w:r>
            <w:r>
              <w:rPr>
                <w:rStyle w:val="IndexLink"/>
                <w:rtl w:val="true"/>
              </w:rPr>
              <w:t>-</w:t>
            </w:r>
            <w:r>
              <w:rPr>
                <w:rStyle w:val="IndexLink"/>
                <w:rtl w:val="true"/>
              </w:rPr>
              <w:t>الاستدلال بموثّقة إسحاق بن عمّار و الإشکال فیه</w:t>
            </w:r>
            <w:r>
              <w:rPr>
                <w:rStyle w:val="IndexLink"/>
                <w:rtl w:val="true"/>
              </w:rPr>
              <w:t>:</w:t>
              <w:tab/>
            </w:r>
            <w:r>
              <w:rPr>
                <w:rStyle w:val="IndexLink"/>
              </w:rPr>
              <w:t>84</w:t>
            </w:r>
          </w:hyperlink>
        </w:p>
        <w:p>
          <w:pPr>
            <w:pStyle w:val="Contents5"/>
            <w:tabs>
              <w:tab w:val="clear" w:pos="7892"/>
              <w:tab w:val="right" w:pos="9026" w:leader="dot"/>
            </w:tabs>
            <w:rPr/>
          </w:pPr>
          <w:hyperlink w:anchor="__RefHeading___Toc5766985_3224264995">
            <w:r>
              <w:rPr>
                <w:webHidden/>
                <w:rStyle w:val="IndexLink"/>
              </w:rPr>
              <w:t>5</w:t>
            </w:r>
            <w:r>
              <w:rPr>
                <w:rStyle w:val="IndexLink"/>
                <w:rtl w:val="true"/>
              </w:rPr>
              <w:t>-</w:t>
            </w:r>
            <w:r>
              <w:rPr>
                <w:rStyle w:val="IndexLink"/>
                <w:rtl w:val="true"/>
              </w:rPr>
              <w:t>الاستدلال بروایة الخصال و روایة اخری</w:t>
            </w:r>
            <w:r>
              <w:rPr>
                <w:rStyle w:val="IndexLink"/>
                <w:rtl w:val="true"/>
              </w:rPr>
              <w:t>:</w:t>
              <w:tab/>
            </w:r>
            <w:r>
              <w:rPr>
                <w:rStyle w:val="IndexLink"/>
              </w:rPr>
              <w:t>86</w:t>
            </w:r>
          </w:hyperlink>
        </w:p>
        <w:p>
          <w:pPr>
            <w:pStyle w:val="Contents6"/>
            <w:tabs>
              <w:tab w:val="clear" w:pos="7609"/>
              <w:tab w:val="right" w:pos="9026" w:leader="dot"/>
            </w:tabs>
            <w:rPr/>
          </w:pPr>
          <w:hyperlink w:anchor="__RefHeading___Toc5766987_322426499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5766989_3224264995">
            <w:r>
              <w:rPr>
                <w:webHidden/>
                <w:rStyle w:val="IndexLink"/>
                <w:rtl w:val="true"/>
              </w:rPr>
              <w:t>المناقشة فی الاستدلال بهاتین الروایتین</w:t>
            </w:r>
            <w:r>
              <w:rPr>
                <w:rStyle w:val="IndexLink"/>
                <w:rtl w:val="true"/>
              </w:rPr>
              <w:t>:</w:t>
              <w:tab/>
            </w:r>
            <w:r>
              <w:rPr>
                <w:rStyle w:val="IndexLink"/>
              </w:rPr>
              <w:t>86</w:t>
            </w:r>
          </w:hyperlink>
        </w:p>
        <w:p>
          <w:pPr>
            <w:pStyle w:val="Contents6"/>
            <w:tabs>
              <w:tab w:val="clear" w:pos="7609"/>
              <w:tab w:val="right" w:pos="9026" w:leader="dot"/>
            </w:tabs>
            <w:rPr/>
          </w:pPr>
          <w:hyperlink w:anchor="__RefHeading___Toc5766991_3224264995">
            <w:r>
              <w:rPr>
                <w:webHidden/>
                <w:rStyle w:val="IndexLink"/>
                <w:rtl w:val="true"/>
              </w:rPr>
              <w:t>إمکان دفع المناقشة المذکورة</w:t>
            </w:r>
            <w:r>
              <w:rPr>
                <w:rStyle w:val="IndexLink"/>
                <w:rtl w:val="true"/>
              </w:rPr>
              <w:t>:</w:t>
              <w:tab/>
            </w:r>
            <w:r>
              <w:rPr>
                <w:rStyle w:val="IndexLink"/>
              </w:rPr>
              <w:t>88</w:t>
            </w:r>
          </w:hyperlink>
        </w:p>
        <w:p>
          <w:pPr>
            <w:pStyle w:val="Contents5"/>
            <w:tabs>
              <w:tab w:val="clear" w:pos="7892"/>
              <w:tab w:val="right" w:pos="9026" w:leader="dot"/>
            </w:tabs>
            <w:rPr/>
          </w:pPr>
          <w:hyperlink w:anchor="__RefHeading___Toc5766993_3224264995">
            <w:r>
              <w:rPr>
                <w:webHidden/>
                <w:rStyle w:val="IndexLink"/>
              </w:rPr>
              <w:t>6</w:t>
            </w:r>
            <w:r>
              <w:rPr>
                <w:rStyle w:val="IndexLink"/>
                <w:rtl w:val="true"/>
              </w:rPr>
              <w:t>-</w:t>
            </w:r>
            <w:r>
              <w:rPr>
                <w:rStyle w:val="IndexLink"/>
                <w:rtl w:val="true"/>
              </w:rPr>
              <w:t>مکاتبة علی بن محمّد القاسانی</w:t>
            </w:r>
            <w:r>
              <w:rPr>
                <w:rStyle w:val="IndexLink"/>
                <w:rtl w:val="true"/>
              </w:rPr>
              <w:t>:</w:t>
              <w:tab/>
            </w:r>
            <w:r>
              <w:rPr>
                <w:rStyle w:val="IndexLink"/>
              </w:rPr>
              <w:t>89</w:t>
            </w:r>
          </w:hyperlink>
        </w:p>
        <w:p>
          <w:pPr>
            <w:pStyle w:val="Contents6"/>
            <w:tabs>
              <w:tab w:val="clear" w:pos="7609"/>
              <w:tab w:val="right" w:pos="9026" w:leader="dot"/>
            </w:tabs>
            <w:rPr/>
          </w:pPr>
          <w:hyperlink w:anchor="__RefHeading___Toc5766995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5766997_3224264995">
            <w:r>
              <w:rPr>
                <w:webHidden/>
                <w:rStyle w:val="IndexLink"/>
                <w:rtl w:val="true"/>
              </w:rPr>
              <w:t>تقریب الاستدلال</w:t>
            </w:r>
            <w:r>
              <w:rPr>
                <w:rStyle w:val="IndexLink"/>
                <w:rtl w:val="true"/>
              </w:rPr>
              <w:t>:</w:t>
              <w:tab/>
            </w:r>
            <w:r>
              <w:rPr>
                <w:rStyle w:val="IndexLink"/>
              </w:rPr>
              <w:t>89</w:t>
            </w:r>
          </w:hyperlink>
        </w:p>
        <w:p>
          <w:pPr>
            <w:pStyle w:val="Contents4"/>
            <w:tabs>
              <w:tab w:val="clear" w:pos="8176"/>
              <w:tab w:val="right" w:pos="9026" w:leader="dot"/>
            </w:tabs>
            <w:rPr/>
          </w:pPr>
          <w:hyperlink w:anchor="__RefHeading___Toc5766999_3224264995">
            <w:r>
              <w:rPr>
                <w:webHidden/>
                <w:rStyle w:val="IndexLink"/>
                <w:rtl w:val="true"/>
              </w:rPr>
              <w:t>تأیید المختار بالأخبار الخاصّة</w:t>
            </w:r>
            <w:r>
              <w:rPr>
                <w:rStyle w:val="IndexLink"/>
                <w:rtl w:val="true"/>
              </w:rPr>
              <w:t>:</w:t>
              <w:tab/>
            </w:r>
            <w:r>
              <w:rPr>
                <w:rStyle w:val="IndexLink"/>
              </w:rPr>
              <w:t>90</w:t>
            </w:r>
          </w:hyperlink>
        </w:p>
        <w:p>
          <w:pPr>
            <w:pStyle w:val="Contents5"/>
            <w:tabs>
              <w:tab w:val="clear" w:pos="7892"/>
              <w:tab w:val="right" w:pos="9026" w:leader="dot"/>
            </w:tabs>
            <w:rPr/>
          </w:pPr>
          <w:hyperlink w:anchor="__RefHeading___Toc5767001_322426499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767003_3224264995">
            <w:r>
              <w:rPr>
                <w:webHidden/>
                <w:rStyle w:val="IndexLink"/>
              </w:rPr>
              <w:t>1</w:t>
            </w:r>
            <w:r>
              <w:rPr>
                <w:rStyle w:val="IndexLink"/>
                <w:rtl w:val="true"/>
              </w:rPr>
              <w:t>-</w:t>
            </w:r>
            <w:r>
              <w:rPr>
                <w:rStyle w:val="IndexLink"/>
                <w:rtl w:val="true"/>
              </w:rPr>
              <w:t>روایة عبد اللّه بن سنان</w:t>
            </w:r>
            <w:r>
              <w:rPr>
                <w:rStyle w:val="IndexLink"/>
                <w:rtl w:val="true"/>
              </w:rPr>
              <w:t>:</w:t>
              <w:tab/>
            </w:r>
            <w:r>
              <w:rPr>
                <w:rStyle w:val="IndexLink"/>
              </w:rPr>
              <w:t>90</w:t>
            </w:r>
          </w:hyperlink>
        </w:p>
        <w:p>
          <w:pPr>
            <w:pStyle w:val="Contents6"/>
            <w:tabs>
              <w:tab w:val="clear" w:pos="7609"/>
              <w:tab w:val="right" w:pos="9026" w:leader="dot"/>
            </w:tabs>
            <w:rPr/>
          </w:pPr>
          <w:hyperlink w:anchor="__RefHeading___Toc5767005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5767007_3224264995">
            <w:r>
              <w:rPr>
                <w:webHidden/>
                <w:rStyle w:val="IndexLink"/>
                <w:rtl w:val="true"/>
              </w:rPr>
              <w:t>تقریب الاستدلال</w:t>
            </w:r>
            <w:r>
              <w:rPr>
                <w:rStyle w:val="IndexLink"/>
                <w:rtl w:val="true"/>
              </w:rPr>
              <w:t>:</w:t>
              <w:tab/>
            </w:r>
            <w:r>
              <w:rPr>
                <w:rStyle w:val="IndexLink"/>
              </w:rPr>
              <w:t>90</w:t>
            </w:r>
          </w:hyperlink>
        </w:p>
        <w:p>
          <w:pPr>
            <w:pStyle w:val="Contents5"/>
            <w:tabs>
              <w:tab w:val="clear" w:pos="7892"/>
              <w:tab w:val="right" w:pos="9026" w:leader="dot"/>
            </w:tabs>
            <w:rPr/>
          </w:pPr>
          <w:hyperlink w:anchor="__RefHeading___Toc5767009_3224264995">
            <w:r>
              <w:rPr>
                <w:webHidden/>
                <w:rStyle w:val="IndexLink"/>
              </w:rPr>
              <w:t>2</w:t>
            </w:r>
            <w:r>
              <w:rPr>
                <w:rStyle w:val="IndexLink"/>
                <w:rtl w:val="true"/>
              </w:rPr>
              <w:t>-</w:t>
            </w:r>
            <w:r>
              <w:rPr>
                <w:rStyle w:val="IndexLink"/>
                <w:rtl w:val="true"/>
              </w:rPr>
              <w:t>موثّقة عمّار</w:t>
            </w:r>
            <w:r>
              <w:rPr>
                <w:rStyle w:val="IndexLink"/>
                <w:rtl w:val="true"/>
              </w:rPr>
              <w:t>:</w:t>
              <w:tab/>
            </w:r>
            <w:r>
              <w:rPr>
                <w:rStyle w:val="IndexLink"/>
              </w:rPr>
              <w:t>90</w:t>
            </w:r>
          </w:hyperlink>
        </w:p>
        <w:p>
          <w:pPr>
            <w:pStyle w:val="Contents6"/>
            <w:tabs>
              <w:tab w:val="clear" w:pos="7609"/>
              <w:tab w:val="right" w:pos="9026" w:leader="dot"/>
            </w:tabs>
            <w:rPr/>
          </w:pPr>
          <w:hyperlink w:anchor="__RefHeading___Toc5767011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5767013_3224264995">
            <w:r>
              <w:rPr>
                <w:webHidden/>
                <w:rStyle w:val="IndexLink"/>
                <w:rtl w:val="true"/>
              </w:rPr>
              <w:t>معنی الموثّقة إمّا الاستصحاب أو قاعدة الطهارة</w:t>
            </w:r>
            <w:r>
              <w:rPr>
                <w:rStyle w:val="IndexLink"/>
                <w:rtl w:val="true"/>
              </w:rPr>
              <w:t>:</w:t>
              <w:tab/>
            </w:r>
            <w:r>
              <w:rPr>
                <w:rStyle w:val="IndexLink"/>
              </w:rPr>
              <w:t>91</w:t>
            </w:r>
          </w:hyperlink>
        </w:p>
        <w:p>
          <w:pPr>
            <w:pStyle w:val="Contents6"/>
            <w:tabs>
              <w:tab w:val="clear" w:pos="7609"/>
              <w:tab w:val="right" w:pos="9026" w:leader="dot"/>
            </w:tabs>
            <w:rPr/>
          </w:pPr>
          <w:hyperlink w:anchor="__RefHeading___Toc5767015_3224264995">
            <w:r>
              <w:rPr>
                <w:webHidden/>
                <w:rStyle w:val="IndexLink"/>
                <w:rtl w:val="true"/>
              </w:rPr>
              <w:t>عدم إمکان إرادة القاعدة و الاستصحاب معا من الموثّقة</w:t>
            </w:r>
            <w:r>
              <w:rPr>
                <w:rStyle w:val="IndexLink"/>
                <w:rtl w:val="true"/>
              </w:rPr>
              <w:t>:</w:t>
              <w:tab/>
            </w:r>
            <w:r>
              <w:rPr>
                <w:rStyle w:val="IndexLink"/>
              </w:rPr>
              <w:t>92</w:t>
            </w:r>
          </w:hyperlink>
        </w:p>
        <w:p>
          <w:pPr>
            <w:pStyle w:val="Contents6"/>
            <w:tabs>
              <w:tab w:val="clear" w:pos="7609"/>
              <w:tab w:val="right" w:pos="9026" w:leader="dot"/>
            </w:tabs>
            <w:rPr/>
          </w:pPr>
          <w:hyperlink w:anchor="__RefHeading___Toc5767017_3224264995">
            <w:r>
              <w:rPr>
                <w:webHidden/>
                <w:rStyle w:val="IndexLink"/>
                <w:rtl w:val="true"/>
              </w:rPr>
              <w:t>کلام صاحب الفصول فی جواز إرادة کلیهما منها</w:t>
            </w:r>
            <w:r>
              <w:rPr>
                <w:rStyle w:val="IndexLink"/>
                <w:rtl w:val="true"/>
              </w:rPr>
              <w:t>:</w:t>
              <w:tab/>
            </w:r>
            <w:r>
              <w:rPr>
                <w:rStyle w:val="IndexLink"/>
              </w:rPr>
              <w:t>93</w:t>
            </w:r>
          </w:hyperlink>
        </w:p>
        <w:p>
          <w:pPr>
            <w:pStyle w:val="Contents6"/>
            <w:tabs>
              <w:tab w:val="clear" w:pos="7609"/>
              <w:tab w:val="right" w:pos="9026" w:leader="dot"/>
            </w:tabs>
            <w:rPr/>
          </w:pPr>
          <w:hyperlink w:anchor="__RefHeading___Toc5767019_3224264995">
            <w:r>
              <w:rPr>
                <w:webHidden/>
                <w:rStyle w:val="IndexLink"/>
                <w:rtl w:val="true"/>
              </w:rPr>
              <w:t>المناقشة فیما أفاده صاحب الفصول</w:t>
            </w:r>
            <w:r>
              <w:rPr>
                <w:rStyle w:val="IndexLink"/>
                <w:rtl w:val="true"/>
              </w:rPr>
              <w:t>:</w:t>
              <w:tab/>
            </w:r>
            <w:r>
              <w:rPr>
                <w:rStyle w:val="IndexLink"/>
              </w:rPr>
              <w:t>93</w:t>
            </w:r>
          </w:hyperlink>
        </w:p>
        <w:p>
          <w:pPr>
            <w:pStyle w:val="Contents6"/>
            <w:tabs>
              <w:tab w:val="clear" w:pos="7609"/>
              <w:tab w:val="right" w:pos="9026" w:leader="dot"/>
            </w:tabs>
            <w:rPr/>
          </w:pPr>
          <w:hyperlink w:anchor="__RefHeading___Toc5767021_3224264995">
            <w:r>
              <w:rPr>
                <w:webHidden/>
                <w:rStyle w:val="IndexLink"/>
                <w:rtl w:val="true"/>
              </w:rPr>
              <w:t>الظاهر إرادة القاعدة</w:t>
            </w:r>
            <w:r>
              <w:rPr>
                <w:rStyle w:val="IndexLink"/>
                <w:rtl w:val="true"/>
              </w:rPr>
              <w:t>:</w:t>
              <w:tab/>
            </w:r>
            <w:r>
              <w:rPr>
                <w:rStyle w:val="IndexLink"/>
              </w:rPr>
              <w:t>94</w:t>
            </w:r>
          </w:hyperlink>
        </w:p>
        <w:p>
          <w:pPr>
            <w:pStyle w:val="Contents5"/>
            <w:tabs>
              <w:tab w:val="clear" w:pos="7892"/>
              <w:tab w:val="right" w:pos="9026" w:leader="dot"/>
            </w:tabs>
            <w:rPr/>
          </w:pPr>
          <w:hyperlink w:anchor="__RefHeading___Toc5767023_3224264995">
            <w:r>
              <w:rPr>
                <w:webHidden/>
                <w:rStyle w:val="IndexLink"/>
              </w:rPr>
              <w:t>3</w:t>
            </w:r>
            <w:r>
              <w:rPr>
                <w:rStyle w:val="IndexLink"/>
                <w:rtl w:val="true"/>
              </w:rPr>
              <w:t>-</w:t>
            </w:r>
            <w:r>
              <w:rPr>
                <w:rStyle w:val="IndexLink"/>
                <w:rtl w:val="true"/>
              </w:rPr>
              <w:t>الروایة الثالثة</w:t>
            </w:r>
            <w:r>
              <w:rPr>
                <w:rStyle w:val="IndexLink"/>
                <w:rtl w:val="true"/>
              </w:rPr>
              <w:t>:</w:t>
              <w:tab/>
            </w:r>
            <w:r>
              <w:rPr>
                <w:rStyle w:val="IndexLink"/>
              </w:rPr>
              <w:t>95</w:t>
            </w:r>
          </w:hyperlink>
        </w:p>
        <w:p>
          <w:pPr>
            <w:pStyle w:val="Contents5"/>
            <w:tabs>
              <w:tab w:val="clear" w:pos="7892"/>
              <w:tab w:val="right" w:pos="9026" w:leader="dot"/>
            </w:tabs>
            <w:rPr/>
          </w:pPr>
          <w:hyperlink w:anchor="__RefHeading___Toc5767025_3224264995">
            <w:r>
              <w:rPr>
                <w:webHidden/>
                <w:rStyle w:val="IndexLink"/>
              </w:rPr>
              <w:t>4</w:t>
            </w:r>
            <w:r>
              <w:rPr>
                <w:rStyle w:val="IndexLink"/>
                <w:rtl w:val="true"/>
              </w:rPr>
              <w:t>-</w:t>
            </w:r>
            <w:r>
              <w:rPr>
                <w:rStyle w:val="IndexLink"/>
                <w:rtl w:val="true"/>
              </w:rPr>
              <w:t>الروایة الرابعة</w:t>
            </w:r>
            <w:r>
              <w:rPr>
                <w:rStyle w:val="IndexLink"/>
                <w:rtl w:val="true"/>
              </w:rPr>
              <w:t>:</w:t>
              <w:tab/>
            </w:r>
            <w:r>
              <w:rPr>
                <w:rStyle w:val="IndexLink"/>
              </w:rPr>
              <w:t>95</w:t>
            </w:r>
          </w:hyperlink>
        </w:p>
        <w:p>
          <w:pPr>
            <w:pStyle w:val="Contents4"/>
            <w:tabs>
              <w:tab w:val="clear" w:pos="8176"/>
              <w:tab w:val="right" w:pos="9026" w:leader="dot"/>
            </w:tabs>
            <w:rPr/>
          </w:pPr>
          <w:hyperlink w:anchor="__RefHeading___Toc5767027_3224264995">
            <w:r>
              <w:rPr>
                <w:webHidden/>
                <w:rStyle w:val="IndexLink"/>
                <w:rtl w:val="true"/>
              </w:rPr>
              <w:t>اختصاص الأخبار بالشکّ فی الرافع</w:t>
            </w:r>
            <w:r>
              <w:rPr>
                <w:rStyle w:val="IndexLink"/>
                <w:rtl w:val="true"/>
              </w:rPr>
              <w:tab/>
            </w:r>
            <w:r>
              <w:rPr>
                <w:rStyle w:val="IndexLink"/>
              </w:rPr>
              <w:t>96</w:t>
            </w:r>
          </w:hyperlink>
        </w:p>
        <w:p>
          <w:pPr>
            <w:pStyle w:val="Contents5"/>
            <w:tabs>
              <w:tab w:val="clear" w:pos="7892"/>
              <w:tab w:val="right" w:pos="9026" w:leader="dot"/>
            </w:tabs>
            <w:rPr/>
          </w:pPr>
          <w:hyperlink w:anchor="__RefHeading___Toc5767029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767031_3224264995">
            <w:r>
              <w:rPr>
                <w:webHidden/>
                <w:rStyle w:val="IndexLink"/>
                <w:rtl w:val="true"/>
              </w:rPr>
              <w:t>تأمّل المحقّق الخوانساری فی الاستدلال بالأخبار علی الحجّیة مطلقا</w:t>
            </w:r>
            <w:r>
              <w:rPr>
                <w:rStyle w:val="IndexLink"/>
                <w:rtl w:val="true"/>
              </w:rPr>
              <w:t>:</w:t>
              <w:tab/>
            </w:r>
            <w:r>
              <w:rPr>
                <w:rStyle w:val="IndexLink"/>
              </w:rPr>
              <w:t>96</w:t>
            </w:r>
          </w:hyperlink>
        </w:p>
        <w:p>
          <w:pPr>
            <w:pStyle w:val="Contents5"/>
            <w:tabs>
              <w:tab w:val="clear" w:pos="7892"/>
              <w:tab w:val="right" w:pos="9026" w:leader="dot"/>
            </w:tabs>
            <w:rPr/>
          </w:pPr>
          <w:hyperlink w:anchor="__RefHeading___Toc5767033_3224264995">
            <w:r>
              <w:rPr>
                <w:webHidden/>
                <w:rStyle w:val="IndexLink"/>
                <w:rtl w:val="true"/>
              </w:rPr>
              <w:t>المراد من</w:t>
            </w:r>
            <w:r>
              <w:rPr>
                <w:rStyle w:val="IndexLink"/>
                <w:rtl w:val="true"/>
              </w:rPr>
              <w:t>«</w:t>
            </w:r>
            <w:r>
              <w:rPr>
                <w:rStyle w:val="IndexLink"/>
                <w:rtl w:val="true"/>
              </w:rPr>
              <w:t>نقض الیقین</w:t>
            </w:r>
            <w:r>
              <w:rPr>
                <w:rStyle w:val="IndexLink"/>
                <w:rtl w:val="true"/>
              </w:rPr>
              <w:t>»:</w:t>
              <w:tab/>
            </w:r>
            <w:r>
              <w:rPr>
                <w:rStyle w:val="IndexLink"/>
              </w:rPr>
              <w:t>97</w:t>
            </w:r>
          </w:hyperlink>
        </w:p>
        <w:p>
          <w:pPr>
            <w:pStyle w:val="Contents3"/>
            <w:tabs>
              <w:tab w:val="clear" w:pos="8459"/>
              <w:tab w:val="right" w:pos="9026" w:leader="dot"/>
            </w:tabs>
            <w:rPr/>
          </w:pPr>
          <w:hyperlink w:anchor="__RefHeading___Toc5767035_3224264995">
            <w:r>
              <w:rPr>
                <w:webHidden/>
                <w:rStyle w:val="IndexLink"/>
                <w:rtl w:val="true"/>
              </w:rPr>
              <w:t>حجة القول الأوّل</w:t>
            </w:r>
            <w:r>
              <w:rPr>
                <w:rStyle w:val="IndexLink"/>
                <w:rtl w:val="true"/>
              </w:rPr>
              <w:t>:</w:t>
              <w:tab/>
            </w:r>
            <w:r>
              <w:rPr>
                <w:rStyle w:val="IndexLink"/>
              </w:rPr>
              <w:t>101</w:t>
            </w:r>
          </w:hyperlink>
        </w:p>
        <w:p>
          <w:pPr>
            <w:pStyle w:val="Contents4"/>
            <w:tabs>
              <w:tab w:val="clear" w:pos="8176"/>
              <w:tab w:val="right" w:pos="9026" w:leader="dot"/>
            </w:tabs>
            <w:rPr/>
          </w:pPr>
          <w:hyperlink w:anchor="__RefHeading___Toc5767037_3224264995">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767039_3224264995">
            <w:r>
              <w:rPr>
                <w:webHidden/>
                <w:rStyle w:val="IndexLink"/>
                <w:rtl w:val="true"/>
              </w:rPr>
              <w:t>الوجه الأوّل و المناقشة فیه</w:t>
            </w:r>
            <w:r>
              <w:rPr>
                <w:rStyle w:val="IndexLink"/>
                <w:rtl w:val="true"/>
              </w:rPr>
              <w:t>:</w:t>
              <w:tab/>
            </w:r>
            <w:r>
              <w:rPr>
                <w:rStyle w:val="IndexLink"/>
              </w:rPr>
              <w:t>101</w:t>
            </w:r>
          </w:hyperlink>
        </w:p>
        <w:p>
          <w:pPr>
            <w:pStyle w:val="Contents4"/>
            <w:tabs>
              <w:tab w:val="clear" w:pos="8176"/>
              <w:tab w:val="right" w:pos="9026" w:leader="dot"/>
            </w:tabs>
            <w:rPr/>
          </w:pPr>
          <w:hyperlink w:anchor="__RefHeading___Toc5767041_3224264995">
            <w:r>
              <w:rPr>
                <w:webHidden/>
                <w:rStyle w:val="IndexLink"/>
                <w:rtl w:val="true"/>
              </w:rPr>
              <w:t>الوجه الثانی</w:t>
            </w:r>
            <w:r>
              <w:rPr>
                <w:rStyle w:val="IndexLink"/>
                <w:rtl w:val="true"/>
              </w:rPr>
              <w:t>:</w:t>
              <w:tab/>
            </w:r>
            <w:r>
              <w:rPr>
                <w:rStyle w:val="IndexLink"/>
              </w:rPr>
              <w:t>101</w:t>
            </w:r>
          </w:hyperlink>
        </w:p>
        <w:p>
          <w:pPr>
            <w:pStyle w:val="Contents5"/>
            <w:tabs>
              <w:tab w:val="clear" w:pos="7892"/>
              <w:tab w:val="right" w:pos="9026" w:leader="dot"/>
            </w:tabs>
            <w:rPr/>
          </w:pPr>
          <w:hyperlink w:anchor="__RefHeading___Toc5767043_322426499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767045_3224264995">
            <w:r>
              <w:rPr>
                <w:webHidden/>
                <w:rStyle w:val="IndexLink"/>
                <w:rtl w:val="true"/>
              </w:rPr>
              <w:t>المناقشة فی الوجه الثانی</w:t>
            </w:r>
            <w:r>
              <w:rPr>
                <w:rStyle w:val="IndexLink"/>
                <w:rtl w:val="true"/>
              </w:rPr>
              <w:t>:</w:t>
              <w:tab/>
            </w:r>
            <w:r>
              <w:rPr>
                <w:rStyle w:val="IndexLink"/>
              </w:rPr>
              <w:t>102</w:t>
            </w:r>
          </w:hyperlink>
        </w:p>
        <w:p>
          <w:pPr>
            <w:pStyle w:val="Contents4"/>
            <w:tabs>
              <w:tab w:val="clear" w:pos="8176"/>
              <w:tab w:val="right" w:pos="9026" w:leader="dot"/>
            </w:tabs>
            <w:rPr/>
          </w:pPr>
          <w:hyperlink w:anchor="__RefHeading___Toc5767047_3224264995">
            <w:r>
              <w:rPr>
                <w:webHidden/>
                <w:rStyle w:val="IndexLink"/>
                <w:rtl w:val="true"/>
              </w:rPr>
              <w:t>الوجه الثالث</w:t>
            </w:r>
            <w:r>
              <w:rPr>
                <w:rStyle w:val="IndexLink"/>
                <w:rtl w:val="true"/>
              </w:rPr>
              <w:t>:</w:t>
              <w:tab/>
            </w:r>
            <w:r>
              <w:rPr>
                <w:rStyle w:val="IndexLink"/>
              </w:rPr>
              <w:t>104</w:t>
            </w:r>
          </w:hyperlink>
        </w:p>
        <w:p>
          <w:pPr>
            <w:pStyle w:val="Contents5"/>
            <w:tabs>
              <w:tab w:val="clear" w:pos="7892"/>
              <w:tab w:val="right" w:pos="9026" w:leader="dot"/>
            </w:tabs>
            <w:rPr/>
          </w:pPr>
          <w:hyperlink w:anchor="__RefHeading___Toc5767049_322426499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5767051_3224264995">
            <w:r>
              <w:rPr>
                <w:webHidden/>
                <w:rStyle w:val="IndexLink"/>
                <w:rtl w:val="true"/>
              </w:rPr>
              <w:t>المناقشة فی الوجه الثالث</w:t>
            </w:r>
            <w:r>
              <w:rPr>
                <w:rStyle w:val="IndexLink"/>
                <w:rtl w:val="true"/>
              </w:rPr>
              <w:t>:</w:t>
              <w:tab/>
            </w:r>
            <w:r>
              <w:rPr>
                <w:rStyle w:val="IndexLink"/>
              </w:rPr>
              <w:t>105</w:t>
            </w:r>
          </w:hyperlink>
        </w:p>
        <w:p>
          <w:pPr>
            <w:pStyle w:val="Contents6"/>
            <w:tabs>
              <w:tab w:val="clear" w:pos="7609"/>
              <w:tab w:val="right" w:pos="9026" w:leader="dot"/>
            </w:tabs>
            <w:rPr/>
          </w:pPr>
          <w:hyperlink w:anchor="__RefHeading___Toc5767053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5767055_3224264995">
            <w:r>
              <w:rPr>
                <w:webHidden/>
                <w:rStyle w:val="IndexLink"/>
                <w:rtl w:val="true"/>
              </w:rPr>
              <w:t>دعوی أنّ وجود الشیء سابقا یقتضی الظنّ ببقائه و الجواب عنها</w:t>
            </w:r>
            <w:r>
              <w:rPr>
                <w:rStyle w:val="IndexLink"/>
                <w:rtl w:val="true"/>
              </w:rPr>
              <w:t>:</w:t>
              <w:tab/>
            </w:r>
            <w:r>
              <w:rPr>
                <w:rStyle w:val="IndexLink"/>
              </w:rPr>
              <w:t>105</w:t>
            </w:r>
          </w:hyperlink>
        </w:p>
        <w:p>
          <w:pPr>
            <w:pStyle w:val="Contents6"/>
            <w:tabs>
              <w:tab w:val="clear" w:pos="7609"/>
              <w:tab w:val="right" w:pos="9026" w:leader="dot"/>
            </w:tabs>
            <w:rPr/>
          </w:pPr>
          <w:hyperlink w:anchor="__RefHeading___Toc5767057_3224264995">
            <w:r>
              <w:rPr>
                <w:webHidden/>
                <w:rStyle w:val="IndexLink"/>
                <w:rtl w:val="true"/>
              </w:rPr>
              <w:t>کلام السید الصدر فی المقام</w:t>
            </w:r>
            <w:r>
              <w:rPr>
                <w:rStyle w:val="IndexLink"/>
                <w:rtl w:val="true"/>
              </w:rPr>
              <w:t>:</w:t>
              <w:tab/>
            </w:r>
            <w:r>
              <w:rPr>
                <w:rStyle w:val="IndexLink"/>
              </w:rPr>
              <w:t>106</w:t>
            </w:r>
          </w:hyperlink>
        </w:p>
        <w:p>
          <w:pPr>
            <w:pStyle w:val="Contents6"/>
            <w:tabs>
              <w:tab w:val="clear" w:pos="7609"/>
              <w:tab w:val="right" w:pos="9026" w:leader="dot"/>
            </w:tabs>
            <w:rPr/>
          </w:pPr>
          <w:hyperlink w:anchor="__RefHeading___Toc5767059_3224264995">
            <w:r>
              <w:rPr>
                <w:webHidden/>
                <w:rStyle w:val="IndexLink"/>
                <w:rtl w:val="true"/>
              </w:rPr>
              <w:t>المناقشة فیما أفاده السید الصدر</w:t>
            </w:r>
            <w:r>
              <w:rPr>
                <w:rStyle w:val="IndexLink"/>
                <w:rtl w:val="true"/>
              </w:rPr>
              <w:t>:</w:t>
              <w:tab/>
            </w:r>
            <w:r>
              <w:rPr>
                <w:rStyle w:val="IndexLink"/>
              </w:rPr>
              <w:t>107</w:t>
            </w:r>
          </w:hyperlink>
        </w:p>
        <w:p>
          <w:pPr>
            <w:pStyle w:val="Contents6"/>
            <w:tabs>
              <w:tab w:val="clear" w:pos="7609"/>
              <w:tab w:val="right" w:pos="9026" w:leader="dot"/>
            </w:tabs>
            <w:rPr/>
          </w:pPr>
          <w:hyperlink w:anchor="__RefHeading___Toc5767061_3224264995">
            <w:r>
              <w:rPr>
                <w:webHidden/>
                <w:rStyle w:val="IndexLink"/>
                <w:rtl w:val="true"/>
              </w:rPr>
              <w:t>کلام صاحب القوانین فی المقام</w:t>
            </w:r>
            <w:r>
              <w:rPr>
                <w:rStyle w:val="IndexLink"/>
                <w:rtl w:val="true"/>
              </w:rPr>
              <w:t>:</w:t>
              <w:tab/>
            </w:r>
            <w:r>
              <w:rPr>
                <w:rStyle w:val="IndexLink"/>
              </w:rPr>
              <w:t>108</w:t>
            </w:r>
          </w:hyperlink>
        </w:p>
        <w:p>
          <w:pPr>
            <w:pStyle w:val="Contents6"/>
            <w:tabs>
              <w:tab w:val="clear" w:pos="7609"/>
              <w:tab w:val="right" w:pos="9026" w:leader="dot"/>
            </w:tabs>
            <w:rPr/>
          </w:pPr>
          <w:hyperlink w:anchor="__RefHeading___Toc5767063_3224264995">
            <w:r>
              <w:rPr>
                <w:webHidden/>
                <w:rStyle w:val="IndexLink"/>
                <w:rtl w:val="true"/>
              </w:rPr>
              <w:t>المناقشة فیما أفاده صاحب القوانین</w:t>
            </w:r>
            <w:r>
              <w:rPr>
                <w:rStyle w:val="IndexLink"/>
                <w:rtl w:val="true"/>
              </w:rPr>
              <w:t>:</w:t>
              <w:tab/>
            </w:r>
            <w:r>
              <w:rPr>
                <w:rStyle w:val="IndexLink"/>
              </w:rPr>
              <w:t>110</w:t>
            </w:r>
          </w:hyperlink>
        </w:p>
        <w:p>
          <w:pPr>
            <w:pStyle w:val="Contents4"/>
            <w:tabs>
              <w:tab w:val="clear" w:pos="8176"/>
              <w:tab w:val="right" w:pos="9026" w:leader="dot"/>
            </w:tabs>
            <w:rPr/>
          </w:pPr>
          <w:hyperlink w:anchor="__RefHeading___Toc5767065_3224264995">
            <w:r>
              <w:rPr>
                <w:webHidden/>
                <w:rStyle w:val="IndexLink"/>
                <w:rtl w:val="true"/>
              </w:rPr>
              <w:t>الوجه الرابع</w:t>
            </w:r>
            <w:r>
              <w:rPr>
                <w:rStyle w:val="IndexLink"/>
                <w:rtl w:val="true"/>
              </w:rPr>
              <w:t>:</w:t>
            </w:r>
            <w:r>
              <w:rPr>
                <w:rStyle w:val="IndexLink"/>
                <w:rtl w:val="true"/>
              </w:rPr>
              <w:t>بناء العقلاء</w:t>
            </w:r>
            <w:r>
              <w:rPr>
                <w:rStyle w:val="IndexLink"/>
                <w:rtl w:val="true"/>
              </w:rPr>
              <w:t>:</w:t>
              <w:tab/>
            </w:r>
            <w:r>
              <w:rPr>
                <w:rStyle w:val="IndexLink"/>
              </w:rPr>
              <w:t>112</w:t>
            </w:r>
          </w:hyperlink>
        </w:p>
        <w:p>
          <w:pPr>
            <w:pStyle w:val="Contents5"/>
            <w:tabs>
              <w:tab w:val="clear" w:pos="7892"/>
              <w:tab w:val="right" w:pos="9026" w:leader="dot"/>
            </w:tabs>
            <w:rPr/>
          </w:pPr>
          <w:hyperlink w:anchor="__RefHeading___Toc5767067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767069_3224264995">
            <w:r>
              <w:rPr>
                <w:webHidden/>
                <w:rStyle w:val="IndexLink"/>
                <w:rtl w:val="true"/>
              </w:rPr>
              <w:t>المناقشة فی الوجه الرابع</w:t>
            </w:r>
            <w:r>
              <w:rPr>
                <w:rStyle w:val="IndexLink"/>
                <w:rtl w:val="true"/>
              </w:rPr>
              <w:t>:</w:t>
              <w:tab/>
            </w:r>
            <w:r>
              <w:rPr>
                <w:rStyle w:val="IndexLink"/>
              </w:rPr>
              <w:t>113</w:t>
            </w:r>
          </w:hyperlink>
        </w:p>
        <w:p>
          <w:pPr>
            <w:pStyle w:val="Contents6"/>
            <w:tabs>
              <w:tab w:val="clear" w:pos="7609"/>
              <w:tab w:val="right" w:pos="9026" w:leader="dot"/>
            </w:tabs>
            <w:rPr/>
          </w:pPr>
          <w:hyperlink w:anchor="__RefHeading___Toc5767071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5767073_3224264995">
            <w:r>
              <w:rPr>
                <w:webHidden/>
                <w:rStyle w:val="IndexLink"/>
                <w:rtl w:val="true"/>
              </w:rPr>
              <w:t>کلام الشیخ الطوسی فی العدة</w:t>
            </w:r>
            <w:r>
              <w:rPr>
                <w:rStyle w:val="IndexLink"/>
                <w:rtl w:val="true"/>
              </w:rPr>
              <w:t>:</w:t>
              <w:tab/>
            </w:r>
            <w:r>
              <w:rPr>
                <w:rStyle w:val="IndexLink"/>
              </w:rPr>
              <w:t>114</w:t>
            </w:r>
          </w:hyperlink>
        </w:p>
        <w:p>
          <w:pPr>
            <w:pStyle w:val="Contents3"/>
            <w:tabs>
              <w:tab w:val="clear" w:pos="8459"/>
              <w:tab w:val="right" w:pos="9026" w:leader="dot"/>
            </w:tabs>
            <w:rPr/>
          </w:pPr>
          <w:hyperlink w:anchor="__RefHeading___Toc5767075_3224264995">
            <w:r>
              <w:rPr>
                <w:webHidden/>
                <w:rStyle w:val="IndexLink"/>
                <w:rtl w:val="true"/>
              </w:rPr>
              <w:t>حجة القول الثانی</w:t>
            </w:r>
            <w:r>
              <w:rPr>
                <w:rStyle w:val="IndexLink"/>
                <w:rtl w:val="true"/>
              </w:rPr>
              <w:t>:</w:t>
              <w:tab/>
            </w:r>
            <w:r>
              <w:rPr>
                <w:rStyle w:val="IndexLink"/>
              </w:rPr>
              <w:t>115</w:t>
            </w:r>
          </w:hyperlink>
        </w:p>
        <w:p>
          <w:pPr>
            <w:pStyle w:val="Contents4"/>
            <w:tabs>
              <w:tab w:val="clear" w:pos="8176"/>
              <w:tab w:val="right" w:pos="9026" w:leader="dot"/>
            </w:tabs>
            <w:rPr/>
          </w:pPr>
          <w:hyperlink w:anchor="__RefHeading___Toc5767077_3224264995">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767079_3224264995">
            <w:r>
              <w:rPr>
                <w:webHidden/>
                <w:rStyle w:val="IndexLink"/>
              </w:rPr>
              <w:t>1</w:t>
            </w:r>
            <w:r>
              <w:rPr>
                <w:rStyle w:val="IndexLink"/>
                <w:rtl w:val="true"/>
              </w:rPr>
              <w:t>-</w:t>
            </w:r>
            <w:r>
              <w:rPr>
                <w:rStyle w:val="IndexLink"/>
                <w:rtl w:val="true"/>
              </w:rPr>
              <w:t>دعوی أنّ الاستصحاب إثبات للحکم من غیر دلیل</w:t>
            </w:r>
            <w:r>
              <w:rPr>
                <w:rStyle w:val="IndexLink"/>
                <w:rtl w:val="true"/>
              </w:rPr>
              <w:t>:</w:t>
              <w:tab/>
            </w:r>
            <w:r>
              <w:rPr>
                <w:rStyle w:val="IndexLink"/>
              </w:rPr>
              <w:t>115</w:t>
            </w:r>
          </w:hyperlink>
        </w:p>
        <w:p>
          <w:pPr>
            <w:pStyle w:val="Contents5"/>
            <w:tabs>
              <w:tab w:val="clear" w:pos="7892"/>
              <w:tab w:val="right" w:pos="9026" w:leader="dot"/>
            </w:tabs>
            <w:rPr/>
          </w:pPr>
          <w:hyperlink w:anchor="__RefHeading___Toc5767081_3224264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767083_3224264995">
            <w:r>
              <w:rPr>
                <w:webHidden/>
                <w:rStyle w:val="IndexLink"/>
                <w:rtl w:val="true"/>
              </w:rPr>
              <w:t>المناقشة فی ذلک</w:t>
            </w:r>
            <w:r>
              <w:rPr>
                <w:rStyle w:val="IndexLink"/>
                <w:rtl w:val="true"/>
              </w:rPr>
              <w:t>:</w:t>
              <w:tab/>
            </w:r>
            <w:r>
              <w:rPr>
                <w:rStyle w:val="IndexLink"/>
              </w:rPr>
              <w:t>115</w:t>
            </w:r>
          </w:hyperlink>
        </w:p>
        <w:p>
          <w:pPr>
            <w:pStyle w:val="Contents4"/>
            <w:tabs>
              <w:tab w:val="clear" w:pos="8176"/>
              <w:tab w:val="right" w:pos="9026" w:leader="dot"/>
            </w:tabs>
            <w:rPr/>
          </w:pPr>
          <w:hyperlink w:anchor="__RefHeading___Toc5767085_3224264995">
            <w:r>
              <w:rPr>
                <w:webHidden/>
                <w:rStyle w:val="IndexLink"/>
              </w:rPr>
              <w:t>2</w:t>
            </w:r>
            <w:r>
              <w:rPr>
                <w:rStyle w:val="IndexLink"/>
                <w:rtl w:val="true"/>
              </w:rPr>
              <w:t>-</w:t>
            </w:r>
            <w:r>
              <w:rPr>
                <w:rStyle w:val="IndexLink"/>
                <w:rtl w:val="true"/>
              </w:rPr>
              <w:t>لزوم القطع بالبقاء بناء علی حجّیة الاستصحاب</w:t>
            </w:r>
            <w:r>
              <w:rPr>
                <w:rStyle w:val="IndexLink"/>
                <w:rtl w:val="true"/>
              </w:rPr>
              <w:t>:</w:t>
              <w:tab/>
            </w:r>
            <w:r>
              <w:rPr>
                <w:rStyle w:val="IndexLink"/>
              </w:rPr>
              <w:t>117</w:t>
            </w:r>
          </w:hyperlink>
        </w:p>
        <w:p>
          <w:pPr>
            <w:pStyle w:val="Contents5"/>
            <w:tabs>
              <w:tab w:val="clear" w:pos="7892"/>
              <w:tab w:val="right" w:pos="9026" w:leader="dot"/>
            </w:tabs>
            <w:rPr/>
          </w:pPr>
          <w:hyperlink w:anchor="__RefHeading___Toc5767087_322426499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767089_3224264995">
            <w:r>
              <w:rPr>
                <w:webHidden/>
                <w:rStyle w:val="IndexLink"/>
                <w:rtl w:val="true"/>
              </w:rPr>
              <w:t>المناقشة فیه</w:t>
            </w:r>
            <w:r>
              <w:rPr>
                <w:rStyle w:val="IndexLink"/>
                <w:rtl w:val="true"/>
              </w:rPr>
              <w:t>:</w:t>
              <w:tab/>
            </w:r>
            <w:r>
              <w:rPr>
                <w:rStyle w:val="IndexLink"/>
              </w:rPr>
              <w:t>118</w:t>
            </w:r>
          </w:hyperlink>
        </w:p>
        <w:p>
          <w:pPr>
            <w:pStyle w:val="Contents4"/>
            <w:tabs>
              <w:tab w:val="clear" w:pos="8176"/>
              <w:tab w:val="right" w:pos="9026" w:leader="dot"/>
            </w:tabs>
            <w:rPr/>
          </w:pPr>
          <w:hyperlink w:anchor="__RefHeading___Toc5767091_3224264995">
            <w:r>
              <w:rPr>
                <w:webHidden/>
                <w:rStyle w:val="IndexLink"/>
              </w:rPr>
              <w:t>3</w:t>
            </w:r>
            <w:r>
              <w:rPr>
                <w:rStyle w:val="IndexLink"/>
                <w:rtl w:val="true"/>
              </w:rPr>
              <w:t>-</w:t>
            </w:r>
            <w:r>
              <w:rPr>
                <w:rStyle w:val="IndexLink"/>
                <w:rtl w:val="true"/>
              </w:rPr>
              <w:t>لزوم التناقض بناء علی الحجّیة و المناقشة فیه</w:t>
            </w:r>
            <w:r>
              <w:rPr>
                <w:rStyle w:val="IndexLink"/>
                <w:rtl w:val="true"/>
              </w:rPr>
              <w:t>:</w:t>
              <w:tab/>
            </w:r>
            <w:r>
              <w:rPr>
                <w:rStyle w:val="IndexLink"/>
              </w:rPr>
              <w:t>118</w:t>
            </w:r>
          </w:hyperlink>
        </w:p>
        <w:p>
          <w:pPr>
            <w:pStyle w:val="Contents5"/>
            <w:tabs>
              <w:tab w:val="clear" w:pos="7892"/>
              <w:tab w:val="right" w:pos="9026" w:leader="dot"/>
            </w:tabs>
            <w:rPr/>
          </w:pPr>
          <w:hyperlink w:anchor="__RefHeading___Toc5767093_322426499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767095_3224264995">
            <w:r>
              <w:rPr>
                <w:webHidden/>
                <w:rStyle w:val="IndexLink"/>
                <w:rtl w:val="true"/>
              </w:rPr>
              <w:t>المناقشة فیه</w:t>
            </w:r>
            <w:r>
              <w:rPr>
                <w:rStyle w:val="IndexLink"/>
                <w:rtl w:val="true"/>
              </w:rPr>
              <w:t>:</w:t>
              <w:tab/>
            </w:r>
            <w:r>
              <w:rPr>
                <w:rStyle w:val="IndexLink"/>
              </w:rPr>
              <w:t>118</w:t>
            </w:r>
          </w:hyperlink>
        </w:p>
        <w:p>
          <w:pPr>
            <w:pStyle w:val="Contents4"/>
            <w:tabs>
              <w:tab w:val="clear" w:pos="8176"/>
              <w:tab w:val="right" w:pos="9026" w:leader="dot"/>
            </w:tabs>
            <w:rPr/>
          </w:pPr>
          <w:hyperlink w:anchor="__RefHeading___Toc5767097_3224264995">
            <w:r>
              <w:rPr>
                <w:webHidden/>
                <w:rStyle w:val="IndexLink"/>
              </w:rPr>
              <w:t>4</w:t>
            </w:r>
            <w:r>
              <w:rPr>
                <w:rStyle w:val="IndexLink"/>
                <w:rtl w:val="true"/>
              </w:rPr>
              <w:t>-</w:t>
            </w:r>
            <w:r>
              <w:rPr>
                <w:rStyle w:val="IndexLink"/>
                <w:rtl w:val="true"/>
              </w:rPr>
              <w:t>استلزام القول بالحجّیة ترجیح بیّنة النافی</w:t>
            </w:r>
            <w:r>
              <w:rPr>
                <w:rStyle w:val="IndexLink"/>
                <w:rtl w:val="true"/>
              </w:rPr>
              <w:t>:</w:t>
              <w:tab/>
            </w:r>
            <w:r>
              <w:rPr>
                <w:rStyle w:val="IndexLink"/>
              </w:rPr>
              <w:t>119</w:t>
            </w:r>
          </w:hyperlink>
        </w:p>
        <w:p>
          <w:pPr>
            <w:pStyle w:val="Contents5"/>
            <w:tabs>
              <w:tab w:val="clear" w:pos="7892"/>
              <w:tab w:val="right" w:pos="9026" w:leader="dot"/>
            </w:tabs>
            <w:rPr/>
          </w:pPr>
          <w:hyperlink w:anchor="__RefHeading___Toc5767099_322426499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767101_3224264995">
            <w:r>
              <w:rPr>
                <w:webHidden/>
                <w:rStyle w:val="IndexLink"/>
                <w:rtl w:val="true"/>
              </w:rPr>
              <w:t>المناقشة فی ذلک</w:t>
            </w:r>
            <w:r>
              <w:rPr>
                <w:rStyle w:val="IndexLink"/>
                <w:rtl w:val="true"/>
              </w:rPr>
              <w:t>:</w:t>
              <w:tab/>
            </w:r>
            <w:r>
              <w:rPr>
                <w:rStyle w:val="IndexLink"/>
              </w:rPr>
              <w:t>119</w:t>
            </w:r>
          </w:hyperlink>
        </w:p>
        <w:p>
          <w:pPr>
            <w:pStyle w:val="Contents3"/>
            <w:tabs>
              <w:tab w:val="clear" w:pos="8459"/>
              <w:tab w:val="right" w:pos="9026" w:leader="dot"/>
            </w:tabs>
            <w:rPr/>
          </w:pPr>
          <w:hyperlink w:anchor="__RefHeading___Toc5767103_3224264995">
            <w:r>
              <w:rPr>
                <w:webHidden/>
                <w:rStyle w:val="IndexLink"/>
                <w:rtl w:val="true"/>
              </w:rPr>
              <w:t>حجّة القول الثالث</w:t>
            </w:r>
            <w:r>
              <w:rPr>
                <w:rStyle w:val="IndexLink"/>
                <w:rtl w:val="true"/>
              </w:rPr>
              <w:tab/>
            </w:r>
            <w:r>
              <w:rPr>
                <w:rStyle w:val="IndexLink"/>
              </w:rPr>
              <w:t>121</w:t>
            </w:r>
          </w:hyperlink>
        </w:p>
        <w:p>
          <w:pPr>
            <w:pStyle w:val="Contents4"/>
            <w:tabs>
              <w:tab w:val="clear" w:pos="8176"/>
              <w:tab w:val="right" w:pos="9026" w:leader="dot"/>
            </w:tabs>
            <w:rPr/>
          </w:pPr>
          <w:hyperlink w:anchor="__RefHeading___Toc5767105_3224264995">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767107_3224264995">
            <w:r>
              <w:rPr>
                <w:webHidden/>
                <w:rStyle w:val="IndexLink"/>
                <w:rtl w:val="true"/>
              </w:rPr>
              <w:t>القول بالتفضیل بین العدمی و الوجودی</w:t>
            </w:r>
            <w:r>
              <w:rPr>
                <w:rStyle w:val="IndexLink"/>
                <w:rtl w:val="true"/>
              </w:rPr>
              <w:tab/>
            </w:r>
            <w:r>
              <w:rPr>
                <w:rStyle w:val="IndexLink"/>
              </w:rPr>
              <w:t>121</w:t>
            </w:r>
          </w:hyperlink>
        </w:p>
        <w:p>
          <w:pPr>
            <w:pStyle w:val="Contents4"/>
            <w:tabs>
              <w:tab w:val="clear" w:pos="8176"/>
              <w:tab w:val="right" w:pos="9026" w:leader="dot"/>
            </w:tabs>
            <w:rPr/>
          </w:pPr>
          <w:hyperlink w:anchor="__RefHeading___Toc5767109_3224264995">
            <w:r>
              <w:rPr>
                <w:webHidden/>
                <w:rStyle w:val="IndexLink"/>
                <w:rtl w:val="true"/>
              </w:rPr>
              <w:t>عدم استقامة هذا القول بناء علی اعتبار الاستصحاب من باب الظنّ</w:t>
            </w:r>
            <w:r>
              <w:rPr>
                <w:rStyle w:val="IndexLink"/>
                <w:rtl w:val="true"/>
              </w:rPr>
              <w:t>:</w:t>
              <w:tab/>
            </w:r>
            <w:r>
              <w:rPr>
                <w:rStyle w:val="IndexLink"/>
              </w:rPr>
              <w:t>122</w:t>
            </w:r>
          </w:hyperlink>
        </w:p>
        <w:p>
          <w:pPr>
            <w:pStyle w:val="Contents4"/>
            <w:tabs>
              <w:tab w:val="clear" w:pos="8176"/>
              <w:tab w:val="right" w:pos="9026" w:leader="dot"/>
            </w:tabs>
            <w:rPr/>
          </w:pPr>
          <w:hyperlink w:anchor="__RefHeading___Toc5767111_3224264995">
            <w:r>
              <w:rPr>
                <w:webHidden/>
                <w:rStyle w:val="IndexLink"/>
                <w:rtl w:val="true"/>
              </w:rPr>
              <w:t>معنی عدم اعتبار الاستصحاب فی الوجودی</w:t>
            </w:r>
            <w:r>
              <w:rPr>
                <w:rStyle w:val="IndexLink"/>
                <w:rtl w:val="true"/>
              </w:rPr>
              <w:t>:</w:t>
              <w:tab/>
            </w:r>
            <w:r>
              <w:rPr>
                <w:rStyle w:val="IndexLink"/>
              </w:rPr>
              <w:t>124</w:t>
            </w:r>
          </w:hyperlink>
        </w:p>
        <w:p>
          <w:pPr>
            <w:pStyle w:val="Contents4"/>
            <w:tabs>
              <w:tab w:val="clear" w:pos="8176"/>
              <w:tab w:val="right" w:pos="9026" w:leader="dot"/>
            </w:tabs>
            <w:rPr/>
          </w:pPr>
          <w:hyperlink w:anchor="__RefHeading___Toc5767113_3224264995">
            <w:r>
              <w:rPr>
                <w:webHidden/>
                <w:rStyle w:val="IndexLink"/>
                <w:rtl w:val="true"/>
              </w:rPr>
              <w:t>ما یمکن أن یحتجّ به لهذا القول</w:t>
            </w:r>
            <w:r>
              <w:rPr>
                <w:rStyle w:val="IndexLink"/>
                <w:rtl w:val="true"/>
              </w:rPr>
              <w:t>:</w:t>
              <w:tab/>
            </w:r>
            <w:r>
              <w:rPr>
                <w:rStyle w:val="IndexLink"/>
              </w:rPr>
              <w:t>126</w:t>
            </w:r>
          </w:hyperlink>
        </w:p>
        <w:p>
          <w:pPr>
            <w:pStyle w:val="Contents5"/>
            <w:tabs>
              <w:tab w:val="clear" w:pos="7892"/>
              <w:tab w:val="right" w:pos="9026" w:leader="dot"/>
            </w:tabs>
            <w:rPr/>
          </w:pPr>
          <w:hyperlink w:anchor="__RefHeading___Toc5767115_322426499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767117_3224264995">
            <w:r>
              <w:rPr>
                <w:webHidden/>
                <w:rStyle w:val="IndexLink"/>
                <w:rtl w:val="true"/>
              </w:rPr>
              <w:t>المناقشة فی الاحتجاج المذکور</w:t>
            </w:r>
            <w:r>
              <w:rPr>
                <w:rStyle w:val="IndexLink"/>
                <w:rtl w:val="true"/>
              </w:rPr>
              <w:t>:</w:t>
              <w:tab/>
            </w:r>
            <w:r>
              <w:rPr>
                <w:rStyle w:val="IndexLink"/>
              </w:rPr>
              <w:t>127</w:t>
            </w:r>
          </w:hyperlink>
        </w:p>
        <w:p>
          <w:pPr>
            <w:pStyle w:val="Contents3"/>
            <w:tabs>
              <w:tab w:val="clear" w:pos="8459"/>
              <w:tab w:val="right" w:pos="9026" w:leader="dot"/>
            </w:tabs>
            <w:rPr/>
          </w:pPr>
          <w:hyperlink w:anchor="__RefHeading___Toc5767119_3224264995">
            <w:r>
              <w:rPr>
                <w:webHidden/>
                <w:rStyle w:val="IndexLink"/>
                <w:rtl w:val="true"/>
              </w:rPr>
              <w:t>حجّة القول الرابع</w:t>
            </w:r>
            <w:r>
              <w:rPr>
                <w:rStyle w:val="IndexLink"/>
                <w:rtl w:val="true"/>
              </w:rPr>
              <w:tab/>
            </w:r>
            <w:r>
              <w:rPr>
                <w:rStyle w:val="IndexLink"/>
              </w:rPr>
              <w:t>129</w:t>
            </w:r>
          </w:hyperlink>
        </w:p>
        <w:p>
          <w:pPr>
            <w:pStyle w:val="Contents4"/>
            <w:tabs>
              <w:tab w:val="clear" w:pos="8176"/>
              <w:tab w:val="right" w:pos="9026" w:leader="dot"/>
            </w:tabs>
            <w:rPr/>
          </w:pPr>
          <w:hyperlink w:anchor="__RefHeading___Toc5767121_3224264995">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767123_3224264995">
            <w:r>
              <w:rPr>
                <w:webHidden/>
                <w:rStyle w:val="IndexLink"/>
                <w:rtl w:val="true"/>
              </w:rPr>
              <w:t>المناقشة فیه الحجة المذکورة</w:t>
            </w:r>
            <w:r>
              <w:rPr>
                <w:rStyle w:val="IndexLink"/>
                <w:rtl w:val="true"/>
              </w:rPr>
              <w:t>:</w:t>
              <w:tab/>
            </w:r>
            <w:r>
              <w:rPr>
                <w:rStyle w:val="IndexLink"/>
              </w:rPr>
              <w:t>129</w:t>
            </w:r>
          </w:hyperlink>
        </w:p>
        <w:p>
          <w:pPr>
            <w:pStyle w:val="Contents3"/>
            <w:tabs>
              <w:tab w:val="clear" w:pos="8459"/>
              <w:tab w:val="right" w:pos="9026" w:leader="dot"/>
            </w:tabs>
            <w:rPr/>
          </w:pPr>
          <w:hyperlink w:anchor="__RefHeading___Toc5767125_3224264995">
            <w:r>
              <w:rPr>
                <w:webHidden/>
                <w:rStyle w:val="IndexLink"/>
                <w:rtl w:val="true"/>
              </w:rPr>
              <w:t>حجّة القول الخامس</w:t>
            </w:r>
            <w:r>
              <w:rPr>
                <w:rStyle w:val="IndexLink"/>
                <w:rtl w:val="true"/>
              </w:rPr>
              <w:tab/>
            </w:r>
            <w:r>
              <w:rPr>
                <w:rStyle w:val="IndexLink"/>
              </w:rPr>
              <w:t>134</w:t>
            </w:r>
          </w:hyperlink>
        </w:p>
        <w:p>
          <w:pPr>
            <w:pStyle w:val="Contents4"/>
            <w:tabs>
              <w:tab w:val="clear" w:pos="8176"/>
              <w:tab w:val="right" w:pos="9026" w:leader="dot"/>
            </w:tabs>
            <w:rPr/>
          </w:pPr>
          <w:hyperlink w:anchor="__RefHeading___Toc5767127_3224264995">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767129_3224264995">
            <w:r>
              <w:rPr>
                <w:webHidden/>
                <w:rStyle w:val="IndexLink"/>
                <w:rtl w:val="true"/>
              </w:rPr>
              <w:t>کلام المحدّث الأسترابادی فی الاستدلال علی هذا القول</w:t>
            </w:r>
            <w:r>
              <w:rPr>
                <w:rStyle w:val="IndexLink"/>
                <w:rtl w:val="true"/>
              </w:rPr>
              <w:t>:</w:t>
              <w:tab/>
            </w:r>
            <w:r>
              <w:rPr>
                <w:rStyle w:val="IndexLink"/>
              </w:rPr>
              <w:t>134</w:t>
            </w:r>
          </w:hyperlink>
        </w:p>
        <w:p>
          <w:pPr>
            <w:pStyle w:val="Contents5"/>
            <w:tabs>
              <w:tab w:val="clear" w:pos="7892"/>
              <w:tab w:val="right" w:pos="9026" w:leader="dot"/>
            </w:tabs>
            <w:rPr/>
          </w:pPr>
          <w:hyperlink w:anchor="__RefHeading___Toc5767131_322426499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767133_3224264995">
            <w:r>
              <w:rPr>
                <w:webHidden/>
                <w:rStyle w:val="IndexLink"/>
                <w:rtl w:val="true"/>
              </w:rPr>
              <w:t>المناقشة فیما أفاده المحدّث الأسترابادی</w:t>
            </w:r>
            <w:r>
              <w:rPr>
                <w:rStyle w:val="IndexLink"/>
                <w:rtl w:val="true"/>
              </w:rPr>
              <w:t>:</w:t>
              <w:tab/>
            </w:r>
            <w:r>
              <w:rPr>
                <w:rStyle w:val="IndexLink"/>
              </w:rPr>
              <w:t>135</w:t>
            </w:r>
          </w:hyperlink>
        </w:p>
        <w:p>
          <w:pPr>
            <w:pStyle w:val="Contents3"/>
            <w:tabs>
              <w:tab w:val="clear" w:pos="8459"/>
              <w:tab w:val="right" w:pos="9026" w:leader="dot"/>
            </w:tabs>
            <w:rPr/>
          </w:pPr>
          <w:hyperlink w:anchor="__RefHeading___Toc5767135_3224264995">
            <w:r>
              <w:rPr>
                <w:webHidden/>
                <w:rStyle w:val="IndexLink"/>
                <w:rtl w:val="true"/>
              </w:rPr>
              <w:t>حجّة القول السادس</w:t>
            </w:r>
            <w:r>
              <w:rPr>
                <w:rStyle w:val="IndexLink"/>
                <w:rtl w:val="true"/>
              </w:rPr>
              <w:tab/>
            </w:r>
            <w:r>
              <w:rPr>
                <w:rStyle w:val="IndexLink"/>
              </w:rPr>
              <w:t>139</w:t>
            </w:r>
          </w:hyperlink>
        </w:p>
        <w:p>
          <w:pPr>
            <w:pStyle w:val="Contents3"/>
            <w:tabs>
              <w:tab w:val="clear" w:pos="8459"/>
              <w:tab w:val="right" w:pos="9026" w:leader="dot"/>
            </w:tabs>
            <w:rPr/>
          </w:pPr>
          <w:hyperlink w:anchor="__RefHeading___Toc5767137_3224264995">
            <w:r>
              <w:rPr>
                <w:webHidden/>
                <w:rStyle w:val="IndexLink"/>
                <w:rtl w:val="true"/>
              </w:rPr>
              <w:t>التفضیل بین الحکم الجزئی و غیره و الجواب عنه</w:t>
            </w:r>
            <w:r>
              <w:rPr>
                <w:rStyle w:val="IndexLink"/>
                <w:rtl w:val="true"/>
              </w:rPr>
              <w:tab/>
            </w:r>
            <w:r>
              <w:rPr>
                <w:rStyle w:val="IndexLink"/>
              </w:rPr>
              <w:t>139</w:t>
            </w:r>
          </w:hyperlink>
        </w:p>
        <w:p>
          <w:pPr>
            <w:pStyle w:val="Contents3"/>
            <w:tabs>
              <w:tab w:val="clear" w:pos="8459"/>
              <w:tab w:val="right" w:pos="9026" w:leader="dot"/>
            </w:tabs>
            <w:rPr/>
          </w:pPr>
          <w:hyperlink w:anchor="__RefHeading___Toc5767139_3224264995">
            <w:r>
              <w:rPr>
                <w:webHidden/>
                <w:rStyle w:val="IndexLink"/>
                <w:rtl w:val="true"/>
              </w:rPr>
              <w:t>حجّة القول السابع</w:t>
            </w:r>
            <w:r>
              <w:rPr>
                <w:rStyle w:val="IndexLink"/>
                <w:rtl w:val="true"/>
              </w:rPr>
              <w:tab/>
            </w:r>
            <w:r>
              <w:rPr>
                <w:rStyle w:val="IndexLink"/>
              </w:rPr>
              <w:t>139</w:t>
            </w:r>
          </w:hyperlink>
        </w:p>
        <w:p>
          <w:pPr>
            <w:pStyle w:val="Contents4"/>
            <w:tabs>
              <w:tab w:val="clear" w:pos="8176"/>
              <w:tab w:val="right" w:pos="9026" w:leader="dot"/>
            </w:tabs>
            <w:rPr/>
          </w:pPr>
          <w:hyperlink w:anchor="__RefHeading___Toc5767141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767143_3224264995">
            <w:r>
              <w:rPr>
                <w:webHidden/>
                <w:rStyle w:val="IndexLink"/>
                <w:rtl w:val="true"/>
              </w:rPr>
              <w:t>تفضیل الفاضل التونی بین الحکم التکلیفی و الوضعی</w:t>
            </w:r>
            <w:r>
              <w:rPr>
                <w:rStyle w:val="IndexLink"/>
                <w:rtl w:val="true"/>
              </w:rPr>
              <w:tab/>
            </w:r>
            <w:r>
              <w:rPr>
                <w:rStyle w:val="IndexLink"/>
              </w:rPr>
              <w:t>139</w:t>
            </w:r>
          </w:hyperlink>
        </w:p>
        <w:p>
          <w:pPr>
            <w:pStyle w:val="Contents4"/>
            <w:tabs>
              <w:tab w:val="clear" w:pos="8176"/>
              <w:tab w:val="right" w:pos="9026" w:leader="dot"/>
            </w:tabs>
            <w:rPr/>
          </w:pPr>
          <w:hyperlink w:anchor="__RefHeading___Toc5767145_3224264995">
            <w:r>
              <w:rPr>
                <w:webHidden/>
                <w:rStyle w:val="IndexLink"/>
                <w:rtl w:val="true"/>
              </w:rPr>
              <w:t>کلام الفاضل التونی</w:t>
            </w:r>
            <w:r>
              <w:rPr>
                <w:rStyle w:val="IndexLink"/>
                <w:rtl w:val="true"/>
              </w:rPr>
              <w:t>:</w:t>
              <w:tab/>
            </w:r>
            <w:r>
              <w:rPr>
                <w:rStyle w:val="IndexLink"/>
              </w:rPr>
              <w:t>140</w:t>
            </w:r>
          </w:hyperlink>
        </w:p>
        <w:p>
          <w:pPr>
            <w:pStyle w:val="Contents4"/>
            <w:tabs>
              <w:tab w:val="clear" w:pos="8176"/>
              <w:tab w:val="right" w:pos="9026" w:leader="dot"/>
            </w:tabs>
            <w:rPr/>
          </w:pPr>
          <w:hyperlink w:anchor="__RefHeading___Toc5767147_3224264995">
            <w:r>
              <w:rPr>
                <w:webHidden/>
                <w:rStyle w:val="IndexLink"/>
                <w:rtl w:val="true"/>
              </w:rPr>
              <w:t>المناقشة فی ما أفاده الفاضل التونی</w:t>
            </w:r>
            <w:r>
              <w:rPr>
                <w:rStyle w:val="IndexLink"/>
                <w:rtl w:val="true"/>
              </w:rPr>
              <w:tab/>
            </w:r>
            <w:r>
              <w:rPr>
                <w:rStyle w:val="IndexLink"/>
              </w:rPr>
              <w:t>142</w:t>
            </w:r>
          </w:hyperlink>
        </w:p>
        <w:p>
          <w:pPr>
            <w:pStyle w:val="Contents4"/>
            <w:tabs>
              <w:tab w:val="clear" w:pos="8176"/>
              <w:tab w:val="right" w:pos="9026" w:leader="dot"/>
            </w:tabs>
            <w:rPr/>
          </w:pPr>
          <w:hyperlink w:anchor="__RefHeading___Toc5767149_3224264995">
            <w:r>
              <w:rPr>
                <w:webHidden/>
                <w:rStyle w:val="IndexLink"/>
                <w:rtl w:val="true"/>
              </w:rPr>
              <w:t>الکلام فی الأحکام الوضعیّة</w:t>
            </w:r>
            <w:r>
              <w:rPr>
                <w:rStyle w:val="IndexLink"/>
                <w:rtl w:val="true"/>
              </w:rPr>
              <w:tab/>
            </w:r>
            <w:r>
              <w:rPr>
                <w:rStyle w:val="IndexLink"/>
              </w:rPr>
              <w:t>143</w:t>
            </w:r>
          </w:hyperlink>
        </w:p>
        <w:p>
          <w:pPr>
            <w:pStyle w:val="Contents5"/>
            <w:tabs>
              <w:tab w:val="clear" w:pos="7892"/>
              <w:tab w:val="right" w:pos="9026" w:leader="dot"/>
            </w:tabs>
            <w:rPr/>
          </w:pPr>
          <w:hyperlink w:anchor="__RefHeading___Toc5767151_3224264995">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5767153_3224264995">
            <w:r>
              <w:rPr>
                <w:webHidden/>
                <w:rStyle w:val="IndexLink"/>
                <w:rtl w:val="true"/>
              </w:rPr>
              <w:t>هل الحکم الوضعی حکم مستقل مجعول،أو لا؟</w:t>
            </w:r>
            <w:r>
              <w:rPr>
                <w:rStyle w:val="IndexLink"/>
                <w:rtl w:val="true"/>
              </w:rPr>
              <w:t>:</w:t>
              <w:tab/>
            </w:r>
            <w:r>
              <w:rPr>
                <w:rStyle w:val="IndexLink"/>
              </w:rPr>
              <w:t>143</w:t>
            </w:r>
          </w:hyperlink>
        </w:p>
        <w:p>
          <w:pPr>
            <w:pStyle w:val="Contents5"/>
            <w:tabs>
              <w:tab w:val="clear" w:pos="7892"/>
              <w:tab w:val="right" w:pos="9026" w:leader="dot"/>
            </w:tabs>
            <w:rPr/>
          </w:pPr>
          <w:hyperlink w:anchor="__RefHeading___Toc5767155_3224264995">
            <w:r>
              <w:rPr>
                <w:webHidden/>
                <w:rStyle w:val="IndexLink"/>
                <w:rtl w:val="true"/>
              </w:rPr>
              <w:t>کلام السید الکاظمی</w:t>
            </w:r>
            <w:r>
              <w:rPr>
                <w:rStyle w:val="IndexLink"/>
                <w:rtl w:val="true"/>
              </w:rPr>
              <w:t>:</w:t>
              <w:tab/>
            </w:r>
            <w:r>
              <w:rPr>
                <w:rStyle w:val="IndexLink"/>
              </w:rPr>
              <w:t>145</w:t>
            </w:r>
          </w:hyperlink>
        </w:p>
        <w:p>
          <w:pPr>
            <w:pStyle w:val="Contents6"/>
            <w:tabs>
              <w:tab w:val="clear" w:pos="7609"/>
              <w:tab w:val="right" w:pos="9026" w:leader="dot"/>
            </w:tabs>
            <w:rPr/>
          </w:pPr>
          <w:hyperlink w:anchor="__RefHeading___Toc5767157_3224264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5767159_3224264995">
            <w:r>
              <w:rPr>
                <w:webHidden/>
                <w:rStyle w:val="IndexLink"/>
                <w:rtl w:val="true"/>
              </w:rPr>
              <w:t>مناقشة کلام السید الکاظمی</w:t>
            </w:r>
            <w:r>
              <w:rPr>
                <w:rStyle w:val="IndexLink"/>
                <w:rtl w:val="true"/>
              </w:rPr>
              <w:t>:</w:t>
              <w:tab/>
            </w:r>
            <w:r>
              <w:rPr>
                <w:rStyle w:val="IndexLink"/>
              </w:rPr>
              <w:t>146</w:t>
            </w:r>
          </w:hyperlink>
        </w:p>
        <w:p>
          <w:pPr>
            <w:pStyle w:val="Contents5"/>
            <w:tabs>
              <w:tab w:val="clear" w:pos="7892"/>
              <w:tab w:val="right" w:pos="9026" w:leader="dot"/>
            </w:tabs>
            <w:rPr/>
          </w:pPr>
          <w:hyperlink w:anchor="__RefHeading___Toc5767161_3224264995">
            <w:r>
              <w:rPr>
                <w:webHidden/>
                <w:rStyle w:val="IndexLink"/>
                <w:rtl w:val="true"/>
              </w:rPr>
              <w:t>الکلام فی الصحّة و الفساد</w:t>
            </w:r>
            <w:r>
              <w:rPr>
                <w:rStyle w:val="IndexLink"/>
                <w:rtl w:val="true"/>
              </w:rPr>
              <w:t>:</w:t>
              <w:tab/>
            </w:r>
            <w:r>
              <w:rPr>
                <w:rStyle w:val="IndexLink"/>
              </w:rPr>
              <w:t>147</w:t>
            </w:r>
          </w:hyperlink>
        </w:p>
        <w:p>
          <w:pPr>
            <w:pStyle w:val="Contents5"/>
            <w:tabs>
              <w:tab w:val="clear" w:pos="7892"/>
              <w:tab w:val="right" w:pos="9026" w:leader="dot"/>
            </w:tabs>
            <w:rPr/>
          </w:pPr>
          <w:hyperlink w:anchor="__RefHeading___Toc5767163_3224264995">
            <w:r>
              <w:rPr>
                <w:webHidden/>
                <w:rStyle w:val="IndexLink"/>
                <w:rtl w:val="true"/>
              </w:rPr>
              <w:t>رجوع إلی کلام الفاضل التونی</w:t>
            </w:r>
            <w:r>
              <w:rPr>
                <w:rStyle w:val="IndexLink"/>
                <w:rtl w:val="true"/>
              </w:rPr>
              <w:t>:</w:t>
              <w:tab/>
            </w:r>
            <w:r>
              <w:rPr>
                <w:rStyle w:val="IndexLink"/>
              </w:rPr>
              <w:t>148</w:t>
            </w:r>
          </w:hyperlink>
        </w:p>
        <w:p>
          <w:pPr>
            <w:pStyle w:val="Contents6"/>
            <w:tabs>
              <w:tab w:val="clear" w:pos="7609"/>
              <w:tab w:val="right" w:pos="9026" w:leader="dot"/>
            </w:tabs>
            <w:rPr/>
          </w:pPr>
          <w:hyperlink w:anchor="__RefHeading___Toc5767165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5767167_3224264995">
            <w:r>
              <w:rPr>
                <w:webHidden/>
                <w:rStyle w:val="IndexLink"/>
                <w:rtl w:val="true"/>
              </w:rPr>
              <w:t>ما أورد علیه</w:t>
            </w:r>
            <w:r>
              <w:rPr>
                <w:rStyle w:val="IndexLink"/>
                <w:rtl w:val="true"/>
              </w:rPr>
              <w:t>:</w:t>
              <w:tab/>
            </w:r>
            <w:r>
              <w:rPr>
                <w:rStyle w:val="IndexLink"/>
              </w:rPr>
              <w:t>149</w:t>
            </w:r>
          </w:hyperlink>
        </w:p>
        <w:p>
          <w:pPr>
            <w:pStyle w:val="Contents6"/>
            <w:tabs>
              <w:tab w:val="clear" w:pos="7609"/>
              <w:tab w:val="right" w:pos="9026" w:leader="dot"/>
            </w:tabs>
            <w:rPr/>
          </w:pPr>
          <w:hyperlink w:anchor="__RefHeading___Toc5767169_3224264995">
            <w:r>
              <w:rPr>
                <w:webHidden/>
                <w:rStyle w:val="IndexLink"/>
                <w:rtl w:val="true"/>
              </w:rPr>
              <w:t>عدم ورود شیء ممّا اورد علیه</w:t>
            </w:r>
            <w:r>
              <w:rPr>
                <w:rStyle w:val="IndexLink"/>
                <w:rtl w:val="true"/>
              </w:rPr>
              <w:t>:</w:t>
              <w:tab/>
            </w:r>
            <w:r>
              <w:rPr>
                <w:rStyle w:val="IndexLink"/>
              </w:rPr>
              <w:t>149</w:t>
            </w:r>
          </w:hyperlink>
        </w:p>
        <w:p>
          <w:pPr>
            <w:pStyle w:val="Contents5"/>
            <w:tabs>
              <w:tab w:val="clear" w:pos="7892"/>
              <w:tab w:val="right" w:pos="9026" w:leader="dot"/>
            </w:tabs>
            <w:rPr/>
          </w:pPr>
          <w:hyperlink w:anchor="__RefHeading___Toc5767171_3224264995">
            <w:r>
              <w:rPr>
                <w:webHidden/>
                <w:rStyle w:val="IndexLink"/>
                <w:rtl w:val="true"/>
              </w:rPr>
              <w:t>رجوع إلی کلام الفاضل التونی و التعلیق علیه</w:t>
            </w:r>
            <w:r>
              <w:rPr>
                <w:rStyle w:val="IndexLink"/>
                <w:rtl w:val="true"/>
              </w:rPr>
              <w:t>:</w:t>
              <w:tab/>
            </w:r>
            <w:r>
              <w:rPr>
                <w:rStyle w:val="IndexLink"/>
              </w:rPr>
              <w:t>154</w:t>
            </w:r>
          </w:hyperlink>
        </w:p>
        <w:p>
          <w:pPr>
            <w:pStyle w:val="Contents5"/>
            <w:tabs>
              <w:tab w:val="clear" w:pos="7892"/>
              <w:tab w:val="right" w:pos="9026" w:leader="dot"/>
            </w:tabs>
            <w:rPr/>
          </w:pPr>
          <w:hyperlink w:anchor="__RefHeading___Toc5767173_3224264995">
            <w:r>
              <w:rPr>
                <w:webHidden/>
                <w:rStyle w:val="IndexLink"/>
                <w:rtl w:val="true"/>
              </w:rPr>
              <w:t>شبهة اخری فی منع جریان الاستصحاب فی الأحکام التکلیفیّة</w:t>
            </w:r>
            <w:r>
              <w:rPr>
                <w:rStyle w:val="IndexLink"/>
                <w:rtl w:val="true"/>
              </w:rPr>
              <w:t>:</w:t>
              <w:tab/>
            </w:r>
            <w:r>
              <w:rPr>
                <w:rStyle w:val="IndexLink"/>
              </w:rPr>
              <w:t>163</w:t>
            </w:r>
          </w:hyperlink>
        </w:p>
        <w:p>
          <w:pPr>
            <w:pStyle w:val="Contents6"/>
            <w:tabs>
              <w:tab w:val="clear" w:pos="7609"/>
              <w:tab w:val="right" w:pos="9026" w:leader="dot"/>
            </w:tabs>
            <w:rPr/>
          </w:pPr>
          <w:hyperlink w:anchor="__RefHeading___Toc5767175_322426499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5767177_3224264995">
            <w:r>
              <w:rPr>
                <w:webHidden/>
                <w:rStyle w:val="IndexLink"/>
                <w:rtl w:val="true"/>
              </w:rPr>
              <w:t>الجواب عن هذه الشبهة</w:t>
            </w:r>
            <w:r>
              <w:rPr>
                <w:rStyle w:val="IndexLink"/>
                <w:rtl w:val="true"/>
              </w:rPr>
              <w:t>:</w:t>
              <w:tab/>
            </w:r>
            <w:r>
              <w:rPr>
                <w:rStyle w:val="IndexLink"/>
              </w:rPr>
              <w:t>164</w:t>
            </w:r>
          </w:hyperlink>
        </w:p>
        <w:p>
          <w:pPr>
            <w:pStyle w:val="Contents3"/>
            <w:tabs>
              <w:tab w:val="clear" w:pos="8459"/>
              <w:tab w:val="right" w:pos="9026" w:leader="dot"/>
            </w:tabs>
            <w:rPr/>
          </w:pPr>
          <w:hyperlink w:anchor="__RefHeading___Toc5767179_3224264995">
            <w:r>
              <w:rPr>
                <w:webHidden/>
                <w:rStyle w:val="IndexLink"/>
                <w:rtl w:val="true"/>
              </w:rPr>
              <w:t>حجّة القول الثامن</w:t>
            </w:r>
            <w:r>
              <w:rPr>
                <w:rStyle w:val="IndexLink"/>
                <w:rtl w:val="true"/>
              </w:rPr>
              <w:tab/>
            </w:r>
            <w:r>
              <w:rPr>
                <w:rStyle w:val="IndexLink"/>
              </w:rPr>
              <w:t>167</w:t>
            </w:r>
          </w:hyperlink>
        </w:p>
        <w:p>
          <w:pPr>
            <w:pStyle w:val="Contents4"/>
            <w:tabs>
              <w:tab w:val="clear" w:pos="8176"/>
              <w:tab w:val="right" w:pos="9026" w:leader="dot"/>
            </w:tabs>
            <w:rPr/>
          </w:pPr>
          <w:hyperlink w:anchor="__RefHeading___Toc5767181_3224264995">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767183_3224264995">
            <w:r>
              <w:rPr>
                <w:webHidden/>
                <w:rStyle w:val="IndexLink"/>
                <w:rtl w:val="true"/>
              </w:rPr>
              <w:t>ظاهر کلام الغزالی إنکار الاستصحاب مطلقا</w:t>
            </w:r>
            <w:r>
              <w:rPr>
                <w:rStyle w:val="IndexLink"/>
                <w:rtl w:val="true"/>
              </w:rPr>
              <w:t>:</w:t>
              <w:tab/>
            </w:r>
            <w:r>
              <w:rPr>
                <w:rStyle w:val="IndexLink"/>
              </w:rPr>
              <w:t>167</w:t>
            </w:r>
          </w:hyperlink>
        </w:p>
        <w:p>
          <w:pPr>
            <w:pStyle w:val="Contents4"/>
            <w:tabs>
              <w:tab w:val="clear" w:pos="8176"/>
              <w:tab w:val="right" w:pos="9026" w:leader="dot"/>
            </w:tabs>
            <w:rPr/>
          </w:pPr>
          <w:hyperlink w:anchor="__RefHeading___Toc5767185_3224264995">
            <w:r>
              <w:rPr>
                <w:webHidden/>
                <w:rStyle w:val="IndexLink"/>
                <w:rtl w:val="true"/>
              </w:rPr>
              <w:t>منشأ نسبة هذا التفصیل إلی الغزالی</w:t>
            </w:r>
            <w:r>
              <w:rPr>
                <w:rStyle w:val="IndexLink"/>
                <w:rtl w:val="true"/>
              </w:rPr>
              <w:t>:</w:t>
              <w:tab/>
            </w:r>
            <w:r>
              <w:rPr>
                <w:rStyle w:val="IndexLink"/>
              </w:rPr>
              <w:t>168</w:t>
            </w:r>
          </w:hyperlink>
        </w:p>
        <w:p>
          <w:pPr>
            <w:pStyle w:val="Contents4"/>
            <w:tabs>
              <w:tab w:val="clear" w:pos="8176"/>
              <w:tab w:val="right" w:pos="9026" w:leader="dot"/>
            </w:tabs>
            <w:rPr/>
          </w:pPr>
          <w:hyperlink w:anchor="__RefHeading___Toc5767187_3224264995">
            <w:r>
              <w:rPr>
                <w:webHidden/>
                <w:rStyle w:val="IndexLink"/>
                <w:rtl w:val="true"/>
              </w:rPr>
              <w:t>کلام الغزالیّ</w:t>
            </w:r>
            <w:r>
              <w:rPr>
                <w:rStyle w:val="IndexLink"/>
                <w:rtl w:val="true"/>
              </w:rPr>
              <w:t>:</w:t>
              <w:tab/>
            </w:r>
            <w:r>
              <w:rPr>
                <w:rStyle w:val="IndexLink"/>
              </w:rPr>
              <w:t>169</w:t>
            </w:r>
          </w:hyperlink>
        </w:p>
        <w:p>
          <w:pPr>
            <w:pStyle w:val="Contents4"/>
            <w:tabs>
              <w:tab w:val="clear" w:pos="8176"/>
              <w:tab w:val="right" w:pos="9026" w:leader="dot"/>
            </w:tabs>
            <w:rPr/>
          </w:pPr>
          <w:hyperlink w:anchor="__RefHeading___Toc5767189_3224264995">
            <w:r>
              <w:rPr>
                <w:webHidden/>
                <w:rStyle w:val="IndexLink"/>
                <w:rtl w:val="true"/>
              </w:rPr>
              <w:t>نسبة شارح المختصر القول بحجّیة الاستصحاب مطلقا إلی الغزالی</w:t>
            </w:r>
            <w:r>
              <w:rPr>
                <w:rStyle w:val="IndexLink"/>
                <w:rtl w:val="true"/>
              </w:rPr>
              <w:t>:</w:t>
              <w:tab/>
            </w:r>
            <w:r>
              <w:rPr>
                <w:rStyle w:val="IndexLink"/>
              </w:rPr>
              <w:t>172</w:t>
            </w:r>
          </w:hyperlink>
        </w:p>
        <w:p>
          <w:pPr>
            <w:pStyle w:val="Contents4"/>
            <w:tabs>
              <w:tab w:val="clear" w:pos="8176"/>
              <w:tab w:val="right" w:pos="9026" w:leader="dot"/>
            </w:tabs>
            <w:rPr/>
          </w:pPr>
          <w:hyperlink w:anchor="__RefHeading___Toc5767191_3224264995">
            <w:r>
              <w:rPr>
                <w:webHidden/>
                <w:rStyle w:val="IndexLink"/>
                <w:rtl w:val="true"/>
              </w:rPr>
              <w:t>کلام السیّد الصدر فی الجمع بین قولی الغزالی</w:t>
            </w:r>
            <w:r>
              <w:rPr>
                <w:rStyle w:val="IndexLink"/>
                <w:rtl w:val="true"/>
              </w:rPr>
              <w:t>:</w:t>
              <w:tab/>
            </w:r>
            <w:r>
              <w:rPr>
                <w:rStyle w:val="IndexLink"/>
              </w:rPr>
              <w:t>172</w:t>
            </w:r>
          </w:hyperlink>
        </w:p>
        <w:p>
          <w:pPr>
            <w:pStyle w:val="Contents5"/>
            <w:tabs>
              <w:tab w:val="clear" w:pos="7892"/>
              <w:tab w:val="right" w:pos="9026" w:leader="dot"/>
            </w:tabs>
            <w:rPr/>
          </w:pPr>
          <w:hyperlink w:anchor="__RefHeading___Toc5767193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5767195_3224264995">
            <w:r>
              <w:rPr>
                <w:webHidden/>
                <w:rStyle w:val="IndexLink"/>
                <w:rtl w:val="true"/>
              </w:rPr>
              <w:t>المناقشة فی ما أفاده السیّد الصدر</w:t>
            </w:r>
            <w:r>
              <w:rPr>
                <w:rStyle w:val="IndexLink"/>
                <w:rtl w:val="true"/>
              </w:rPr>
              <w:t>:</w:t>
              <w:tab/>
            </w:r>
            <w:r>
              <w:rPr>
                <w:rStyle w:val="IndexLink"/>
              </w:rPr>
              <w:t>173</w:t>
            </w:r>
          </w:hyperlink>
        </w:p>
        <w:p>
          <w:pPr>
            <w:pStyle w:val="Contents3"/>
            <w:tabs>
              <w:tab w:val="clear" w:pos="8459"/>
              <w:tab w:val="right" w:pos="9026" w:leader="dot"/>
            </w:tabs>
            <w:rPr/>
          </w:pPr>
          <w:hyperlink w:anchor="__RefHeading___Toc5767197_3224264995">
            <w:r>
              <w:rPr>
                <w:webHidden/>
                <w:rStyle w:val="IndexLink"/>
                <w:rtl w:val="true"/>
              </w:rPr>
              <w:t xml:space="preserve">حجّة القول التاسع </w:t>
            </w:r>
            <w:r>
              <w:rPr>
                <w:rStyle w:val="IndexLink"/>
                <w:rtl w:val="true"/>
              </w:rPr>
              <w:t>:</w:t>
            </w:r>
            <w:r>
              <w:rPr>
                <w:rStyle w:val="IndexLink"/>
                <w:rtl w:val="true"/>
              </w:rPr>
              <w:t>التفصیل بین الشک فی المقتضی و الشک فی الرافع</w:t>
            </w:r>
            <w:r>
              <w:rPr>
                <w:rStyle w:val="IndexLink"/>
                <w:rtl w:val="true"/>
              </w:rPr>
              <w:t>:</w:t>
              <w:tab/>
            </w:r>
            <w:r>
              <w:rPr>
                <w:rStyle w:val="IndexLink"/>
              </w:rPr>
              <w:t>177</w:t>
            </w:r>
          </w:hyperlink>
        </w:p>
        <w:p>
          <w:pPr>
            <w:pStyle w:val="Contents4"/>
            <w:tabs>
              <w:tab w:val="clear" w:pos="8176"/>
              <w:tab w:val="right" w:pos="9026" w:leader="dot"/>
            </w:tabs>
            <w:rPr/>
          </w:pPr>
          <w:hyperlink w:anchor="__RefHeading___Toc5767199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5767201_3224264995">
            <w:r>
              <w:rPr>
                <w:webHidden/>
                <w:rStyle w:val="IndexLink"/>
                <w:rtl w:val="true"/>
              </w:rPr>
              <w:t>ما استدلّ به فی المعارج علی هذا القول</w:t>
            </w:r>
            <w:r>
              <w:rPr>
                <w:rStyle w:val="IndexLink"/>
                <w:rtl w:val="true"/>
              </w:rPr>
              <w:t>:</w:t>
              <w:tab/>
            </w:r>
            <w:r>
              <w:rPr>
                <w:rStyle w:val="IndexLink"/>
              </w:rPr>
              <w:t>177</w:t>
            </w:r>
          </w:hyperlink>
        </w:p>
        <w:p>
          <w:pPr>
            <w:pStyle w:val="Contents5"/>
            <w:tabs>
              <w:tab w:val="clear" w:pos="7892"/>
              <w:tab w:val="right" w:pos="9026" w:leader="dot"/>
            </w:tabs>
            <w:rPr/>
          </w:pPr>
          <w:hyperlink w:anchor="__RefHeading___Toc5767203_3224264995">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767205_3224264995">
            <w:r>
              <w:rPr>
                <w:webHidden/>
                <w:rStyle w:val="IndexLink"/>
                <w:rtl w:val="true"/>
              </w:rPr>
              <w:t>المناقشة فی الدلیل المذکور</w:t>
            </w:r>
            <w:r>
              <w:rPr>
                <w:rStyle w:val="IndexLink"/>
                <w:rtl w:val="true"/>
              </w:rPr>
              <w:t>:</w:t>
              <w:tab/>
            </w:r>
            <w:r>
              <w:rPr>
                <w:rStyle w:val="IndexLink"/>
              </w:rPr>
              <w:t>178</w:t>
            </w:r>
          </w:hyperlink>
        </w:p>
        <w:p>
          <w:pPr>
            <w:pStyle w:val="Contents6"/>
            <w:tabs>
              <w:tab w:val="clear" w:pos="7609"/>
              <w:tab w:val="right" w:pos="9026" w:leader="dot"/>
            </w:tabs>
            <w:rPr/>
          </w:pPr>
          <w:hyperlink w:anchor="__RefHeading___Toc5767207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767209_3224264995">
            <w:r>
              <w:rPr>
                <w:webHidden/>
                <w:rStyle w:val="IndexLink"/>
                <w:rtl w:val="true"/>
              </w:rPr>
              <w:t>الأولی فی الاستدلال علی هذا القول</w:t>
            </w:r>
            <w:r>
              <w:rPr>
                <w:rStyle w:val="IndexLink"/>
                <w:rtl w:val="true"/>
              </w:rPr>
              <w:t>:</w:t>
              <w:tab/>
            </w:r>
            <w:r>
              <w:rPr>
                <w:rStyle w:val="IndexLink"/>
              </w:rPr>
              <w:t>178</w:t>
            </w:r>
          </w:hyperlink>
        </w:p>
        <w:p>
          <w:pPr>
            <w:pStyle w:val="Contents5"/>
            <w:tabs>
              <w:tab w:val="clear" w:pos="7892"/>
              <w:tab w:val="right" w:pos="9026" w:leader="dot"/>
            </w:tabs>
            <w:rPr/>
          </w:pPr>
          <w:hyperlink w:anchor="__RefHeading___Toc5767211_3224264995">
            <w:r>
              <w:rPr>
                <w:webHidden/>
                <w:rStyle w:val="IndexLink"/>
                <w:rtl w:val="true"/>
              </w:rPr>
              <w:t>مبنی نسبة هذا القول إلی المحقّق</w:t>
            </w:r>
            <w:r>
              <w:rPr>
                <w:rStyle w:val="IndexLink"/>
                <w:rtl w:val="true"/>
              </w:rPr>
              <w:t>:</w:t>
              <w:tab/>
            </w:r>
            <w:r>
              <w:rPr>
                <w:rStyle w:val="IndexLink"/>
              </w:rPr>
              <w:t>179</w:t>
            </w:r>
          </w:hyperlink>
        </w:p>
        <w:p>
          <w:pPr>
            <w:pStyle w:val="Contents6"/>
            <w:tabs>
              <w:tab w:val="clear" w:pos="7609"/>
              <w:tab w:val="right" w:pos="9026" w:leader="dot"/>
            </w:tabs>
            <w:rPr/>
          </w:pPr>
          <w:hyperlink w:anchor="__RefHeading___Toc5767213_3224264995">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5767215_3224264995">
            <w:r>
              <w:rPr>
                <w:webHidden/>
                <w:rStyle w:val="IndexLink"/>
                <w:rtl w:val="true"/>
              </w:rPr>
              <w:t>المناقشة فی المبنی المذکور</w:t>
            </w:r>
            <w:r>
              <w:rPr>
                <w:rStyle w:val="IndexLink"/>
                <w:rtl w:val="true"/>
              </w:rPr>
              <w:t>:</w:t>
              <w:tab/>
            </w:r>
            <w:r>
              <w:rPr>
                <w:rStyle w:val="IndexLink"/>
              </w:rPr>
              <w:t>179</w:t>
            </w:r>
          </w:hyperlink>
        </w:p>
        <w:p>
          <w:pPr>
            <w:pStyle w:val="Contents6"/>
            <w:tabs>
              <w:tab w:val="clear" w:pos="7609"/>
              <w:tab w:val="right" w:pos="9026" w:leader="dot"/>
            </w:tabs>
            <w:rPr/>
          </w:pPr>
          <w:hyperlink w:anchor="__RefHeading___Toc5767217_3224264995">
            <w:r>
              <w:rPr>
                <w:webHidden/>
                <w:rStyle w:val="IndexLink"/>
                <w:rtl w:val="true"/>
              </w:rPr>
              <w:t>توجیه نسبة هذا القول إلی المحقّق</w:t>
            </w:r>
            <w:r>
              <w:rPr>
                <w:rStyle w:val="IndexLink"/>
                <w:rtl w:val="true"/>
              </w:rPr>
              <w:t>:</w:t>
              <w:tab/>
            </w:r>
            <w:r>
              <w:rPr>
                <w:rStyle w:val="IndexLink"/>
              </w:rPr>
              <w:t>180</w:t>
            </w:r>
          </w:hyperlink>
        </w:p>
        <w:p>
          <w:pPr>
            <w:pStyle w:val="Contents3"/>
            <w:tabs>
              <w:tab w:val="clear" w:pos="8459"/>
              <w:tab w:val="right" w:pos="9026" w:leader="dot"/>
            </w:tabs>
            <w:rPr/>
          </w:pPr>
          <w:hyperlink w:anchor="__RefHeading___Toc5767219_3224264995">
            <w:r>
              <w:rPr>
                <w:webHidden/>
                <w:rStyle w:val="IndexLink"/>
                <w:rtl w:val="true"/>
              </w:rPr>
              <w:t>حجّة القول العاشر التفصیل بین الشک فی وجود الغایة و عدمه</w:t>
            </w:r>
            <w:r>
              <w:rPr>
                <w:rStyle w:val="IndexLink"/>
                <w:rtl w:val="true"/>
              </w:rPr>
              <w:t>:</w:t>
              <w:tab/>
            </w:r>
            <w:r>
              <w:rPr>
                <w:rStyle w:val="IndexLink"/>
              </w:rPr>
              <w:t>183</w:t>
            </w:r>
          </w:hyperlink>
        </w:p>
        <w:p>
          <w:pPr>
            <w:pStyle w:val="Contents4"/>
            <w:tabs>
              <w:tab w:val="clear" w:pos="8176"/>
              <w:tab w:val="right" w:pos="9026" w:leader="dot"/>
            </w:tabs>
            <w:rPr/>
          </w:pPr>
          <w:hyperlink w:anchor="__RefHeading___Toc5767221_3224264995">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767223_3224264995">
            <w:r>
              <w:rPr>
                <w:webHidden/>
                <w:rStyle w:val="IndexLink"/>
                <w:rtl w:val="true"/>
              </w:rPr>
              <w:t>ما استدلّ به المحقّق السبزواری علی هذا القول</w:t>
            </w:r>
            <w:r>
              <w:rPr>
                <w:rStyle w:val="IndexLink"/>
                <w:rtl w:val="true"/>
              </w:rPr>
              <w:t>:</w:t>
              <w:tab/>
            </w:r>
            <w:r>
              <w:rPr>
                <w:rStyle w:val="IndexLink"/>
              </w:rPr>
              <w:t>183</w:t>
            </w:r>
          </w:hyperlink>
        </w:p>
        <w:p>
          <w:pPr>
            <w:pStyle w:val="Contents5"/>
            <w:tabs>
              <w:tab w:val="clear" w:pos="7892"/>
              <w:tab w:val="right" w:pos="9026" w:leader="dot"/>
            </w:tabs>
            <w:rPr/>
          </w:pPr>
          <w:hyperlink w:anchor="__RefHeading___Toc5767225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767227_3224264995">
            <w:r>
              <w:rPr>
                <w:webHidden/>
                <w:rStyle w:val="IndexLink"/>
                <w:rtl w:val="true"/>
              </w:rPr>
              <w:t>المناقشة فیما أفاده المحقّق السبزواری</w:t>
            </w:r>
            <w:r>
              <w:rPr>
                <w:rStyle w:val="IndexLink"/>
                <w:rtl w:val="true"/>
              </w:rPr>
              <w:t>:</w:t>
              <w:tab/>
            </w:r>
            <w:r>
              <w:rPr>
                <w:rStyle w:val="IndexLink"/>
              </w:rPr>
              <w:t>184</w:t>
            </w:r>
          </w:hyperlink>
        </w:p>
        <w:p>
          <w:pPr>
            <w:pStyle w:val="Contents3"/>
            <w:tabs>
              <w:tab w:val="clear" w:pos="8459"/>
              <w:tab w:val="right" w:pos="9026" w:leader="dot"/>
            </w:tabs>
            <w:rPr/>
          </w:pPr>
          <w:hyperlink w:anchor="__RefHeading___Toc5767229_3224264995">
            <w:r>
              <w:rPr>
                <w:webHidden/>
                <w:rStyle w:val="IndexLink"/>
                <w:rtl w:val="true"/>
              </w:rPr>
              <w:t>حجّة القول الحادی عشر التفصیل المتقدم مع زیادة الشک فی مصداق الغایة</w:t>
            </w:r>
            <w:r>
              <w:rPr>
                <w:rStyle w:val="IndexLink"/>
                <w:rtl w:val="true"/>
              </w:rPr>
              <w:t>:</w:t>
              <w:tab/>
            </w:r>
            <w:r>
              <w:rPr>
                <w:rStyle w:val="IndexLink"/>
              </w:rPr>
              <w:t>187</w:t>
            </w:r>
          </w:hyperlink>
        </w:p>
        <w:p>
          <w:pPr>
            <w:pStyle w:val="Contents4"/>
            <w:tabs>
              <w:tab w:val="clear" w:pos="8176"/>
              <w:tab w:val="right" w:pos="9026" w:leader="dot"/>
            </w:tabs>
            <w:rPr/>
          </w:pPr>
          <w:hyperlink w:anchor="__RefHeading___Toc5767231_3224264995">
            <w:r>
              <w:rPr>
                <w:webHidden/>
                <w:rStyle w:val="IndexLink"/>
                <w:rtl w:val="true"/>
              </w:rPr>
              <w:t>استدلال المحقّق الخوانساری علی هذا القول</w:t>
            </w:r>
            <w:r>
              <w:rPr>
                <w:rStyle w:val="IndexLink"/>
                <w:rtl w:val="true"/>
              </w:rPr>
              <w:t>:</w:t>
              <w:tab/>
            </w:r>
            <w:r>
              <w:rPr>
                <w:rStyle w:val="IndexLink"/>
              </w:rPr>
              <w:t>187</w:t>
            </w:r>
          </w:hyperlink>
        </w:p>
        <w:p>
          <w:pPr>
            <w:pStyle w:val="Contents5"/>
            <w:tabs>
              <w:tab w:val="clear" w:pos="7892"/>
              <w:tab w:val="right" w:pos="9026" w:leader="dot"/>
            </w:tabs>
            <w:rPr/>
          </w:pPr>
          <w:hyperlink w:anchor="__RefHeading___Toc5767233_3224264995">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767235_3224264995">
            <w:r>
              <w:rPr>
                <w:webHidden/>
                <w:rStyle w:val="IndexLink"/>
                <w:rtl w:val="true"/>
              </w:rPr>
              <w:t>کلام آخر للمحقق الخوانساری</w:t>
            </w:r>
            <w:r>
              <w:rPr>
                <w:rStyle w:val="IndexLink"/>
                <w:rtl w:val="true"/>
              </w:rPr>
              <w:tab/>
            </w:r>
            <w:r>
              <w:rPr>
                <w:rStyle w:val="IndexLink"/>
              </w:rPr>
              <w:t>193</w:t>
            </w:r>
          </w:hyperlink>
        </w:p>
        <w:p>
          <w:pPr>
            <w:pStyle w:val="Contents5"/>
            <w:tabs>
              <w:tab w:val="clear" w:pos="7892"/>
              <w:tab w:val="right" w:pos="9026" w:leader="dot"/>
            </w:tabs>
            <w:rPr/>
          </w:pPr>
          <w:hyperlink w:anchor="__RefHeading___Toc5767237_3224264995">
            <w:r>
              <w:rPr>
                <w:webHidden/>
                <w:rStyle w:val="IndexLink"/>
                <w:rtl w:val="true"/>
              </w:rPr>
              <w:t>المناقشة فیما أفاده المحقّق الخوانساری</w:t>
            </w:r>
            <w:r>
              <w:rPr>
                <w:rStyle w:val="IndexLink"/>
                <w:rtl w:val="true"/>
              </w:rPr>
              <w:t>:</w:t>
              <w:tab/>
            </w:r>
            <w:r>
              <w:rPr>
                <w:rStyle w:val="IndexLink"/>
              </w:rPr>
              <w:t>195</w:t>
            </w:r>
          </w:hyperlink>
        </w:p>
        <w:p>
          <w:pPr>
            <w:pStyle w:val="Contents5"/>
            <w:tabs>
              <w:tab w:val="clear" w:pos="7892"/>
              <w:tab w:val="right" w:pos="9026" w:leader="dot"/>
            </w:tabs>
            <w:rPr/>
          </w:pPr>
          <w:hyperlink w:anchor="__RefHeading___Toc5767239_3224264995">
            <w:r>
              <w:rPr>
                <w:webHidden/>
                <w:rStyle w:val="IndexLink"/>
                <w:rtl w:val="true"/>
              </w:rPr>
              <w:t>توجیه ما ذکره المحقق الخوانساری فی الحکم التخییری</w:t>
            </w:r>
            <w:r>
              <w:rPr>
                <w:rStyle w:val="IndexLink"/>
                <w:rtl w:val="true"/>
              </w:rPr>
              <w:t>:</w:t>
              <w:tab/>
            </w:r>
            <w:r>
              <w:rPr>
                <w:rStyle w:val="IndexLink"/>
              </w:rPr>
              <w:t>199</w:t>
            </w:r>
          </w:hyperlink>
        </w:p>
        <w:p>
          <w:pPr>
            <w:pStyle w:val="Contents5"/>
            <w:tabs>
              <w:tab w:val="clear" w:pos="7892"/>
              <w:tab w:val="right" w:pos="9026" w:leader="dot"/>
            </w:tabs>
            <w:rPr/>
          </w:pPr>
          <w:hyperlink w:anchor="__RefHeading___Toc5767241_3224264995">
            <w:r>
              <w:rPr>
                <w:webHidden/>
                <w:rStyle w:val="IndexLink"/>
                <w:rtl w:val="true"/>
              </w:rPr>
              <w:t>توجیه المحقّق القمّی</w:t>
            </w:r>
            <w:r>
              <w:rPr>
                <w:rStyle w:val="IndexLink"/>
                <w:rtl w:val="true"/>
              </w:rPr>
              <w:t>:</w:t>
              <w:tab/>
            </w:r>
            <w:r>
              <w:rPr>
                <w:rStyle w:val="IndexLink"/>
              </w:rPr>
              <w:t>199</w:t>
            </w:r>
          </w:hyperlink>
        </w:p>
        <w:p>
          <w:pPr>
            <w:pStyle w:val="Contents6"/>
            <w:tabs>
              <w:tab w:val="clear" w:pos="7609"/>
              <w:tab w:val="right" w:pos="9026" w:leader="dot"/>
            </w:tabs>
            <w:rPr/>
          </w:pPr>
          <w:hyperlink w:anchor="__RefHeading___Toc5767243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767245_3224264995">
            <w:r>
              <w:rPr>
                <w:webHidden/>
                <w:rStyle w:val="IndexLink"/>
                <w:rtl w:val="true"/>
              </w:rPr>
              <w:t>المناقشة فی توجیه المحقّق القمّی</w:t>
            </w:r>
            <w:r>
              <w:rPr>
                <w:rStyle w:val="IndexLink"/>
                <w:rtl w:val="true"/>
              </w:rPr>
              <w:t>:</w:t>
              <w:tab/>
            </w:r>
            <w:r>
              <w:rPr>
                <w:rStyle w:val="IndexLink"/>
              </w:rPr>
              <w:t>200</w:t>
            </w:r>
          </w:hyperlink>
        </w:p>
        <w:p>
          <w:pPr>
            <w:pStyle w:val="Contents5"/>
            <w:tabs>
              <w:tab w:val="clear" w:pos="7892"/>
              <w:tab w:val="right" w:pos="9026" w:leader="dot"/>
            </w:tabs>
            <w:rPr/>
          </w:pPr>
          <w:hyperlink w:anchor="__RefHeading___Toc5767247_3224264995">
            <w:r>
              <w:rPr>
                <w:webHidden/>
                <w:rStyle w:val="IndexLink"/>
                <w:rtl w:val="true"/>
              </w:rPr>
              <w:t>ما أورده السید الصدر علی المحقق الخوانساری</w:t>
            </w:r>
            <w:r>
              <w:rPr>
                <w:rStyle w:val="IndexLink"/>
                <w:rtl w:val="true"/>
              </w:rPr>
              <w:t>:</w:t>
              <w:tab/>
            </w:r>
            <w:r>
              <w:rPr>
                <w:rStyle w:val="IndexLink"/>
              </w:rPr>
              <w:t>201</w:t>
            </w:r>
          </w:hyperlink>
        </w:p>
        <w:p>
          <w:pPr>
            <w:pStyle w:val="Contents6"/>
            <w:tabs>
              <w:tab w:val="clear" w:pos="7609"/>
              <w:tab w:val="right" w:pos="9026" w:leader="dot"/>
            </w:tabs>
            <w:rPr/>
          </w:pPr>
          <w:hyperlink w:anchor="__RefHeading___Toc5767249_3224264995">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5767251_3224264995">
            <w:r>
              <w:rPr>
                <w:webHidden/>
                <w:rStyle w:val="IndexLink"/>
                <w:rtl w:val="true"/>
              </w:rPr>
              <w:t>المناقشة فی الإیراد</w:t>
            </w:r>
            <w:r>
              <w:rPr>
                <w:rStyle w:val="IndexLink"/>
                <w:rtl w:val="true"/>
              </w:rPr>
              <w:t>:</w:t>
              <w:tab/>
            </w:r>
            <w:r>
              <w:rPr>
                <w:rStyle w:val="IndexLink"/>
              </w:rPr>
              <w:t>202</w:t>
            </w:r>
          </w:hyperlink>
        </w:p>
        <w:p>
          <w:pPr>
            <w:pStyle w:val="Contents4"/>
            <w:tabs>
              <w:tab w:val="clear" w:pos="8176"/>
              <w:tab w:val="right" w:pos="9026" w:leader="dot"/>
            </w:tabs>
            <w:rPr/>
          </w:pPr>
          <w:hyperlink w:anchor="__RefHeading___Toc5767253_3224264995">
            <w:r>
              <w:rPr>
                <w:webHidden/>
                <w:rStyle w:val="IndexLink"/>
                <w:rtl w:val="true"/>
              </w:rPr>
              <w:t>رجوع إلی کلام المحقق الخوانساری</w:t>
            </w:r>
            <w:r>
              <w:rPr>
                <w:rStyle w:val="IndexLink"/>
                <w:rtl w:val="true"/>
              </w:rPr>
              <w:t>:</w:t>
              <w:tab/>
            </w:r>
            <w:r>
              <w:rPr>
                <w:rStyle w:val="IndexLink"/>
              </w:rPr>
              <w:t>203</w:t>
            </w:r>
          </w:hyperlink>
        </w:p>
        <w:p>
          <w:pPr>
            <w:pStyle w:val="Contents4"/>
            <w:tabs>
              <w:tab w:val="clear" w:pos="8176"/>
              <w:tab w:val="right" w:pos="9026" w:leader="dot"/>
            </w:tabs>
            <w:rPr/>
          </w:pPr>
          <w:hyperlink w:anchor="__RefHeading___Toc5767255_3224264995">
            <w:r>
              <w:rPr>
                <w:webHidden/>
                <w:rStyle w:val="IndexLink"/>
                <w:rtl w:val="true"/>
              </w:rPr>
              <w:t>أقوی الأقوال القول التاسع،و بعده المشهور</w:t>
            </w:r>
            <w:r>
              <w:rPr>
                <w:rStyle w:val="IndexLink"/>
                <w:rtl w:val="true"/>
              </w:rPr>
              <w:t>:</w:t>
              <w:tab/>
            </w:r>
            <w:r>
              <w:rPr>
                <w:rStyle w:val="IndexLink"/>
              </w:rPr>
              <w:t>208</w:t>
            </w:r>
          </w:hyperlink>
        </w:p>
        <w:p>
          <w:pPr>
            <w:pStyle w:val="Contents3"/>
            <w:tabs>
              <w:tab w:val="clear" w:pos="8459"/>
              <w:tab w:val="right" w:pos="9026" w:leader="dot"/>
            </w:tabs>
            <w:rPr/>
          </w:pPr>
          <w:hyperlink w:anchor="__RefHeading___Toc5767257_3224264995">
            <w:r>
              <w:rPr>
                <w:webHidden/>
                <w:rStyle w:val="IndexLink"/>
                <w:rtl w:val="true"/>
              </w:rPr>
              <w:t>و ینبغی التنبیه علی امور</w:t>
            </w:r>
            <w:r>
              <w:rPr>
                <w:rStyle w:val="IndexLink"/>
                <w:rtl w:val="true"/>
              </w:rPr>
              <w:t>:</w:t>
              <w:tab/>
            </w:r>
            <w:r>
              <w:rPr>
                <w:rStyle w:val="IndexLink"/>
              </w:rPr>
              <w:t>209</w:t>
            </w:r>
          </w:hyperlink>
        </w:p>
        <w:p>
          <w:pPr>
            <w:pStyle w:val="Contents4"/>
            <w:tabs>
              <w:tab w:val="clear" w:pos="8176"/>
              <w:tab w:val="right" w:pos="9026" w:leader="dot"/>
            </w:tabs>
            <w:rPr/>
          </w:pPr>
          <w:hyperlink w:anchor="__RefHeading___Toc5767259_3224264995">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767261_3224264995">
            <w:r>
              <w:rPr>
                <w:webHidden/>
                <w:rStyle w:val="IndexLink"/>
                <w:rtl w:val="true"/>
              </w:rPr>
              <w:t>الأوّل</w:t>
            </w:r>
            <w:r>
              <w:rPr>
                <w:rStyle w:val="IndexLink"/>
                <w:rtl w:val="true"/>
              </w:rPr>
              <w:t xml:space="preserve">: </w:t>
            </w:r>
            <w:r>
              <w:rPr>
                <w:rStyle w:val="IndexLink"/>
                <w:rtl w:val="true"/>
              </w:rPr>
              <w:t>أقسام استصحاب الکلّی</w:t>
            </w:r>
            <w:r>
              <w:rPr>
                <w:rStyle w:val="IndexLink"/>
                <w:rtl w:val="true"/>
              </w:rPr>
              <w:tab/>
            </w:r>
            <w:r>
              <w:rPr>
                <w:rStyle w:val="IndexLink"/>
              </w:rPr>
              <w:t>209</w:t>
            </w:r>
          </w:hyperlink>
        </w:p>
        <w:p>
          <w:pPr>
            <w:pStyle w:val="Contents5"/>
            <w:tabs>
              <w:tab w:val="clear" w:pos="7892"/>
              <w:tab w:val="right" w:pos="9026" w:leader="dot"/>
            </w:tabs>
            <w:rPr/>
          </w:pPr>
          <w:hyperlink w:anchor="__RefHeading___Toc5767263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767265_3224264995">
            <w:r>
              <w:rPr>
                <w:webHidden/>
                <w:rStyle w:val="IndexLink"/>
                <w:rtl w:val="true"/>
              </w:rPr>
              <w:t>جواز استصحاب الکلّی و الفرد فی القسم الأوّل</w:t>
            </w:r>
            <w:r>
              <w:rPr>
                <w:rStyle w:val="IndexLink"/>
                <w:rtl w:val="true"/>
              </w:rPr>
              <w:t>:</w:t>
              <w:tab/>
            </w:r>
            <w:r>
              <w:rPr>
                <w:rStyle w:val="IndexLink"/>
              </w:rPr>
              <w:t>209</w:t>
            </w:r>
          </w:hyperlink>
        </w:p>
        <w:p>
          <w:pPr>
            <w:pStyle w:val="Contents5"/>
            <w:tabs>
              <w:tab w:val="clear" w:pos="7892"/>
              <w:tab w:val="right" w:pos="9026" w:leader="dot"/>
            </w:tabs>
            <w:rPr/>
          </w:pPr>
          <w:hyperlink w:anchor="__RefHeading___Toc5767267_3224264995">
            <w:r>
              <w:rPr>
                <w:webHidden/>
                <w:rStyle w:val="IndexLink"/>
                <w:rtl w:val="true"/>
              </w:rPr>
              <w:t>جواز استصحاب الکلّی فی القسم الثانی دون الفرد</w:t>
            </w:r>
            <w:r>
              <w:rPr>
                <w:rStyle w:val="IndexLink"/>
                <w:rtl w:val="true"/>
              </w:rPr>
              <w:t>:</w:t>
              <w:tab/>
            </w:r>
            <w:r>
              <w:rPr>
                <w:rStyle w:val="IndexLink"/>
              </w:rPr>
              <w:t>209</w:t>
            </w:r>
          </w:hyperlink>
        </w:p>
        <w:p>
          <w:pPr>
            <w:pStyle w:val="Contents6"/>
            <w:tabs>
              <w:tab w:val="clear" w:pos="7609"/>
              <w:tab w:val="right" w:pos="9026" w:leader="dot"/>
            </w:tabs>
            <w:rPr/>
          </w:pPr>
          <w:hyperlink w:anchor="__RefHeading___Toc5767269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767271_3224264995">
            <w:r>
              <w:rPr>
                <w:webHidden/>
                <w:rStyle w:val="IndexLink"/>
                <w:rtl w:val="true"/>
              </w:rPr>
              <w:t>توهّم عدم جریان استصحاب الکلّی فی هذا القسم و دفعه</w:t>
            </w:r>
            <w:r>
              <w:rPr>
                <w:rStyle w:val="IndexLink"/>
                <w:rtl w:val="true"/>
              </w:rPr>
              <w:t>:</w:t>
              <w:tab/>
            </w:r>
            <w:r>
              <w:rPr>
                <w:rStyle w:val="IndexLink"/>
              </w:rPr>
              <w:t>210</w:t>
            </w:r>
          </w:hyperlink>
        </w:p>
        <w:p>
          <w:pPr>
            <w:pStyle w:val="Contents6"/>
            <w:tabs>
              <w:tab w:val="clear" w:pos="7609"/>
              <w:tab w:val="right" w:pos="9026" w:leader="dot"/>
            </w:tabs>
            <w:rPr/>
          </w:pPr>
          <w:hyperlink w:anchor="__RefHeading___Toc5767273_3224264995">
            <w:r>
              <w:rPr>
                <w:webHidden/>
                <w:rStyle w:val="IndexLink"/>
                <w:rtl w:val="true"/>
              </w:rPr>
              <w:t>توهّم آخر و دفعه</w:t>
            </w:r>
            <w:r>
              <w:rPr>
                <w:rStyle w:val="IndexLink"/>
                <w:rtl w:val="true"/>
              </w:rPr>
              <w:t>:</w:t>
              <w:tab/>
            </w:r>
            <w:r>
              <w:rPr>
                <w:rStyle w:val="IndexLink"/>
              </w:rPr>
              <w:t>210</w:t>
            </w:r>
          </w:hyperlink>
        </w:p>
        <w:p>
          <w:pPr>
            <w:pStyle w:val="Contents6"/>
            <w:tabs>
              <w:tab w:val="clear" w:pos="7609"/>
              <w:tab w:val="right" w:pos="9026" w:leader="dot"/>
            </w:tabs>
            <w:rPr/>
          </w:pPr>
          <w:hyperlink w:anchor="__RefHeading___Toc5767275_3224264995">
            <w:r>
              <w:rPr>
                <w:webHidden/>
                <w:rStyle w:val="IndexLink"/>
                <w:rtl w:val="true"/>
              </w:rPr>
              <w:t>ظاهر المحقّق القمّی عدم الجریان</w:t>
            </w:r>
            <w:r>
              <w:rPr>
                <w:rStyle w:val="IndexLink"/>
                <w:rtl w:val="true"/>
              </w:rPr>
              <w:t>:</w:t>
              <w:tab/>
            </w:r>
            <w:r>
              <w:rPr>
                <w:rStyle w:val="IndexLink"/>
              </w:rPr>
              <w:t>211</w:t>
            </w:r>
          </w:hyperlink>
        </w:p>
        <w:p>
          <w:pPr>
            <w:pStyle w:val="Contents6"/>
            <w:tabs>
              <w:tab w:val="clear" w:pos="7609"/>
              <w:tab w:val="right" w:pos="9026" w:leader="dot"/>
            </w:tabs>
            <w:rPr/>
          </w:pPr>
          <w:hyperlink w:anchor="__RefHeading___Toc5767277_3224264995">
            <w:r>
              <w:rPr>
                <w:webHidden/>
                <w:rStyle w:val="IndexLink"/>
                <w:rtl w:val="true"/>
              </w:rPr>
              <w:t>المناقشة فیما أفاده المحقق القمی</w:t>
            </w:r>
            <w:r>
              <w:rPr>
                <w:rStyle w:val="IndexLink"/>
                <w:rtl w:val="true"/>
              </w:rPr>
              <w:t>:</w:t>
              <w:tab/>
            </w:r>
            <w:r>
              <w:rPr>
                <w:rStyle w:val="IndexLink"/>
              </w:rPr>
              <w:t>212</w:t>
            </w:r>
          </w:hyperlink>
        </w:p>
        <w:p>
          <w:pPr>
            <w:pStyle w:val="Contents6"/>
            <w:tabs>
              <w:tab w:val="clear" w:pos="7609"/>
              <w:tab w:val="right" w:pos="9026" w:leader="dot"/>
            </w:tabs>
            <w:rPr/>
          </w:pPr>
          <w:hyperlink w:anchor="__RefHeading___Toc5767279_3224264995">
            <w:r>
              <w:rPr>
                <w:webHidden/>
                <w:rStyle w:val="IndexLink"/>
                <w:rtl w:val="true"/>
              </w:rPr>
              <w:t>القسم الثالث من استصحاب الکلی و فیه قسمان</w:t>
            </w:r>
            <w:r>
              <w:rPr>
                <w:rStyle w:val="IndexLink"/>
                <w:rtl w:val="true"/>
              </w:rPr>
              <w:tab/>
            </w:r>
            <w:r>
              <w:rPr>
                <w:rStyle w:val="IndexLink"/>
              </w:rPr>
              <w:t>213</w:t>
            </w:r>
          </w:hyperlink>
        </w:p>
        <w:p>
          <w:pPr>
            <w:pStyle w:val="Contents6"/>
            <w:tabs>
              <w:tab w:val="clear" w:pos="7609"/>
              <w:tab w:val="right" w:pos="9026" w:leader="dot"/>
            </w:tabs>
            <w:rPr/>
          </w:pPr>
          <w:hyperlink w:anchor="__RefHeading___Toc5767281_3224264995">
            <w:r>
              <w:rPr>
                <w:webHidden/>
                <w:rStyle w:val="IndexLink"/>
                <w:rtl w:val="true"/>
              </w:rPr>
              <w:t>هل یجری الاستصحاب فی القسمین أو لا یجری فی کلیهما أو فیه تفصیل؟</w:t>
            </w:r>
            <w:r>
              <w:rPr>
                <w:rStyle w:val="IndexLink"/>
                <w:rtl w:val="true"/>
              </w:rPr>
              <w:t>:</w:t>
              <w:tab/>
            </w:r>
            <w:r>
              <w:rPr>
                <w:rStyle w:val="IndexLink"/>
              </w:rPr>
              <w:t>213</w:t>
            </w:r>
          </w:hyperlink>
        </w:p>
        <w:p>
          <w:pPr>
            <w:pStyle w:val="Contents6"/>
            <w:tabs>
              <w:tab w:val="clear" w:pos="7609"/>
              <w:tab w:val="right" w:pos="9026" w:leader="dot"/>
            </w:tabs>
            <w:rPr/>
          </w:pPr>
          <w:hyperlink w:anchor="__RefHeading___Toc5767283_3224264995">
            <w:r>
              <w:rPr>
                <w:webHidden/>
                <w:rStyle w:val="IndexLink"/>
                <w:rtl w:val="true"/>
              </w:rPr>
              <w:t>مختار المصنف هو التفصیل</w:t>
            </w:r>
            <w:r>
              <w:rPr>
                <w:rStyle w:val="IndexLink"/>
                <w:rtl w:val="true"/>
              </w:rPr>
              <w:t>:</w:t>
              <w:tab/>
            </w:r>
            <w:r>
              <w:rPr>
                <w:rStyle w:val="IndexLink"/>
              </w:rPr>
              <w:t>214</w:t>
            </w:r>
          </w:hyperlink>
        </w:p>
        <w:p>
          <w:pPr>
            <w:pStyle w:val="Contents6"/>
            <w:tabs>
              <w:tab w:val="clear" w:pos="7609"/>
              <w:tab w:val="right" w:pos="9026" w:leader="dot"/>
            </w:tabs>
            <w:rPr/>
          </w:pPr>
          <w:hyperlink w:anchor="__RefHeading___Toc5767285_3224264995">
            <w:r>
              <w:rPr>
                <w:webHidden/>
                <w:rStyle w:val="IndexLink"/>
                <w:rtl w:val="true"/>
              </w:rPr>
              <w:t>استثناء مورد واحد من القسم الثانی</w:t>
            </w:r>
            <w:r>
              <w:rPr>
                <w:rStyle w:val="IndexLink"/>
                <w:rtl w:val="true"/>
              </w:rPr>
              <w:t>:</w:t>
              <w:tab/>
            </w:r>
            <w:r>
              <w:rPr>
                <w:rStyle w:val="IndexLink"/>
              </w:rPr>
              <w:t>214</w:t>
            </w:r>
          </w:hyperlink>
        </w:p>
        <w:p>
          <w:pPr>
            <w:pStyle w:val="Contents6"/>
            <w:tabs>
              <w:tab w:val="clear" w:pos="7609"/>
              <w:tab w:val="right" w:pos="9026" w:leader="dot"/>
            </w:tabs>
            <w:rPr/>
          </w:pPr>
          <w:hyperlink w:anchor="__RefHeading___Toc5767287_3224264995">
            <w:r>
              <w:rPr>
                <w:webHidden/>
                <w:rStyle w:val="IndexLink"/>
                <w:rtl w:val="true"/>
              </w:rPr>
              <w:t>العبرة فی جریان الاستصحاب</w:t>
            </w:r>
            <w:r>
              <w:rPr>
                <w:rStyle w:val="IndexLink"/>
                <w:rtl w:val="true"/>
              </w:rPr>
              <w:t>:</w:t>
              <w:tab/>
            </w:r>
            <w:r>
              <w:rPr>
                <w:rStyle w:val="IndexLink"/>
              </w:rPr>
              <w:t>214</w:t>
            </w:r>
          </w:hyperlink>
        </w:p>
        <w:p>
          <w:pPr>
            <w:pStyle w:val="Contents6"/>
            <w:tabs>
              <w:tab w:val="clear" w:pos="7609"/>
              <w:tab w:val="right" w:pos="9026" w:leader="dot"/>
            </w:tabs>
            <w:rPr/>
          </w:pPr>
          <w:hyperlink w:anchor="__RefHeading___Toc5767289_3224264995">
            <w:r>
              <w:rPr>
                <w:webHidden/>
                <w:rStyle w:val="IndexLink"/>
                <w:rtl w:val="true"/>
              </w:rPr>
              <w:t>کلام الفاضل التونی تأییدا لبعض ما ذکرنا</w:t>
            </w:r>
            <w:r>
              <w:rPr>
                <w:rStyle w:val="IndexLink"/>
                <w:rtl w:val="true"/>
              </w:rPr>
              <w:t>:</w:t>
              <w:tab/>
            </w:r>
            <w:r>
              <w:rPr>
                <w:rStyle w:val="IndexLink"/>
              </w:rPr>
              <w:t>215</w:t>
            </w:r>
          </w:hyperlink>
        </w:p>
        <w:p>
          <w:pPr>
            <w:pStyle w:val="Contents6"/>
            <w:tabs>
              <w:tab w:val="clear" w:pos="7609"/>
              <w:tab w:val="right" w:pos="9026" w:leader="dot"/>
            </w:tabs>
            <w:rPr/>
          </w:pPr>
          <w:hyperlink w:anchor="__RefHeading___Toc5767291_3224264995">
            <w:r>
              <w:rPr>
                <w:webHidden/>
                <w:rStyle w:val="IndexLink"/>
                <w:rtl w:val="true"/>
              </w:rPr>
              <w:t>بعض المناقشات فیما أفاد الفاضل التونی</w:t>
            </w:r>
            <w:r>
              <w:rPr>
                <w:rStyle w:val="IndexLink"/>
                <w:rtl w:val="true"/>
              </w:rPr>
              <w:t>:</w:t>
              <w:tab/>
            </w:r>
            <w:r>
              <w:rPr>
                <w:rStyle w:val="IndexLink"/>
              </w:rPr>
              <w:t>215</w:t>
            </w:r>
          </w:hyperlink>
        </w:p>
        <w:p>
          <w:pPr>
            <w:pStyle w:val="Contents6"/>
            <w:tabs>
              <w:tab w:val="clear" w:pos="7609"/>
              <w:tab w:val="right" w:pos="9026" w:leader="dot"/>
            </w:tabs>
            <w:rPr/>
          </w:pPr>
          <w:hyperlink w:anchor="__RefHeading___Toc5767293_3224264995">
            <w:r>
              <w:rPr>
                <w:webHidden/>
                <w:rStyle w:val="IndexLink"/>
                <w:rtl w:val="true"/>
              </w:rPr>
              <w:t>المناقشة فی ما مثل به الفاضل التونی لما نحن فیه</w:t>
            </w:r>
            <w:r>
              <w:rPr>
                <w:rStyle w:val="IndexLink"/>
                <w:rtl w:val="true"/>
              </w:rPr>
              <w:t>:</w:t>
              <w:tab/>
            </w:r>
            <w:r>
              <w:rPr>
                <w:rStyle w:val="IndexLink"/>
              </w:rPr>
              <w:t>219</w:t>
            </w:r>
          </w:hyperlink>
        </w:p>
        <w:p>
          <w:pPr>
            <w:pStyle w:val="Contents4"/>
            <w:tabs>
              <w:tab w:val="clear" w:pos="8176"/>
              <w:tab w:val="right" w:pos="9026" w:leader="dot"/>
            </w:tabs>
            <w:rPr/>
          </w:pPr>
          <w:hyperlink w:anchor="__RefHeading___Toc5767295_3224264995">
            <w:r>
              <w:rPr>
                <w:webHidden/>
                <w:rStyle w:val="IndexLink"/>
                <w:rtl w:val="true"/>
              </w:rPr>
              <w:t xml:space="preserve">الأمر الثانی </w:t>
            </w:r>
            <w:r>
              <w:rPr>
                <w:rStyle w:val="IndexLink"/>
                <w:rtl w:val="true"/>
              </w:rPr>
              <w:t>:</w:t>
            </w:r>
            <w:r>
              <w:rPr>
                <w:rStyle w:val="IndexLink"/>
                <w:rtl w:val="true"/>
              </w:rPr>
              <w:t>هل یجری الاستصحاب فی الزمان و الزمانیّات؟</w:t>
            </w:r>
            <w:r>
              <w:rPr>
                <w:rStyle w:val="IndexLink"/>
                <w:rtl w:val="true"/>
              </w:rPr>
              <w:tab/>
            </w:r>
            <w:r>
              <w:rPr>
                <w:rStyle w:val="IndexLink"/>
              </w:rPr>
              <w:t>221</w:t>
            </w:r>
          </w:hyperlink>
        </w:p>
        <w:p>
          <w:pPr>
            <w:pStyle w:val="Contents5"/>
            <w:tabs>
              <w:tab w:val="clear" w:pos="7892"/>
              <w:tab w:val="right" w:pos="9026" w:leader="dot"/>
            </w:tabs>
            <w:rPr/>
          </w:pPr>
          <w:hyperlink w:anchor="__RefHeading___Toc5767297_3224264995">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767299_3224264995">
            <w:r>
              <w:rPr>
                <w:webHidden/>
                <w:rStyle w:val="IndexLink"/>
                <w:rtl w:val="true"/>
              </w:rPr>
              <w:t>الأقسام ثلاثة</w:t>
            </w:r>
            <w:r>
              <w:rPr>
                <w:rStyle w:val="IndexLink"/>
                <w:rtl w:val="true"/>
              </w:rPr>
              <w:t>:</w:t>
              <w:tab/>
            </w:r>
            <w:r>
              <w:rPr>
                <w:rStyle w:val="IndexLink"/>
              </w:rPr>
              <w:t>221</w:t>
            </w:r>
          </w:hyperlink>
        </w:p>
        <w:p>
          <w:pPr>
            <w:pStyle w:val="Contents6"/>
            <w:tabs>
              <w:tab w:val="clear" w:pos="7609"/>
              <w:tab w:val="right" w:pos="9026" w:leader="dot"/>
            </w:tabs>
            <w:rPr/>
          </w:pPr>
          <w:hyperlink w:anchor="__RefHeading___Toc5767301_3224264995">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767303_3224264995">
            <w:r>
              <w:rPr>
                <w:webHidden/>
                <w:rStyle w:val="IndexLink"/>
              </w:rPr>
              <w:t>1</w:t>
            </w:r>
            <w:r>
              <w:rPr>
                <w:rStyle w:val="IndexLink"/>
                <w:rtl w:val="true"/>
              </w:rPr>
              <w:t>-</w:t>
            </w:r>
            <w:r>
              <w:rPr>
                <w:rStyle w:val="IndexLink"/>
                <w:rtl w:val="true"/>
              </w:rPr>
              <w:t>استصحاب نفس الزمان</w:t>
            </w:r>
            <w:r>
              <w:rPr>
                <w:rStyle w:val="IndexLink"/>
                <w:rtl w:val="true"/>
              </w:rPr>
              <w:t>:</w:t>
              <w:tab/>
            </w:r>
            <w:r>
              <w:rPr>
                <w:rStyle w:val="IndexLink"/>
              </w:rPr>
              <w:t>221</w:t>
            </w:r>
          </w:hyperlink>
        </w:p>
        <w:p>
          <w:pPr>
            <w:pStyle w:val="Contents6"/>
            <w:tabs>
              <w:tab w:val="clear" w:pos="7609"/>
              <w:tab w:val="right" w:pos="9026" w:leader="dot"/>
            </w:tabs>
            <w:rPr/>
          </w:pPr>
          <w:hyperlink w:anchor="__RefHeading___Toc5767305_3224264995">
            <w:r>
              <w:rPr>
                <w:webHidden/>
                <w:rStyle w:val="IndexLink"/>
              </w:rPr>
              <w:t>2</w:t>
            </w:r>
            <w:r>
              <w:rPr>
                <w:rStyle w:val="IndexLink"/>
                <w:rtl w:val="true"/>
              </w:rPr>
              <w:t>-</w:t>
            </w:r>
            <w:r>
              <w:rPr>
                <w:rStyle w:val="IndexLink"/>
                <w:rtl w:val="true"/>
              </w:rPr>
              <w:t>استصحاب الامور التدریجیّة غیر القارّة</w:t>
            </w:r>
            <w:r>
              <w:rPr>
                <w:rStyle w:val="IndexLink"/>
                <w:rtl w:val="true"/>
              </w:rPr>
              <w:t>:</w:t>
              <w:tab/>
            </w:r>
            <w:r>
              <w:rPr>
                <w:rStyle w:val="IndexLink"/>
              </w:rPr>
              <w:t>223</w:t>
            </w:r>
          </w:hyperlink>
        </w:p>
        <w:p>
          <w:pPr>
            <w:pStyle w:val="Contents6"/>
            <w:tabs>
              <w:tab w:val="clear" w:pos="7609"/>
              <w:tab w:val="right" w:pos="9026" w:leader="dot"/>
            </w:tabs>
            <w:rPr/>
          </w:pPr>
          <w:hyperlink w:anchor="__RefHeading___Toc5767307_3224264995">
            <w:r>
              <w:rPr>
                <w:webHidden/>
                <w:rStyle w:val="IndexLink"/>
              </w:rPr>
              <w:t>3</w:t>
            </w:r>
            <w:r>
              <w:rPr>
                <w:rStyle w:val="IndexLink"/>
                <w:rtl w:val="true"/>
              </w:rPr>
              <w:t>-</w:t>
            </w:r>
            <w:r>
              <w:rPr>
                <w:rStyle w:val="IndexLink"/>
                <w:rtl w:val="true"/>
              </w:rPr>
              <w:t>استصحاب الامور المقیّدة بالزمان</w:t>
            </w:r>
            <w:r>
              <w:rPr>
                <w:rStyle w:val="IndexLink"/>
                <w:rtl w:val="true"/>
              </w:rPr>
              <w:t>:</w:t>
              <w:tab/>
            </w:r>
            <w:r>
              <w:rPr>
                <w:rStyle w:val="IndexLink"/>
              </w:rPr>
              <w:t>226</w:t>
            </w:r>
          </w:hyperlink>
        </w:p>
        <w:p>
          <w:pPr>
            <w:pStyle w:val="Contents6"/>
            <w:tabs>
              <w:tab w:val="clear" w:pos="7609"/>
              <w:tab w:val="right" w:pos="9026" w:leader="dot"/>
            </w:tabs>
            <w:rPr/>
          </w:pPr>
          <w:hyperlink w:anchor="__RefHeading___Toc5767309_3224264995">
            <w:r>
              <w:rPr>
                <w:webHidden/>
                <w:rStyle w:val="IndexLink"/>
                <w:rtl w:val="true"/>
              </w:rPr>
              <w:t>ما ذکره الفاضل النراقی</w:t>
            </w:r>
            <w:r>
              <w:rPr>
                <w:rStyle w:val="IndexLink"/>
                <w:rtl w:val="true"/>
              </w:rPr>
              <w:t>:</w:t>
            </w:r>
            <w:r>
              <w:rPr>
                <w:rStyle w:val="IndexLink"/>
                <w:rtl w:val="true"/>
              </w:rPr>
              <w:t>من معارضة استصحاب عدم الأمر الوجودی المتیقّن سابقا مع استصحاب وجوده</w:t>
            </w:r>
            <w:r>
              <w:rPr>
                <w:rStyle w:val="IndexLink"/>
                <w:rtl w:val="true"/>
              </w:rPr>
              <w:t>:</w:t>
              <w:tab/>
            </w:r>
            <w:r>
              <w:rPr>
                <w:rStyle w:val="IndexLink"/>
              </w:rPr>
              <w:t>226</w:t>
            </w:r>
          </w:hyperlink>
        </w:p>
        <w:p>
          <w:pPr>
            <w:pStyle w:val="Contents6"/>
            <w:tabs>
              <w:tab w:val="clear" w:pos="7609"/>
              <w:tab w:val="right" w:pos="9026" w:leader="dot"/>
            </w:tabs>
            <w:rPr/>
          </w:pPr>
          <w:hyperlink w:anchor="__RefHeading___Toc5767311_3224264995">
            <w:r>
              <w:rPr>
                <w:webHidden/>
                <w:rStyle w:val="IndexLink"/>
                <w:rtl w:val="true"/>
              </w:rPr>
              <w:t>مناقشات فی ما أفاده الفاضل النراقی</w:t>
            </w:r>
            <w:r>
              <w:rPr>
                <w:rStyle w:val="IndexLink"/>
                <w:rtl w:val="true"/>
              </w:rPr>
              <w:t>:</w:t>
              <w:tab/>
            </w:r>
            <w:r>
              <w:rPr>
                <w:rStyle w:val="IndexLink"/>
              </w:rPr>
              <w:t>228</w:t>
            </w:r>
          </w:hyperlink>
        </w:p>
        <w:p>
          <w:pPr>
            <w:pStyle w:val="Contents6"/>
            <w:tabs>
              <w:tab w:val="clear" w:pos="7609"/>
              <w:tab w:val="right" w:pos="9026" w:leader="dot"/>
            </w:tabs>
            <w:rPr/>
          </w:pPr>
          <w:hyperlink w:anchor="__RefHeading___Toc5767313_3224264995">
            <w:r>
              <w:rPr>
                <w:webHidden/>
                <w:rStyle w:val="IndexLink"/>
                <w:rtl w:val="true"/>
              </w:rPr>
              <w:t>مناقشة أولی</w:t>
            </w:r>
            <w:r>
              <w:rPr>
                <w:rStyle w:val="IndexLink"/>
                <w:rtl w:val="true"/>
              </w:rPr>
              <w:t>:</w:t>
            </w:r>
            <w:r>
              <w:rPr>
                <w:rStyle w:val="IndexLink"/>
                <w:rtl w:val="true"/>
              </w:rPr>
              <w:t>الزمان قد یؤخذ قیدا و قد یؤخذ ظرفا</w:t>
            </w:r>
            <w:r>
              <w:rPr>
                <w:rStyle w:val="IndexLink"/>
                <w:rtl w:val="true"/>
              </w:rPr>
              <w:t>:</w:t>
              <w:tab/>
            </w:r>
            <w:r>
              <w:rPr>
                <w:rStyle w:val="IndexLink"/>
              </w:rPr>
              <w:t>228</w:t>
            </w:r>
          </w:hyperlink>
        </w:p>
        <w:p>
          <w:pPr>
            <w:pStyle w:val="Contents6"/>
            <w:tabs>
              <w:tab w:val="clear" w:pos="7609"/>
              <w:tab w:val="right" w:pos="9026" w:leader="dot"/>
            </w:tabs>
            <w:rPr/>
          </w:pPr>
          <w:hyperlink w:anchor="__RefHeading___Toc5767315_3224264995">
            <w:r>
              <w:rPr>
                <w:webHidden/>
                <w:rStyle w:val="IndexLink"/>
                <w:rtl w:val="true"/>
              </w:rPr>
              <w:t>مناقشة ثانیة فیما أفاده النراقی</w:t>
            </w:r>
            <w:r>
              <w:rPr>
                <w:rStyle w:val="IndexLink"/>
                <w:rtl w:val="true"/>
              </w:rPr>
              <w:t>:</w:t>
              <w:tab/>
            </w:r>
            <w:r>
              <w:rPr>
                <w:rStyle w:val="IndexLink"/>
              </w:rPr>
              <w:t>230</w:t>
            </w:r>
          </w:hyperlink>
        </w:p>
        <w:p>
          <w:pPr>
            <w:pStyle w:val="Contents6"/>
            <w:tabs>
              <w:tab w:val="clear" w:pos="7609"/>
              <w:tab w:val="right" w:pos="9026" w:leader="dot"/>
            </w:tabs>
            <w:rPr/>
          </w:pPr>
          <w:hyperlink w:anchor="__RefHeading___Toc5767317_3224264995">
            <w:r>
              <w:rPr>
                <w:webHidden/>
                <w:rStyle w:val="IndexLink"/>
                <w:rtl w:val="true"/>
              </w:rPr>
              <w:t>مناقشة ثالثة فیما أفاده النراقی</w:t>
            </w:r>
            <w:r>
              <w:rPr>
                <w:rStyle w:val="IndexLink"/>
                <w:rtl w:val="true"/>
              </w:rPr>
              <w:t>:</w:t>
              <w:tab/>
            </w:r>
            <w:r>
              <w:rPr>
                <w:rStyle w:val="IndexLink"/>
              </w:rPr>
              <w:t>231</w:t>
            </w:r>
          </w:hyperlink>
        </w:p>
        <w:p>
          <w:pPr>
            <w:pStyle w:val="Contents4"/>
            <w:tabs>
              <w:tab w:val="clear" w:pos="8176"/>
              <w:tab w:val="right" w:pos="9026" w:leader="dot"/>
            </w:tabs>
            <w:rPr/>
          </w:pPr>
          <w:hyperlink w:anchor="__RefHeading___Toc5767319_3224264995">
            <w:r>
              <w:rPr>
                <w:webHidden/>
                <w:rStyle w:val="IndexLink"/>
                <w:rtl w:val="true"/>
              </w:rPr>
              <w:t xml:space="preserve">الأمر الثالث </w:t>
            </w:r>
            <w:r>
              <w:rPr>
                <w:rStyle w:val="IndexLink"/>
                <w:rtl w:val="true"/>
              </w:rPr>
              <w:t>:</w:t>
            </w:r>
            <w:r>
              <w:rPr>
                <w:rStyle w:val="IndexLink"/>
                <w:rtl w:val="true"/>
              </w:rPr>
              <w:t>عدم جریان الاستصحاب فی الأحکام العقلیّة</w:t>
            </w:r>
            <w:r>
              <w:rPr>
                <w:rStyle w:val="IndexLink"/>
                <w:rtl w:val="true"/>
              </w:rPr>
              <w:tab/>
            </w:r>
            <w:r>
              <w:rPr>
                <w:rStyle w:val="IndexLink"/>
              </w:rPr>
              <w:t>233</w:t>
            </w:r>
          </w:hyperlink>
        </w:p>
        <w:p>
          <w:pPr>
            <w:pStyle w:val="Contents5"/>
            <w:tabs>
              <w:tab w:val="clear" w:pos="7892"/>
              <w:tab w:val="right" w:pos="9026" w:leader="dot"/>
            </w:tabs>
            <w:rPr/>
          </w:pPr>
          <w:hyperlink w:anchor="__RefHeading___Toc5767321_3224264995">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767323_3224264995">
            <w:r>
              <w:rPr>
                <w:webHidden/>
                <w:rStyle w:val="IndexLink"/>
                <w:rtl w:val="true"/>
              </w:rPr>
              <w:t>عدم جریان الاستصحاب فی الحکم الشرعی المستند إلی الحکم العقلی أیضا</w:t>
            </w:r>
            <w:r>
              <w:rPr>
                <w:rStyle w:val="IndexLink"/>
                <w:rtl w:val="true"/>
              </w:rPr>
              <w:t>:</w:t>
              <w:tab/>
            </w:r>
            <w:r>
              <w:rPr>
                <w:rStyle w:val="IndexLink"/>
              </w:rPr>
              <w:t>234</w:t>
            </w:r>
          </w:hyperlink>
        </w:p>
        <w:p>
          <w:pPr>
            <w:pStyle w:val="Contents5"/>
            <w:tabs>
              <w:tab w:val="clear" w:pos="7892"/>
              <w:tab w:val="right" w:pos="9026" w:leader="dot"/>
            </w:tabs>
            <w:rPr/>
          </w:pPr>
          <w:hyperlink w:anchor="__RefHeading___Toc5767325_3224264995">
            <w:r>
              <w:rPr>
                <w:webHidden/>
                <w:rStyle w:val="IndexLink"/>
                <w:rtl w:val="true"/>
              </w:rPr>
              <w:t>هل یجری الاستصحاب فی موضوع الحکم العقلی؟</w:t>
            </w:r>
            <w:r>
              <w:rPr>
                <w:rStyle w:val="IndexLink"/>
                <w:rtl w:val="true"/>
              </w:rPr>
              <w:t>:</w:t>
              <w:tab/>
            </w:r>
            <w:r>
              <w:rPr>
                <w:rStyle w:val="IndexLink"/>
              </w:rPr>
              <w:t>235</w:t>
            </w:r>
          </w:hyperlink>
        </w:p>
        <w:p>
          <w:pPr>
            <w:pStyle w:val="Contents5"/>
            <w:tabs>
              <w:tab w:val="clear" w:pos="7892"/>
              <w:tab w:val="right" w:pos="9026" w:leader="dot"/>
            </w:tabs>
            <w:rPr/>
          </w:pPr>
          <w:hyperlink w:anchor="__RefHeading___Toc5767327_3224264995">
            <w:r>
              <w:rPr>
                <w:webHidden/>
                <w:rStyle w:val="IndexLink"/>
                <w:rtl w:val="true"/>
              </w:rPr>
              <w:t>ما یظهر مما ذکرنا</w:t>
            </w:r>
            <w:r>
              <w:rPr>
                <w:rStyle w:val="IndexLink"/>
                <w:rtl w:val="true"/>
              </w:rPr>
              <w:tab/>
            </w:r>
            <w:r>
              <w:rPr>
                <w:rStyle w:val="IndexLink"/>
              </w:rPr>
              <w:t>236</w:t>
            </w:r>
          </w:hyperlink>
        </w:p>
        <w:p>
          <w:pPr>
            <w:pStyle w:val="Contents4"/>
            <w:tabs>
              <w:tab w:val="clear" w:pos="8176"/>
              <w:tab w:val="right" w:pos="9026" w:leader="dot"/>
            </w:tabs>
            <w:rPr/>
          </w:pPr>
          <w:hyperlink w:anchor="__RefHeading___Toc5767329_3224264995">
            <w:r>
              <w:rPr>
                <w:webHidden/>
                <w:rStyle w:val="IndexLink"/>
                <w:rtl w:val="true"/>
              </w:rPr>
              <w:t xml:space="preserve">الأمر الرابع </w:t>
            </w:r>
            <w:r>
              <w:rPr>
                <w:rStyle w:val="IndexLink"/>
                <w:rtl w:val="true"/>
              </w:rPr>
              <w:t>:</w:t>
            </w:r>
            <w:r>
              <w:rPr>
                <w:rStyle w:val="IndexLink"/>
                <w:rtl w:val="true"/>
              </w:rPr>
              <w:t>هل یجری الاستصحاب التعلیقی؟</w:t>
            </w:r>
            <w:r>
              <w:rPr>
                <w:rStyle w:val="IndexLink"/>
                <w:rtl w:val="true"/>
              </w:rPr>
              <w:tab/>
            </w:r>
            <w:r>
              <w:rPr>
                <w:rStyle w:val="IndexLink"/>
              </w:rPr>
              <w:t>239</w:t>
            </w:r>
          </w:hyperlink>
        </w:p>
        <w:p>
          <w:pPr>
            <w:pStyle w:val="Contents5"/>
            <w:tabs>
              <w:tab w:val="clear" w:pos="7892"/>
              <w:tab w:val="right" w:pos="9026" w:leader="dot"/>
            </w:tabs>
            <w:rPr/>
          </w:pPr>
          <w:hyperlink w:anchor="__RefHeading___Toc5767331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767333_3224264995">
            <w:r>
              <w:rPr>
                <w:webHidden/>
                <w:rStyle w:val="IndexLink"/>
                <w:rtl w:val="true"/>
              </w:rPr>
              <w:t>توضیح هذا الاستصحاب</w:t>
            </w:r>
            <w:r>
              <w:rPr>
                <w:rStyle w:val="IndexLink"/>
                <w:rtl w:val="true"/>
              </w:rPr>
              <w:t>:</w:t>
              <w:tab/>
            </w:r>
            <w:r>
              <w:rPr>
                <w:rStyle w:val="IndexLink"/>
              </w:rPr>
              <w:t>239</w:t>
            </w:r>
          </w:hyperlink>
        </w:p>
        <w:p>
          <w:pPr>
            <w:pStyle w:val="Contents5"/>
            <w:tabs>
              <w:tab w:val="clear" w:pos="7892"/>
              <w:tab w:val="right" w:pos="9026" w:leader="dot"/>
            </w:tabs>
            <w:rPr/>
          </w:pPr>
          <w:hyperlink w:anchor="__RefHeading___Toc5767335_3224264995">
            <w:r>
              <w:rPr>
                <w:webHidden/>
                <w:rStyle w:val="IndexLink"/>
                <w:rtl w:val="true"/>
              </w:rPr>
              <w:t>کلام صاحب المناهل فی عدم جریان الاستصحاب التعلیقی</w:t>
            </w:r>
            <w:r>
              <w:rPr>
                <w:rStyle w:val="IndexLink"/>
                <w:rtl w:val="true"/>
              </w:rPr>
              <w:t>:</w:t>
              <w:tab/>
            </w:r>
            <w:r>
              <w:rPr>
                <w:rStyle w:val="IndexLink"/>
              </w:rPr>
              <w:t>240</w:t>
            </w:r>
          </w:hyperlink>
        </w:p>
        <w:p>
          <w:pPr>
            <w:pStyle w:val="Contents6"/>
            <w:tabs>
              <w:tab w:val="clear" w:pos="7609"/>
              <w:tab w:val="right" w:pos="9026" w:leader="dot"/>
            </w:tabs>
            <w:rPr/>
          </w:pPr>
          <w:hyperlink w:anchor="__RefHeading___Toc5767337_3224264995">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767339_3224264995">
            <w:r>
              <w:rPr>
                <w:webHidden/>
                <w:rStyle w:val="IndexLink"/>
                <w:rtl w:val="true"/>
              </w:rPr>
              <w:t>المناقشة فی ما أفاده صاحب المناهل</w:t>
            </w:r>
            <w:r>
              <w:rPr>
                <w:rStyle w:val="IndexLink"/>
                <w:rtl w:val="true"/>
              </w:rPr>
              <w:t>:</w:t>
              <w:tab/>
            </w:r>
            <w:r>
              <w:rPr>
                <w:rStyle w:val="IndexLink"/>
              </w:rPr>
              <w:t>240</w:t>
            </w:r>
          </w:hyperlink>
        </w:p>
        <w:p>
          <w:pPr>
            <w:pStyle w:val="Contents5"/>
            <w:tabs>
              <w:tab w:val="clear" w:pos="7892"/>
              <w:tab w:val="right" w:pos="9026" w:leader="dot"/>
            </w:tabs>
            <w:rPr/>
          </w:pPr>
          <w:hyperlink w:anchor="__RefHeading___Toc5767341_3224264995">
            <w:r>
              <w:rPr>
                <w:webHidden/>
                <w:rStyle w:val="IndexLink"/>
                <w:rtl w:val="true"/>
              </w:rPr>
              <w:t>بعض المناقشات فی الاستصحاب التعلیقی و دفعها</w:t>
            </w:r>
            <w:r>
              <w:rPr>
                <w:rStyle w:val="IndexLink"/>
                <w:rtl w:val="true"/>
              </w:rPr>
              <w:t>:</w:t>
              <w:tab/>
            </w:r>
            <w:r>
              <w:rPr>
                <w:rStyle w:val="IndexLink"/>
              </w:rPr>
              <w:t>241</w:t>
            </w:r>
          </w:hyperlink>
        </w:p>
        <w:p>
          <w:pPr>
            <w:pStyle w:val="Contents5"/>
            <w:tabs>
              <w:tab w:val="clear" w:pos="7892"/>
              <w:tab w:val="right" w:pos="9026" w:leader="dot"/>
            </w:tabs>
            <w:rPr/>
          </w:pPr>
          <w:hyperlink w:anchor="__RefHeading___Toc5767343_3224264995">
            <w:r>
              <w:rPr>
                <w:webHidden/>
                <w:rStyle w:val="IndexLink"/>
                <w:rtl w:val="true"/>
              </w:rPr>
              <w:t>مختار المصنّف فی المسألة</w:t>
            </w:r>
            <w:r>
              <w:rPr>
                <w:rStyle w:val="IndexLink"/>
                <w:rtl w:val="true"/>
              </w:rPr>
              <w:t>:</w:t>
              <w:tab/>
            </w:r>
            <w:r>
              <w:rPr>
                <w:rStyle w:val="IndexLink"/>
              </w:rPr>
              <w:t>241</w:t>
            </w:r>
          </w:hyperlink>
        </w:p>
        <w:p>
          <w:pPr>
            <w:pStyle w:val="Contents4"/>
            <w:tabs>
              <w:tab w:val="clear" w:pos="8176"/>
              <w:tab w:val="right" w:pos="9026" w:leader="dot"/>
            </w:tabs>
            <w:rPr/>
          </w:pPr>
          <w:hyperlink w:anchor="__RefHeading___Toc5767345_3224264995">
            <w:r>
              <w:rPr>
                <w:webHidden/>
                <w:rStyle w:val="IndexLink"/>
                <w:rtl w:val="true"/>
              </w:rPr>
              <w:t xml:space="preserve">الأمر الخامس </w:t>
            </w:r>
            <w:r>
              <w:rPr>
                <w:rStyle w:val="IndexLink"/>
                <w:rtl w:val="true"/>
              </w:rPr>
              <w:t>:</w:t>
            </w:r>
            <w:r>
              <w:rPr>
                <w:rStyle w:val="IndexLink"/>
                <w:rtl w:val="true"/>
              </w:rPr>
              <w:t>استصحاب أحکام الشرائع السابقة</w:t>
            </w:r>
            <w:r>
              <w:rPr>
                <w:rStyle w:val="IndexLink"/>
                <w:rtl w:val="true"/>
              </w:rPr>
              <w:tab/>
            </w:r>
            <w:r>
              <w:rPr>
                <w:rStyle w:val="IndexLink"/>
              </w:rPr>
              <w:t>243</w:t>
            </w:r>
          </w:hyperlink>
        </w:p>
        <w:p>
          <w:pPr>
            <w:pStyle w:val="Contents5"/>
            <w:tabs>
              <w:tab w:val="clear" w:pos="7892"/>
              <w:tab w:val="right" w:pos="9026" w:leader="dot"/>
            </w:tabs>
            <w:rPr/>
          </w:pPr>
          <w:hyperlink w:anchor="__RefHeading___Toc5767347_3224264995">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5767349_3224264995">
            <w:r>
              <w:rPr>
                <w:webHidden/>
                <w:rStyle w:val="IndexLink"/>
                <w:rtl w:val="true"/>
              </w:rPr>
              <w:t>ما ذکره صاحب الفصول فی وجه المنع عن هذا الاستصحاب</w:t>
            </w:r>
            <w:r>
              <w:rPr>
                <w:rStyle w:val="IndexLink"/>
                <w:rtl w:val="true"/>
              </w:rPr>
              <w:t>:</w:t>
              <w:tab/>
            </w:r>
            <w:r>
              <w:rPr>
                <w:rStyle w:val="IndexLink"/>
              </w:rPr>
              <w:t>243</w:t>
            </w:r>
          </w:hyperlink>
        </w:p>
        <w:p>
          <w:pPr>
            <w:pStyle w:val="Contents6"/>
            <w:tabs>
              <w:tab w:val="clear" w:pos="7609"/>
              <w:tab w:val="right" w:pos="9026" w:leader="dot"/>
            </w:tabs>
            <w:rPr/>
          </w:pPr>
          <w:hyperlink w:anchor="__RefHeading___Toc5767351_3224264995">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5767353_3224264995">
            <w:r>
              <w:rPr>
                <w:webHidden/>
                <w:rStyle w:val="IndexLink"/>
                <w:rtl w:val="true"/>
              </w:rPr>
              <w:t>المناقشة فی ما أفاده صاحب الفصول</w:t>
            </w:r>
            <w:r>
              <w:rPr>
                <w:rStyle w:val="IndexLink"/>
                <w:rtl w:val="true"/>
              </w:rPr>
              <w:t>:</w:t>
              <w:tab/>
            </w:r>
            <w:r>
              <w:rPr>
                <w:rStyle w:val="IndexLink"/>
              </w:rPr>
              <w:t>243</w:t>
            </w:r>
          </w:hyperlink>
        </w:p>
        <w:p>
          <w:pPr>
            <w:pStyle w:val="Contents5"/>
            <w:tabs>
              <w:tab w:val="clear" w:pos="7892"/>
              <w:tab w:val="right" w:pos="9026" w:leader="dot"/>
            </w:tabs>
            <w:rPr/>
          </w:pPr>
          <w:hyperlink w:anchor="__RefHeading___Toc5767355_3224264995">
            <w:r>
              <w:rPr>
                <w:webHidden/>
                <w:rStyle w:val="IndexLink"/>
                <w:rtl w:val="true"/>
              </w:rPr>
              <w:t>وجه آخر للمنع و دفعه</w:t>
            </w:r>
            <w:r>
              <w:rPr>
                <w:rStyle w:val="IndexLink"/>
                <w:rtl w:val="true"/>
              </w:rPr>
              <w:t>:</w:t>
              <w:tab/>
            </w:r>
            <w:r>
              <w:rPr>
                <w:rStyle w:val="IndexLink"/>
              </w:rPr>
              <w:t>245</w:t>
            </w:r>
          </w:hyperlink>
        </w:p>
        <w:p>
          <w:pPr>
            <w:pStyle w:val="Contents5"/>
            <w:tabs>
              <w:tab w:val="clear" w:pos="7892"/>
              <w:tab w:val="right" w:pos="9026" w:leader="dot"/>
            </w:tabs>
            <w:rPr/>
          </w:pPr>
          <w:hyperlink w:anchor="__RefHeading___Toc5767357_3224264995">
            <w:r>
              <w:rPr>
                <w:webHidden/>
                <w:rStyle w:val="IndexLink"/>
                <w:rtl w:val="true"/>
              </w:rPr>
              <w:t>ما ذکره المحقّق القمّی فی وجه المنع</w:t>
            </w:r>
            <w:r>
              <w:rPr>
                <w:rStyle w:val="IndexLink"/>
                <w:rtl w:val="true"/>
              </w:rPr>
              <w:t>:</w:t>
              <w:tab/>
            </w:r>
            <w:r>
              <w:rPr>
                <w:rStyle w:val="IndexLink"/>
              </w:rPr>
              <w:t>246</w:t>
            </w:r>
          </w:hyperlink>
        </w:p>
        <w:p>
          <w:pPr>
            <w:pStyle w:val="Contents6"/>
            <w:tabs>
              <w:tab w:val="clear" w:pos="7609"/>
              <w:tab w:val="right" w:pos="9026" w:leader="dot"/>
            </w:tabs>
            <w:rPr/>
          </w:pPr>
          <w:hyperlink w:anchor="__RefHeading___Toc5767359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767361_3224264995">
            <w:r>
              <w:rPr>
                <w:webHidden/>
                <w:rStyle w:val="IndexLink"/>
                <w:rtl w:val="true"/>
              </w:rPr>
              <w:t>الجواب عمّا ذکره المحقّق القمّی</w:t>
            </w:r>
            <w:r>
              <w:rPr>
                <w:rStyle w:val="IndexLink"/>
                <w:rtl w:val="true"/>
              </w:rPr>
              <w:t>:</w:t>
              <w:tab/>
            </w:r>
            <w:r>
              <w:rPr>
                <w:rStyle w:val="IndexLink"/>
              </w:rPr>
              <w:t>246</w:t>
            </w:r>
          </w:hyperlink>
        </w:p>
        <w:p>
          <w:pPr>
            <w:pStyle w:val="Contents5"/>
            <w:tabs>
              <w:tab w:val="clear" w:pos="7892"/>
              <w:tab w:val="right" w:pos="9026" w:leader="dot"/>
            </w:tabs>
            <w:rPr/>
          </w:pPr>
          <w:hyperlink w:anchor="__RefHeading___Toc5767363_3224264995">
            <w:r>
              <w:rPr>
                <w:webHidden/>
                <w:rStyle w:val="IndexLink"/>
                <w:rtl w:val="true"/>
              </w:rPr>
              <w:t>الثمرات المذکورة لهذه المسألة و مناقشتها</w:t>
            </w:r>
            <w:r>
              <w:rPr>
                <w:rStyle w:val="IndexLink"/>
                <w:rtl w:val="true"/>
              </w:rPr>
              <w:t>:</w:t>
              <w:tab/>
            </w:r>
            <w:r>
              <w:rPr>
                <w:rStyle w:val="IndexLink"/>
              </w:rPr>
              <w:t>247</w:t>
            </w:r>
          </w:hyperlink>
        </w:p>
        <w:p>
          <w:pPr>
            <w:pStyle w:val="Contents6"/>
            <w:tabs>
              <w:tab w:val="clear" w:pos="7609"/>
              <w:tab w:val="right" w:pos="9026" w:leader="dot"/>
            </w:tabs>
            <w:rPr/>
          </w:pPr>
          <w:hyperlink w:anchor="__RefHeading___Toc5767365_3224264995">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5767367_3224264995">
            <w:r>
              <w:rPr>
                <w:webHidden/>
                <w:rStyle w:val="IndexLink"/>
                <w:rtl w:val="true"/>
              </w:rPr>
              <w:t>الثمرة الأولی</w:t>
            </w:r>
            <w:r>
              <w:rPr>
                <w:rStyle w:val="IndexLink"/>
                <w:rtl w:val="true"/>
              </w:rPr>
              <w:t>:</w:t>
              <w:tab/>
            </w:r>
            <w:r>
              <w:rPr>
                <w:rStyle w:val="IndexLink"/>
              </w:rPr>
              <w:t>247</w:t>
            </w:r>
          </w:hyperlink>
        </w:p>
        <w:p>
          <w:pPr>
            <w:pStyle w:val="Contents6"/>
            <w:tabs>
              <w:tab w:val="clear" w:pos="7609"/>
              <w:tab w:val="right" w:pos="9026" w:leader="dot"/>
            </w:tabs>
            <w:rPr/>
          </w:pPr>
          <w:hyperlink w:anchor="__RefHeading___Toc5767369_3224264995">
            <w:r>
              <w:rPr>
                <w:webHidden/>
                <w:rStyle w:val="IndexLink"/>
                <w:rtl w:val="true"/>
              </w:rPr>
              <w:t>الثمرة الثانیة</w:t>
            </w:r>
            <w:r>
              <w:rPr>
                <w:rStyle w:val="IndexLink"/>
                <w:rtl w:val="true"/>
              </w:rPr>
              <w:t>:</w:t>
              <w:tab/>
            </w:r>
            <w:r>
              <w:rPr>
                <w:rStyle w:val="IndexLink"/>
              </w:rPr>
              <w:t>248</w:t>
            </w:r>
          </w:hyperlink>
        </w:p>
        <w:p>
          <w:pPr>
            <w:pStyle w:val="Contents6"/>
            <w:tabs>
              <w:tab w:val="clear" w:pos="7609"/>
              <w:tab w:val="right" w:pos="9026" w:leader="dot"/>
            </w:tabs>
            <w:rPr/>
          </w:pPr>
          <w:hyperlink w:anchor="__RefHeading___Toc5767371_3224264995">
            <w:r>
              <w:rPr>
                <w:webHidden/>
                <w:rStyle w:val="IndexLink"/>
                <w:rtl w:val="true"/>
              </w:rPr>
              <w:t>الثمرة الثالثة</w:t>
            </w:r>
            <w:r>
              <w:rPr>
                <w:rStyle w:val="IndexLink"/>
                <w:rtl w:val="true"/>
              </w:rPr>
              <w:t>:</w:t>
              <w:tab/>
            </w:r>
            <w:r>
              <w:rPr>
                <w:rStyle w:val="IndexLink"/>
              </w:rPr>
              <w:t>249</w:t>
            </w:r>
          </w:hyperlink>
        </w:p>
        <w:p>
          <w:pPr>
            <w:pStyle w:val="Contents6"/>
            <w:tabs>
              <w:tab w:val="clear" w:pos="7609"/>
              <w:tab w:val="right" w:pos="9026" w:leader="dot"/>
            </w:tabs>
            <w:rPr/>
          </w:pPr>
          <w:hyperlink w:anchor="__RefHeading___Toc5767373_3224264995">
            <w:r>
              <w:rPr>
                <w:webHidden/>
                <w:rStyle w:val="IndexLink"/>
                <w:rtl w:val="true"/>
              </w:rPr>
              <w:t>الثمرة الرابعة</w:t>
            </w:r>
            <w:r>
              <w:rPr>
                <w:rStyle w:val="IndexLink"/>
                <w:rtl w:val="true"/>
              </w:rPr>
              <w:t>:</w:t>
              <w:tab/>
            </w:r>
            <w:r>
              <w:rPr>
                <w:rStyle w:val="IndexLink"/>
              </w:rPr>
              <w:t>249</w:t>
            </w:r>
          </w:hyperlink>
        </w:p>
        <w:p>
          <w:pPr>
            <w:pStyle w:val="Contents6"/>
            <w:tabs>
              <w:tab w:val="clear" w:pos="7609"/>
              <w:tab w:val="right" w:pos="9026" w:leader="dot"/>
            </w:tabs>
            <w:rPr/>
          </w:pPr>
          <w:hyperlink w:anchor="__RefHeading___Toc5767375_3224264995">
            <w:r>
              <w:rPr>
                <w:webHidden/>
                <w:rStyle w:val="IndexLink"/>
                <w:rtl w:val="true"/>
              </w:rPr>
              <w:t>الثمرة الخامسة</w:t>
            </w:r>
            <w:r>
              <w:rPr>
                <w:rStyle w:val="IndexLink"/>
                <w:rtl w:val="true"/>
              </w:rPr>
              <w:t>:</w:t>
              <w:tab/>
            </w:r>
            <w:r>
              <w:rPr>
                <w:rStyle w:val="IndexLink"/>
              </w:rPr>
              <w:t>249</w:t>
            </w:r>
          </w:hyperlink>
        </w:p>
        <w:p>
          <w:pPr>
            <w:pStyle w:val="Contents6"/>
            <w:tabs>
              <w:tab w:val="clear" w:pos="7609"/>
              <w:tab w:val="right" w:pos="9026" w:leader="dot"/>
            </w:tabs>
            <w:rPr/>
          </w:pPr>
          <w:hyperlink w:anchor="__RefHeading___Toc5767377_3224264995">
            <w:r>
              <w:rPr>
                <w:webHidden/>
                <w:rStyle w:val="IndexLink"/>
                <w:rtl w:val="true"/>
              </w:rPr>
              <w:t>الثمرة السادسة</w:t>
            </w:r>
            <w:r>
              <w:rPr>
                <w:rStyle w:val="IndexLink"/>
                <w:rtl w:val="true"/>
              </w:rPr>
              <w:t>:</w:t>
              <w:tab/>
            </w:r>
            <w:r>
              <w:rPr>
                <w:rStyle w:val="IndexLink"/>
              </w:rPr>
              <w:t>250</w:t>
            </w:r>
          </w:hyperlink>
        </w:p>
        <w:p>
          <w:pPr>
            <w:pStyle w:val="Contents4"/>
            <w:tabs>
              <w:tab w:val="clear" w:pos="8176"/>
              <w:tab w:val="right" w:pos="9026" w:leader="dot"/>
            </w:tabs>
            <w:rPr/>
          </w:pPr>
          <w:hyperlink w:anchor="__RefHeading___Toc5767379_3224264995">
            <w:r>
              <w:rPr>
                <w:webHidden/>
                <w:rStyle w:val="IndexLink"/>
                <w:rtl w:val="true"/>
              </w:rPr>
              <w:t xml:space="preserve">الأمر السادس </w:t>
            </w:r>
            <w:r>
              <w:rPr>
                <w:rStyle w:val="IndexLink"/>
                <w:rtl w:val="true"/>
              </w:rPr>
              <w:t>:</w:t>
            </w:r>
            <w:r>
              <w:rPr>
                <w:rStyle w:val="IndexLink"/>
                <w:rtl w:val="true"/>
              </w:rPr>
              <w:t>عدم ترتّب الآثار غیر الشرعیّة علی الاستصحاب و الدلیل علیه</w:t>
            </w:r>
            <w:r>
              <w:rPr>
                <w:rStyle w:val="IndexLink"/>
                <w:rtl w:val="true"/>
              </w:rPr>
              <w:tab/>
            </w:r>
            <w:r>
              <w:rPr>
                <w:rStyle w:val="IndexLink"/>
              </w:rPr>
              <w:t>251</w:t>
            </w:r>
          </w:hyperlink>
        </w:p>
        <w:p>
          <w:pPr>
            <w:pStyle w:val="Contents5"/>
            <w:tabs>
              <w:tab w:val="clear" w:pos="7892"/>
              <w:tab w:val="right" w:pos="9026" w:leader="dot"/>
            </w:tabs>
            <w:rPr/>
          </w:pPr>
          <w:hyperlink w:anchor="__RefHeading___Toc5767381_322426499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5767383_3224264995">
            <w:r>
              <w:rPr>
                <w:webHidden/>
                <w:rStyle w:val="IndexLink"/>
                <w:rtl w:val="true"/>
              </w:rPr>
              <w:t>المراد من نفی الاصول المثبتة</w:t>
            </w:r>
            <w:r>
              <w:rPr>
                <w:rStyle w:val="IndexLink"/>
                <w:rtl w:val="true"/>
              </w:rPr>
              <w:t>:</w:t>
              <w:tab/>
            </w:r>
            <w:r>
              <w:rPr>
                <w:rStyle w:val="IndexLink"/>
              </w:rPr>
              <w:t>252</w:t>
            </w:r>
          </w:hyperlink>
        </w:p>
        <w:p>
          <w:pPr>
            <w:pStyle w:val="Contents5"/>
            <w:tabs>
              <w:tab w:val="clear" w:pos="7892"/>
              <w:tab w:val="right" w:pos="9026" w:leader="dot"/>
            </w:tabs>
            <w:rPr/>
          </w:pPr>
          <w:hyperlink w:anchor="__RefHeading___Toc5767385_3224264995">
            <w:r>
              <w:rPr>
                <w:webHidden/>
                <w:rStyle w:val="IndexLink"/>
                <w:rtl w:val="true"/>
              </w:rPr>
              <w:t>عدم ترتّب الآثار و اللوازم غیر الشرعیّة مطلقا</w:t>
            </w:r>
            <w:r>
              <w:rPr>
                <w:rStyle w:val="IndexLink"/>
                <w:rtl w:val="true"/>
              </w:rPr>
              <w:t>:</w:t>
              <w:tab/>
            </w:r>
            <w:r>
              <w:rPr>
                <w:rStyle w:val="IndexLink"/>
              </w:rPr>
              <w:t>253</w:t>
            </w:r>
          </w:hyperlink>
        </w:p>
        <w:p>
          <w:pPr>
            <w:pStyle w:val="Contents5"/>
            <w:tabs>
              <w:tab w:val="clear" w:pos="7892"/>
              <w:tab w:val="right" w:pos="9026" w:leader="dot"/>
            </w:tabs>
            <w:rPr/>
          </w:pPr>
          <w:hyperlink w:anchor="__RefHeading___Toc5767387_3224264995">
            <w:r>
              <w:rPr>
                <w:webHidden/>
                <w:rStyle w:val="IndexLink"/>
                <w:rtl w:val="true"/>
              </w:rPr>
              <w:t>ما استدلّ به صاحب الفصول علی عدم حجّیة الأصل المثبت</w:t>
            </w:r>
            <w:r>
              <w:rPr>
                <w:rStyle w:val="IndexLink"/>
                <w:rtl w:val="true"/>
              </w:rPr>
              <w:t>:</w:t>
              <w:tab/>
            </w:r>
            <w:r>
              <w:rPr>
                <w:rStyle w:val="IndexLink"/>
              </w:rPr>
              <w:t>254</w:t>
            </w:r>
          </w:hyperlink>
        </w:p>
        <w:p>
          <w:pPr>
            <w:pStyle w:val="Contents6"/>
            <w:tabs>
              <w:tab w:val="clear" w:pos="7609"/>
              <w:tab w:val="right" w:pos="9026" w:leader="dot"/>
            </w:tabs>
            <w:rPr/>
          </w:pPr>
          <w:hyperlink w:anchor="__RefHeading___Toc5767389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767391_3224264995">
            <w:r>
              <w:rPr>
                <w:webHidden/>
                <w:rStyle w:val="IndexLink"/>
                <w:rtl w:val="true"/>
              </w:rPr>
              <w:t>المناقشة فی ما أفاده صاحب الفصول</w:t>
            </w:r>
            <w:r>
              <w:rPr>
                <w:rStyle w:val="IndexLink"/>
                <w:rtl w:val="true"/>
              </w:rPr>
              <w:t>:</w:t>
              <w:tab/>
            </w:r>
            <w:r>
              <w:rPr>
                <w:rStyle w:val="IndexLink"/>
              </w:rPr>
              <w:t>255</w:t>
            </w:r>
          </w:hyperlink>
        </w:p>
        <w:p>
          <w:pPr>
            <w:pStyle w:val="Contents5"/>
            <w:tabs>
              <w:tab w:val="clear" w:pos="7892"/>
              <w:tab w:val="right" w:pos="9026" w:leader="dot"/>
            </w:tabs>
            <w:rPr/>
          </w:pPr>
          <w:hyperlink w:anchor="__RefHeading___Toc5767393_3224264995">
            <w:r>
              <w:rPr>
                <w:webHidden/>
                <w:rStyle w:val="IndexLink"/>
                <w:rtl w:val="true"/>
              </w:rPr>
              <w:t>وجوب الالتزام بالاصول المثبتة بناء علی اعتبار الاستصحاب من باب الظنّ</w:t>
            </w:r>
            <w:r>
              <w:rPr>
                <w:rStyle w:val="IndexLink"/>
                <w:rtl w:val="true"/>
              </w:rPr>
              <w:t>:</w:t>
              <w:tab/>
            </w:r>
            <w:r>
              <w:rPr>
                <w:rStyle w:val="IndexLink"/>
              </w:rPr>
              <w:t>256</w:t>
            </w:r>
          </w:hyperlink>
        </w:p>
        <w:p>
          <w:pPr>
            <w:pStyle w:val="Contents5"/>
            <w:tabs>
              <w:tab w:val="clear" w:pos="7892"/>
              <w:tab w:val="right" w:pos="9026" w:leader="dot"/>
            </w:tabs>
            <w:rPr/>
          </w:pPr>
          <w:hyperlink w:anchor="__RefHeading___Toc5767395_3224264995">
            <w:r>
              <w:rPr>
                <w:webHidden/>
                <w:rStyle w:val="IndexLink"/>
                <w:rtl w:val="true"/>
              </w:rPr>
              <w:t>فروع تمسّکوا فیها بالاصول المثبتة</w:t>
            </w:r>
            <w:r>
              <w:rPr>
                <w:rStyle w:val="IndexLink"/>
                <w:rtl w:val="true"/>
              </w:rPr>
              <w:t>:</w:t>
              <w:tab/>
            </w:r>
            <w:r>
              <w:rPr>
                <w:rStyle w:val="IndexLink"/>
              </w:rPr>
              <w:t>256</w:t>
            </w:r>
          </w:hyperlink>
        </w:p>
        <w:p>
          <w:pPr>
            <w:pStyle w:val="Contents6"/>
            <w:tabs>
              <w:tab w:val="clear" w:pos="7609"/>
              <w:tab w:val="right" w:pos="9026" w:leader="dot"/>
            </w:tabs>
            <w:rPr/>
          </w:pPr>
          <w:hyperlink w:anchor="__RefHeading___Toc5767397_3224264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767399_3224264995">
            <w:r>
              <w:rPr>
                <w:webHidden/>
                <w:rStyle w:val="IndexLink"/>
                <w:rtl w:val="true"/>
              </w:rPr>
              <w:t>الفرع الأول</w:t>
            </w:r>
            <w:r>
              <w:rPr>
                <w:rStyle w:val="IndexLink"/>
                <w:rtl w:val="true"/>
              </w:rPr>
              <w:t>:</w:t>
              <w:tab/>
            </w:r>
            <w:r>
              <w:rPr>
                <w:rStyle w:val="IndexLink"/>
              </w:rPr>
              <w:t>257</w:t>
            </w:r>
          </w:hyperlink>
        </w:p>
        <w:p>
          <w:pPr>
            <w:pStyle w:val="Contents6"/>
            <w:tabs>
              <w:tab w:val="clear" w:pos="7609"/>
              <w:tab w:val="right" w:pos="9026" w:leader="dot"/>
            </w:tabs>
            <w:rPr/>
          </w:pPr>
          <w:hyperlink w:anchor="__RefHeading___Toc5767401_3224264995">
            <w:r>
              <w:rPr>
                <w:webHidden/>
                <w:rStyle w:val="IndexLink"/>
                <w:rtl w:val="true"/>
              </w:rPr>
              <w:t>الفرع الثانی</w:t>
            </w:r>
            <w:r>
              <w:rPr>
                <w:rStyle w:val="IndexLink"/>
                <w:rtl w:val="true"/>
              </w:rPr>
              <w:t>:</w:t>
              <w:tab/>
            </w:r>
            <w:r>
              <w:rPr>
                <w:rStyle w:val="IndexLink"/>
              </w:rPr>
              <w:t>257</w:t>
            </w:r>
          </w:hyperlink>
        </w:p>
        <w:p>
          <w:pPr>
            <w:pStyle w:val="Contents6"/>
            <w:tabs>
              <w:tab w:val="clear" w:pos="7609"/>
              <w:tab w:val="right" w:pos="9026" w:leader="dot"/>
            </w:tabs>
            <w:rPr/>
          </w:pPr>
          <w:hyperlink w:anchor="__RefHeading___Toc5767403_3224264995">
            <w:r>
              <w:rPr>
                <w:webHidden/>
                <w:rStyle w:val="IndexLink"/>
                <w:rtl w:val="true"/>
              </w:rPr>
              <w:t>الفرع الثالث</w:t>
            </w:r>
            <w:r>
              <w:rPr>
                <w:rStyle w:val="IndexLink"/>
                <w:rtl w:val="true"/>
              </w:rPr>
              <w:t>:</w:t>
              <w:tab/>
            </w:r>
            <w:r>
              <w:rPr>
                <w:rStyle w:val="IndexLink"/>
              </w:rPr>
              <w:t>258</w:t>
            </w:r>
          </w:hyperlink>
        </w:p>
        <w:p>
          <w:pPr>
            <w:pStyle w:val="Contents6"/>
            <w:tabs>
              <w:tab w:val="clear" w:pos="7609"/>
              <w:tab w:val="right" w:pos="9026" w:leader="dot"/>
            </w:tabs>
            <w:rPr/>
          </w:pPr>
          <w:hyperlink w:anchor="__RefHeading___Toc5767405_3224264995">
            <w:r>
              <w:rPr>
                <w:webHidden/>
                <w:rStyle w:val="IndexLink"/>
                <w:rtl w:val="true"/>
              </w:rPr>
              <w:t>الفرع الرابع</w:t>
            </w:r>
            <w:r>
              <w:rPr>
                <w:rStyle w:val="IndexLink"/>
                <w:rtl w:val="true"/>
              </w:rPr>
              <w:t>:</w:t>
              <w:tab/>
            </w:r>
            <w:r>
              <w:rPr>
                <w:rStyle w:val="IndexLink"/>
              </w:rPr>
              <w:t>259</w:t>
            </w:r>
          </w:hyperlink>
        </w:p>
        <w:p>
          <w:pPr>
            <w:pStyle w:val="Contents6"/>
            <w:tabs>
              <w:tab w:val="clear" w:pos="7609"/>
              <w:tab w:val="right" w:pos="9026" w:leader="dot"/>
            </w:tabs>
            <w:rPr/>
          </w:pPr>
          <w:hyperlink w:anchor="__RefHeading___Toc5767407_3224264995">
            <w:r>
              <w:rPr>
                <w:webHidden/>
                <w:rStyle w:val="IndexLink"/>
                <w:rtl w:val="true"/>
              </w:rPr>
              <w:t>الفرع الخامس</w:t>
            </w:r>
            <w:r>
              <w:rPr>
                <w:rStyle w:val="IndexLink"/>
                <w:rtl w:val="true"/>
              </w:rPr>
              <w:t>:</w:t>
              <w:tab/>
            </w:r>
            <w:r>
              <w:rPr>
                <w:rStyle w:val="IndexLink"/>
              </w:rPr>
              <w:t>260</w:t>
            </w:r>
          </w:hyperlink>
        </w:p>
        <w:p>
          <w:pPr>
            <w:pStyle w:val="Contents5"/>
            <w:tabs>
              <w:tab w:val="clear" w:pos="7892"/>
              <w:tab w:val="right" w:pos="9026" w:leader="dot"/>
            </w:tabs>
            <w:rPr/>
          </w:pPr>
          <w:hyperlink w:anchor="__RefHeading___Toc5767409_3224264995">
            <w:r>
              <w:rPr>
                <w:webHidden/>
                <w:rStyle w:val="IndexLink"/>
                <w:rtl w:val="true"/>
              </w:rPr>
              <w:t>عدم عمل الأصحاب بکلّ أصل مثبت</w:t>
            </w:r>
            <w:r>
              <w:rPr>
                <w:rStyle w:val="IndexLink"/>
                <w:rtl w:val="true"/>
              </w:rPr>
              <w:t>:</w:t>
              <w:tab/>
            </w:r>
            <w:r>
              <w:rPr>
                <w:rStyle w:val="IndexLink"/>
              </w:rPr>
              <w:t>260</w:t>
            </w:r>
          </w:hyperlink>
        </w:p>
        <w:p>
          <w:pPr>
            <w:pStyle w:val="Contents5"/>
            <w:tabs>
              <w:tab w:val="clear" w:pos="7892"/>
              <w:tab w:val="right" w:pos="9026" w:leader="dot"/>
            </w:tabs>
            <w:rPr/>
          </w:pPr>
          <w:hyperlink w:anchor="__RefHeading___Toc5767411_3224264995">
            <w:r>
              <w:rPr>
                <w:webHidden/>
                <w:rStyle w:val="IndexLink"/>
                <w:rtl w:val="true"/>
              </w:rPr>
              <w:t>حجّیة الأصل المثبت مع خفاء الواسطة</w:t>
            </w:r>
            <w:r>
              <w:rPr>
                <w:rStyle w:val="IndexLink"/>
                <w:rtl w:val="true"/>
              </w:rPr>
              <w:t>:</w:t>
              <w:tab/>
            </w:r>
            <w:r>
              <w:rPr>
                <w:rStyle w:val="IndexLink"/>
              </w:rPr>
              <w:t>262</w:t>
            </w:r>
          </w:hyperlink>
        </w:p>
        <w:p>
          <w:pPr>
            <w:pStyle w:val="Contents6"/>
            <w:tabs>
              <w:tab w:val="clear" w:pos="7609"/>
              <w:tab w:val="right" w:pos="9026" w:leader="dot"/>
            </w:tabs>
            <w:rPr/>
          </w:pPr>
          <w:hyperlink w:anchor="__RefHeading___Toc5767413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767415_3224264995">
            <w:r>
              <w:rPr>
                <w:webHidden/>
                <w:rStyle w:val="IndexLink"/>
                <w:rtl w:val="true"/>
              </w:rPr>
              <w:t>نماذج من خفاء الواسطة</w:t>
            </w:r>
            <w:r>
              <w:rPr>
                <w:rStyle w:val="IndexLink"/>
                <w:rtl w:val="true"/>
              </w:rPr>
              <w:t>:</w:t>
              <w:tab/>
            </w:r>
            <w:r>
              <w:rPr>
                <w:rStyle w:val="IndexLink"/>
              </w:rPr>
              <w:t>262</w:t>
            </w:r>
          </w:hyperlink>
        </w:p>
        <w:p>
          <w:pPr>
            <w:pStyle w:val="Contents4"/>
            <w:tabs>
              <w:tab w:val="clear" w:pos="8176"/>
              <w:tab w:val="right" w:pos="9026" w:leader="dot"/>
            </w:tabs>
            <w:rPr/>
          </w:pPr>
          <w:hyperlink w:anchor="__RefHeading___Toc5767417_3224264995">
            <w:r>
              <w:rPr>
                <w:webHidden/>
                <w:rStyle w:val="IndexLink"/>
                <w:rtl w:val="true"/>
              </w:rPr>
              <w:t xml:space="preserve">الأمر السابع </w:t>
            </w:r>
            <w:r>
              <w:rPr>
                <w:rStyle w:val="IndexLink"/>
                <w:rtl w:val="true"/>
              </w:rPr>
              <w:t>:</w:t>
            </w:r>
            <w:r>
              <w:rPr>
                <w:rStyle w:val="IndexLink"/>
                <w:rtl w:val="true"/>
              </w:rPr>
              <w:t>هل تجری أصالة تأخّر الحادث؟</w:t>
            </w:r>
            <w:r>
              <w:rPr>
                <w:rStyle w:val="IndexLink"/>
                <w:rtl w:val="true"/>
              </w:rPr>
              <w:tab/>
            </w:r>
            <w:r>
              <w:rPr>
                <w:rStyle w:val="IndexLink"/>
              </w:rPr>
              <w:t>265</w:t>
            </w:r>
          </w:hyperlink>
        </w:p>
        <w:p>
          <w:pPr>
            <w:pStyle w:val="Contents5"/>
            <w:tabs>
              <w:tab w:val="clear" w:pos="7892"/>
              <w:tab w:val="right" w:pos="9026" w:leader="dot"/>
            </w:tabs>
            <w:rPr/>
          </w:pPr>
          <w:hyperlink w:anchor="__RefHeading___Toc5767419_3224264995">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767421_3224264995">
            <w:r>
              <w:rPr>
                <w:webHidden/>
                <w:rStyle w:val="IndexLink"/>
                <w:rtl w:val="true"/>
              </w:rPr>
              <w:t>صور تأخّر الحادث</w:t>
            </w:r>
            <w:r>
              <w:rPr>
                <w:rStyle w:val="IndexLink"/>
                <w:rtl w:val="true"/>
              </w:rPr>
              <w:t>:</w:t>
              <w:tab/>
            </w:r>
            <w:r>
              <w:rPr>
                <w:rStyle w:val="IndexLink"/>
              </w:rPr>
              <w:t>266</w:t>
            </w:r>
          </w:hyperlink>
        </w:p>
        <w:p>
          <w:pPr>
            <w:pStyle w:val="Contents6"/>
            <w:tabs>
              <w:tab w:val="clear" w:pos="7609"/>
              <w:tab w:val="right" w:pos="9026" w:leader="dot"/>
            </w:tabs>
            <w:rPr/>
          </w:pPr>
          <w:hyperlink w:anchor="__RefHeading___Toc5767423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5767425_3224264995">
            <w:r>
              <w:rPr>
                <w:webHidden/>
                <w:rStyle w:val="IndexLink"/>
              </w:rPr>
              <w:t>1</w:t>
            </w:r>
            <w:r>
              <w:rPr>
                <w:rStyle w:val="IndexLink"/>
                <w:rtl w:val="true"/>
              </w:rPr>
              <w:t>-</w:t>
            </w:r>
            <w:r>
              <w:rPr>
                <w:rStyle w:val="IndexLink"/>
                <w:rtl w:val="true"/>
              </w:rPr>
              <w:t>إذا لوحظ تأخّر الحادث بالقیاس إلی ما قبله من أجزاء الزمان</w:t>
            </w:r>
            <w:r>
              <w:rPr>
                <w:rStyle w:val="IndexLink"/>
                <w:rtl w:val="true"/>
              </w:rPr>
              <w:t>:</w:t>
              <w:tab/>
            </w:r>
            <w:r>
              <w:rPr>
                <w:rStyle w:val="IndexLink"/>
              </w:rPr>
              <w:t>266</w:t>
            </w:r>
          </w:hyperlink>
        </w:p>
        <w:p>
          <w:pPr>
            <w:pStyle w:val="Contents6"/>
            <w:tabs>
              <w:tab w:val="clear" w:pos="7609"/>
              <w:tab w:val="right" w:pos="9026" w:leader="dot"/>
            </w:tabs>
            <w:rPr/>
          </w:pPr>
          <w:hyperlink w:anchor="__RefHeading___Toc5767427_3224264995">
            <w:r>
              <w:rPr>
                <w:webHidden/>
                <w:rStyle w:val="IndexLink"/>
              </w:rPr>
              <w:t>2</w:t>
            </w:r>
            <w:r>
              <w:rPr>
                <w:rStyle w:val="IndexLink"/>
                <w:rtl w:val="true"/>
              </w:rPr>
              <w:t>-</w:t>
            </w:r>
            <w:r>
              <w:rPr>
                <w:rStyle w:val="IndexLink"/>
                <w:rtl w:val="true"/>
              </w:rPr>
              <w:t>إذا لوحظ بالقیاس إلی حادث آخر و جهل تأریخهما</w:t>
            </w:r>
            <w:r>
              <w:rPr>
                <w:rStyle w:val="IndexLink"/>
                <w:rtl w:val="true"/>
              </w:rPr>
              <w:t>:</w:t>
              <w:tab/>
            </w:r>
            <w:r>
              <w:rPr>
                <w:rStyle w:val="IndexLink"/>
              </w:rPr>
              <w:t>267</w:t>
            </w:r>
          </w:hyperlink>
        </w:p>
        <w:p>
          <w:pPr>
            <w:pStyle w:val="Contents6"/>
            <w:tabs>
              <w:tab w:val="clear" w:pos="7609"/>
              <w:tab w:val="right" w:pos="9026" w:leader="dot"/>
            </w:tabs>
            <w:rPr/>
          </w:pPr>
          <w:hyperlink w:anchor="__RefHeading___Toc5767429_3224264995">
            <w:r>
              <w:rPr>
                <w:webHidden/>
                <w:rStyle w:val="IndexLink"/>
                <w:rtl w:val="true"/>
              </w:rPr>
              <w:t>لو کان أحدهما معلوم التأریخ</w:t>
            </w:r>
            <w:r>
              <w:rPr>
                <w:rStyle w:val="IndexLink"/>
                <w:rtl w:val="true"/>
              </w:rPr>
              <w:t>:</w:t>
              <w:tab/>
            </w:r>
            <w:r>
              <w:rPr>
                <w:rStyle w:val="IndexLink"/>
              </w:rPr>
              <w:t>267</w:t>
            </w:r>
          </w:hyperlink>
        </w:p>
        <w:p>
          <w:pPr>
            <w:pStyle w:val="Contents6"/>
            <w:tabs>
              <w:tab w:val="clear" w:pos="7609"/>
              <w:tab w:val="right" w:pos="9026" w:leader="dot"/>
            </w:tabs>
            <w:rPr/>
          </w:pPr>
          <w:hyperlink w:anchor="__RefHeading___Toc5767431_3224264995">
            <w:r>
              <w:rPr>
                <w:webHidden/>
                <w:rStyle w:val="IndexLink"/>
                <w:rtl w:val="true"/>
              </w:rPr>
              <w:t>قولان آخران فی هذه الصورة</w:t>
            </w:r>
            <w:r>
              <w:rPr>
                <w:rStyle w:val="IndexLink"/>
                <w:rtl w:val="true"/>
              </w:rPr>
              <w:t>:</w:t>
              <w:tab/>
            </w:r>
            <w:r>
              <w:rPr>
                <w:rStyle w:val="IndexLink"/>
              </w:rPr>
              <w:t>268</w:t>
            </w:r>
          </w:hyperlink>
        </w:p>
        <w:p>
          <w:pPr>
            <w:pStyle w:val="Contents6"/>
            <w:tabs>
              <w:tab w:val="clear" w:pos="7609"/>
              <w:tab w:val="right" w:pos="9026" w:leader="dot"/>
            </w:tabs>
            <w:rPr/>
          </w:pPr>
          <w:hyperlink w:anchor="__RefHeading___Toc5767433_3224264995">
            <w:r>
              <w:rPr>
                <w:webHidden/>
                <w:rStyle w:val="IndexLink"/>
                <w:rtl w:val="true"/>
              </w:rPr>
              <w:t>أحدهما</w:t>
            </w:r>
            <w:r>
              <w:rPr>
                <w:rStyle w:val="IndexLink"/>
                <w:rtl w:val="true"/>
              </w:rPr>
              <w:t>:</w:t>
            </w:r>
            <w:r>
              <w:rPr>
                <w:rStyle w:val="IndexLink"/>
                <w:rtl w:val="true"/>
              </w:rPr>
              <w:t>جریان هذا الأصل فی طرف مجهول التأریخ</w:t>
            </w:r>
            <w:r>
              <w:rPr>
                <w:rStyle w:val="IndexLink"/>
                <w:rtl w:val="true"/>
              </w:rPr>
              <w:tab/>
            </w:r>
            <w:r>
              <w:rPr>
                <w:rStyle w:val="IndexLink"/>
              </w:rPr>
              <w:t>268</w:t>
            </w:r>
          </w:hyperlink>
        </w:p>
        <w:p>
          <w:pPr>
            <w:pStyle w:val="Contents6"/>
            <w:tabs>
              <w:tab w:val="clear" w:pos="7609"/>
              <w:tab w:val="right" w:pos="9026" w:leader="dot"/>
            </w:tabs>
            <w:rPr/>
          </w:pPr>
          <w:hyperlink w:anchor="__RefHeading___Toc5767435_3224264995">
            <w:r>
              <w:rPr>
                <w:webHidden/>
                <w:rStyle w:val="IndexLink"/>
                <w:rtl w:val="true"/>
              </w:rPr>
              <w:t>الثانی</w:t>
            </w:r>
            <w:r>
              <w:rPr>
                <w:rStyle w:val="IndexLink"/>
                <w:rtl w:val="true"/>
              </w:rPr>
              <w:t>:</w:t>
            </w:r>
            <w:r>
              <w:rPr>
                <w:rStyle w:val="IndexLink"/>
                <w:rtl w:val="true"/>
              </w:rPr>
              <w:t>عدم العمل بالأصل و إلحاق صورة جهل تأریخ أحدهما بصورة جهل تأریخهما</w:t>
            </w:r>
            <w:r>
              <w:rPr>
                <w:rStyle w:val="IndexLink"/>
                <w:rtl w:val="true"/>
              </w:rPr>
              <w:t>.</w:t>
              <w:tab/>
            </w:r>
            <w:r>
              <w:rPr>
                <w:rStyle w:val="IndexLink"/>
              </w:rPr>
              <w:t>270</w:t>
            </w:r>
          </w:hyperlink>
        </w:p>
        <w:p>
          <w:pPr>
            <w:pStyle w:val="Contents5"/>
            <w:tabs>
              <w:tab w:val="clear" w:pos="7892"/>
              <w:tab w:val="right" w:pos="9026" w:leader="dot"/>
            </w:tabs>
            <w:rPr/>
          </w:pPr>
          <w:hyperlink w:anchor="__RefHeading___Toc5767437_3224264995">
            <w:r>
              <w:rPr>
                <w:webHidden/>
                <w:rStyle w:val="IndexLink"/>
                <w:rtl w:val="true"/>
              </w:rPr>
              <w:t>صحّة الاستصحاب القهقری بناء علی الأصل المثبت</w:t>
            </w:r>
            <w:r>
              <w:rPr>
                <w:rStyle w:val="IndexLink"/>
                <w:rtl w:val="true"/>
              </w:rPr>
              <w:t>:</w:t>
              <w:tab/>
            </w:r>
            <w:r>
              <w:rPr>
                <w:rStyle w:val="IndexLink"/>
              </w:rPr>
              <w:t>272</w:t>
            </w:r>
          </w:hyperlink>
        </w:p>
        <w:p>
          <w:pPr>
            <w:pStyle w:val="Contents6"/>
            <w:tabs>
              <w:tab w:val="clear" w:pos="7609"/>
              <w:tab w:val="right" w:pos="9026" w:leader="dot"/>
            </w:tabs>
            <w:rPr/>
          </w:pPr>
          <w:hyperlink w:anchor="__RefHeading___Toc5767439_3224264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5767441_3224264995">
            <w:r>
              <w:rPr>
                <w:webHidden/>
                <w:rStyle w:val="IndexLink"/>
                <w:rtl w:val="true"/>
              </w:rPr>
              <w:t>الاتفاق علی هذا الاستصحاب فی الاصول اللفظیّة</w:t>
            </w:r>
            <w:r>
              <w:rPr>
                <w:rStyle w:val="IndexLink"/>
                <w:rtl w:val="true"/>
              </w:rPr>
              <w:t>:</w:t>
              <w:tab/>
            </w:r>
            <w:r>
              <w:rPr>
                <w:rStyle w:val="IndexLink"/>
              </w:rPr>
              <w:t>272</w:t>
            </w:r>
          </w:hyperlink>
        </w:p>
        <w:p>
          <w:pPr>
            <w:pStyle w:val="Contents4"/>
            <w:tabs>
              <w:tab w:val="clear" w:pos="8176"/>
              <w:tab w:val="right" w:pos="9026" w:leader="dot"/>
            </w:tabs>
            <w:rPr/>
          </w:pPr>
          <w:hyperlink w:anchor="__RefHeading___Toc5767443_3224264995">
            <w:r>
              <w:rPr>
                <w:webHidden/>
                <w:rStyle w:val="IndexLink"/>
                <w:rtl w:val="true"/>
              </w:rPr>
              <w:t xml:space="preserve">الأمر الثامن </w:t>
            </w:r>
            <w:r>
              <w:rPr>
                <w:rStyle w:val="IndexLink"/>
                <w:rtl w:val="true"/>
              </w:rPr>
              <w:t>:</w:t>
            </w:r>
            <w:r>
              <w:rPr>
                <w:rStyle w:val="IndexLink"/>
                <w:rtl w:val="true"/>
              </w:rPr>
              <w:t>هل یجری استصحاب صحّة العبادة عند الشکّ فی طروء مفسد؟</w:t>
            </w:r>
            <w:r>
              <w:rPr>
                <w:rStyle w:val="IndexLink"/>
                <w:rtl w:val="true"/>
              </w:rPr>
              <w:tab/>
            </w:r>
            <w:r>
              <w:rPr>
                <w:rStyle w:val="IndexLink"/>
              </w:rPr>
              <w:t>273</w:t>
            </w:r>
          </w:hyperlink>
        </w:p>
        <w:p>
          <w:pPr>
            <w:pStyle w:val="Contents5"/>
            <w:tabs>
              <w:tab w:val="clear" w:pos="7892"/>
              <w:tab w:val="right" w:pos="9026" w:leader="dot"/>
            </w:tabs>
            <w:rPr/>
          </w:pPr>
          <w:hyperlink w:anchor="__RefHeading___Toc5767445_3224264995">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767447_3224264995">
            <w:r>
              <w:rPr>
                <w:webHidden/>
                <w:rStyle w:val="IndexLink"/>
                <w:rtl w:val="true"/>
              </w:rPr>
              <w:t>مختار المصنّف التفصیل</w:t>
            </w:r>
            <w:r>
              <w:rPr>
                <w:rStyle w:val="IndexLink"/>
                <w:rtl w:val="true"/>
              </w:rPr>
              <w:t>:</w:t>
              <w:tab/>
            </w:r>
            <w:r>
              <w:rPr>
                <w:rStyle w:val="IndexLink"/>
              </w:rPr>
              <w:t>274</w:t>
            </w:r>
          </w:hyperlink>
        </w:p>
        <w:p>
          <w:pPr>
            <w:pStyle w:val="Contents5"/>
            <w:tabs>
              <w:tab w:val="clear" w:pos="7892"/>
              <w:tab w:val="right" w:pos="9026" w:leader="dot"/>
            </w:tabs>
            <w:rPr/>
          </w:pPr>
          <w:hyperlink w:anchor="__RefHeading___Toc5767449_3224264995">
            <w:r>
              <w:rPr>
                <w:webHidden/>
                <w:rStyle w:val="IndexLink"/>
                <w:rtl w:val="true"/>
              </w:rPr>
              <w:t>التمسّک فی مطلق الشکّ فی الفساد باستصحاب حرمة القطع و غیر ذلک و مناقشتها</w:t>
            </w:r>
            <w:r>
              <w:rPr>
                <w:rStyle w:val="IndexLink"/>
                <w:rtl w:val="true"/>
              </w:rPr>
              <w:t>:</w:t>
              <w:tab/>
            </w:r>
            <w:r>
              <w:rPr>
                <w:rStyle w:val="IndexLink"/>
              </w:rPr>
              <w:t>275</w:t>
            </w:r>
          </w:hyperlink>
        </w:p>
        <w:p>
          <w:pPr>
            <w:pStyle w:val="Contents4"/>
            <w:tabs>
              <w:tab w:val="clear" w:pos="8176"/>
              <w:tab w:val="right" w:pos="9026" w:leader="dot"/>
            </w:tabs>
            <w:rPr/>
          </w:pPr>
          <w:hyperlink w:anchor="__RefHeading___Toc5767451_3224264995">
            <w:r>
              <w:rPr>
                <w:webHidden/>
                <w:rStyle w:val="IndexLink"/>
                <w:rtl w:val="true"/>
              </w:rPr>
              <w:t xml:space="preserve">الأمر التاسع </w:t>
            </w:r>
            <w:r>
              <w:rPr>
                <w:rStyle w:val="IndexLink"/>
                <w:rtl w:val="true"/>
              </w:rPr>
              <w:t>:</w:t>
            </w:r>
            <w:r>
              <w:rPr>
                <w:rStyle w:val="IndexLink"/>
                <w:rtl w:val="true"/>
              </w:rPr>
              <w:t>عدم جریان الاستصحاب فی الامور الاعتقادیّة</w:t>
            </w:r>
            <w:r>
              <w:rPr>
                <w:rStyle w:val="IndexLink"/>
                <w:rtl w:val="true"/>
              </w:rPr>
              <w:tab/>
            </w:r>
            <w:r>
              <w:rPr>
                <w:rStyle w:val="IndexLink"/>
              </w:rPr>
              <w:t>277</w:t>
            </w:r>
          </w:hyperlink>
        </w:p>
        <w:p>
          <w:pPr>
            <w:pStyle w:val="Contents5"/>
            <w:tabs>
              <w:tab w:val="clear" w:pos="7892"/>
              <w:tab w:val="right" w:pos="9026" w:leader="dot"/>
            </w:tabs>
            <w:rPr/>
          </w:pPr>
          <w:hyperlink w:anchor="__RefHeading___Toc5767453_3224264995">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5767455_3224264995">
            <w:r>
              <w:rPr>
                <w:webHidden/>
                <w:rStyle w:val="IndexLink"/>
                <w:rtl w:val="true"/>
              </w:rPr>
              <w:t>لو شکّ فی نسخ أصل الشریعة؟</w:t>
            </w:r>
            <w:r>
              <w:rPr>
                <w:rStyle w:val="IndexLink"/>
                <w:rtl w:val="true"/>
              </w:rPr>
              <w:t>:</w:t>
              <w:tab/>
            </w:r>
            <w:r>
              <w:rPr>
                <w:rStyle w:val="IndexLink"/>
              </w:rPr>
              <w:t>278</w:t>
            </w:r>
          </w:hyperlink>
        </w:p>
        <w:p>
          <w:pPr>
            <w:pStyle w:val="Contents5"/>
            <w:tabs>
              <w:tab w:val="clear" w:pos="7892"/>
              <w:tab w:val="right" w:pos="9026" w:leader="dot"/>
            </w:tabs>
            <w:rPr/>
          </w:pPr>
          <w:hyperlink w:anchor="__RefHeading___Toc5767457_3224264995">
            <w:r>
              <w:rPr>
                <w:webHidden/>
                <w:rStyle w:val="IndexLink"/>
                <w:rtl w:val="true"/>
              </w:rPr>
              <w:t>تمسّک بعض أهل الکتاب باستصحاب شرعه</w:t>
            </w:r>
            <w:r>
              <w:rPr>
                <w:rStyle w:val="IndexLink"/>
                <w:rtl w:val="true"/>
              </w:rPr>
              <w:t>:</w:t>
              <w:tab/>
            </w:r>
            <w:r>
              <w:rPr>
                <w:rStyle w:val="IndexLink"/>
              </w:rPr>
              <w:t>278</w:t>
            </w:r>
          </w:hyperlink>
        </w:p>
        <w:p>
          <w:pPr>
            <w:pStyle w:val="Contents6"/>
            <w:tabs>
              <w:tab w:val="clear" w:pos="7609"/>
              <w:tab w:val="right" w:pos="9026" w:leader="dot"/>
            </w:tabs>
            <w:rPr/>
          </w:pPr>
          <w:hyperlink w:anchor="__RefHeading___Toc5767459_3224264995">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767461_3224264995">
            <w:r>
              <w:rPr>
                <w:webHidden/>
                <w:rStyle w:val="IndexLink"/>
                <w:rtl w:val="true"/>
              </w:rPr>
              <w:t>بعض الأجوبة عن استصحاب الکتابی و مناقشتها</w:t>
            </w:r>
            <w:r>
              <w:rPr>
                <w:rStyle w:val="IndexLink"/>
                <w:rtl w:val="true"/>
              </w:rPr>
              <w:t>:</w:t>
              <w:tab/>
            </w:r>
            <w:r>
              <w:rPr>
                <w:rStyle w:val="IndexLink"/>
              </w:rPr>
              <w:t>279</w:t>
            </w:r>
          </w:hyperlink>
        </w:p>
        <w:p>
          <w:pPr>
            <w:pStyle w:val="Contents6"/>
            <w:tabs>
              <w:tab w:val="clear" w:pos="7609"/>
              <w:tab w:val="right" w:pos="9026" w:leader="dot"/>
            </w:tabs>
            <w:rPr/>
          </w:pPr>
          <w:hyperlink w:anchor="__RefHeading___Toc5767463_3224264995">
            <w:r>
              <w:rPr>
                <w:webHidden/>
                <w:rStyle w:val="IndexLink"/>
              </w:rPr>
              <w:t>1</w:t>
            </w:r>
            <w:r>
              <w:rPr>
                <w:rStyle w:val="IndexLink"/>
                <w:rtl w:val="true"/>
              </w:rPr>
              <w:t>-</w:t>
            </w:r>
            <w:r>
              <w:rPr>
                <w:rStyle w:val="IndexLink"/>
                <w:rtl w:val="true"/>
              </w:rPr>
              <w:t>ما ذکره بعض الفضلاء</w:t>
            </w:r>
            <w:r>
              <w:rPr>
                <w:rStyle w:val="IndexLink"/>
                <w:rtl w:val="true"/>
              </w:rPr>
              <w:t>:</w:t>
              <w:tab/>
            </w:r>
            <w:r>
              <w:rPr>
                <w:rStyle w:val="IndexLink"/>
              </w:rPr>
              <w:t>279</w:t>
            </w:r>
          </w:hyperlink>
        </w:p>
        <w:p>
          <w:pPr>
            <w:pStyle w:val="Contents6"/>
            <w:tabs>
              <w:tab w:val="clear" w:pos="7609"/>
              <w:tab w:val="right" w:pos="9026" w:leader="dot"/>
            </w:tabs>
            <w:rPr/>
          </w:pPr>
          <w:hyperlink w:anchor="__RefHeading___Toc5767465_3224264995">
            <w:r>
              <w:rPr>
                <w:webHidden/>
                <w:rStyle w:val="IndexLink"/>
              </w:rPr>
              <w:t>2</w:t>
            </w:r>
            <w:r>
              <w:rPr>
                <w:rStyle w:val="IndexLink"/>
                <w:rtl w:val="true"/>
              </w:rPr>
              <w:t>-</w:t>
            </w:r>
            <w:r>
              <w:rPr>
                <w:rStyle w:val="IndexLink"/>
                <w:rtl w:val="true"/>
              </w:rPr>
              <w:t>ما ذکره الفاضل النراقی</w:t>
            </w:r>
            <w:r>
              <w:rPr>
                <w:rStyle w:val="IndexLink"/>
                <w:rtl w:val="true"/>
              </w:rPr>
              <w:t>:</w:t>
              <w:tab/>
            </w:r>
            <w:r>
              <w:rPr>
                <w:rStyle w:val="IndexLink"/>
              </w:rPr>
              <w:t>279</w:t>
            </w:r>
          </w:hyperlink>
        </w:p>
        <w:p>
          <w:pPr>
            <w:pStyle w:val="Contents6"/>
            <w:tabs>
              <w:tab w:val="clear" w:pos="7609"/>
              <w:tab w:val="right" w:pos="9026" w:leader="dot"/>
            </w:tabs>
            <w:rPr/>
          </w:pPr>
          <w:hyperlink w:anchor="__RefHeading___Toc5767467_3224264995">
            <w:r>
              <w:rPr>
                <w:webHidden/>
                <w:rStyle w:val="IndexLink"/>
              </w:rPr>
              <w:t>3</w:t>
            </w:r>
            <w:r>
              <w:rPr>
                <w:rStyle w:val="IndexLink"/>
                <w:rtl w:val="true"/>
              </w:rPr>
              <w:t>-</w:t>
            </w:r>
            <w:r>
              <w:rPr>
                <w:rStyle w:val="IndexLink"/>
                <w:rtl w:val="true"/>
              </w:rPr>
              <w:t>ما ذکره المحقّق القمّی</w:t>
            </w:r>
            <w:r>
              <w:rPr>
                <w:rStyle w:val="IndexLink"/>
                <w:rtl w:val="true"/>
              </w:rPr>
              <w:t>:</w:t>
              <w:tab/>
            </w:r>
            <w:r>
              <w:rPr>
                <w:rStyle w:val="IndexLink"/>
              </w:rPr>
              <w:t>280</w:t>
            </w:r>
          </w:hyperlink>
        </w:p>
        <w:p>
          <w:pPr>
            <w:pStyle w:val="Contents6"/>
            <w:tabs>
              <w:tab w:val="clear" w:pos="7609"/>
              <w:tab w:val="right" w:pos="9026" w:leader="dot"/>
            </w:tabs>
            <w:rPr/>
          </w:pPr>
          <w:hyperlink w:anchor="__RefHeading___Toc5767469_3224264995">
            <w:r>
              <w:rPr>
                <w:webHidden/>
                <w:rStyle w:val="IndexLink"/>
                <w:rtl w:val="true"/>
              </w:rPr>
              <w:t>المناقشة فی ما أفاده المحقّق القمّی</w:t>
            </w:r>
            <w:r>
              <w:rPr>
                <w:rStyle w:val="IndexLink"/>
                <w:rtl w:val="true"/>
              </w:rPr>
              <w:t>:</w:t>
              <w:tab/>
            </w:r>
            <w:r>
              <w:rPr>
                <w:rStyle w:val="IndexLink"/>
              </w:rPr>
              <w:t>280</w:t>
            </w:r>
          </w:hyperlink>
        </w:p>
        <w:p>
          <w:pPr>
            <w:pStyle w:val="Contents6"/>
            <w:tabs>
              <w:tab w:val="clear" w:pos="7609"/>
              <w:tab w:val="right" w:pos="9026" w:leader="dot"/>
            </w:tabs>
            <w:rPr/>
          </w:pPr>
          <w:hyperlink w:anchor="__RefHeading___Toc5767471_3224264995">
            <w:r>
              <w:rPr>
                <w:webHidden/>
                <w:rStyle w:val="IndexLink"/>
                <w:rtl w:val="true"/>
              </w:rPr>
              <w:t>المناقشه فی ما افاده المحقق القمی</w:t>
            </w:r>
            <w:r>
              <w:rPr>
                <w:rStyle w:val="IndexLink"/>
                <w:rtl w:val="true"/>
              </w:rPr>
              <w:tab/>
            </w:r>
            <w:r>
              <w:rPr>
                <w:rStyle w:val="IndexLink"/>
              </w:rPr>
              <w:t>281</w:t>
            </w:r>
          </w:hyperlink>
        </w:p>
        <w:p>
          <w:pPr>
            <w:pStyle w:val="Contents6"/>
            <w:tabs>
              <w:tab w:val="clear" w:pos="7609"/>
              <w:tab w:val="right" w:pos="9026" w:leader="dot"/>
            </w:tabs>
            <w:rPr/>
          </w:pPr>
          <w:hyperlink w:anchor="__RefHeading___Toc5767473_3224264995">
            <w:r>
              <w:rPr>
                <w:webHidden/>
                <w:rStyle w:val="IndexLink"/>
                <w:rtl w:val="true"/>
              </w:rPr>
              <w:t>کلام آخر للمحقق القمی</w:t>
            </w:r>
            <w:r>
              <w:rPr>
                <w:rStyle w:val="IndexLink"/>
                <w:rtl w:val="true"/>
              </w:rPr>
              <w:t>:</w:t>
              <w:tab/>
            </w:r>
            <w:r>
              <w:rPr>
                <w:rStyle w:val="IndexLink"/>
              </w:rPr>
              <w:t>281</w:t>
            </w:r>
          </w:hyperlink>
        </w:p>
        <w:p>
          <w:pPr>
            <w:pStyle w:val="Contents6"/>
            <w:tabs>
              <w:tab w:val="clear" w:pos="7609"/>
              <w:tab w:val="right" w:pos="9026" w:leader="dot"/>
            </w:tabs>
            <w:rPr/>
          </w:pPr>
          <w:hyperlink w:anchor="__RefHeading___Toc5767475_3224264995">
            <w:r>
              <w:rPr>
                <w:webHidden/>
                <w:rStyle w:val="IndexLink"/>
                <w:rtl w:val="true"/>
              </w:rPr>
              <w:t>المناقشه فی هذا الکلام ایضا</w:t>
            </w:r>
            <w:r>
              <w:rPr>
                <w:rStyle w:val="IndexLink"/>
                <w:rtl w:val="true"/>
              </w:rPr>
              <w:tab/>
            </w:r>
            <w:r>
              <w:rPr>
                <w:rStyle w:val="IndexLink"/>
              </w:rPr>
              <w:t>282</w:t>
            </w:r>
          </w:hyperlink>
        </w:p>
        <w:p>
          <w:pPr>
            <w:pStyle w:val="Contents6"/>
            <w:tabs>
              <w:tab w:val="clear" w:pos="7609"/>
              <w:tab w:val="right" w:pos="9026" w:leader="dot"/>
            </w:tabs>
            <w:rPr/>
          </w:pPr>
          <w:hyperlink w:anchor="__RefHeading___Toc5767477_3224264995">
            <w:r>
              <w:rPr>
                <w:webHidden/>
                <w:rStyle w:val="IndexLink"/>
                <w:rtl w:val="true"/>
              </w:rPr>
              <w:t>ما اورده المحقق القمی علی نفسه و اجاب عنه</w:t>
            </w:r>
            <w:r>
              <w:rPr>
                <w:rStyle w:val="IndexLink"/>
                <w:rtl w:val="true"/>
              </w:rPr>
              <w:tab/>
            </w:r>
            <w:r>
              <w:rPr>
                <w:rStyle w:val="IndexLink"/>
              </w:rPr>
              <w:t>283</w:t>
            </w:r>
          </w:hyperlink>
        </w:p>
        <w:p>
          <w:pPr>
            <w:pStyle w:val="Contents6"/>
            <w:tabs>
              <w:tab w:val="clear" w:pos="7609"/>
              <w:tab w:val="right" w:pos="9026" w:leader="dot"/>
            </w:tabs>
            <w:rPr/>
          </w:pPr>
          <w:hyperlink w:anchor="__RefHeading___Toc5767479_3224264995">
            <w:r>
              <w:rPr>
                <w:webHidden/>
                <w:rStyle w:val="IndexLink"/>
                <w:rtl w:val="true"/>
              </w:rPr>
              <w:t>ما اورده علی نفسه ثانیا و اجاب عنه</w:t>
            </w:r>
            <w:r>
              <w:rPr>
                <w:rStyle w:val="IndexLink"/>
                <w:rtl w:val="true"/>
              </w:rPr>
              <w:tab/>
            </w:r>
            <w:r>
              <w:rPr>
                <w:rStyle w:val="IndexLink"/>
              </w:rPr>
              <w:t>284</w:t>
            </w:r>
          </w:hyperlink>
        </w:p>
        <w:p>
          <w:pPr>
            <w:pStyle w:val="Contents6"/>
            <w:tabs>
              <w:tab w:val="clear" w:pos="7609"/>
              <w:tab w:val="right" w:pos="9026" w:leader="dot"/>
            </w:tabs>
            <w:rPr/>
          </w:pPr>
          <w:hyperlink w:anchor="__RefHeading___Toc5767481_3224264995">
            <w:r>
              <w:rPr>
                <w:webHidden/>
                <w:rStyle w:val="IndexLink"/>
                <w:rtl w:val="true"/>
              </w:rPr>
              <w:t>الجواب عن استصحاب الکتابی بوجوه أخر</w:t>
            </w:r>
            <w:r>
              <w:rPr>
                <w:rStyle w:val="IndexLink"/>
                <w:rtl w:val="true"/>
              </w:rPr>
              <w:t>:</w:t>
              <w:tab/>
            </w:r>
            <w:r>
              <w:rPr>
                <w:rStyle w:val="IndexLink"/>
              </w:rPr>
              <w:t>284</w:t>
            </w:r>
          </w:hyperlink>
        </w:p>
        <w:p>
          <w:pPr>
            <w:pStyle w:val="Contents6"/>
            <w:tabs>
              <w:tab w:val="clear" w:pos="7609"/>
              <w:tab w:val="right" w:pos="9026" w:leader="dot"/>
            </w:tabs>
            <w:rPr/>
          </w:pPr>
          <w:hyperlink w:anchor="__RefHeading___Toc5767483_3224264995">
            <w:r>
              <w:rPr>
                <w:webHidden/>
                <w:rStyle w:val="IndexLink"/>
                <w:rtl w:val="true"/>
              </w:rPr>
              <w:t>الوجه الأوّل</w:t>
            </w:r>
            <w:r>
              <w:rPr>
                <w:rStyle w:val="IndexLink"/>
                <w:rtl w:val="true"/>
              </w:rPr>
              <w:t>:</w:t>
            </w:r>
            <w:r>
              <w:rPr>
                <w:rStyle w:val="IndexLink"/>
                <w:rtl w:val="true"/>
              </w:rPr>
              <w:t>أنّ المقصود من التمسّک به</w:t>
            </w:r>
            <w:r>
              <w:rPr>
                <w:rStyle w:val="IndexLink"/>
                <w:rtl w:val="true"/>
              </w:rPr>
              <w:t>:</w:t>
              <w:tab/>
            </w:r>
            <w:r>
              <w:rPr>
                <w:rStyle w:val="IndexLink"/>
              </w:rPr>
              <w:t>284</w:t>
            </w:r>
          </w:hyperlink>
        </w:p>
        <w:p>
          <w:pPr>
            <w:pStyle w:val="Contents6"/>
            <w:tabs>
              <w:tab w:val="clear" w:pos="7609"/>
              <w:tab w:val="right" w:pos="9026" w:leader="dot"/>
            </w:tabs>
            <w:rPr/>
          </w:pPr>
          <w:hyperlink w:anchor="__RefHeading___Toc5767485_3224264995">
            <w:r>
              <w:rPr>
                <w:webHidden/>
                <w:rStyle w:val="IndexLink"/>
                <w:rtl w:val="true"/>
              </w:rPr>
              <w:t>الوجه الثانی</w:t>
            </w:r>
            <w:r>
              <w:rPr>
                <w:rStyle w:val="IndexLink"/>
                <w:rtl w:val="true"/>
              </w:rPr>
              <w:t>:</w:t>
            </w:r>
            <w:r>
              <w:rPr>
                <w:rStyle w:val="IndexLink"/>
                <w:rtl w:val="true"/>
              </w:rPr>
              <w:t>أنّ اعتبار الاستصحاب إن کان من باب الأخبار</w:t>
            </w:r>
            <w:r>
              <w:rPr>
                <w:rStyle w:val="IndexLink"/>
                <w:rtl w:val="true"/>
              </w:rPr>
              <w:tab/>
            </w:r>
            <w:r>
              <w:rPr>
                <w:rStyle w:val="IndexLink"/>
              </w:rPr>
              <w:t>285</w:t>
            </w:r>
          </w:hyperlink>
        </w:p>
        <w:p>
          <w:pPr>
            <w:pStyle w:val="Contents6"/>
            <w:tabs>
              <w:tab w:val="clear" w:pos="7609"/>
              <w:tab w:val="right" w:pos="9026" w:leader="dot"/>
            </w:tabs>
            <w:rPr/>
          </w:pPr>
          <w:hyperlink w:anchor="__RefHeading___Toc5767487_3224264995">
            <w:r>
              <w:rPr>
                <w:webHidden/>
                <w:rStyle w:val="IndexLink"/>
                <w:rtl w:val="true"/>
              </w:rPr>
              <w:t>الوجه الثالث</w:t>
            </w:r>
            <w:r>
              <w:rPr>
                <w:rStyle w:val="IndexLink"/>
                <w:rtl w:val="true"/>
              </w:rPr>
              <w:t>:</w:t>
            </w:r>
            <w:r>
              <w:rPr>
                <w:rStyle w:val="IndexLink"/>
                <w:rtl w:val="true"/>
              </w:rPr>
              <w:t>أنّا لم نجزم بالمستصحب</w:t>
            </w:r>
            <w:r>
              <w:rPr>
                <w:rStyle w:val="IndexLink"/>
                <w:rtl w:val="true"/>
              </w:rPr>
              <w:t>-</w:t>
            </w:r>
            <w:r>
              <w:rPr>
                <w:rStyle w:val="IndexLink"/>
                <w:rtl w:val="true"/>
              </w:rPr>
              <w:t>و هی نبوّة موسی أو عیسی</w:t>
            </w:r>
            <w:r>
              <w:rPr>
                <w:rStyle w:val="IndexLink"/>
                <w:rtl w:val="true"/>
              </w:rPr>
              <w:tab/>
            </w:r>
            <w:r>
              <w:rPr>
                <w:rStyle w:val="IndexLink"/>
              </w:rPr>
              <w:t>287</w:t>
            </w:r>
          </w:hyperlink>
        </w:p>
        <w:p>
          <w:pPr>
            <w:pStyle w:val="Contents6"/>
            <w:tabs>
              <w:tab w:val="clear" w:pos="7609"/>
              <w:tab w:val="right" w:pos="9026" w:leader="dot"/>
            </w:tabs>
            <w:rPr/>
          </w:pPr>
          <w:hyperlink w:anchor="__RefHeading___Toc5767489_3224264995">
            <w:r>
              <w:rPr>
                <w:webHidden/>
                <w:rStyle w:val="IndexLink"/>
                <w:rtl w:val="true"/>
              </w:rPr>
              <w:t>الوجه الرابع</w:t>
            </w:r>
            <w:r>
              <w:rPr>
                <w:rStyle w:val="IndexLink"/>
                <w:rtl w:val="true"/>
              </w:rPr>
              <w:t>:</w:t>
            </w:r>
            <w:r>
              <w:rPr>
                <w:rStyle w:val="IndexLink"/>
                <w:rtl w:val="true"/>
              </w:rPr>
              <w:t>أنّ مرجع النبوّة المستصحبة لیس إلاّ إلی وجوب التدیّن</w:t>
            </w:r>
            <w:r>
              <w:rPr>
                <w:rStyle w:val="IndexLink"/>
                <w:rtl w:val="true"/>
              </w:rPr>
              <w:tab/>
            </w:r>
            <w:r>
              <w:rPr>
                <w:rStyle w:val="IndexLink"/>
              </w:rPr>
              <w:t>287</w:t>
            </w:r>
          </w:hyperlink>
        </w:p>
        <w:p>
          <w:pPr>
            <w:pStyle w:val="Contents6"/>
            <w:tabs>
              <w:tab w:val="clear" w:pos="7609"/>
              <w:tab w:val="right" w:pos="9026" w:leader="dot"/>
            </w:tabs>
            <w:rPr/>
          </w:pPr>
          <w:hyperlink w:anchor="__RefHeading___Toc5767491_3224264995">
            <w:r>
              <w:rPr>
                <w:webHidden/>
                <w:rStyle w:val="IndexLink"/>
                <w:rtl w:val="true"/>
              </w:rPr>
              <w:t>الوجه الخامس</w:t>
            </w:r>
            <w:r>
              <w:rPr>
                <w:rStyle w:val="IndexLink"/>
                <w:rtl w:val="true"/>
              </w:rPr>
              <w:t>:</w:t>
            </w:r>
            <w:r>
              <w:rPr>
                <w:rStyle w:val="IndexLink"/>
                <w:rtl w:val="true"/>
              </w:rPr>
              <w:t>أن یقال</w:t>
            </w:r>
            <w:r>
              <w:rPr>
                <w:rStyle w:val="IndexLink"/>
                <w:rtl w:val="true"/>
              </w:rPr>
              <w:t>:</w:t>
              <w:tab/>
            </w:r>
            <w:r>
              <w:rPr>
                <w:rStyle w:val="IndexLink"/>
              </w:rPr>
              <w:t>288</w:t>
            </w:r>
          </w:hyperlink>
        </w:p>
        <w:p>
          <w:pPr>
            <w:pStyle w:val="Contents6"/>
            <w:tabs>
              <w:tab w:val="clear" w:pos="7609"/>
              <w:tab w:val="right" w:pos="9026" w:leader="dot"/>
            </w:tabs>
            <w:rPr/>
          </w:pPr>
          <w:hyperlink w:anchor="__RefHeading___Toc5767493_3224264995">
            <w:r>
              <w:rPr>
                <w:webHidden/>
                <w:rStyle w:val="IndexLink"/>
                <w:rtl w:val="true"/>
              </w:rPr>
              <w:t>کلام الإمام الرضا علیه السّلام فی جواب الجاثلیق</w:t>
            </w:r>
            <w:r>
              <w:rPr>
                <w:rStyle w:val="IndexLink"/>
                <w:rtl w:val="true"/>
              </w:rPr>
              <w:t>:</w:t>
              <w:tab/>
            </w:r>
            <w:r>
              <w:rPr>
                <w:rStyle w:val="IndexLink"/>
              </w:rPr>
              <w:t>289</w:t>
            </w:r>
          </w:hyperlink>
        </w:p>
        <w:p>
          <w:pPr>
            <w:pStyle w:val="Contents4"/>
            <w:tabs>
              <w:tab w:val="clear" w:pos="8176"/>
              <w:tab w:val="right" w:pos="9026" w:leader="dot"/>
            </w:tabs>
            <w:rPr/>
          </w:pPr>
          <w:hyperlink w:anchor="__RefHeading___Toc5767495_3224264995">
            <w:r>
              <w:rPr>
                <w:webHidden/>
                <w:rStyle w:val="IndexLink"/>
                <w:rtl w:val="true"/>
              </w:rPr>
              <w:t xml:space="preserve">الأمر العاشر </w:t>
            </w:r>
            <w:r>
              <w:rPr>
                <w:rStyle w:val="IndexLink"/>
                <w:rtl w:val="true"/>
              </w:rPr>
              <w:t>:</w:t>
            </w:r>
            <w:r>
              <w:rPr>
                <w:rStyle w:val="IndexLink"/>
                <w:rtl w:val="true"/>
              </w:rPr>
              <w:t>دوران الأمر بین التمسّک بالعامّ أو استصحاب حکم المخصّص</w:t>
            </w:r>
            <w:r>
              <w:rPr>
                <w:rStyle w:val="IndexLink"/>
                <w:rtl w:val="true"/>
              </w:rPr>
              <w:tab/>
            </w:r>
            <w:r>
              <w:rPr>
                <w:rStyle w:val="IndexLink"/>
              </w:rPr>
              <w:t>291</w:t>
            </w:r>
          </w:hyperlink>
        </w:p>
        <w:p>
          <w:pPr>
            <w:pStyle w:val="Contents5"/>
            <w:tabs>
              <w:tab w:val="clear" w:pos="7892"/>
              <w:tab w:val="right" w:pos="9026" w:leader="dot"/>
            </w:tabs>
            <w:rPr/>
          </w:pPr>
          <w:hyperlink w:anchor="__RefHeading___Toc5767497_3224264995">
            <w:r>
              <w:rPr>
                <w:webHidden/>
                <w:rStyle w:val="IndexLink"/>
                <w:rtl w:val="true"/>
              </w:rPr>
              <w:t>الدلیل الدالّ علی الحکم فی الزمان السابق علی ثلاثة أنحاء</w:t>
            </w:r>
            <w:r>
              <w:rPr>
                <w:rStyle w:val="IndexLink"/>
                <w:rtl w:val="true"/>
              </w:rPr>
              <w:t>:</w:t>
              <w:tab/>
            </w:r>
            <w:r>
              <w:rPr>
                <w:rStyle w:val="IndexLink"/>
              </w:rPr>
              <w:t>291</w:t>
            </w:r>
          </w:hyperlink>
        </w:p>
        <w:p>
          <w:pPr>
            <w:pStyle w:val="Contents5"/>
            <w:tabs>
              <w:tab w:val="clear" w:pos="7892"/>
              <w:tab w:val="right" w:pos="9026" w:leader="dot"/>
            </w:tabs>
            <w:rPr/>
          </w:pPr>
          <w:hyperlink w:anchor="__RefHeading___Toc5767499_3224264995">
            <w:r>
              <w:rPr>
                <w:webHidden/>
                <w:rStyle w:val="IndexLink"/>
                <w:rtl w:val="true"/>
              </w:rPr>
              <w:t>هل یجری استصحاب حکم المخصّص مع العموم الأزمانی أم لا؟</w:t>
            </w:r>
            <w:r>
              <w:rPr>
                <w:rStyle w:val="IndexLink"/>
                <w:rtl w:val="true"/>
              </w:rPr>
              <w:t>:</w:t>
              <w:tab/>
            </w:r>
            <w:r>
              <w:rPr>
                <w:rStyle w:val="IndexLink"/>
              </w:rPr>
              <w:t>292</w:t>
            </w:r>
          </w:hyperlink>
        </w:p>
        <w:p>
          <w:pPr>
            <w:pStyle w:val="Contents6"/>
            <w:tabs>
              <w:tab w:val="clear" w:pos="7609"/>
              <w:tab w:val="right" w:pos="9026" w:leader="dot"/>
            </w:tabs>
            <w:rPr/>
          </w:pPr>
          <w:hyperlink w:anchor="__RefHeading___Toc5767501_3224264995">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5767503_3224264995">
            <w:r>
              <w:rPr>
                <w:webHidden/>
                <w:rStyle w:val="IndexLink"/>
                <w:rtl w:val="true"/>
              </w:rPr>
              <w:t>إذا کان العموم الأزمانی أفرادیّا</w:t>
            </w:r>
            <w:r>
              <w:rPr>
                <w:rStyle w:val="IndexLink"/>
                <w:rtl w:val="true"/>
              </w:rPr>
              <w:t>:</w:t>
              <w:tab/>
            </w:r>
            <w:r>
              <w:rPr>
                <w:rStyle w:val="IndexLink"/>
              </w:rPr>
              <w:t>292</w:t>
            </w:r>
          </w:hyperlink>
        </w:p>
        <w:p>
          <w:pPr>
            <w:pStyle w:val="Contents6"/>
            <w:tabs>
              <w:tab w:val="clear" w:pos="7609"/>
              <w:tab w:val="right" w:pos="9026" w:leader="dot"/>
            </w:tabs>
            <w:rPr/>
          </w:pPr>
          <w:hyperlink w:anchor="__RefHeading___Toc5767505_3224264995">
            <w:r>
              <w:rPr>
                <w:webHidden/>
                <w:rStyle w:val="IndexLink"/>
                <w:rtl w:val="true"/>
              </w:rPr>
              <w:t>إذا کان العموم الأزمانی استمراریّا</w:t>
            </w:r>
            <w:r>
              <w:rPr>
                <w:rStyle w:val="IndexLink"/>
                <w:rtl w:val="true"/>
              </w:rPr>
              <w:t>:</w:t>
              <w:tab/>
            </w:r>
            <w:r>
              <w:rPr>
                <w:rStyle w:val="IndexLink"/>
              </w:rPr>
              <w:t>292</w:t>
            </w:r>
          </w:hyperlink>
        </w:p>
        <w:p>
          <w:pPr>
            <w:pStyle w:val="Contents5"/>
            <w:tabs>
              <w:tab w:val="clear" w:pos="7892"/>
              <w:tab w:val="right" w:pos="9026" w:leader="dot"/>
            </w:tabs>
            <w:rPr/>
          </w:pPr>
          <w:hyperlink w:anchor="__RefHeading___Toc5767507_3224264995">
            <w:r>
              <w:rPr>
                <w:webHidden/>
                <w:rStyle w:val="IndexLink"/>
                <w:rtl w:val="true"/>
              </w:rPr>
              <w:t>المخالفة لما ذکرنا فی موضعین</w:t>
            </w:r>
            <w:r>
              <w:rPr>
                <w:rStyle w:val="IndexLink"/>
                <w:rtl w:val="true"/>
              </w:rPr>
              <w:t>:</w:t>
              <w:tab/>
            </w:r>
            <w:r>
              <w:rPr>
                <w:rStyle w:val="IndexLink"/>
              </w:rPr>
              <w:t>293</w:t>
            </w:r>
          </w:hyperlink>
        </w:p>
        <w:p>
          <w:pPr>
            <w:pStyle w:val="Contents6"/>
            <w:tabs>
              <w:tab w:val="clear" w:pos="7609"/>
              <w:tab w:val="right" w:pos="9026" w:leader="dot"/>
            </w:tabs>
            <w:rPr/>
          </w:pPr>
          <w:hyperlink w:anchor="__RefHeading___Toc5767509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5767511_3224264995">
            <w:r>
              <w:rPr>
                <w:webHidden/>
                <w:rStyle w:val="IndexLink"/>
                <w:rtl w:val="true"/>
              </w:rPr>
              <w:t>:</w:t>
            </w:r>
            <w:r>
              <w:rPr>
                <w:rStyle w:val="IndexLink"/>
              </w:rPr>
              <w:t>1</w:t>
            </w:r>
            <w:r>
              <w:rPr>
                <w:rStyle w:val="IndexLink"/>
                <w:rtl w:val="true"/>
              </w:rPr>
              <w:t>-</w:t>
            </w:r>
            <w:r>
              <w:rPr>
                <w:rStyle w:val="IndexLink"/>
                <w:rtl w:val="true"/>
              </w:rPr>
              <w:t>ما ذکره المحقّق الثانی فی مسألة خیار الغبن و ما یرد علیه</w:t>
            </w:r>
            <w:r>
              <w:rPr>
                <w:rStyle w:val="IndexLink"/>
                <w:rtl w:val="true"/>
              </w:rPr>
              <w:t>:</w:t>
              <w:tab/>
            </w:r>
            <w:r>
              <w:rPr>
                <w:rStyle w:val="IndexLink"/>
              </w:rPr>
              <w:t>293</w:t>
            </w:r>
          </w:hyperlink>
        </w:p>
        <w:p>
          <w:pPr>
            <w:pStyle w:val="Contents6"/>
            <w:tabs>
              <w:tab w:val="clear" w:pos="7609"/>
              <w:tab w:val="right" w:pos="9026" w:leader="dot"/>
            </w:tabs>
            <w:rPr/>
          </w:pPr>
          <w:hyperlink w:anchor="__RefHeading___Toc5767513_3224264995">
            <w:r>
              <w:rPr>
                <w:webHidden/>
                <w:rStyle w:val="IndexLink"/>
              </w:rPr>
              <w:t>2</w:t>
            </w:r>
            <w:r>
              <w:rPr>
                <w:rStyle w:val="IndexLink"/>
                <w:rtl w:val="true"/>
              </w:rPr>
              <w:t>-</w:t>
            </w:r>
            <w:r>
              <w:rPr>
                <w:rStyle w:val="IndexLink"/>
                <w:rtl w:val="true"/>
              </w:rPr>
              <w:t>ما ذکره السیّد بحر العلوم قدّس سرّه</w:t>
            </w:r>
            <w:r>
              <w:rPr>
                <w:rStyle w:val="IndexLink"/>
                <w:rtl w:val="true"/>
              </w:rPr>
              <w:t>:</w:t>
              <w:tab/>
            </w:r>
            <w:r>
              <w:rPr>
                <w:rStyle w:val="IndexLink"/>
              </w:rPr>
              <w:t>294</w:t>
            </w:r>
          </w:hyperlink>
        </w:p>
        <w:p>
          <w:pPr>
            <w:pStyle w:val="Contents6"/>
            <w:tabs>
              <w:tab w:val="clear" w:pos="7609"/>
              <w:tab w:val="right" w:pos="9026" w:leader="dot"/>
            </w:tabs>
            <w:rPr/>
          </w:pPr>
          <w:hyperlink w:anchor="__RefHeading___Toc5767515_3224264995">
            <w:r>
              <w:rPr>
                <w:webHidden/>
                <w:rStyle w:val="IndexLink"/>
                <w:rtl w:val="true"/>
              </w:rPr>
              <w:t>المناقشة فی ما أفاده بحر العلوم</w:t>
            </w:r>
            <w:r>
              <w:rPr>
                <w:rStyle w:val="IndexLink"/>
                <w:rtl w:val="true"/>
              </w:rPr>
              <w:t>:</w:t>
              <w:tab/>
            </w:r>
            <w:r>
              <w:rPr>
                <w:rStyle w:val="IndexLink"/>
              </w:rPr>
              <w:t>295</w:t>
            </w:r>
          </w:hyperlink>
        </w:p>
        <w:p>
          <w:pPr>
            <w:pStyle w:val="Contents6"/>
            <w:tabs>
              <w:tab w:val="clear" w:pos="7609"/>
              <w:tab w:val="right" w:pos="9026" w:leader="dot"/>
            </w:tabs>
            <w:rPr/>
          </w:pPr>
          <w:hyperlink w:anchor="__RefHeading___Toc5767517_3224264995">
            <w:r>
              <w:rPr>
                <w:webHidden/>
                <w:rStyle w:val="IndexLink"/>
                <w:rtl w:val="true"/>
              </w:rPr>
              <w:t>توجیه کلام بحر العلوم</w:t>
            </w:r>
            <w:r>
              <w:rPr>
                <w:rStyle w:val="IndexLink"/>
                <w:rtl w:val="true"/>
              </w:rPr>
              <w:t>:</w:t>
              <w:tab/>
            </w:r>
            <w:r>
              <w:rPr>
                <w:rStyle w:val="IndexLink"/>
              </w:rPr>
              <w:t>296</w:t>
            </w:r>
          </w:hyperlink>
        </w:p>
        <w:p>
          <w:pPr>
            <w:pStyle w:val="Contents4"/>
            <w:tabs>
              <w:tab w:val="clear" w:pos="8176"/>
              <w:tab w:val="right" w:pos="9026" w:leader="dot"/>
            </w:tabs>
            <w:rPr/>
          </w:pPr>
          <w:hyperlink w:anchor="__RefHeading___Toc5767519_3224264995">
            <w:r>
              <w:rPr>
                <w:webHidden/>
                <w:rStyle w:val="IndexLink"/>
                <w:rtl w:val="true"/>
              </w:rPr>
              <w:t xml:space="preserve">الأمر الحادی عشر </w:t>
            </w:r>
            <w:r>
              <w:rPr>
                <w:rStyle w:val="IndexLink"/>
                <w:rtl w:val="true"/>
              </w:rPr>
              <w:t>:</w:t>
            </w:r>
            <w:r>
              <w:rPr>
                <w:rStyle w:val="IndexLink"/>
                <w:rtl w:val="true"/>
              </w:rPr>
              <w:t>لو تعذّر بعض المأمور به فهل یستصحب وجوب الباقی؟</w:t>
            </w:r>
            <w:r>
              <w:rPr>
                <w:rStyle w:val="IndexLink"/>
                <w:rtl w:val="true"/>
              </w:rPr>
              <w:tab/>
            </w:r>
            <w:r>
              <w:rPr>
                <w:rStyle w:val="IndexLink"/>
              </w:rPr>
              <w:t>297</w:t>
            </w:r>
          </w:hyperlink>
        </w:p>
        <w:p>
          <w:pPr>
            <w:pStyle w:val="Contents5"/>
            <w:tabs>
              <w:tab w:val="clear" w:pos="7892"/>
              <w:tab w:val="right" w:pos="9026" w:leader="dot"/>
            </w:tabs>
            <w:rPr/>
          </w:pPr>
          <w:hyperlink w:anchor="__RefHeading___Toc5767521_3224264995">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5767523_3224264995">
            <w:r>
              <w:rPr>
                <w:webHidden/>
                <w:rStyle w:val="IndexLink"/>
                <w:rtl w:val="true"/>
              </w:rPr>
              <w:t>الإشکال فی هذا الاستصحاب</w:t>
            </w:r>
            <w:r>
              <w:rPr>
                <w:rStyle w:val="IndexLink"/>
                <w:rtl w:val="true"/>
              </w:rPr>
              <w:t>:</w:t>
              <w:tab/>
            </w:r>
            <w:r>
              <w:rPr>
                <w:rStyle w:val="IndexLink"/>
              </w:rPr>
              <w:t>297</w:t>
            </w:r>
          </w:hyperlink>
        </w:p>
        <w:p>
          <w:pPr>
            <w:pStyle w:val="Contents5"/>
            <w:tabs>
              <w:tab w:val="clear" w:pos="7892"/>
              <w:tab w:val="right" w:pos="9026" w:leader="dot"/>
            </w:tabs>
            <w:rPr/>
          </w:pPr>
          <w:hyperlink w:anchor="__RefHeading___Toc5767525_3224264995">
            <w:r>
              <w:rPr>
                <w:webHidden/>
                <w:rStyle w:val="IndexLink"/>
                <w:rtl w:val="true"/>
              </w:rPr>
              <w:t>توجیه الاستصحاب بوجوه ثلاثة</w:t>
            </w:r>
            <w:r>
              <w:rPr>
                <w:rStyle w:val="IndexLink"/>
                <w:rtl w:val="true"/>
              </w:rPr>
              <w:t>:</w:t>
              <w:tab/>
            </w:r>
            <w:r>
              <w:rPr>
                <w:rStyle w:val="IndexLink"/>
              </w:rPr>
              <w:t>297</w:t>
            </w:r>
          </w:hyperlink>
        </w:p>
        <w:p>
          <w:pPr>
            <w:pStyle w:val="Contents5"/>
            <w:tabs>
              <w:tab w:val="clear" w:pos="7892"/>
              <w:tab w:val="right" w:pos="9026" w:leader="dot"/>
            </w:tabs>
            <w:rPr/>
          </w:pPr>
          <w:hyperlink w:anchor="__RefHeading___Toc5767527_3224264995">
            <w:r>
              <w:rPr>
                <w:webHidden/>
                <w:rStyle w:val="IndexLink"/>
                <w:rtl w:val="true"/>
              </w:rPr>
              <w:t>ثمرة هذه التوجیهات</w:t>
            </w:r>
            <w:r>
              <w:rPr>
                <w:rStyle w:val="IndexLink"/>
                <w:rtl w:val="true"/>
              </w:rPr>
              <w:t>:</w:t>
              <w:tab/>
            </w:r>
            <w:r>
              <w:rPr>
                <w:rStyle w:val="IndexLink"/>
              </w:rPr>
              <w:t>299</w:t>
            </w:r>
          </w:hyperlink>
        </w:p>
        <w:p>
          <w:pPr>
            <w:pStyle w:val="Contents5"/>
            <w:tabs>
              <w:tab w:val="clear" w:pos="7892"/>
              <w:tab w:val="right" w:pos="9026" w:leader="dot"/>
            </w:tabs>
            <w:rPr/>
          </w:pPr>
          <w:hyperlink w:anchor="__RefHeading___Toc5767529_3224264995">
            <w:r>
              <w:rPr>
                <w:webHidden/>
                <w:rStyle w:val="IndexLink"/>
                <w:rtl w:val="true"/>
              </w:rPr>
              <w:t>الصحیح من هذه التوجیهات</w:t>
            </w:r>
            <w:r>
              <w:rPr>
                <w:rStyle w:val="IndexLink"/>
                <w:rtl w:val="true"/>
              </w:rPr>
              <w:t>:</w:t>
              <w:tab/>
            </w:r>
            <w:r>
              <w:rPr>
                <w:rStyle w:val="IndexLink"/>
              </w:rPr>
              <w:t>299</w:t>
            </w:r>
          </w:hyperlink>
        </w:p>
        <w:p>
          <w:pPr>
            <w:pStyle w:val="Contents5"/>
            <w:tabs>
              <w:tab w:val="clear" w:pos="7892"/>
              <w:tab w:val="right" w:pos="9026" w:leader="dot"/>
            </w:tabs>
            <w:rPr/>
          </w:pPr>
          <w:hyperlink w:anchor="__RefHeading___Toc5767531_3224264995">
            <w:r>
              <w:rPr>
                <w:webHidden/>
                <w:rStyle w:val="IndexLink"/>
                <w:rtl w:val="true"/>
              </w:rPr>
              <w:t>عدم الفرق بناء علی جریان الاستصحاب بین تعذّر الجزء بعد تنجّز التکلیف أو قبله</w:t>
            </w:r>
            <w:r>
              <w:rPr>
                <w:rStyle w:val="IndexLink"/>
                <w:rtl w:val="true"/>
              </w:rPr>
              <w:t>:</w:t>
              <w:tab/>
            </w:r>
            <w:r>
              <w:rPr>
                <w:rStyle w:val="IndexLink"/>
              </w:rPr>
              <w:t>300</w:t>
            </w:r>
          </w:hyperlink>
        </w:p>
        <w:p>
          <w:pPr>
            <w:pStyle w:val="Contents5"/>
            <w:tabs>
              <w:tab w:val="clear" w:pos="7892"/>
              <w:tab w:val="right" w:pos="9026" w:leader="dot"/>
            </w:tabs>
            <w:rPr/>
          </w:pPr>
          <w:hyperlink w:anchor="__RefHeading___Toc5767533_3224264995">
            <w:r>
              <w:rPr>
                <w:webHidden/>
                <w:rStyle w:val="IndexLink"/>
                <w:rtl w:val="true"/>
              </w:rPr>
              <w:t>تخیّل و دفع</w:t>
            </w:r>
            <w:r>
              <w:rPr>
                <w:rStyle w:val="IndexLink"/>
                <w:rtl w:val="true"/>
              </w:rPr>
              <w:t>:</w:t>
              <w:tab/>
            </w:r>
            <w:r>
              <w:rPr>
                <w:rStyle w:val="IndexLink"/>
              </w:rPr>
              <w:t>300</w:t>
            </w:r>
          </w:hyperlink>
        </w:p>
        <w:p>
          <w:pPr>
            <w:pStyle w:val="Contents5"/>
            <w:tabs>
              <w:tab w:val="clear" w:pos="7892"/>
              <w:tab w:val="right" w:pos="9026" w:leader="dot"/>
            </w:tabs>
            <w:rPr/>
          </w:pPr>
          <w:hyperlink w:anchor="__RefHeading___Toc5767535_3224264995">
            <w:r>
              <w:rPr>
                <w:webHidden/>
                <w:rStyle w:val="IndexLink"/>
                <w:rtl w:val="true"/>
              </w:rPr>
              <w:t>نسبة التمسّک بالاستصحاب فی هذه المسألة إلی الفاضلین</w:t>
            </w:r>
            <w:r>
              <w:rPr>
                <w:rStyle w:val="IndexLink"/>
                <w:rtl w:val="true"/>
              </w:rPr>
              <w:t>:</w:t>
              <w:tab/>
            </w:r>
            <w:r>
              <w:rPr>
                <w:rStyle w:val="IndexLink"/>
              </w:rPr>
              <w:t>301</w:t>
            </w:r>
          </w:hyperlink>
        </w:p>
        <w:p>
          <w:pPr>
            <w:pStyle w:val="Contents6"/>
            <w:tabs>
              <w:tab w:val="clear" w:pos="7609"/>
              <w:tab w:val="right" w:pos="9026" w:leader="dot"/>
            </w:tabs>
            <w:rPr/>
          </w:pPr>
          <w:hyperlink w:anchor="__RefHeading___Toc5767537_3224264995">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5767539_3224264995">
            <w:r>
              <w:rPr>
                <w:webHidden/>
                <w:rStyle w:val="IndexLink"/>
                <w:rtl w:val="true"/>
              </w:rPr>
              <w:t>المناقشة فی هذه النسبة</w:t>
            </w:r>
            <w:r>
              <w:rPr>
                <w:rStyle w:val="IndexLink"/>
                <w:rtl w:val="true"/>
              </w:rPr>
              <w:t>:</w:t>
              <w:tab/>
            </w:r>
            <w:r>
              <w:rPr>
                <w:rStyle w:val="IndexLink"/>
              </w:rPr>
              <w:t>301</w:t>
            </w:r>
          </w:hyperlink>
        </w:p>
        <w:p>
          <w:pPr>
            <w:pStyle w:val="Contents4"/>
            <w:tabs>
              <w:tab w:val="clear" w:pos="8176"/>
              <w:tab w:val="right" w:pos="9026" w:leader="dot"/>
            </w:tabs>
            <w:rPr/>
          </w:pPr>
          <w:hyperlink w:anchor="__RefHeading___Toc5767541_3224264995">
            <w:r>
              <w:rPr>
                <w:webHidden/>
                <w:rStyle w:val="IndexLink"/>
                <w:rtl w:val="true"/>
              </w:rPr>
              <w:t xml:space="preserve">الأمر الثانی عشر </w:t>
            </w:r>
            <w:r>
              <w:rPr>
                <w:rStyle w:val="IndexLink"/>
                <w:rtl w:val="true"/>
              </w:rPr>
              <w:t>:</w:t>
            </w:r>
            <w:r>
              <w:rPr>
                <w:rStyle w:val="IndexLink"/>
                <w:rtl w:val="true"/>
              </w:rPr>
              <w:t>جریان الاستصحاب حتّی مع الظنّ بالخلاف و الدلیل علیه من وجوه</w:t>
            </w:r>
            <w:r>
              <w:rPr>
                <w:rStyle w:val="IndexLink"/>
                <w:rtl w:val="true"/>
              </w:rPr>
              <w:tab/>
            </w:r>
            <w:r>
              <w:rPr>
                <w:rStyle w:val="IndexLink"/>
              </w:rPr>
              <w:t>303</w:t>
            </w:r>
          </w:hyperlink>
        </w:p>
        <w:p>
          <w:pPr>
            <w:pStyle w:val="Contents5"/>
            <w:tabs>
              <w:tab w:val="clear" w:pos="7892"/>
              <w:tab w:val="right" w:pos="9026" w:leader="dot"/>
            </w:tabs>
            <w:rPr/>
          </w:pPr>
          <w:hyperlink w:anchor="__RefHeading___Toc5767543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767545_3224264995">
            <w:r>
              <w:rPr>
                <w:webHidden/>
                <w:rStyle w:val="IndexLink"/>
                <w:rtl w:val="true"/>
              </w:rPr>
              <w:t>الوجه الأوّل</w:t>
            </w:r>
            <w:r>
              <w:rPr>
                <w:rStyle w:val="IndexLink"/>
                <w:rtl w:val="true"/>
              </w:rPr>
              <w:t>:</w:t>
            </w:r>
            <w:r>
              <w:rPr>
                <w:rStyle w:val="IndexLink"/>
                <w:rtl w:val="true"/>
              </w:rPr>
              <w:t>الإجماع القطعیّ</w:t>
            </w:r>
            <w:r>
              <w:rPr>
                <w:rStyle w:val="IndexLink"/>
                <w:rtl w:val="true"/>
              </w:rPr>
              <w:tab/>
            </w:r>
            <w:r>
              <w:rPr>
                <w:rStyle w:val="IndexLink"/>
              </w:rPr>
              <w:t>303</w:t>
            </w:r>
          </w:hyperlink>
        </w:p>
        <w:p>
          <w:pPr>
            <w:pStyle w:val="Contents5"/>
            <w:tabs>
              <w:tab w:val="clear" w:pos="7892"/>
              <w:tab w:val="right" w:pos="9026" w:leader="dot"/>
            </w:tabs>
            <w:rPr/>
          </w:pPr>
          <w:hyperlink w:anchor="__RefHeading___Toc5767547_3224264995">
            <w:r>
              <w:rPr>
                <w:webHidden/>
                <w:rStyle w:val="IndexLink"/>
                <w:rtl w:val="true"/>
              </w:rPr>
              <w:t>الوجه</w:t>
            </w:r>
            <w:r>
              <w:rPr>
                <w:rStyle w:val="IndexLink"/>
                <w:rtl w:val="true"/>
              </w:rPr>
              <w:t xml:space="preserve">: </w:t>
            </w:r>
            <w:r>
              <w:rPr>
                <w:rStyle w:val="IndexLink"/>
                <w:rtl w:val="true"/>
              </w:rPr>
              <w:t>الثانی</w:t>
            </w:r>
            <w:r>
              <w:rPr>
                <w:rStyle w:val="IndexLink"/>
                <w:rtl w:val="true"/>
              </w:rPr>
              <w:t>:</w:t>
            </w:r>
            <w:r>
              <w:rPr>
                <w:rStyle w:val="IndexLink"/>
                <w:rtl w:val="true"/>
              </w:rPr>
              <w:t>أنّ المراد بالشکّ فی الروایات معناه اللغویّ،</w:t>
            </w:r>
            <w:r>
              <w:rPr>
                <w:rStyle w:val="IndexLink"/>
                <w:rtl w:val="true"/>
              </w:rPr>
              <w:tab/>
            </w:r>
            <w:r>
              <w:rPr>
                <w:rStyle w:val="IndexLink"/>
              </w:rPr>
              <w:t>303</w:t>
            </w:r>
          </w:hyperlink>
        </w:p>
        <w:p>
          <w:pPr>
            <w:pStyle w:val="Contents5"/>
            <w:tabs>
              <w:tab w:val="clear" w:pos="7892"/>
              <w:tab w:val="right" w:pos="9026" w:leader="dot"/>
            </w:tabs>
            <w:rPr/>
          </w:pPr>
          <w:hyperlink w:anchor="__RefHeading___Toc5767549_3224264995">
            <w:r>
              <w:rPr>
                <w:webHidden/>
                <w:rStyle w:val="IndexLink"/>
                <w:rtl w:val="true"/>
              </w:rPr>
              <w:t>الوجه</w:t>
            </w:r>
            <w:r>
              <w:rPr>
                <w:rStyle w:val="IndexLink"/>
                <w:rtl w:val="true"/>
              </w:rPr>
              <w:t xml:space="preserve">: </w:t>
            </w:r>
            <w:r>
              <w:rPr>
                <w:rStyle w:val="IndexLink"/>
                <w:rtl w:val="true"/>
              </w:rPr>
              <w:t>الثالث</w:t>
            </w:r>
            <w:r>
              <w:rPr>
                <w:rStyle w:val="IndexLink"/>
                <w:rtl w:val="true"/>
              </w:rPr>
              <w:t>:</w:t>
            </w:r>
            <w:r>
              <w:rPr>
                <w:rStyle w:val="IndexLink"/>
                <w:rtl w:val="true"/>
              </w:rPr>
              <w:t>أنّ الظنّ الغیر المعتبر إن علم بعدم اعتباره</w:t>
            </w:r>
            <w:r>
              <w:rPr>
                <w:rStyle w:val="IndexLink"/>
                <w:rtl w:val="true"/>
              </w:rPr>
              <w:tab/>
            </w:r>
            <w:r>
              <w:rPr>
                <w:rStyle w:val="IndexLink"/>
              </w:rPr>
              <w:t>304</w:t>
            </w:r>
          </w:hyperlink>
        </w:p>
        <w:p>
          <w:pPr>
            <w:pStyle w:val="Contents6"/>
            <w:tabs>
              <w:tab w:val="clear" w:pos="7609"/>
              <w:tab w:val="right" w:pos="9026" w:leader="dot"/>
            </w:tabs>
            <w:rPr/>
          </w:pPr>
          <w:hyperlink w:anchor="__RefHeading___Toc5767551_3224264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767553_3224264995">
            <w:r>
              <w:rPr>
                <w:webHidden/>
                <w:rStyle w:val="IndexLink"/>
                <w:rtl w:val="true"/>
              </w:rPr>
              <w:t>تنبیه</w:t>
            </w:r>
            <w:r>
              <w:rPr>
                <w:rStyle w:val="IndexLink"/>
                <w:rtl w:val="true"/>
              </w:rPr>
              <w:t xml:space="preserve">: </w:t>
            </w:r>
            <w:r>
              <w:rPr>
                <w:rStyle w:val="IndexLink"/>
                <w:rtl w:val="true"/>
              </w:rPr>
              <w:t>کلام الشهید فی الذکری</w:t>
            </w:r>
            <w:r>
              <w:rPr>
                <w:rStyle w:val="IndexLink"/>
                <w:rtl w:val="true"/>
              </w:rPr>
              <w:tab/>
            </w:r>
            <w:r>
              <w:rPr>
                <w:rStyle w:val="IndexLink"/>
              </w:rPr>
              <w:t>305</w:t>
            </w:r>
          </w:hyperlink>
        </w:p>
        <w:p>
          <w:pPr>
            <w:pStyle w:val="Contents6"/>
            <w:tabs>
              <w:tab w:val="clear" w:pos="7609"/>
              <w:tab w:val="right" w:pos="9026" w:leader="dot"/>
            </w:tabs>
            <w:rPr/>
          </w:pPr>
          <w:hyperlink w:anchor="__RefHeading___Toc5767555_3224264995">
            <w:r>
              <w:rPr>
                <w:webHidden/>
                <w:rStyle w:val="IndexLink"/>
                <w:rtl w:val="true"/>
              </w:rPr>
              <w:t>توجیه کلام الشهید</w:t>
            </w:r>
            <w:r>
              <w:rPr>
                <w:rStyle w:val="IndexLink"/>
                <w:rtl w:val="true"/>
              </w:rPr>
              <w:t>«</w:t>
            </w:r>
            <w:r>
              <w:rPr>
                <w:rStyle w:val="IndexLink"/>
                <w:rtl w:val="true"/>
              </w:rPr>
              <w:t>قدس سره</w:t>
            </w:r>
            <w:r>
              <w:rPr>
                <w:rStyle w:val="IndexLink"/>
                <w:rtl w:val="true"/>
              </w:rPr>
              <w:t>»:</w:t>
              <w:tab/>
            </w:r>
            <w:r>
              <w:rPr>
                <w:rStyle w:val="IndexLink"/>
              </w:rPr>
              <w:t>305</w:t>
            </w:r>
          </w:hyperlink>
        </w:p>
        <w:p>
          <w:pPr>
            <w:pStyle w:val="Contents6"/>
            <w:tabs>
              <w:tab w:val="clear" w:pos="7609"/>
              <w:tab w:val="right" w:pos="9026" w:leader="dot"/>
            </w:tabs>
            <w:rPr/>
          </w:pPr>
          <w:hyperlink w:anchor="__RefHeading___Toc5767557_3224264995">
            <w:r>
              <w:rPr>
                <w:webHidden/>
                <w:rStyle w:val="IndexLink"/>
                <w:rtl w:val="true"/>
              </w:rPr>
              <w:t>ما یرد علی هذا التوجیه</w:t>
            </w:r>
            <w:r>
              <w:rPr>
                <w:rStyle w:val="IndexLink"/>
                <w:rtl w:val="true"/>
              </w:rPr>
              <w:t>:</w:t>
              <w:tab/>
            </w:r>
            <w:r>
              <w:rPr>
                <w:rStyle w:val="IndexLink"/>
              </w:rPr>
              <w:t>306</w:t>
            </w:r>
          </w:hyperlink>
        </w:p>
        <w:p>
          <w:pPr>
            <w:pStyle w:val="Contents6"/>
            <w:tabs>
              <w:tab w:val="clear" w:pos="7609"/>
              <w:tab w:val="right" w:pos="9026" w:leader="dot"/>
            </w:tabs>
            <w:rPr/>
          </w:pPr>
          <w:hyperlink w:anchor="__RefHeading___Toc5767559_3224264995">
            <w:r>
              <w:rPr>
                <w:webHidden/>
                <w:rStyle w:val="IndexLink"/>
                <w:rtl w:val="true"/>
              </w:rPr>
              <w:t>المراد من قولهم</w:t>
            </w:r>
            <w:r>
              <w:rPr>
                <w:rStyle w:val="IndexLink"/>
                <w:rtl w:val="true"/>
              </w:rPr>
              <w:t>:«</w:t>
            </w:r>
            <w:r>
              <w:rPr>
                <w:rStyle w:val="IndexLink"/>
                <w:rtl w:val="true"/>
              </w:rPr>
              <w:t>الیقین لا یرفعه الشکّ</w:t>
            </w:r>
            <w:r>
              <w:rPr>
                <w:rStyle w:val="IndexLink"/>
                <w:rtl w:val="true"/>
              </w:rPr>
              <w:t>»:</w:t>
              <w:tab/>
            </w:r>
            <w:r>
              <w:rPr>
                <w:rStyle w:val="IndexLink"/>
              </w:rPr>
              <w:t>306</w:t>
            </w:r>
          </w:hyperlink>
        </w:p>
        <w:p>
          <w:pPr>
            <w:pStyle w:val="Contents3"/>
            <w:tabs>
              <w:tab w:val="clear" w:pos="8459"/>
              <w:tab w:val="right" w:pos="9026" w:leader="dot"/>
            </w:tabs>
            <w:rPr/>
          </w:pPr>
          <w:hyperlink w:anchor="__RefHeading___Toc5767561_3224264995">
            <w:r>
              <w:rPr>
                <w:webHidden/>
                <w:rStyle w:val="IndexLink"/>
                <w:rtl w:val="true"/>
              </w:rPr>
              <w:t>خاتمة</w:t>
            </w:r>
            <w:r>
              <w:rPr>
                <w:rStyle w:val="IndexLink"/>
                <w:rtl w:val="true"/>
              </w:rPr>
              <w:tab/>
            </w:r>
            <w:r>
              <w:rPr>
                <w:rStyle w:val="IndexLink"/>
              </w:rPr>
              <w:t>307</w:t>
            </w:r>
          </w:hyperlink>
        </w:p>
        <w:p>
          <w:pPr>
            <w:pStyle w:val="Contents4"/>
            <w:tabs>
              <w:tab w:val="clear" w:pos="8176"/>
              <w:tab w:val="right" w:pos="9026" w:leader="dot"/>
            </w:tabs>
            <w:rPr/>
          </w:pPr>
          <w:hyperlink w:anchor="__RefHeading___Toc5767563_3224264995">
            <w:r>
              <w:rPr>
                <w:webHidden/>
                <w:rStyle w:val="IndexLink"/>
                <w:rtl w:val="true"/>
              </w:rPr>
              <w:t>شرائط العمل بالاستصحاب</w:t>
            </w:r>
            <w:r>
              <w:rPr>
                <w:rStyle w:val="IndexLink"/>
                <w:rtl w:val="true"/>
              </w:rPr>
              <w:t>::</w:t>
              <w:tab/>
            </w:r>
            <w:r>
              <w:rPr>
                <w:rStyle w:val="IndexLink"/>
              </w:rPr>
              <w:t>307</w:t>
            </w:r>
          </w:hyperlink>
        </w:p>
        <w:p>
          <w:pPr>
            <w:pStyle w:val="Contents5"/>
            <w:tabs>
              <w:tab w:val="clear" w:pos="7892"/>
              <w:tab w:val="right" w:pos="9026" w:leader="dot"/>
            </w:tabs>
            <w:rPr/>
          </w:pPr>
          <w:hyperlink w:anchor="__RefHeading___Toc5767565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5767567_3224264995">
            <w:r>
              <w:rPr>
                <w:webHidden/>
                <w:rStyle w:val="IndexLink"/>
                <w:rtl w:val="true"/>
              </w:rPr>
              <w:t xml:space="preserve">الأمر الأوّل </w:t>
            </w:r>
            <w:r>
              <w:rPr>
                <w:rStyle w:val="IndexLink"/>
                <w:rtl w:val="true"/>
              </w:rPr>
              <w:t>:</w:t>
            </w:r>
            <w:r>
              <w:rPr>
                <w:rStyle w:val="IndexLink"/>
                <w:rtl w:val="true"/>
              </w:rPr>
              <w:t>اشتراط بقاء الموضوع</w:t>
            </w:r>
            <w:r>
              <w:rPr>
                <w:rStyle w:val="IndexLink"/>
                <w:rtl w:val="true"/>
              </w:rPr>
              <w:t>:</w:t>
              <w:tab/>
            </w:r>
            <w:r>
              <w:rPr>
                <w:rStyle w:val="IndexLink"/>
              </w:rPr>
              <w:t>307</w:t>
            </w:r>
          </w:hyperlink>
        </w:p>
        <w:p>
          <w:pPr>
            <w:pStyle w:val="Contents6"/>
            <w:tabs>
              <w:tab w:val="clear" w:pos="7609"/>
              <w:tab w:val="right" w:pos="9026" w:leader="dot"/>
            </w:tabs>
            <w:rPr/>
          </w:pPr>
          <w:hyperlink w:anchor="__RefHeading___Toc5767569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5767571_3224264995">
            <w:r>
              <w:rPr>
                <w:webHidden/>
                <w:rStyle w:val="IndexLink"/>
                <w:rtl w:val="true"/>
              </w:rPr>
              <w:t>الدلیل علی هذا الشرط</w:t>
            </w:r>
            <w:r>
              <w:rPr>
                <w:rStyle w:val="IndexLink"/>
                <w:rtl w:val="true"/>
              </w:rPr>
              <w:t>:</w:t>
              <w:tab/>
            </w:r>
            <w:r>
              <w:rPr>
                <w:rStyle w:val="IndexLink"/>
              </w:rPr>
              <w:t>308</w:t>
            </w:r>
          </w:hyperlink>
        </w:p>
        <w:p>
          <w:pPr>
            <w:pStyle w:val="Contents6"/>
            <w:tabs>
              <w:tab w:val="clear" w:pos="7609"/>
              <w:tab w:val="right" w:pos="9026" w:leader="dot"/>
            </w:tabs>
            <w:rPr/>
          </w:pPr>
          <w:hyperlink w:anchor="__RefHeading___Toc5767573_3224264995">
            <w:r>
              <w:rPr>
                <w:webHidden/>
                <w:rStyle w:val="IndexLink"/>
                <w:rtl w:val="true"/>
              </w:rPr>
              <w:t>المعتبر هو العلم ببقاء الموضوع</w:t>
            </w:r>
            <w:r>
              <w:rPr>
                <w:rStyle w:val="IndexLink"/>
                <w:rtl w:val="true"/>
              </w:rPr>
              <w:t>:</w:t>
              <w:tab/>
            </w:r>
            <w:r>
              <w:rPr>
                <w:rStyle w:val="IndexLink"/>
              </w:rPr>
              <w:t>309</w:t>
            </w:r>
          </w:hyperlink>
        </w:p>
        <w:p>
          <w:pPr>
            <w:pStyle w:val="Contents6"/>
            <w:tabs>
              <w:tab w:val="clear" w:pos="7609"/>
              <w:tab w:val="right" w:pos="9026" w:leader="dot"/>
            </w:tabs>
            <w:rPr/>
          </w:pPr>
          <w:hyperlink w:anchor="__RefHeading___Toc5767575_3224264995">
            <w:r>
              <w:rPr>
                <w:webHidden/>
                <w:rStyle w:val="IndexLink"/>
                <w:rtl w:val="true"/>
              </w:rPr>
              <w:t>هل یجوز إحراز الموضوع فی الزمان اللاحق بالاستصحاب؟</w:t>
            </w:r>
            <w:r>
              <w:rPr>
                <w:rStyle w:val="IndexLink"/>
                <w:rtl w:val="true"/>
              </w:rPr>
              <w:t>:</w:t>
              <w:tab/>
            </w:r>
            <w:r>
              <w:rPr>
                <w:rStyle w:val="IndexLink"/>
              </w:rPr>
              <w:t>309</w:t>
            </w:r>
          </w:hyperlink>
        </w:p>
        <w:p>
          <w:pPr>
            <w:pStyle w:val="Contents6"/>
            <w:tabs>
              <w:tab w:val="clear" w:pos="7609"/>
              <w:tab w:val="right" w:pos="9026" w:leader="dot"/>
            </w:tabs>
            <w:rPr/>
          </w:pPr>
          <w:hyperlink w:anchor="__RefHeading___Toc5767577_3224264995">
            <w:r>
              <w:rPr>
                <w:webHidden/>
                <w:rStyle w:val="IndexLink"/>
                <w:rtl w:val="true"/>
              </w:rPr>
              <w:t>الشکّ فی الحکم من جهة الشکّ فی القیود المأخوذة فی الموضوع</w:t>
            </w:r>
            <w:r>
              <w:rPr>
                <w:rStyle w:val="IndexLink"/>
                <w:rtl w:val="true"/>
              </w:rPr>
              <w:t>:</w:t>
              <w:tab/>
            </w:r>
            <w:r>
              <w:rPr>
                <w:rStyle w:val="IndexLink"/>
              </w:rPr>
              <w:t>312</w:t>
            </w:r>
          </w:hyperlink>
        </w:p>
        <w:p>
          <w:pPr>
            <w:pStyle w:val="Contents6"/>
            <w:tabs>
              <w:tab w:val="clear" w:pos="7609"/>
              <w:tab w:val="right" w:pos="9026" w:leader="dot"/>
            </w:tabs>
            <w:rPr/>
          </w:pPr>
          <w:hyperlink w:anchor="__RefHeading___Toc5767579_3224264995">
            <w:r>
              <w:rPr>
                <w:webHidden/>
                <w:rStyle w:val="IndexLink"/>
                <w:rtl w:val="true"/>
              </w:rPr>
              <w:t>ما یمیّز به القیود المأخوذة فی الموضوع أحد امور</w:t>
            </w:r>
            <w:r>
              <w:rPr>
                <w:rStyle w:val="IndexLink"/>
                <w:rtl w:val="true"/>
              </w:rPr>
              <w:t>:</w:t>
              <w:tab/>
            </w:r>
            <w:r>
              <w:rPr>
                <w:rStyle w:val="IndexLink"/>
              </w:rPr>
              <w:t>312</w:t>
            </w:r>
          </w:hyperlink>
        </w:p>
        <w:p>
          <w:pPr>
            <w:pStyle w:val="Contents6"/>
            <w:tabs>
              <w:tab w:val="clear" w:pos="7609"/>
              <w:tab w:val="right" w:pos="9026" w:leader="dot"/>
            </w:tabs>
            <w:rPr/>
          </w:pPr>
          <w:hyperlink w:anchor="__RefHeading___Toc5767581_3224264995">
            <w:r>
              <w:rPr>
                <w:webHidden/>
                <w:rStyle w:val="IndexLink"/>
                <w:rtl w:val="true"/>
              </w:rPr>
              <w:t>الأوّل</w:t>
            </w:r>
            <w:r>
              <w:rPr>
                <w:rStyle w:val="IndexLink"/>
                <w:rtl w:val="true"/>
              </w:rPr>
              <w:t>:</w:t>
            </w:r>
            <w:r>
              <w:rPr>
                <w:rStyle w:val="IndexLink"/>
                <w:rtl w:val="true"/>
              </w:rPr>
              <w:t>العقل</w:t>
            </w:r>
            <w:r>
              <w:rPr>
                <w:rStyle w:val="IndexLink"/>
                <w:rtl w:val="true"/>
              </w:rPr>
              <w:tab/>
            </w:r>
            <w:r>
              <w:rPr>
                <w:rStyle w:val="IndexLink"/>
              </w:rPr>
              <w:t>312</w:t>
            </w:r>
          </w:hyperlink>
        </w:p>
        <w:p>
          <w:pPr>
            <w:pStyle w:val="Contents6"/>
            <w:tabs>
              <w:tab w:val="clear" w:pos="7609"/>
              <w:tab w:val="right" w:pos="9026" w:leader="dot"/>
            </w:tabs>
            <w:rPr/>
          </w:pPr>
          <w:hyperlink w:anchor="__RefHeading___Toc5767583_3224264995">
            <w:r>
              <w:rPr>
                <w:webHidden/>
                <w:rStyle w:val="IndexLink"/>
                <w:rtl w:val="true"/>
              </w:rPr>
              <w:t>الثانی</w:t>
            </w:r>
            <w:r>
              <w:rPr>
                <w:rStyle w:val="IndexLink"/>
                <w:rtl w:val="true"/>
              </w:rPr>
              <w:t xml:space="preserve">: </w:t>
            </w:r>
            <w:r>
              <w:rPr>
                <w:rStyle w:val="IndexLink"/>
                <w:rtl w:val="true"/>
              </w:rPr>
              <w:t>لسان الدلیل</w:t>
            </w:r>
            <w:r>
              <w:rPr>
                <w:rStyle w:val="IndexLink"/>
                <w:rtl w:val="true"/>
              </w:rPr>
              <w:tab/>
            </w:r>
            <w:r>
              <w:rPr>
                <w:rStyle w:val="IndexLink"/>
              </w:rPr>
              <w:t>313</w:t>
            </w:r>
          </w:hyperlink>
        </w:p>
        <w:p>
          <w:pPr>
            <w:pStyle w:val="Contents6"/>
            <w:tabs>
              <w:tab w:val="clear" w:pos="7609"/>
              <w:tab w:val="right" w:pos="9026" w:leader="dot"/>
            </w:tabs>
            <w:rPr/>
          </w:pPr>
          <w:hyperlink w:anchor="__RefHeading___Toc5767585_3224264995">
            <w:r>
              <w:rPr>
                <w:webHidden/>
                <w:rStyle w:val="IndexLink"/>
                <w:rtl w:val="true"/>
              </w:rPr>
              <w:t>الثالث</w:t>
            </w:r>
            <w:r>
              <w:rPr>
                <w:rStyle w:val="IndexLink"/>
                <w:rtl w:val="true"/>
              </w:rPr>
              <w:t>:</w:t>
            </w:r>
            <w:r>
              <w:rPr>
                <w:rStyle w:val="IndexLink"/>
                <w:rtl w:val="true"/>
              </w:rPr>
              <w:t>أن یرجع فی ذلک إلی العرف</w:t>
            </w:r>
            <w:r>
              <w:rPr>
                <w:rStyle w:val="IndexLink"/>
                <w:rtl w:val="true"/>
              </w:rPr>
              <w:tab/>
            </w:r>
            <w:r>
              <w:rPr>
                <w:rStyle w:val="IndexLink"/>
              </w:rPr>
              <w:t>313</w:t>
            </w:r>
          </w:hyperlink>
        </w:p>
        <w:p>
          <w:pPr>
            <w:pStyle w:val="Contents6"/>
            <w:tabs>
              <w:tab w:val="clear" w:pos="7609"/>
              <w:tab w:val="right" w:pos="9026" w:leader="dot"/>
            </w:tabs>
            <w:rPr/>
          </w:pPr>
          <w:hyperlink w:anchor="__RefHeading___Toc5767587_3224264995">
            <w:r>
              <w:rPr>
                <w:webHidden/>
                <w:rStyle w:val="IndexLink"/>
                <w:rtl w:val="true"/>
              </w:rPr>
              <w:t>کلام الفاضلین تأییدا لکون المیزان نظر العرف</w:t>
            </w:r>
            <w:r>
              <w:rPr>
                <w:rStyle w:val="IndexLink"/>
                <w:rtl w:val="true"/>
              </w:rPr>
              <w:t>:</w:t>
              <w:tab/>
            </w:r>
            <w:r>
              <w:rPr>
                <w:rStyle w:val="IndexLink"/>
              </w:rPr>
              <w:t>314</w:t>
            </w:r>
          </w:hyperlink>
        </w:p>
        <w:p>
          <w:pPr>
            <w:pStyle w:val="Contents6"/>
            <w:tabs>
              <w:tab w:val="clear" w:pos="7609"/>
              <w:tab w:val="right" w:pos="9026" w:leader="dot"/>
            </w:tabs>
            <w:rPr/>
          </w:pPr>
          <w:hyperlink w:anchor="__RefHeading___Toc5767589_3224264995">
            <w:r>
              <w:rPr>
                <w:webHidden/>
                <w:rStyle w:val="IndexLink"/>
                <w:rtl w:val="true"/>
              </w:rPr>
              <w:t>الفرق بین نجس العین و المتنجّس عند الاستحالة</w:t>
            </w:r>
            <w:r>
              <w:rPr>
                <w:rStyle w:val="IndexLink"/>
                <w:rtl w:val="true"/>
              </w:rPr>
              <w:t>:</w:t>
              <w:tab/>
            </w:r>
            <w:r>
              <w:rPr>
                <w:rStyle w:val="IndexLink"/>
              </w:rPr>
              <w:t>315</w:t>
            </w:r>
          </w:hyperlink>
        </w:p>
        <w:p>
          <w:pPr>
            <w:pStyle w:val="Contents6"/>
            <w:tabs>
              <w:tab w:val="clear" w:pos="7609"/>
              <w:tab w:val="right" w:pos="9026" w:leader="dot"/>
            </w:tabs>
            <w:rPr/>
          </w:pPr>
          <w:hyperlink w:anchor="__RefHeading___Toc5767591_3224264995">
            <w:r>
              <w:rPr>
                <w:webHidden/>
                <w:rStyle w:val="IndexLink"/>
                <w:rtl w:val="true"/>
              </w:rPr>
              <w:t>الإشکال فی هذا الفرق</w:t>
            </w:r>
            <w:r>
              <w:rPr>
                <w:rStyle w:val="IndexLink"/>
                <w:rtl w:val="true"/>
              </w:rPr>
              <w:t>:</w:t>
              <w:tab/>
            </w:r>
            <w:r>
              <w:rPr>
                <w:rStyle w:val="IndexLink"/>
              </w:rPr>
              <w:t>315</w:t>
            </w:r>
          </w:hyperlink>
        </w:p>
        <w:p>
          <w:pPr>
            <w:pStyle w:val="Contents6"/>
            <w:tabs>
              <w:tab w:val="clear" w:pos="7609"/>
              <w:tab w:val="right" w:pos="9026" w:leader="dot"/>
            </w:tabs>
            <w:rPr/>
          </w:pPr>
          <w:hyperlink w:anchor="__RefHeading___Toc5767593_3224264995">
            <w:r>
              <w:rPr>
                <w:webHidden/>
                <w:rStyle w:val="IndexLink"/>
                <w:rtl w:val="true"/>
              </w:rPr>
              <w:t>عدم الفرق بناء علی کون المحکّم نظر العرف</w:t>
            </w:r>
            <w:r>
              <w:rPr>
                <w:rStyle w:val="IndexLink"/>
                <w:rtl w:val="true"/>
              </w:rPr>
              <w:t>:</w:t>
              <w:tab/>
            </w:r>
            <w:r>
              <w:rPr>
                <w:rStyle w:val="IndexLink"/>
              </w:rPr>
              <w:t>317</w:t>
            </w:r>
          </w:hyperlink>
        </w:p>
        <w:p>
          <w:pPr>
            <w:pStyle w:val="Contents6"/>
            <w:tabs>
              <w:tab w:val="clear" w:pos="7609"/>
              <w:tab w:val="right" w:pos="9026" w:leader="dot"/>
            </w:tabs>
            <w:rPr/>
          </w:pPr>
          <w:hyperlink w:anchor="__RefHeading___Toc5767595_3224264995">
            <w:r>
              <w:rPr>
                <w:webHidden/>
                <w:rStyle w:val="IndexLink"/>
                <w:rtl w:val="true"/>
              </w:rPr>
              <w:t>مراتب التغیّر و الأحکام مختلفة</w:t>
            </w:r>
            <w:r>
              <w:rPr>
                <w:rStyle w:val="IndexLink"/>
                <w:rtl w:val="true"/>
              </w:rPr>
              <w:t>:</w:t>
              <w:tab/>
            </w:r>
            <w:r>
              <w:rPr>
                <w:rStyle w:val="IndexLink"/>
              </w:rPr>
              <w:t>318</w:t>
            </w:r>
          </w:hyperlink>
        </w:p>
        <w:p>
          <w:pPr>
            <w:pStyle w:val="Contents6"/>
            <w:tabs>
              <w:tab w:val="clear" w:pos="7609"/>
              <w:tab w:val="right" w:pos="9026" w:leader="dot"/>
            </w:tabs>
            <w:rPr/>
          </w:pPr>
          <w:hyperlink w:anchor="__RefHeading___Toc5767597_3224264995">
            <w:r>
              <w:rPr>
                <w:webHidden/>
                <w:rStyle w:val="IndexLink"/>
                <w:rtl w:val="true"/>
              </w:rPr>
              <w:t>معنی قولهم</w:t>
            </w:r>
            <w:r>
              <w:rPr>
                <w:rStyle w:val="IndexLink"/>
                <w:rtl w:val="true"/>
              </w:rPr>
              <w:t>:«</w:t>
            </w:r>
            <w:r>
              <w:rPr>
                <w:rStyle w:val="IndexLink"/>
                <w:rtl w:val="true"/>
              </w:rPr>
              <w:t>الأحکام تدور مدار الأسماء</w:t>
            </w:r>
            <w:r>
              <w:rPr>
                <w:rStyle w:val="IndexLink"/>
                <w:rtl w:val="true"/>
              </w:rPr>
              <w:t>»:</w:t>
              <w:tab/>
            </w:r>
            <w:r>
              <w:rPr>
                <w:rStyle w:val="IndexLink"/>
              </w:rPr>
              <w:t>319</w:t>
            </w:r>
          </w:hyperlink>
        </w:p>
        <w:p>
          <w:pPr>
            <w:pStyle w:val="Contents5"/>
            <w:tabs>
              <w:tab w:val="clear" w:pos="7892"/>
              <w:tab w:val="right" w:pos="9026" w:leader="dot"/>
            </w:tabs>
            <w:rPr/>
          </w:pPr>
          <w:hyperlink w:anchor="__RefHeading___Toc5767599_3224264995">
            <w:r>
              <w:rPr>
                <w:webHidden/>
                <w:rStyle w:val="IndexLink"/>
                <w:rtl w:val="true"/>
              </w:rPr>
              <w:t>الأمر الثانی</w:t>
            </w:r>
            <w:r>
              <w:rPr>
                <w:rStyle w:val="IndexLink"/>
                <w:rtl w:val="true"/>
              </w:rPr>
              <w:t>:</w:t>
            </w:r>
            <w:r>
              <w:rPr>
                <w:rStyle w:val="IndexLink"/>
                <w:rtl w:val="true"/>
              </w:rPr>
              <w:t>اشتراط الشکّ فی البقاء</w:t>
            </w:r>
            <w:r>
              <w:rPr>
                <w:rStyle w:val="IndexLink"/>
                <w:rtl w:val="true"/>
              </w:rPr>
              <w:tab/>
            </w:r>
            <w:r>
              <w:rPr>
                <w:rStyle w:val="IndexLink"/>
              </w:rPr>
              <w:t>320</w:t>
            </w:r>
          </w:hyperlink>
        </w:p>
        <w:p>
          <w:pPr>
            <w:pStyle w:val="Contents6"/>
            <w:tabs>
              <w:tab w:val="clear" w:pos="7609"/>
              <w:tab w:val="right" w:pos="9026" w:leader="dot"/>
            </w:tabs>
            <w:rPr/>
          </w:pPr>
          <w:hyperlink w:anchor="__RefHeading___Toc5767601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767603_3224264995">
            <w:r>
              <w:rPr>
                <w:webHidden/>
                <w:rStyle w:val="IndexLink"/>
                <w:rtl w:val="true"/>
              </w:rPr>
              <w:t>الدلیل علی اعتبار هذا الشرط</w:t>
            </w:r>
            <w:r>
              <w:rPr>
                <w:rStyle w:val="IndexLink"/>
                <w:rtl w:val="true"/>
              </w:rPr>
              <w:t>:</w:t>
              <w:tab/>
            </w:r>
            <w:r>
              <w:rPr>
                <w:rStyle w:val="IndexLink"/>
              </w:rPr>
              <w:t>321</w:t>
            </w:r>
          </w:hyperlink>
        </w:p>
        <w:p>
          <w:pPr>
            <w:pStyle w:val="Contents6"/>
            <w:tabs>
              <w:tab w:val="clear" w:pos="7609"/>
              <w:tab w:val="right" w:pos="9026" w:leader="dot"/>
            </w:tabs>
            <w:rPr/>
          </w:pPr>
          <w:hyperlink w:anchor="__RefHeading___Toc5767605_3224264995">
            <w:r>
              <w:rPr>
                <w:webHidden/>
                <w:rStyle w:val="IndexLink"/>
                <w:rtl w:val="true"/>
              </w:rPr>
              <w:t>قاعدة الیقین و الشکّ الساری</w:t>
            </w:r>
            <w:r>
              <w:rPr>
                <w:rStyle w:val="IndexLink"/>
                <w:rtl w:val="true"/>
              </w:rPr>
              <w:t>:</w:t>
              <w:tab/>
            </w:r>
            <w:r>
              <w:rPr>
                <w:rStyle w:val="IndexLink"/>
              </w:rPr>
              <w:t>321</w:t>
            </w:r>
          </w:hyperlink>
        </w:p>
        <w:p>
          <w:pPr>
            <w:pStyle w:val="Contents6"/>
            <w:tabs>
              <w:tab w:val="clear" w:pos="7609"/>
              <w:tab w:val="right" w:pos="9026" w:leader="dot"/>
            </w:tabs>
            <w:rPr/>
          </w:pPr>
          <w:hyperlink w:anchor="__RefHeading___Toc5767607_3224264995">
            <w:r>
              <w:rPr>
                <w:webHidden/>
                <w:rStyle w:val="IndexLink"/>
                <w:rtl w:val="true"/>
              </w:rPr>
              <w:t xml:space="preserve">تصریح الفاضل السبزواری بأنّ أدلّة الاستصحاب تشمل قاعدة </w:t>
            </w:r>
            <w:r>
              <w:rPr>
                <w:rStyle w:val="IndexLink"/>
                <w:rtl w:val="true"/>
              </w:rPr>
              <w:t>«</w:t>
            </w:r>
            <w:r>
              <w:rPr>
                <w:rStyle w:val="IndexLink"/>
                <w:rtl w:val="true"/>
              </w:rPr>
              <w:t>الیقین</w:t>
            </w:r>
            <w:r>
              <w:rPr>
                <w:rStyle w:val="IndexLink"/>
                <w:rtl w:val="true"/>
              </w:rPr>
              <w:t>»:</w:t>
              <w:tab/>
            </w:r>
            <w:r>
              <w:rPr>
                <w:rStyle w:val="IndexLink"/>
              </w:rPr>
              <w:t>321</w:t>
            </w:r>
          </w:hyperlink>
        </w:p>
        <w:p>
          <w:pPr>
            <w:pStyle w:val="Contents6"/>
            <w:tabs>
              <w:tab w:val="clear" w:pos="7609"/>
              <w:tab w:val="right" w:pos="9026" w:leader="dot"/>
            </w:tabs>
            <w:rPr/>
          </w:pPr>
          <w:hyperlink w:anchor="__RefHeading___Toc5767609_3224264995">
            <w:r>
              <w:rPr>
                <w:webHidden/>
                <w:rStyle w:val="IndexLink"/>
                <w:rtl w:val="true"/>
              </w:rPr>
              <w:t>دفع التوهّم المذکور و توضیح مناط قاعدة الاستصحاب و قاعدة الیقین</w:t>
            </w:r>
            <w:r>
              <w:rPr>
                <w:rStyle w:val="IndexLink"/>
                <w:rtl w:val="true"/>
              </w:rPr>
              <w:t>:</w:t>
              <w:tab/>
            </w:r>
            <w:r>
              <w:rPr>
                <w:rStyle w:val="IndexLink"/>
              </w:rPr>
              <w:t>322</w:t>
            </w:r>
          </w:hyperlink>
        </w:p>
        <w:p>
          <w:pPr>
            <w:pStyle w:val="Contents6"/>
            <w:tabs>
              <w:tab w:val="clear" w:pos="7609"/>
              <w:tab w:val="right" w:pos="9026" w:leader="dot"/>
            </w:tabs>
            <w:rPr/>
          </w:pPr>
          <w:hyperlink w:anchor="__RefHeading___Toc5767611_3224264995">
            <w:r>
              <w:rPr>
                <w:webHidden/>
                <w:rStyle w:val="IndexLink"/>
                <w:rtl w:val="true"/>
              </w:rPr>
              <w:t>عدم إرادة القاعدتین من قوله علیه السّلام</w:t>
            </w:r>
            <w:r>
              <w:rPr>
                <w:rStyle w:val="IndexLink"/>
                <w:rtl w:val="true"/>
              </w:rPr>
              <w:t>:«</w:t>
            </w:r>
            <w:r>
              <w:rPr>
                <w:rStyle w:val="IndexLink"/>
                <w:rtl w:val="true"/>
              </w:rPr>
              <w:t>فلیمض علی یقینه</w:t>
            </w:r>
            <w:r>
              <w:rPr>
                <w:rStyle w:val="IndexLink"/>
                <w:rtl w:val="true"/>
              </w:rPr>
              <w:t>»:</w:t>
              <w:tab/>
            </w:r>
            <w:r>
              <w:rPr>
                <w:rStyle w:val="IndexLink"/>
              </w:rPr>
              <w:t>323</w:t>
            </w:r>
          </w:hyperlink>
        </w:p>
        <w:p>
          <w:pPr>
            <w:pStyle w:val="Contents6"/>
            <w:tabs>
              <w:tab w:val="clear" w:pos="7609"/>
              <w:tab w:val="right" w:pos="9026" w:leader="dot"/>
            </w:tabs>
            <w:rPr/>
          </w:pPr>
          <w:hyperlink w:anchor="__RefHeading___Toc5767613_3224264995">
            <w:r>
              <w:rPr>
                <w:webHidden/>
                <w:rStyle w:val="IndexLink"/>
                <w:rtl w:val="true"/>
              </w:rPr>
              <w:t>عدم إرادة القاعدتین من سائر الأخبار أیضا</w:t>
            </w:r>
            <w:r>
              <w:rPr>
                <w:rStyle w:val="IndexLink"/>
                <w:rtl w:val="true"/>
              </w:rPr>
              <w:t>:</w:t>
              <w:tab/>
            </w:r>
            <w:r>
              <w:rPr>
                <w:rStyle w:val="IndexLink"/>
              </w:rPr>
              <w:t>325</w:t>
            </w:r>
          </w:hyperlink>
        </w:p>
        <w:p>
          <w:pPr>
            <w:pStyle w:val="Contents6"/>
            <w:tabs>
              <w:tab w:val="clear" w:pos="7609"/>
              <w:tab w:val="right" w:pos="9026" w:leader="dot"/>
            </w:tabs>
            <w:rPr/>
          </w:pPr>
          <w:hyperlink w:anchor="__RefHeading___Toc5767615_3224264995">
            <w:r>
              <w:rPr>
                <w:webHidden/>
                <w:rStyle w:val="IndexLink"/>
                <w:rtl w:val="true"/>
              </w:rPr>
              <w:t>اختصاص مدلول الأخبار بقاعدة الاستصحاب</w:t>
            </w:r>
            <w:r>
              <w:rPr>
                <w:rStyle w:val="IndexLink"/>
                <w:rtl w:val="true"/>
              </w:rPr>
              <w:t>:</w:t>
              <w:tab/>
            </w:r>
            <w:r>
              <w:rPr>
                <w:rStyle w:val="IndexLink"/>
              </w:rPr>
              <w:t>326</w:t>
            </w:r>
          </w:hyperlink>
        </w:p>
        <w:p>
          <w:pPr>
            <w:pStyle w:val="Contents6"/>
            <w:tabs>
              <w:tab w:val="clear" w:pos="7609"/>
              <w:tab w:val="right" w:pos="9026" w:leader="dot"/>
            </w:tabs>
            <w:rPr/>
          </w:pPr>
          <w:hyperlink w:anchor="__RefHeading___Toc5767617_3224264995">
            <w:r>
              <w:rPr>
                <w:webHidden/>
                <w:rStyle w:val="IndexLink"/>
                <w:rtl w:val="true"/>
              </w:rPr>
              <w:t>قاعدة الیقین</w:t>
            </w:r>
            <w:r>
              <w:rPr>
                <w:rStyle w:val="IndexLink"/>
                <w:rtl w:val="true"/>
              </w:rPr>
              <w:tab/>
            </w:r>
            <w:r>
              <w:rPr>
                <w:rStyle w:val="IndexLink"/>
              </w:rPr>
              <w:t>328</w:t>
            </w:r>
          </w:hyperlink>
        </w:p>
        <w:p>
          <w:pPr>
            <w:pStyle w:val="Contents6"/>
            <w:tabs>
              <w:tab w:val="clear" w:pos="7609"/>
              <w:tab w:val="right" w:pos="9026" w:leader="dot"/>
            </w:tabs>
            <w:rPr/>
          </w:pPr>
          <w:hyperlink w:anchor="__RefHeading___Toc5767619_3224264995">
            <w:r>
              <w:rPr>
                <w:webHidden/>
                <w:rStyle w:val="IndexLink"/>
                <w:rtl w:val="true"/>
              </w:rPr>
              <w:t>هل یوجد مدرک لقاعدة</w:t>
            </w:r>
            <w:r>
              <w:rPr>
                <w:rStyle w:val="IndexLink"/>
                <w:rtl w:val="true"/>
              </w:rPr>
              <w:t>«</w:t>
            </w:r>
            <w:r>
              <w:rPr>
                <w:rStyle w:val="IndexLink"/>
                <w:rtl w:val="true"/>
              </w:rPr>
              <w:t>الیقین</w:t>
            </w:r>
            <w:r>
              <w:rPr>
                <w:rStyle w:val="IndexLink"/>
                <w:rtl w:val="true"/>
              </w:rPr>
              <w:t>»</w:t>
            </w:r>
            <w:r>
              <w:rPr>
                <w:rStyle w:val="IndexLink"/>
                <w:rtl w:val="true"/>
              </w:rPr>
              <w:t>غیر هذه الأخبار؟</w:t>
            </w:r>
            <w:r>
              <w:rPr>
                <w:rStyle w:val="IndexLink"/>
                <w:rtl w:val="true"/>
              </w:rPr>
              <w:t>:</w:t>
              <w:tab/>
            </w:r>
            <w:r>
              <w:rPr>
                <w:rStyle w:val="IndexLink"/>
              </w:rPr>
              <w:t>328</w:t>
            </w:r>
          </w:hyperlink>
        </w:p>
        <w:p>
          <w:pPr>
            <w:pStyle w:val="Contents6"/>
            <w:tabs>
              <w:tab w:val="clear" w:pos="7609"/>
              <w:tab w:val="right" w:pos="9026" w:leader="dot"/>
            </w:tabs>
            <w:rPr/>
          </w:pPr>
          <w:hyperlink w:anchor="__RefHeading___Toc5767621_3224264995">
            <w:r>
              <w:rPr>
                <w:webHidden/>
                <w:rStyle w:val="IndexLink"/>
                <w:rtl w:val="true"/>
              </w:rPr>
              <w:t>لو ارید من القاعدة إثبات الحدوث و البقاء معا</w:t>
            </w:r>
            <w:r>
              <w:rPr>
                <w:rStyle w:val="IndexLink"/>
                <w:rtl w:val="true"/>
              </w:rPr>
              <w:t>:</w:t>
              <w:tab/>
            </w:r>
            <w:r>
              <w:rPr>
                <w:rStyle w:val="IndexLink"/>
              </w:rPr>
              <w:t>329</w:t>
            </w:r>
          </w:hyperlink>
        </w:p>
        <w:p>
          <w:pPr>
            <w:pStyle w:val="Contents6"/>
            <w:tabs>
              <w:tab w:val="clear" w:pos="7609"/>
              <w:tab w:val="right" w:pos="9026" w:leader="dot"/>
            </w:tabs>
            <w:rPr/>
          </w:pPr>
          <w:hyperlink w:anchor="__RefHeading___Toc5767623_3224264995">
            <w:r>
              <w:rPr>
                <w:webHidden/>
                <w:rStyle w:val="IndexLink"/>
                <w:rtl w:val="true"/>
              </w:rPr>
              <w:t>عدم صحّة الاستدلال بأدلّة عدم الاعتناء بالشکّ بعد تجاوز المحلّ</w:t>
            </w:r>
            <w:r>
              <w:rPr>
                <w:rStyle w:val="IndexLink"/>
                <w:rtl w:val="true"/>
              </w:rPr>
              <w:t>:</w:t>
              <w:tab/>
            </w:r>
            <w:r>
              <w:rPr>
                <w:rStyle w:val="IndexLink"/>
              </w:rPr>
              <w:t>329</w:t>
            </w:r>
          </w:hyperlink>
        </w:p>
        <w:p>
          <w:pPr>
            <w:pStyle w:val="Contents6"/>
            <w:tabs>
              <w:tab w:val="clear" w:pos="7609"/>
              <w:tab w:val="right" w:pos="9026" w:leader="dot"/>
            </w:tabs>
            <w:rPr/>
          </w:pPr>
          <w:hyperlink w:anchor="__RefHeading___Toc5767625_3224264995">
            <w:r>
              <w:rPr>
                <w:webHidden/>
                <w:rStyle w:val="IndexLink"/>
                <w:rtl w:val="true"/>
              </w:rPr>
              <w:t>ضعف الاستدلال بأصالة الصحّة فی الاعتقاد</w:t>
            </w:r>
            <w:r>
              <w:rPr>
                <w:rStyle w:val="IndexLink"/>
                <w:rtl w:val="true"/>
              </w:rPr>
              <w:t>:</w:t>
              <w:tab/>
            </w:r>
            <w:r>
              <w:rPr>
                <w:rStyle w:val="IndexLink"/>
              </w:rPr>
              <w:t>329</w:t>
            </w:r>
          </w:hyperlink>
        </w:p>
        <w:p>
          <w:pPr>
            <w:pStyle w:val="Contents6"/>
            <w:tabs>
              <w:tab w:val="clear" w:pos="7609"/>
              <w:tab w:val="right" w:pos="9026" w:leader="dot"/>
            </w:tabs>
            <w:rPr/>
          </w:pPr>
          <w:hyperlink w:anchor="__RefHeading___Toc5767627_3224264995">
            <w:r>
              <w:rPr>
                <w:webHidden/>
                <w:rStyle w:val="IndexLink"/>
                <w:rtl w:val="true"/>
              </w:rPr>
              <w:t>تفصیل کاشف الغطاء</w:t>
            </w:r>
            <w:r>
              <w:rPr>
                <w:rStyle w:val="IndexLink"/>
                <w:rtl w:val="true"/>
              </w:rPr>
              <w:t>:</w:t>
              <w:tab/>
            </w:r>
            <w:r>
              <w:rPr>
                <w:rStyle w:val="IndexLink"/>
              </w:rPr>
              <w:t>330</w:t>
            </w:r>
          </w:hyperlink>
        </w:p>
        <w:p>
          <w:pPr>
            <w:pStyle w:val="Contents6"/>
            <w:tabs>
              <w:tab w:val="clear" w:pos="7609"/>
              <w:tab w:val="right" w:pos="9026" w:leader="dot"/>
            </w:tabs>
            <w:rPr/>
          </w:pPr>
          <w:hyperlink w:anchor="__RefHeading___Toc5767629_3224264995">
            <w:r>
              <w:rPr>
                <w:webHidden/>
                <w:rStyle w:val="IndexLink"/>
                <w:rtl w:val="true"/>
              </w:rPr>
              <w:t>لو ارید من القاعدة إثبات مجرّد الحدوث</w:t>
            </w:r>
            <w:r>
              <w:rPr>
                <w:rStyle w:val="IndexLink"/>
                <w:rtl w:val="true"/>
              </w:rPr>
              <w:t>:</w:t>
              <w:tab/>
            </w:r>
            <w:r>
              <w:rPr>
                <w:rStyle w:val="IndexLink"/>
              </w:rPr>
              <w:t>330</w:t>
            </w:r>
          </w:hyperlink>
        </w:p>
        <w:p>
          <w:pPr>
            <w:pStyle w:val="Contents6"/>
            <w:tabs>
              <w:tab w:val="clear" w:pos="7609"/>
              <w:tab w:val="right" w:pos="9026" w:leader="dot"/>
            </w:tabs>
            <w:rPr/>
          </w:pPr>
          <w:hyperlink w:anchor="__RefHeading___Toc5767631_3224264995">
            <w:r>
              <w:rPr>
                <w:webHidden/>
                <w:rStyle w:val="IndexLink"/>
                <w:rtl w:val="true"/>
              </w:rPr>
              <w:t>لو ارید منها مجرّد إمضاء الآثار المترتّبة سابقا</w:t>
            </w:r>
            <w:r>
              <w:rPr>
                <w:rStyle w:val="IndexLink"/>
                <w:rtl w:val="true"/>
              </w:rPr>
              <w:t>:</w:t>
              <w:tab/>
            </w:r>
            <w:r>
              <w:rPr>
                <w:rStyle w:val="IndexLink"/>
              </w:rPr>
              <w:t>330</w:t>
            </w:r>
          </w:hyperlink>
        </w:p>
        <w:p>
          <w:pPr>
            <w:pStyle w:val="Contents6"/>
            <w:tabs>
              <w:tab w:val="clear" w:pos="7609"/>
              <w:tab w:val="right" w:pos="9026" w:leader="dot"/>
            </w:tabs>
            <w:rPr/>
          </w:pPr>
          <w:hyperlink w:anchor="__RefHeading___Toc5767633_3224264995">
            <w:r>
              <w:rPr>
                <w:webHidden/>
                <w:rStyle w:val="IndexLink"/>
                <w:rtl w:val="true"/>
              </w:rPr>
              <w:t>حاصل الکلام فی المسألة</w:t>
            </w:r>
            <w:r>
              <w:rPr>
                <w:rStyle w:val="IndexLink"/>
                <w:rtl w:val="true"/>
              </w:rPr>
              <w:t>:</w:t>
              <w:tab/>
            </w:r>
            <w:r>
              <w:rPr>
                <w:rStyle w:val="IndexLink"/>
              </w:rPr>
              <w:t>331</w:t>
            </w:r>
          </w:hyperlink>
        </w:p>
        <w:p>
          <w:pPr>
            <w:pStyle w:val="Contents5"/>
            <w:tabs>
              <w:tab w:val="clear" w:pos="7892"/>
              <w:tab w:val="right" w:pos="9026" w:leader="dot"/>
            </w:tabs>
            <w:rPr/>
          </w:pPr>
          <w:hyperlink w:anchor="__RefHeading___Toc5767635_3224264995">
            <w:r>
              <w:rPr>
                <w:webHidden/>
                <w:rStyle w:val="IndexLink"/>
                <w:rtl w:val="true"/>
              </w:rPr>
              <w:t>الأمرالثالث</w:t>
            </w:r>
            <w:r>
              <w:rPr>
                <w:rStyle w:val="IndexLink"/>
                <w:rtl w:val="true"/>
              </w:rPr>
              <w:t>:</w:t>
            </w:r>
            <w:r>
              <w:rPr>
                <w:rStyle w:val="IndexLink"/>
                <w:rtl w:val="true"/>
              </w:rPr>
              <w:t>اشتراط عدم العلم بالبقاء أو الارتفاع</w:t>
            </w:r>
            <w:r>
              <w:rPr>
                <w:rStyle w:val="IndexLink"/>
                <w:rtl w:val="true"/>
              </w:rPr>
              <w:tab/>
            </w:r>
            <w:r>
              <w:rPr>
                <w:rStyle w:val="IndexLink"/>
              </w:rPr>
              <w:t>331</w:t>
            </w:r>
          </w:hyperlink>
        </w:p>
        <w:p>
          <w:pPr>
            <w:pStyle w:val="Contents6"/>
            <w:tabs>
              <w:tab w:val="clear" w:pos="7609"/>
              <w:tab w:val="right" w:pos="9026" w:leader="dot"/>
            </w:tabs>
            <w:rPr/>
          </w:pPr>
          <w:hyperlink w:anchor="__RefHeading___Toc5767637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767639_3224264995">
            <w:r>
              <w:rPr>
                <w:webHidden/>
                <w:rStyle w:val="IndexLink"/>
                <w:rtl w:val="true"/>
              </w:rPr>
              <w:t>حکومة الأدلّة الاجتهادیّة علی أدلّة الاستصحاب</w:t>
            </w:r>
            <w:r>
              <w:rPr>
                <w:rStyle w:val="IndexLink"/>
                <w:rtl w:val="true"/>
              </w:rPr>
              <w:t>:</w:t>
              <w:tab/>
            </w:r>
            <w:r>
              <w:rPr>
                <w:rStyle w:val="IndexLink"/>
              </w:rPr>
              <w:t>332</w:t>
            </w:r>
          </w:hyperlink>
        </w:p>
        <w:p>
          <w:pPr>
            <w:pStyle w:val="Contents6"/>
            <w:tabs>
              <w:tab w:val="clear" w:pos="7609"/>
              <w:tab w:val="right" w:pos="9026" w:leader="dot"/>
            </w:tabs>
            <w:rPr/>
          </w:pPr>
          <w:hyperlink w:anchor="__RefHeading___Toc5767641_3224264995">
            <w:r>
              <w:rPr>
                <w:webHidden/>
                <w:rStyle w:val="IndexLink"/>
                <w:rtl w:val="true"/>
              </w:rPr>
              <w:t>معنی الحکومة</w:t>
            </w:r>
            <w:r>
              <w:rPr>
                <w:rStyle w:val="IndexLink"/>
                <w:rtl w:val="true"/>
              </w:rPr>
              <w:t>:</w:t>
              <w:tab/>
            </w:r>
            <w:r>
              <w:rPr>
                <w:rStyle w:val="IndexLink"/>
              </w:rPr>
              <w:t>332</w:t>
            </w:r>
          </w:hyperlink>
        </w:p>
        <w:p>
          <w:pPr>
            <w:pStyle w:val="Contents6"/>
            <w:tabs>
              <w:tab w:val="clear" w:pos="7609"/>
              <w:tab w:val="right" w:pos="9026" w:leader="dot"/>
            </w:tabs>
            <w:rPr/>
          </w:pPr>
          <w:hyperlink w:anchor="__RefHeading___Toc5767643_3224264995">
            <w:r>
              <w:rPr>
                <w:webHidden/>
                <w:rStyle w:val="IndexLink"/>
                <w:rtl w:val="true"/>
              </w:rPr>
              <w:t>احتمال أن یکون العمل بالأدلّة فی مقابل الاستصحاب من باب التخصّص</w:t>
            </w:r>
            <w:r>
              <w:rPr>
                <w:rStyle w:val="IndexLink"/>
                <w:rtl w:val="true"/>
              </w:rPr>
              <w:t>:</w:t>
              <w:tab/>
            </w:r>
            <w:r>
              <w:rPr>
                <w:rStyle w:val="IndexLink"/>
              </w:rPr>
              <w:t>333</w:t>
            </w:r>
          </w:hyperlink>
        </w:p>
        <w:p>
          <w:pPr>
            <w:pStyle w:val="Contents6"/>
            <w:tabs>
              <w:tab w:val="clear" w:pos="7609"/>
              <w:tab w:val="right" w:pos="9026" w:leader="dot"/>
            </w:tabs>
            <w:rPr/>
          </w:pPr>
          <w:hyperlink w:anchor="__RefHeading___Toc5767645_3224264995">
            <w:r>
              <w:rPr>
                <w:webHidden/>
                <w:rStyle w:val="IndexLink"/>
                <w:rtl w:val="true"/>
              </w:rPr>
              <w:t>ضعف هذا الاحتمال</w:t>
            </w:r>
            <w:r>
              <w:rPr>
                <w:rStyle w:val="IndexLink"/>
                <w:rtl w:val="true"/>
              </w:rPr>
              <w:t>:</w:t>
              <w:tab/>
            </w:r>
            <w:r>
              <w:rPr>
                <w:rStyle w:val="IndexLink"/>
              </w:rPr>
              <w:t>333</w:t>
            </w:r>
          </w:hyperlink>
        </w:p>
        <w:p>
          <w:pPr>
            <w:pStyle w:val="Contents6"/>
            <w:tabs>
              <w:tab w:val="clear" w:pos="7609"/>
              <w:tab w:val="right" w:pos="9026" w:leader="dot"/>
            </w:tabs>
            <w:rPr/>
          </w:pPr>
          <w:hyperlink w:anchor="__RefHeading___Toc5767647_3224264995">
            <w:r>
              <w:rPr>
                <w:webHidden/>
                <w:rStyle w:val="IndexLink"/>
                <w:rtl w:val="true"/>
              </w:rPr>
              <w:t>المسامحة فیما جعله الفاضل التونی من شرائط الاستصحاب</w:t>
            </w:r>
            <w:r>
              <w:rPr>
                <w:rStyle w:val="IndexLink"/>
                <w:rtl w:val="true"/>
              </w:rPr>
              <w:t>:</w:t>
              <w:tab/>
            </w:r>
            <w:r>
              <w:rPr>
                <w:rStyle w:val="IndexLink"/>
              </w:rPr>
              <w:t>334</w:t>
            </w:r>
          </w:hyperlink>
        </w:p>
        <w:p>
          <w:pPr>
            <w:pStyle w:val="Contents6"/>
            <w:tabs>
              <w:tab w:val="clear" w:pos="7609"/>
              <w:tab w:val="right" w:pos="9026" w:leader="dot"/>
            </w:tabs>
            <w:rPr/>
          </w:pPr>
          <w:hyperlink w:anchor="__RefHeading___Toc5767649_3224264995">
            <w:r>
              <w:rPr>
                <w:webHidden/>
                <w:rStyle w:val="IndexLink"/>
                <w:rtl w:val="true"/>
              </w:rPr>
              <w:t>ما أورده المحقّق القمّی علی الفاضل التونی و المناقشة فیه</w:t>
            </w:r>
            <w:r>
              <w:rPr>
                <w:rStyle w:val="IndexLink"/>
                <w:rtl w:val="true"/>
              </w:rPr>
              <w:t>:</w:t>
              <w:tab/>
            </w:r>
            <w:r>
              <w:rPr>
                <w:rStyle w:val="IndexLink"/>
              </w:rPr>
              <w:t>334</w:t>
            </w:r>
          </w:hyperlink>
        </w:p>
        <w:p>
          <w:pPr>
            <w:pStyle w:val="Contents6"/>
            <w:tabs>
              <w:tab w:val="clear" w:pos="7609"/>
              <w:tab w:val="right" w:pos="9026" w:leader="dot"/>
            </w:tabs>
            <w:rPr/>
          </w:pPr>
          <w:hyperlink w:anchor="__RefHeading___Toc5767651_3224264995">
            <w:r>
              <w:rPr>
                <w:webHidden/>
                <w:rStyle w:val="IndexLink"/>
                <w:rtl w:val="true"/>
              </w:rPr>
              <w:t>المراد من</w:t>
            </w:r>
            <w:r>
              <w:rPr>
                <w:rStyle w:val="IndexLink"/>
                <w:rtl w:val="true"/>
              </w:rPr>
              <w:t>«</w:t>
            </w:r>
            <w:r>
              <w:rPr>
                <w:rStyle w:val="IndexLink"/>
                <w:rtl w:val="true"/>
              </w:rPr>
              <w:t>الأدلّة الاجتهادیّة</w:t>
            </w:r>
            <w:r>
              <w:rPr>
                <w:rStyle w:val="IndexLink"/>
                <w:rtl w:val="true"/>
              </w:rPr>
              <w:t>»</w:t>
            </w:r>
            <w:r>
              <w:rPr>
                <w:rStyle w:val="IndexLink"/>
                <w:rtl w:val="true"/>
              </w:rPr>
              <w:t>و</w:t>
            </w:r>
            <w:r>
              <w:rPr>
                <w:rStyle w:val="IndexLink"/>
                <w:rtl w:val="true"/>
              </w:rPr>
              <w:t>«</w:t>
            </w:r>
            <w:r>
              <w:rPr>
                <w:rStyle w:val="IndexLink"/>
                <w:rtl w:val="true"/>
              </w:rPr>
              <w:t>الاصول</w:t>
            </w:r>
            <w:r>
              <w:rPr>
                <w:rStyle w:val="IndexLink"/>
                <w:rtl w:val="true"/>
              </w:rPr>
              <w:t>»:</w:t>
              <w:tab/>
            </w:r>
            <w:r>
              <w:rPr>
                <w:rStyle w:val="IndexLink"/>
              </w:rPr>
              <w:t>336</w:t>
            </w:r>
          </w:hyperlink>
        </w:p>
        <w:p>
          <w:pPr>
            <w:pStyle w:val="Contents6"/>
            <w:tabs>
              <w:tab w:val="clear" w:pos="7609"/>
              <w:tab w:val="right" w:pos="9026" w:leader="dot"/>
            </w:tabs>
            <w:rPr/>
          </w:pPr>
          <w:hyperlink w:anchor="__RefHeading___Toc5767653_3224264995">
            <w:r>
              <w:rPr>
                <w:webHidden/>
                <w:rStyle w:val="IndexLink"/>
                <w:rtl w:val="true"/>
              </w:rPr>
              <w:t>تردّد الشیء بین کونه دلیلا أو أصلا</w:t>
            </w:r>
            <w:r>
              <w:rPr>
                <w:rStyle w:val="IndexLink"/>
                <w:rtl w:val="true"/>
              </w:rPr>
              <w:t>:</w:t>
              <w:tab/>
            </w:r>
            <w:r>
              <w:rPr>
                <w:rStyle w:val="IndexLink"/>
              </w:rPr>
              <w:t>337</w:t>
            </w:r>
          </w:hyperlink>
        </w:p>
        <w:p>
          <w:pPr>
            <w:pStyle w:val="Contents4"/>
            <w:tabs>
              <w:tab w:val="clear" w:pos="8176"/>
              <w:tab w:val="right" w:pos="9026" w:leader="dot"/>
            </w:tabs>
            <w:rPr/>
          </w:pPr>
          <w:hyperlink w:anchor="__RefHeading___Toc5767655_3224264995">
            <w:r>
              <w:rPr>
                <w:webHidden/>
                <w:rStyle w:val="IndexLink"/>
                <w:rtl w:val="true"/>
              </w:rPr>
              <w:t>تعارض الاستصحاب مع سائر الأمارات و الاصول</w:t>
            </w:r>
            <w:r>
              <w:rPr>
                <w:rStyle w:val="IndexLink"/>
                <w:rtl w:val="true"/>
              </w:rPr>
              <w:tab/>
            </w:r>
            <w:r>
              <w:rPr>
                <w:rStyle w:val="IndexLink"/>
              </w:rPr>
              <w:t>338</w:t>
            </w:r>
          </w:hyperlink>
        </w:p>
        <w:p>
          <w:pPr>
            <w:pStyle w:val="Contents5"/>
            <w:tabs>
              <w:tab w:val="clear" w:pos="7892"/>
              <w:tab w:val="right" w:pos="9026" w:leader="dot"/>
            </w:tabs>
            <w:rPr/>
          </w:pPr>
          <w:hyperlink w:anchor="__RefHeading___Toc5767657_3224264995">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767659_3224264995">
            <w:r>
              <w:rPr>
                <w:webHidden/>
                <w:rStyle w:val="IndexLink"/>
                <w:rtl w:val="true"/>
              </w:rPr>
              <w:t>المقام الأوّل</w:t>
            </w:r>
            <w:r>
              <w:rPr>
                <w:rStyle w:val="IndexLink"/>
                <w:rtl w:val="true"/>
              </w:rPr>
              <w:t>:</w:t>
            </w:r>
            <w:r>
              <w:rPr>
                <w:rStyle w:val="IndexLink"/>
                <w:rtl w:val="true"/>
              </w:rPr>
              <w:t>عدم معارضة الاستصحاب لبعض الأمارات،و فیه مسائل</w:t>
            </w:r>
            <w:r>
              <w:rPr>
                <w:rStyle w:val="IndexLink"/>
                <w:rtl w:val="true"/>
              </w:rPr>
              <w:t>:</w:t>
              <w:tab/>
            </w:r>
            <w:r>
              <w:rPr>
                <w:rStyle w:val="IndexLink"/>
              </w:rPr>
              <w:t>339</w:t>
            </w:r>
          </w:hyperlink>
        </w:p>
        <w:p>
          <w:pPr>
            <w:pStyle w:val="Contents6"/>
            <w:tabs>
              <w:tab w:val="clear" w:pos="7609"/>
              <w:tab w:val="right" w:pos="9026" w:leader="dot"/>
            </w:tabs>
            <w:rPr/>
          </w:pPr>
          <w:hyperlink w:anchor="__RefHeading___Toc5767661_3224264995">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5767663_3224264995">
            <w:r>
              <w:rPr>
                <w:webHidden/>
                <w:rStyle w:val="IndexLink"/>
                <w:rtl w:val="true"/>
              </w:rPr>
              <w:t xml:space="preserve">المسألة الاولی </w:t>
            </w:r>
            <w:r>
              <w:rPr>
                <w:rStyle w:val="IndexLink"/>
                <w:rtl w:val="true"/>
              </w:rPr>
              <w:t>:</w:t>
            </w:r>
            <w:r>
              <w:rPr>
                <w:rStyle w:val="IndexLink"/>
                <w:rtl w:val="true"/>
              </w:rPr>
              <w:t>تقدّم</w:t>
            </w:r>
            <w:r>
              <w:rPr>
                <w:rStyle w:val="IndexLink"/>
                <w:rtl w:val="true"/>
              </w:rPr>
              <w:t>«</w:t>
            </w:r>
            <w:r>
              <w:rPr>
                <w:rStyle w:val="IndexLink"/>
                <w:rtl w:val="true"/>
              </w:rPr>
              <w:t>الید</w:t>
            </w:r>
            <w:r>
              <w:rPr>
                <w:rStyle w:val="IndexLink"/>
                <w:rtl w:val="true"/>
              </w:rPr>
              <w:t>»</w:t>
            </w:r>
            <w:r>
              <w:rPr>
                <w:rStyle w:val="IndexLink"/>
                <w:rtl w:val="true"/>
              </w:rPr>
              <w:t>علی الاستصحاب و الاستدلال علیه</w:t>
            </w:r>
            <w:r>
              <w:rPr>
                <w:rStyle w:val="IndexLink"/>
                <w:rtl w:val="true"/>
              </w:rPr>
              <w:tab/>
            </w:r>
            <w:r>
              <w:rPr>
                <w:rStyle w:val="IndexLink"/>
              </w:rPr>
              <w:t>339</w:t>
            </w:r>
          </w:hyperlink>
        </w:p>
        <w:p>
          <w:pPr>
            <w:pStyle w:val="Contents6"/>
            <w:tabs>
              <w:tab w:val="clear" w:pos="7609"/>
              <w:tab w:val="right" w:pos="9026" w:leader="dot"/>
            </w:tabs>
            <w:rPr/>
          </w:pPr>
          <w:hyperlink w:anchor="__RefHeading___Toc5767665_3224264995">
            <w:r>
              <w:rPr>
                <w:webHidden/>
                <w:rStyle w:val="IndexLink"/>
                <w:rtl w:val="true"/>
              </w:rPr>
              <w:t>الوجه فی الرجوع إلی الاستصحاب لو تقارنت</w:t>
            </w:r>
            <w:r>
              <w:rPr>
                <w:rStyle w:val="IndexLink"/>
                <w:rtl w:val="true"/>
              </w:rPr>
              <w:t>«</w:t>
            </w:r>
            <w:r>
              <w:rPr>
                <w:rStyle w:val="IndexLink"/>
                <w:rtl w:val="true"/>
              </w:rPr>
              <w:t>الید</w:t>
            </w:r>
            <w:r>
              <w:rPr>
                <w:rStyle w:val="IndexLink"/>
                <w:rtl w:val="true"/>
              </w:rPr>
              <w:t>»</w:t>
            </w:r>
            <w:r>
              <w:rPr>
                <w:rStyle w:val="IndexLink"/>
                <w:rtl w:val="true"/>
              </w:rPr>
              <w:t>بالإقرار</w:t>
            </w:r>
            <w:r>
              <w:rPr>
                <w:rStyle w:val="IndexLink"/>
                <w:rtl w:val="true"/>
              </w:rPr>
              <w:t>:</w:t>
              <w:tab/>
            </w:r>
            <w:r>
              <w:rPr>
                <w:rStyle w:val="IndexLink"/>
              </w:rPr>
              <w:t>340</w:t>
            </w:r>
          </w:hyperlink>
        </w:p>
        <w:p>
          <w:pPr>
            <w:pStyle w:val="Contents6"/>
            <w:tabs>
              <w:tab w:val="clear" w:pos="7609"/>
              <w:tab w:val="right" w:pos="9026" w:leader="dot"/>
            </w:tabs>
            <w:rPr/>
          </w:pPr>
          <w:hyperlink w:anchor="__RefHeading___Toc5767667_3224264995">
            <w:r>
              <w:rPr>
                <w:webHidden/>
                <w:rStyle w:val="IndexLink"/>
                <w:rtl w:val="true"/>
              </w:rPr>
              <w:t>«</w:t>
            </w:r>
            <w:r>
              <w:rPr>
                <w:rStyle w:val="IndexLink"/>
                <w:rtl w:val="true"/>
              </w:rPr>
              <w:t>الید</w:t>
            </w:r>
            <w:r>
              <w:rPr>
                <w:rStyle w:val="IndexLink"/>
                <w:rtl w:val="true"/>
              </w:rPr>
              <w:t>»</w:t>
            </w:r>
            <w:r>
              <w:rPr>
                <w:rStyle w:val="IndexLink"/>
                <w:rtl w:val="true"/>
              </w:rPr>
              <w:t>علی تقدیر کونها من الاصول مقدّمة علی الاستصحاب و إن جعلناه من الأمارات</w:t>
            </w:r>
            <w:r>
              <w:rPr>
                <w:rStyle w:val="IndexLink"/>
                <w:rtl w:val="true"/>
              </w:rPr>
              <w:t>:</w:t>
              <w:tab/>
            </w:r>
            <w:r>
              <w:rPr>
                <w:rStyle w:val="IndexLink"/>
              </w:rPr>
              <w:t>341</w:t>
            </w:r>
          </w:hyperlink>
        </w:p>
        <w:p>
          <w:pPr>
            <w:pStyle w:val="Contents6"/>
            <w:tabs>
              <w:tab w:val="clear" w:pos="7609"/>
              <w:tab w:val="right" w:pos="9026" w:leader="dot"/>
            </w:tabs>
            <w:rPr/>
          </w:pPr>
          <w:hyperlink w:anchor="__RefHeading___Toc5767669_3224264995">
            <w:r>
              <w:rPr>
                <w:webHidden/>
                <w:rStyle w:val="IndexLink"/>
                <w:rtl w:val="true"/>
              </w:rPr>
              <w:t>تقدّم البیّنة علی</w:t>
            </w:r>
            <w:r>
              <w:rPr>
                <w:rStyle w:val="IndexLink"/>
                <w:rtl w:val="true"/>
              </w:rPr>
              <w:t>«</w:t>
            </w:r>
            <w:r>
              <w:rPr>
                <w:rStyle w:val="IndexLink"/>
                <w:rtl w:val="true"/>
              </w:rPr>
              <w:t>الید</w:t>
            </w:r>
            <w:r>
              <w:rPr>
                <w:rStyle w:val="IndexLink"/>
                <w:rtl w:val="true"/>
              </w:rPr>
              <w:t>»</w:t>
            </w:r>
            <w:r>
              <w:rPr>
                <w:rStyle w:val="IndexLink"/>
                <w:rtl w:val="true"/>
              </w:rPr>
              <w:t>و الوجه فی ذلک</w:t>
            </w:r>
            <w:r>
              <w:rPr>
                <w:rStyle w:val="IndexLink"/>
                <w:rtl w:val="true"/>
              </w:rPr>
              <w:t>:</w:t>
              <w:tab/>
            </w:r>
            <w:r>
              <w:rPr>
                <w:rStyle w:val="IndexLink"/>
              </w:rPr>
              <w:t>341</w:t>
            </w:r>
          </w:hyperlink>
        </w:p>
        <w:p>
          <w:pPr>
            <w:pStyle w:val="Contents6"/>
            <w:tabs>
              <w:tab w:val="clear" w:pos="7609"/>
              <w:tab w:val="right" w:pos="9026" w:leader="dot"/>
            </w:tabs>
            <w:rPr/>
          </w:pPr>
          <w:hyperlink w:anchor="__RefHeading___Toc5767671_3224264995">
            <w:r>
              <w:rPr>
                <w:webHidden/>
                <w:rStyle w:val="IndexLink"/>
                <w:rtl w:val="true"/>
              </w:rPr>
              <w:t xml:space="preserve">المسألة الثانیة </w:t>
            </w:r>
            <w:r>
              <w:rPr>
                <w:rStyle w:val="IndexLink"/>
                <w:rtl w:val="true"/>
              </w:rPr>
              <w:t>:</w:t>
            </w:r>
            <w:r>
              <w:rPr>
                <w:rStyle w:val="IndexLink"/>
                <w:rtl w:val="true"/>
              </w:rPr>
              <w:t>فی قاعدة</w:t>
            </w:r>
            <w:r>
              <w:rPr>
                <w:rStyle w:val="IndexLink"/>
                <w:rtl w:val="true"/>
              </w:rPr>
              <w:t>«</w:t>
            </w:r>
            <w:r>
              <w:rPr>
                <w:rStyle w:val="IndexLink"/>
                <w:rtl w:val="true"/>
              </w:rPr>
              <w:t>الفراغ و التجاوز</w:t>
            </w:r>
            <w:r>
              <w:rPr>
                <w:rStyle w:val="IndexLink"/>
                <w:rtl w:val="true"/>
              </w:rPr>
              <w:t>»</w:t>
              <w:tab/>
            </w:r>
            <w:r>
              <w:rPr>
                <w:rStyle w:val="IndexLink"/>
              </w:rPr>
              <w:t>343</w:t>
            </w:r>
          </w:hyperlink>
        </w:p>
        <w:p>
          <w:pPr>
            <w:pStyle w:val="Contents6"/>
            <w:tabs>
              <w:tab w:val="clear" w:pos="7609"/>
              <w:tab w:val="right" w:pos="9026" w:leader="dot"/>
            </w:tabs>
            <w:rPr/>
          </w:pPr>
          <w:hyperlink w:anchor="__RefHeading___Toc5767673_3224264995">
            <w:r>
              <w:rPr>
                <w:webHidden/>
                <w:rStyle w:val="IndexLink"/>
                <w:rtl w:val="true"/>
              </w:rPr>
              <w:t>تقدّم قاعدة</w:t>
            </w:r>
            <w:r>
              <w:rPr>
                <w:rStyle w:val="IndexLink"/>
                <w:rtl w:val="true"/>
              </w:rPr>
              <w:t>«</w:t>
            </w:r>
            <w:r>
              <w:rPr>
                <w:rStyle w:val="IndexLink"/>
                <w:rtl w:val="true"/>
              </w:rPr>
              <w:t>الفراغ و التجاوز</w:t>
            </w:r>
            <w:r>
              <w:rPr>
                <w:rStyle w:val="IndexLink"/>
                <w:rtl w:val="true"/>
              </w:rPr>
              <w:t>»</w:t>
            </w:r>
            <w:r>
              <w:rPr>
                <w:rStyle w:val="IndexLink"/>
                <w:rtl w:val="true"/>
              </w:rPr>
              <w:t>علی الاستصحاب و الاستدلال علیه</w:t>
            </w:r>
            <w:r>
              <w:rPr>
                <w:rStyle w:val="IndexLink"/>
                <w:rtl w:val="true"/>
              </w:rPr>
              <w:tab/>
            </w:r>
            <w:r>
              <w:rPr>
                <w:rStyle w:val="IndexLink"/>
              </w:rPr>
              <w:t>343</w:t>
            </w:r>
          </w:hyperlink>
        </w:p>
        <w:p>
          <w:pPr>
            <w:pStyle w:val="Contents6"/>
            <w:tabs>
              <w:tab w:val="clear" w:pos="7609"/>
              <w:tab w:val="right" w:pos="9026" w:leader="dot"/>
            </w:tabs>
            <w:rPr/>
          </w:pPr>
          <w:hyperlink w:anchor="__RefHeading___Toc5767675_3224264995">
            <w:r>
              <w:rPr>
                <w:webHidden/>
                <w:rStyle w:val="IndexLink"/>
                <w:rtl w:val="true"/>
              </w:rPr>
              <w:t>أخبار القاعدة</w:t>
            </w:r>
            <w:r>
              <w:rPr>
                <w:rStyle w:val="IndexLink"/>
                <w:rtl w:val="true"/>
              </w:rPr>
              <w:t>:</w:t>
              <w:tab/>
            </w:r>
            <w:r>
              <w:rPr>
                <w:rStyle w:val="IndexLink"/>
              </w:rPr>
              <w:t>344</w:t>
            </w:r>
          </w:hyperlink>
        </w:p>
        <w:p>
          <w:pPr>
            <w:pStyle w:val="Contents6"/>
            <w:tabs>
              <w:tab w:val="clear" w:pos="7609"/>
              <w:tab w:val="right" w:pos="9026" w:leader="dot"/>
            </w:tabs>
            <w:rPr/>
          </w:pPr>
          <w:hyperlink w:anchor="__RefHeading___Toc5767677_3224264995">
            <w:r>
              <w:rPr>
                <w:webHidden/>
                <w:rStyle w:val="IndexLink"/>
              </w:rPr>
              <w:t>1</w:t>
            </w:r>
            <w:r>
              <w:rPr>
                <w:rStyle w:val="IndexLink"/>
                <w:rtl w:val="true"/>
              </w:rPr>
              <w:t>-</w:t>
            </w:r>
            <w:r>
              <w:rPr>
                <w:rStyle w:val="IndexLink"/>
                <w:rtl w:val="true"/>
              </w:rPr>
              <w:t>الأخبار العامّة</w:t>
            </w:r>
            <w:r>
              <w:rPr>
                <w:rStyle w:val="IndexLink"/>
                <w:rtl w:val="true"/>
              </w:rPr>
              <w:t>:</w:t>
              <w:tab/>
            </w:r>
            <w:r>
              <w:rPr>
                <w:rStyle w:val="IndexLink"/>
              </w:rPr>
              <w:t>344</w:t>
            </w:r>
          </w:hyperlink>
        </w:p>
        <w:p>
          <w:pPr>
            <w:pStyle w:val="Contents6"/>
            <w:tabs>
              <w:tab w:val="clear" w:pos="7609"/>
              <w:tab w:val="right" w:pos="9026" w:leader="dot"/>
            </w:tabs>
            <w:rPr/>
          </w:pPr>
          <w:hyperlink w:anchor="__RefHeading___Toc5767679_3224264995">
            <w:r>
              <w:rPr>
                <w:webHidden/>
                <w:rStyle w:val="IndexLink"/>
              </w:rPr>
              <w:t>2</w:t>
            </w:r>
            <w:r>
              <w:rPr>
                <w:rStyle w:val="IndexLink"/>
                <w:rtl w:val="true"/>
              </w:rPr>
              <w:t>-</w:t>
            </w:r>
            <w:r>
              <w:rPr>
                <w:rStyle w:val="IndexLink"/>
                <w:rtl w:val="true"/>
              </w:rPr>
              <w:t>الأخبار الخاصّة</w:t>
            </w:r>
            <w:r>
              <w:rPr>
                <w:rStyle w:val="IndexLink"/>
                <w:rtl w:val="true"/>
              </w:rPr>
              <w:t>:</w:t>
              <w:tab/>
            </w:r>
            <w:r>
              <w:rPr>
                <w:rStyle w:val="IndexLink"/>
              </w:rPr>
              <w:t>345</w:t>
            </w:r>
          </w:hyperlink>
        </w:p>
        <w:p>
          <w:pPr>
            <w:pStyle w:val="Contents6"/>
            <w:tabs>
              <w:tab w:val="clear" w:pos="7609"/>
              <w:tab w:val="right" w:pos="9026" w:leader="dot"/>
            </w:tabs>
            <w:rPr/>
          </w:pPr>
          <w:hyperlink w:anchor="__RefHeading___Toc5767681_3224264995">
            <w:r>
              <w:rPr>
                <w:webHidden/>
                <w:rStyle w:val="IndexLink"/>
                <w:rtl w:val="true"/>
              </w:rPr>
              <w:t>تنقیح مضامین الأخبار</w:t>
            </w:r>
            <w:r>
              <w:rPr>
                <w:rStyle w:val="IndexLink"/>
                <w:rtl w:val="true"/>
              </w:rPr>
              <w:t>:</w:t>
              <w:tab/>
            </w:r>
            <w:r>
              <w:rPr>
                <w:rStyle w:val="IndexLink"/>
              </w:rPr>
              <w:t>346</w:t>
            </w:r>
          </w:hyperlink>
        </w:p>
        <w:p>
          <w:pPr>
            <w:pStyle w:val="Contents6"/>
            <w:tabs>
              <w:tab w:val="clear" w:pos="7609"/>
              <w:tab w:val="right" w:pos="9026" w:leader="dot"/>
            </w:tabs>
            <w:rPr/>
          </w:pPr>
          <w:hyperlink w:anchor="__RefHeading___Toc5767683_3224264995">
            <w:r>
              <w:rPr>
                <w:webHidden/>
                <w:rStyle w:val="IndexLink"/>
                <w:rtl w:val="true"/>
              </w:rPr>
              <w:t xml:space="preserve">الموضع الأوّل </w:t>
            </w:r>
            <w:r>
              <w:rPr>
                <w:rStyle w:val="IndexLink"/>
                <w:rtl w:val="true"/>
              </w:rPr>
              <w:t>:</w:t>
            </w:r>
            <w:r>
              <w:rPr>
                <w:rStyle w:val="IndexLink"/>
                <w:rtl w:val="true"/>
              </w:rPr>
              <w:t>ما هو المراد من</w:t>
            </w:r>
            <w:r>
              <w:rPr>
                <w:rStyle w:val="IndexLink"/>
                <w:rtl w:val="true"/>
              </w:rPr>
              <w:t>«</w:t>
            </w:r>
            <w:r>
              <w:rPr>
                <w:rStyle w:val="IndexLink"/>
                <w:rtl w:val="true"/>
              </w:rPr>
              <w:t>الشکّ فی الشیء</w:t>
            </w:r>
            <w:r>
              <w:rPr>
                <w:rStyle w:val="IndexLink"/>
                <w:rtl w:val="true"/>
              </w:rPr>
              <w:t>»</w:t>
            </w:r>
            <w:r>
              <w:rPr>
                <w:rStyle w:val="IndexLink"/>
                <w:rtl w:val="true"/>
              </w:rPr>
              <w:t>؟</w:t>
            </w:r>
            <w:r>
              <w:rPr>
                <w:rStyle w:val="IndexLink"/>
                <w:rtl w:val="true"/>
              </w:rPr>
              <w:tab/>
            </w:r>
            <w:r>
              <w:rPr>
                <w:rStyle w:val="IndexLink"/>
              </w:rPr>
              <w:t>347</w:t>
            </w:r>
          </w:hyperlink>
        </w:p>
        <w:p>
          <w:pPr>
            <w:pStyle w:val="Contents6"/>
            <w:tabs>
              <w:tab w:val="clear" w:pos="7609"/>
              <w:tab w:val="right" w:pos="9026" w:leader="dot"/>
            </w:tabs>
            <w:rPr/>
          </w:pPr>
          <w:hyperlink w:anchor="__RefHeading___Toc5767685_3224264995">
            <w:r>
              <w:rPr>
                <w:webHidden/>
                <w:rStyle w:val="IndexLink"/>
                <w:rtl w:val="true"/>
              </w:rPr>
              <w:t xml:space="preserve">الموضع الثانی </w:t>
            </w:r>
            <w:r>
              <w:rPr>
                <w:rStyle w:val="IndexLink"/>
                <w:rtl w:val="true"/>
              </w:rPr>
              <w:t>:</w:t>
            </w:r>
            <w:r>
              <w:rPr>
                <w:rStyle w:val="IndexLink"/>
                <w:rtl w:val="true"/>
              </w:rPr>
              <w:t>ما هو المراد من</w:t>
            </w:r>
            <w:r>
              <w:rPr>
                <w:rStyle w:val="IndexLink"/>
                <w:rtl w:val="true"/>
              </w:rPr>
              <w:t>«</w:t>
            </w:r>
            <w:r>
              <w:rPr>
                <w:rStyle w:val="IndexLink"/>
                <w:rtl w:val="true"/>
              </w:rPr>
              <w:t>محلّ الشیء المشکوک فیه</w:t>
            </w:r>
            <w:r>
              <w:rPr>
                <w:rStyle w:val="IndexLink"/>
                <w:rtl w:val="true"/>
              </w:rPr>
              <w:t>»</w:t>
            </w:r>
            <w:r>
              <w:rPr>
                <w:rStyle w:val="IndexLink"/>
                <w:rtl w:val="true"/>
              </w:rPr>
              <w:t>؟</w:t>
            </w:r>
            <w:r>
              <w:rPr>
                <w:rStyle w:val="IndexLink"/>
                <w:rtl w:val="true"/>
              </w:rPr>
              <w:tab/>
            </w:r>
            <w:r>
              <w:rPr>
                <w:rStyle w:val="IndexLink"/>
              </w:rPr>
              <w:t>348</w:t>
            </w:r>
          </w:hyperlink>
        </w:p>
        <w:p>
          <w:pPr>
            <w:pStyle w:val="Contents6"/>
            <w:tabs>
              <w:tab w:val="clear" w:pos="7609"/>
              <w:tab w:val="right" w:pos="9026" w:leader="dot"/>
            </w:tabs>
            <w:rPr/>
          </w:pPr>
          <w:hyperlink w:anchor="__RefHeading___Toc5767687_3224264995">
            <w:r>
              <w:rPr>
                <w:webHidden/>
                <w:rStyle w:val="IndexLink"/>
                <w:rtl w:val="true"/>
              </w:rPr>
              <w:t>الموضع الثالث هل یعتبر فی التجاوز و الفراغ الدخول فی الغیر،أم لا؟</w:t>
            </w:r>
            <w:r>
              <w:rPr>
                <w:rStyle w:val="IndexLink"/>
                <w:rtl w:val="true"/>
              </w:rPr>
              <w:t>:</w:t>
              <w:tab/>
            </w:r>
            <w:r>
              <w:rPr>
                <w:rStyle w:val="IndexLink"/>
              </w:rPr>
              <w:t>350</w:t>
            </w:r>
          </w:hyperlink>
        </w:p>
        <w:p>
          <w:pPr>
            <w:pStyle w:val="Contents6"/>
            <w:tabs>
              <w:tab w:val="clear" w:pos="7609"/>
              <w:tab w:val="right" w:pos="9026" w:leader="dot"/>
            </w:tabs>
            <w:rPr/>
          </w:pPr>
          <w:hyperlink w:anchor="__RefHeading___Toc5767689_3224264995">
            <w:r>
              <w:rPr>
                <w:webHidden/>
                <w:rStyle w:val="IndexLink"/>
                <w:rtl w:val="true"/>
              </w:rPr>
              <w:t>عدم کفایة الدخول فی مقدّمات الغیر</w:t>
            </w:r>
            <w:r>
              <w:rPr>
                <w:rStyle w:val="IndexLink"/>
                <w:rtl w:val="true"/>
              </w:rPr>
              <w:t>:</w:t>
              <w:tab/>
            </w:r>
            <w:r>
              <w:rPr>
                <w:rStyle w:val="IndexLink"/>
              </w:rPr>
              <w:t>351</w:t>
            </w:r>
          </w:hyperlink>
        </w:p>
        <w:p>
          <w:pPr>
            <w:pStyle w:val="Contents6"/>
            <w:tabs>
              <w:tab w:val="clear" w:pos="7609"/>
              <w:tab w:val="right" w:pos="9026" w:leader="dot"/>
            </w:tabs>
            <w:rPr/>
          </w:pPr>
          <w:hyperlink w:anchor="__RefHeading___Toc5767691_3224264995">
            <w:r>
              <w:rPr>
                <w:webHidden/>
                <w:rStyle w:val="IndexLink"/>
                <w:rtl w:val="true"/>
              </w:rPr>
              <w:t>الأقوی اعتبار الدخول فی الغیر و عدم کفایة مجرّد الفراغ</w:t>
            </w:r>
            <w:r>
              <w:rPr>
                <w:rStyle w:val="IndexLink"/>
                <w:rtl w:val="true"/>
              </w:rPr>
              <w:t>:</w:t>
              <w:tab/>
            </w:r>
            <w:r>
              <w:rPr>
                <w:rStyle w:val="IndexLink"/>
              </w:rPr>
              <w:t>352</w:t>
            </w:r>
          </w:hyperlink>
        </w:p>
        <w:p>
          <w:pPr>
            <w:pStyle w:val="Contents6"/>
            <w:tabs>
              <w:tab w:val="clear" w:pos="7609"/>
              <w:tab w:val="right" w:pos="9026" w:leader="dot"/>
            </w:tabs>
            <w:rPr/>
          </w:pPr>
          <w:hyperlink w:anchor="__RefHeading___Toc5767693_3224264995">
            <w:r>
              <w:rPr>
                <w:webHidden/>
                <w:rStyle w:val="IndexLink"/>
                <w:rtl w:val="true"/>
              </w:rPr>
              <w:t>عدم صحّة التفصیل بین الصلاة و الوضوء</w:t>
            </w:r>
            <w:r>
              <w:rPr>
                <w:rStyle w:val="IndexLink"/>
                <w:rtl w:val="true"/>
              </w:rPr>
              <w:t>:</w:t>
              <w:tab/>
            </w:r>
            <w:r>
              <w:rPr>
                <w:rStyle w:val="IndexLink"/>
              </w:rPr>
              <w:t>352</w:t>
            </w:r>
          </w:hyperlink>
        </w:p>
        <w:p>
          <w:pPr>
            <w:pStyle w:val="Contents6"/>
            <w:tabs>
              <w:tab w:val="clear" w:pos="7609"/>
              <w:tab w:val="right" w:pos="9026" w:leader="dot"/>
            </w:tabs>
            <w:rPr/>
          </w:pPr>
          <w:hyperlink w:anchor="__RefHeading___Toc5767695_3224264995">
            <w:r>
              <w:rPr>
                <w:webHidden/>
                <w:rStyle w:val="IndexLink"/>
                <w:rtl w:val="true"/>
              </w:rPr>
              <w:t>الموضع الرابع عدم جریان القاعدة فی أفعال الطهارات الثلاث</w:t>
            </w:r>
            <w:r>
              <w:rPr>
                <w:rStyle w:val="IndexLink"/>
                <w:rtl w:val="true"/>
              </w:rPr>
              <w:tab/>
            </w:r>
            <w:r>
              <w:rPr>
                <w:rStyle w:val="IndexLink"/>
              </w:rPr>
              <w:t>354</w:t>
            </w:r>
          </w:hyperlink>
        </w:p>
        <w:p>
          <w:pPr>
            <w:pStyle w:val="Contents6"/>
            <w:tabs>
              <w:tab w:val="clear" w:pos="7609"/>
              <w:tab w:val="right" w:pos="9026" w:leader="dot"/>
            </w:tabs>
            <w:rPr/>
          </w:pPr>
          <w:hyperlink w:anchor="__RefHeading___Toc5767697_3224264995">
            <w:r>
              <w:rPr>
                <w:webHidden/>
                <w:rStyle w:val="IndexLink"/>
                <w:rtl w:val="true"/>
              </w:rPr>
              <w:t>مستند الخروج</w:t>
            </w:r>
            <w:r>
              <w:rPr>
                <w:rStyle w:val="IndexLink"/>
                <w:rtl w:val="true"/>
              </w:rPr>
              <w:t>:</w:t>
              <w:tab/>
            </w:r>
            <w:r>
              <w:rPr>
                <w:rStyle w:val="IndexLink"/>
              </w:rPr>
              <w:t>354</w:t>
            </w:r>
          </w:hyperlink>
        </w:p>
        <w:p>
          <w:pPr>
            <w:pStyle w:val="Contents6"/>
            <w:tabs>
              <w:tab w:val="clear" w:pos="7609"/>
              <w:tab w:val="right" w:pos="9026" w:leader="dot"/>
            </w:tabs>
            <w:rPr/>
          </w:pPr>
          <w:hyperlink w:anchor="__RefHeading___Toc5767699_3224264995">
            <w:r>
              <w:rPr>
                <w:webHidden/>
                <w:rStyle w:val="IndexLink"/>
                <w:rtl w:val="true"/>
              </w:rPr>
              <w:t>ظاهر روایة ابن أبی یعفور أنّ حکم الوضوء من باب القاعدة</w:t>
            </w:r>
            <w:r>
              <w:rPr>
                <w:rStyle w:val="IndexLink"/>
                <w:rtl w:val="true"/>
              </w:rPr>
              <w:t>:</w:t>
              <w:tab/>
            </w:r>
            <w:r>
              <w:rPr>
                <w:rStyle w:val="IndexLink"/>
              </w:rPr>
              <w:t>354</w:t>
            </w:r>
          </w:hyperlink>
        </w:p>
        <w:p>
          <w:pPr>
            <w:pStyle w:val="Contents6"/>
            <w:tabs>
              <w:tab w:val="clear" w:pos="7609"/>
              <w:tab w:val="right" w:pos="9026" w:leader="dot"/>
            </w:tabs>
            <w:rPr/>
          </w:pPr>
          <w:hyperlink w:anchor="__RefHeading___Toc5767701_3224264995">
            <w:r>
              <w:rPr>
                <w:webHidden/>
                <w:rStyle w:val="IndexLink"/>
                <w:rtl w:val="true"/>
              </w:rPr>
              <w:t>الإشکال فی ظاهر ذیل الروایة</w:t>
            </w:r>
            <w:r>
              <w:rPr>
                <w:rStyle w:val="IndexLink"/>
                <w:rtl w:val="true"/>
              </w:rPr>
              <w:t>:</w:t>
              <w:tab/>
            </w:r>
            <w:r>
              <w:rPr>
                <w:rStyle w:val="IndexLink"/>
              </w:rPr>
              <w:t>355</w:t>
            </w:r>
          </w:hyperlink>
        </w:p>
        <w:p>
          <w:pPr>
            <w:pStyle w:val="Contents6"/>
            <w:tabs>
              <w:tab w:val="clear" w:pos="7609"/>
              <w:tab w:val="right" w:pos="9026" w:leader="dot"/>
            </w:tabs>
            <w:rPr/>
          </w:pPr>
          <w:hyperlink w:anchor="__RefHeading___Toc5767703_3224264995">
            <w:r>
              <w:rPr>
                <w:webHidden/>
                <w:rStyle w:val="IndexLink"/>
                <w:rtl w:val="true"/>
              </w:rPr>
              <w:t>دفع الإشکال عن الروایة</w:t>
            </w:r>
            <w:r>
              <w:rPr>
                <w:rStyle w:val="IndexLink"/>
                <w:rtl w:val="true"/>
              </w:rPr>
              <w:t>:</w:t>
              <w:tab/>
            </w:r>
            <w:r>
              <w:rPr>
                <w:rStyle w:val="IndexLink"/>
              </w:rPr>
              <w:t>355</w:t>
            </w:r>
          </w:hyperlink>
        </w:p>
        <w:p>
          <w:pPr>
            <w:pStyle w:val="Contents6"/>
            <w:tabs>
              <w:tab w:val="clear" w:pos="7609"/>
              <w:tab w:val="right" w:pos="9026" w:leader="dot"/>
            </w:tabs>
            <w:rPr/>
          </w:pPr>
          <w:hyperlink w:anchor="__RefHeading___Toc5767705_3224264995">
            <w:r>
              <w:rPr>
                <w:webHidden/>
                <w:rStyle w:val="IndexLink"/>
                <w:rtl w:val="true"/>
              </w:rPr>
              <w:t>عدم غرابة فرض الوضوء فعلا واحدا</w:t>
            </w:r>
            <w:r>
              <w:rPr>
                <w:rStyle w:val="IndexLink"/>
                <w:rtl w:val="true"/>
              </w:rPr>
              <w:t>:</w:t>
              <w:tab/>
            </w:r>
            <w:r>
              <w:rPr>
                <w:rStyle w:val="IndexLink"/>
              </w:rPr>
              <w:t>356</w:t>
            </w:r>
          </w:hyperlink>
        </w:p>
        <w:p>
          <w:pPr>
            <w:pStyle w:val="Contents6"/>
            <w:tabs>
              <w:tab w:val="clear" w:pos="7609"/>
              <w:tab w:val="right" w:pos="9026" w:leader="dot"/>
            </w:tabs>
            <w:rPr/>
          </w:pPr>
          <w:hyperlink w:anchor="__RefHeading___Toc5767707_3224264995">
            <w:r>
              <w:rPr>
                <w:webHidden/>
                <w:rStyle w:val="IndexLink"/>
                <w:rtl w:val="true"/>
              </w:rPr>
              <w:t xml:space="preserve">الموضع الخامس </w:t>
            </w:r>
            <w:r>
              <w:rPr>
                <w:rStyle w:val="IndexLink"/>
                <w:rtl w:val="true"/>
              </w:rPr>
              <w:t>:</w:t>
            </w:r>
            <w:r>
              <w:rPr>
                <w:rStyle w:val="IndexLink"/>
                <w:rtl w:val="true"/>
              </w:rPr>
              <w:t>هل تجری القاعدة فی الشروط کما تجری فی الأجزاء؟</w:t>
            </w:r>
            <w:r>
              <w:rPr>
                <w:rStyle w:val="IndexLink"/>
                <w:rtl w:val="true"/>
              </w:rPr>
              <w:tab/>
            </w:r>
            <w:r>
              <w:rPr>
                <w:rStyle w:val="IndexLink"/>
              </w:rPr>
              <w:t>357</w:t>
            </w:r>
          </w:hyperlink>
        </w:p>
        <w:p>
          <w:pPr>
            <w:pStyle w:val="Contents6"/>
            <w:tabs>
              <w:tab w:val="clear" w:pos="7609"/>
              <w:tab w:val="right" w:pos="9026" w:leader="dot"/>
            </w:tabs>
            <w:rPr/>
          </w:pPr>
          <w:hyperlink w:anchor="__RefHeading___Toc5767709_3224264995">
            <w:r>
              <w:rPr>
                <w:webHidden/>
                <w:rStyle w:val="IndexLink"/>
                <w:rtl w:val="true"/>
              </w:rPr>
              <w:t>الأقوی التفصیل</w:t>
            </w:r>
            <w:r>
              <w:rPr>
                <w:rStyle w:val="IndexLink"/>
                <w:rtl w:val="true"/>
              </w:rPr>
              <w:t>:</w:t>
              <w:tab/>
            </w:r>
            <w:r>
              <w:rPr>
                <w:rStyle w:val="IndexLink"/>
              </w:rPr>
              <w:t>357</w:t>
            </w:r>
          </w:hyperlink>
        </w:p>
        <w:p>
          <w:pPr>
            <w:pStyle w:val="Contents6"/>
            <w:tabs>
              <w:tab w:val="clear" w:pos="7609"/>
              <w:tab w:val="right" w:pos="9026" w:leader="dot"/>
            </w:tabs>
            <w:rPr/>
          </w:pPr>
          <w:hyperlink w:anchor="__RefHeading___Toc5767711_3224264995">
            <w:r>
              <w:rPr>
                <w:webHidden/>
                <w:rStyle w:val="IndexLink"/>
                <w:rtl w:val="true"/>
              </w:rPr>
              <w:t>معنی عدم العبرة بالشکّ بعد تجاوز المحلّ</w:t>
            </w:r>
            <w:r>
              <w:rPr>
                <w:rStyle w:val="IndexLink"/>
                <w:rtl w:val="true"/>
              </w:rPr>
              <w:t>:</w:t>
              <w:tab/>
            </w:r>
            <w:r>
              <w:rPr>
                <w:rStyle w:val="IndexLink"/>
              </w:rPr>
              <w:t>358</w:t>
            </w:r>
          </w:hyperlink>
        </w:p>
        <w:p>
          <w:pPr>
            <w:pStyle w:val="Contents6"/>
            <w:tabs>
              <w:tab w:val="clear" w:pos="7609"/>
              <w:tab w:val="right" w:pos="9026" w:leader="dot"/>
            </w:tabs>
            <w:rPr/>
          </w:pPr>
          <w:hyperlink w:anchor="__RefHeading___Toc5767713_3224264995">
            <w:r>
              <w:rPr>
                <w:webHidden/>
                <w:rStyle w:val="IndexLink"/>
                <w:rtl w:val="true"/>
              </w:rPr>
              <w:t>التفصیل بین الوضوء و نحوه و بین غیره</w:t>
            </w:r>
            <w:r>
              <w:rPr>
                <w:rStyle w:val="IndexLink"/>
                <w:rtl w:val="true"/>
              </w:rPr>
              <w:t>:</w:t>
              <w:tab/>
            </w:r>
            <w:r>
              <w:rPr>
                <w:rStyle w:val="IndexLink"/>
              </w:rPr>
              <w:t>359</w:t>
            </w:r>
          </w:hyperlink>
        </w:p>
        <w:p>
          <w:pPr>
            <w:pStyle w:val="Contents6"/>
            <w:tabs>
              <w:tab w:val="clear" w:pos="7609"/>
              <w:tab w:val="right" w:pos="9026" w:leader="dot"/>
            </w:tabs>
            <w:rPr/>
          </w:pPr>
          <w:hyperlink w:anchor="__RefHeading___Toc5767715_3224264995">
            <w:r>
              <w:rPr>
                <w:webHidden/>
                <w:rStyle w:val="IndexLink"/>
                <w:rtl w:val="true"/>
              </w:rPr>
              <w:t xml:space="preserve">الموضع السادس </w:t>
            </w:r>
            <w:r>
              <w:rPr>
                <w:rStyle w:val="IndexLink"/>
                <w:rtl w:val="true"/>
              </w:rPr>
              <w:t>:</w:t>
            </w:r>
            <w:r>
              <w:rPr>
                <w:rStyle w:val="IndexLink"/>
                <w:rtl w:val="true"/>
              </w:rPr>
              <w:t>هَل یلحق الشکّ فی الصحّة بالشکّ فی الإتیان؟</w:t>
            </w:r>
            <w:r>
              <w:rPr>
                <w:rStyle w:val="IndexLink"/>
                <w:rtl w:val="true"/>
              </w:rPr>
              <w:tab/>
            </w:r>
            <w:r>
              <w:rPr>
                <w:rStyle w:val="IndexLink"/>
              </w:rPr>
              <w:t>360</w:t>
            </w:r>
          </w:hyperlink>
        </w:p>
        <w:p>
          <w:pPr>
            <w:pStyle w:val="Contents6"/>
            <w:tabs>
              <w:tab w:val="clear" w:pos="7609"/>
              <w:tab w:val="right" w:pos="9026" w:leader="dot"/>
            </w:tabs>
            <w:rPr/>
          </w:pPr>
          <w:hyperlink w:anchor="__RefHeading___Toc5767717_3224264995">
            <w:r>
              <w:rPr>
                <w:webHidden/>
                <w:rStyle w:val="IndexLink"/>
                <w:rtl w:val="true"/>
              </w:rPr>
              <w:t>الموضع السابع المراد من الشکّ فی موضوع هذه القاعدة</w:t>
            </w:r>
            <w:r>
              <w:rPr>
                <w:rStyle w:val="IndexLink"/>
                <w:rtl w:val="true"/>
              </w:rPr>
              <w:t>:</w:t>
              <w:tab/>
            </w:r>
            <w:r>
              <w:rPr>
                <w:rStyle w:val="IndexLink"/>
              </w:rPr>
              <w:t>362</w:t>
            </w:r>
          </w:hyperlink>
        </w:p>
        <w:p>
          <w:pPr>
            <w:pStyle w:val="Contents6"/>
            <w:tabs>
              <w:tab w:val="clear" w:pos="7609"/>
              <w:tab w:val="right" w:pos="9026" w:leader="dot"/>
            </w:tabs>
            <w:rPr/>
          </w:pPr>
          <w:hyperlink w:anchor="__RefHeading___Toc5767719_3224264995">
            <w:r>
              <w:rPr>
                <w:webHidden/>
                <w:rStyle w:val="IndexLink"/>
                <w:rtl w:val="true"/>
              </w:rPr>
              <w:t>عدم الفرق بین أن یکون المحتمل الترک نسیانا أو تعمّدا</w:t>
            </w:r>
            <w:r>
              <w:rPr>
                <w:rStyle w:val="IndexLink"/>
                <w:rtl w:val="true"/>
              </w:rPr>
              <w:t>:</w:t>
              <w:tab/>
            </w:r>
            <w:r>
              <w:rPr>
                <w:rStyle w:val="IndexLink"/>
              </w:rPr>
              <w:t>362</w:t>
            </w:r>
          </w:hyperlink>
        </w:p>
        <w:p>
          <w:pPr>
            <w:pStyle w:val="Contents6"/>
            <w:tabs>
              <w:tab w:val="clear" w:pos="7609"/>
              <w:tab w:val="right" w:pos="9026" w:leader="dot"/>
            </w:tabs>
            <w:rPr/>
          </w:pPr>
          <w:hyperlink w:anchor="__RefHeading___Toc5767721_3224264995">
            <w:r>
              <w:rPr>
                <w:webHidden/>
                <w:rStyle w:val="IndexLink"/>
                <w:rtl w:val="true"/>
              </w:rPr>
              <w:t>المسألة الثالثة فی أصالة الصحّة فی فعل الغیر</w:t>
            </w:r>
            <w:r>
              <w:rPr>
                <w:rStyle w:val="IndexLink"/>
                <w:rtl w:val="true"/>
              </w:rPr>
              <w:tab/>
            </w:r>
            <w:r>
              <w:rPr>
                <w:rStyle w:val="IndexLink"/>
              </w:rPr>
              <w:t>363</w:t>
            </w:r>
          </w:hyperlink>
        </w:p>
        <w:p>
          <w:pPr>
            <w:pStyle w:val="Contents6"/>
            <w:tabs>
              <w:tab w:val="clear" w:pos="7609"/>
              <w:tab w:val="right" w:pos="9026" w:leader="dot"/>
            </w:tabs>
            <w:rPr/>
          </w:pPr>
          <w:hyperlink w:anchor="__RefHeading___Toc5767723_3224264995">
            <w:r>
              <w:rPr>
                <w:webHidden/>
                <w:rStyle w:val="IndexLink"/>
                <w:rtl w:val="true"/>
              </w:rPr>
              <w:t>أصالة الصحّة من الاصول المجمع علیها بین المسلمین</w:t>
            </w:r>
            <w:r>
              <w:rPr>
                <w:rStyle w:val="IndexLink"/>
                <w:rtl w:val="true"/>
              </w:rPr>
              <w:t>:</w:t>
              <w:tab/>
            </w:r>
            <w:r>
              <w:rPr>
                <w:rStyle w:val="IndexLink"/>
              </w:rPr>
              <w:t>363</w:t>
            </w:r>
          </w:hyperlink>
        </w:p>
        <w:p>
          <w:pPr>
            <w:pStyle w:val="Contents6"/>
            <w:tabs>
              <w:tab w:val="clear" w:pos="7609"/>
              <w:tab w:val="right" w:pos="9026" w:leader="dot"/>
            </w:tabs>
            <w:rPr/>
          </w:pPr>
          <w:hyperlink w:anchor="__RefHeading___Toc5767725_3224264995">
            <w:r>
              <w:rPr>
                <w:webHidden/>
                <w:rStyle w:val="IndexLink"/>
                <w:rtl w:val="true"/>
              </w:rPr>
              <w:t>مدرک أصالة الصحّة</w:t>
            </w:r>
            <w:r>
              <w:rPr>
                <w:rStyle w:val="IndexLink"/>
                <w:rtl w:val="true"/>
              </w:rPr>
              <w:t>:</w:t>
              <w:tab/>
            </w:r>
            <w:r>
              <w:rPr>
                <w:rStyle w:val="IndexLink"/>
              </w:rPr>
              <w:t>363</w:t>
            </w:r>
          </w:hyperlink>
        </w:p>
        <w:p>
          <w:pPr>
            <w:pStyle w:val="Contents6"/>
            <w:tabs>
              <w:tab w:val="clear" w:pos="7609"/>
              <w:tab w:val="right" w:pos="9026" w:leader="dot"/>
            </w:tabs>
            <w:rPr/>
          </w:pPr>
          <w:hyperlink w:anchor="__RefHeading___Toc5767727_3224264995">
            <w:r>
              <w:rPr>
                <w:webHidden/>
                <w:rStyle w:val="IndexLink"/>
                <w:rtl w:val="true"/>
              </w:rPr>
              <w:t>الاستدلال بالآیات و المناقشة فیه</w:t>
            </w:r>
            <w:r>
              <w:rPr>
                <w:rStyle w:val="IndexLink"/>
                <w:rtl w:val="true"/>
              </w:rPr>
              <w:t>:</w:t>
              <w:tab/>
            </w:r>
            <w:r>
              <w:rPr>
                <w:rStyle w:val="IndexLink"/>
              </w:rPr>
              <w:t>363</w:t>
            </w:r>
          </w:hyperlink>
        </w:p>
        <w:p>
          <w:pPr>
            <w:pStyle w:val="Contents6"/>
            <w:tabs>
              <w:tab w:val="clear" w:pos="7609"/>
              <w:tab w:val="right" w:pos="9026" w:leader="dot"/>
            </w:tabs>
            <w:rPr/>
          </w:pPr>
          <w:hyperlink w:anchor="__RefHeading___Toc5767729_3224264995">
            <w:r>
              <w:rPr>
                <w:webHidden/>
                <w:rStyle w:val="IndexLink"/>
                <w:rtl w:val="true"/>
              </w:rPr>
              <w:t>و أمّا السنّة</w:t>
            </w:r>
            <w:r>
              <w:rPr>
                <w:rStyle w:val="IndexLink"/>
                <w:rtl w:val="true"/>
              </w:rPr>
              <w:t xml:space="preserve">: </w:t>
            </w:r>
            <w:r>
              <w:rPr>
                <w:rStyle w:val="IndexLink"/>
                <w:rtl w:val="true"/>
              </w:rPr>
              <w:t>الاستدلال بالأخبار</w:t>
            </w:r>
            <w:r>
              <w:rPr>
                <w:rStyle w:val="IndexLink"/>
                <w:rtl w:val="true"/>
              </w:rPr>
              <w:tab/>
            </w:r>
            <w:r>
              <w:rPr>
                <w:rStyle w:val="IndexLink"/>
              </w:rPr>
              <w:t>364</w:t>
            </w:r>
          </w:hyperlink>
        </w:p>
        <w:p>
          <w:pPr>
            <w:pStyle w:val="Contents6"/>
            <w:tabs>
              <w:tab w:val="clear" w:pos="7609"/>
              <w:tab w:val="right" w:pos="9026" w:leader="dot"/>
            </w:tabs>
            <w:rPr/>
          </w:pPr>
          <w:hyperlink w:anchor="__RefHeading___Toc5767731_3224264995">
            <w:r>
              <w:rPr>
                <w:webHidden/>
                <w:rStyle w:val="IndexLink"/>
                <w:rtl w:val="true"/>
              </w:rPr>
              <w:t>المناقشة فی دلالة الأخبار</w:t>
            </w:r>
            <w:r>
              <w:rPr>
                <w:rStyle w:val="IndexLink"/>
                <w:rtl w:val="true"/>
              </w:rPr>
              <w:t>:</w:t>
              <w:tab/>
            </w:r>
            <w:r>
              <w:rPr>
                <w:rStyle w:val="IndexLink"/>
              </w:rPr>
              <w:t>365</w:t>
            </w:r>
          </w:hyperlink>
        </w:p>
        <w:p>
          <w:pPr>
            <w:pStyle w:val="Contents6"/>
            <w:tabs>
              <w:tab w:val="clear" w:pos="7609"/>
              <w:tab w:val="right" w:pos="9026" w:leader="dot"/>
            </w:tabs>
            <w:rPr/>
          </w:pPr>
          <w:hyperlink w:anchor="__RefHeading___Toc5767733_3224264995">
            <w:r>
              <w:rPr>
                <w:webHidden/>
                <w:rStyle w:val="IndexLink"/>
                <w:rtl w:val="true"/>
              </w:rPr>
              <w:t>مما یوید عدم دلالة الاخبار</w:t>
            </w:r>
            <w:r>
              <w:rPr>
                <w:rStyle w:val="IndexLink"/>
                <w:rtl w:val="true"/>
              </w:rPr>
              <w:tab/>
            </w:r>
            <w:r>
              <w:rPr>
                <w:rStyle w:val="IndexLink"/>
              </w:rPr>
              <w:t>366</w:t>
            </w:r>
          </w:hyperlink>
        </w:p>
        <w:p>
          <w:pPr>
            <w:pStyle w:val="Contents6"/>
            <w:tabs>
              <w:tab w:val="clear" w:pos="7609"/>
              <w:tab w:val="right" w:pos="9026" w:leader="dot"/>
            </w:tabs>
            <w:rPr/>
          </w:pPr>
          <w:hyperlink w:anchor="__RefHeading___Toc5767735_3224264995">
            <w:r>
              <w:rPr>
                <w:webHidden/>
                <w:rStyle w:val="IndexLink"/>
                <w:rtl w:val="true"/>
              </w:rPr>
              <w:t>مما یوید عدم الدلالة ایضا</w:t>
            </w:r>
            <w:r>
              <w:rPr>
                <w:rStyle w:val="IndexLink"/>
                <w:rtl w:val="true"/>
              </w:rPr>
              <w:tab/>
            </w:r>
            <w:r>
              <w:rPr>
                <w:rStyle w:val="IndexLink"/>
              </w:rPr>
              <w:t>366</w:t>
            </w:r>
          </w:hyperlink>
        </w:p>
        <w:p>
          <w:pPr>
            <w:pStyle w:val="Contents6"/>
            <w:tabs>
              <w:tab w:val="clear" w:pos="7609"/>
              <w:tab w:val="right" w:pos="9026" w:leader="dot"/>
            </w:tabs>
            <w:rPr/>
          </w:pPr>
          <w:hyperlink w:anchor="__RefHeading___Toc5767737_3224264995">
            <w:r>
              <w:rPr>
                <w:webHidden/>
                <w:rStyle w:val="IndexLink"/>
                <w:rtl w:val="true"/>
              </w:rPr>
              <w:t>الثالث</w:t>
            </w:r>
            <w:r>
              <w:rPr>
                <w:rStyle w:val="IndexLink"/>
                <w:rtl w:val="true"/>
              </w:rPr>
              <w:t>:</w:t>
            </w:r>
            <w:r>
              <w:rPr>
                <w:rStyle w:val="IndexLink"/>
                <w:rtl w:val="true"/>
              </w:rPr>
              <w:t>الإجماع القولیّ و العملیّ</w:t>
            </w:r>
            <w:r>
              <w:rPr>
                <w:rStyle w:val="IndexLink"/>
                <w:rtl w:val="true"/>
              </w:rPr>
              <w:tab/>
            </w:r>
            <w:r>
              <w:rPr>
                <w:rStyle w:val="IndexLink"/>
              </w:rPr>
              <w:t>368</w:t>
            </w:r>
          </w:hyperlink>
        </w:p>
        <w:p>
          <w:pPr>
            <w:pStyle w:val="Contents6"/>
            <w:tabs>
              <w:tab w:val="clear" w:pos="7609"/>
              <w:tab w:val="right" w:pos="9026" w:leader="dot"/>
            </w:tabs>
            <w:rPr/>
          </w:pPr>
          <w:hyperlink w:anchor="__RefHeading___Toc5767739_3224264995">
            <w:r>
              <w:rPr>
                <w:webHidden/>
                <w:rStyle w:val="IndexLink"/>
                <w:rtl w:val="true"/>
              </w:rPr>
              <w:t>الاستدلال بالإجماع العملی</w:t>
            </w:r>
            <w:r>
              <w:rPr>
                <w:rStyle w:val="IndexLink"/>
                <w:rtl w:val="true"/>
              </w:rPr>
              <w:tab/>
            </w:r>
            <w:r>
              <w:rPr>
                <w:rStyle w:val="IndexLink"/>
              </w:rPr>
              <w:t>368</w:t>
            </w:r>
          </w:hyperlink>
        </w:p>
        <w:p>
          <w:pPr>
            <w:pStyle w:val="Contents6"/>
            <w:tabs>
              <w:tab w:val="clear" w:pos="7609"/>
              <w:tab w:val="right" w:pos="9026" w:leader="dot"/>
            </w:tabs>
            <w:rPr/>
          </w:pPr>
          <w:hyperlink w:anchor="__RefHeading___Toc5767741_3224264995">
            <w:r>
              <w:rPr>
                <w:webHidden/>
                <w:rStyle w:val="IndexLink"/>
                <w:rtl w:val="true"/>
              </w:rPr>
              <w:t>الرابع</w:t>
            </w:r>
            <w:r>
              <w:rPr>
                <w:rStyle w:val="IndexLink"/>
                <w:rtl w:val="true"/>
              </w:rPr>
              <w:t>:</w:t>
            </w:r>
            <w:r>
              <w:rPr>
                <w:rStyle w:val="IndexLink"/>
                <w:rtl w:val="true"/>
              </w:rPr>
              <w:t>العقل المستقلّ</w:t>
            </w:r>
            <w:r>
              <w:rPr>
                <w:rStyle w:val="IndexLink"/>
                <w:rtl w:val="true"/>
              </w:rPr>
              <w:tab/>
            </w:r>
            <w:r>
              <w:rPr>
                <w:rStyle w:val="IndexLink"/>
              </w:rPr>
              <w:t>368</w:t>
            </w:r>
          </w:hyperlink>
        </w:p>
        <w:p>
          <w:pPr>
            <w:pStyle w:val="Contents6"/>
            <w:tabs>
              <w:tab w:val="clear" w:pos="7609"/>
              <w:tab w:val="right" w:pos="9026" w:leader="dot"/>
            </w:tabs>
            <w:rPr/>
          </w:pPr>
          <w:hyperlink w:anchor="__RefHeading___Toc5767743_3224264995">
            <w:r>
              <w:rPr>
                <w:webHidden/>
                <w:rStyle w:val="IndexLink"/>
                <w:rtl w:val="true"/>
              </w:rPr>
              <w:t>و ینبغی التنبیه علی أمور</w:t>
            </w:r>
            <w:r>
              <w:rPr>
                <w:rStyle w:val="IndexLink"/>
                <w:rtl w:val="true"/>
              </w:rPr>
              <w:t>:</w:t>
              <w:tab/>
            </w:r>
            <w:r>
              <w:rPr>
                <w:rStyle w:val="IndexLink"/>
              </w:rPr>
              <w:t>371</w:t>
            </w:r>
          </w:hyperlink>
        </w:p>
        <w:p>
          <w:pPr>
            <w:pStyle w:val="Contents6"/>
            <w:tabs>
              <w:tab w:val="clear" w:pos="7609"/>
              <w:tab w:val="right" w:pos="9026" w:leader="dot"/>
            </w:tabs>
            <w:rPr/>
          </w:pPr>
          <w:hyperlink w:anchor="__RefHeading___Toc5767745_3224264995">
            <w:r>
              <w:rPr>
                <w:webHidden/>
                <w:rStyle w:val="IndexLink"/>
                <w:rtl w:val="true"/>
              </w:rPr>
              <w:t xml:space="preserve">الأمر الأوّل </w:t>
            </w:r>
            <w:r>
              <w:rPr>
                <w:rStyle w:val="IndexLink"/>
                <w:rtl w:val="true"/>
              </w:rPr>
              <w:t>:</w:t>
            </w:r>
            <w:r>
              <w:rPr>
                <w:rStyle w:val="IndexLink"/>
                <w:rtl w:val="true"/>
              </w:rPr>
              <w:t>هل یحمل فعل المسلم علی الصحّة الواقعیّة أو الصحّة عند الفاعل؟</w:t>
            </w:r>
            <w:r>
              <w:rPr>
                <w:rStyle w:val="IndexLink"/>
                <w:rtl w:val="true"/>
              </w:rPr>
              <w:tab/>
            </w:r>
            <w:r>
              <w:rPr>
                <w:rStyle w:val="IndexLink"/>
              </w:rPr>
              <w:t>371</w:t>
            </w:r>
          </w:hyperlink>
        </w:p>
        <w:p>
          <w:pPr>
            <w:pStyle w:val="Contents6"/>
            <w:tabs>
              <w:tab w:val="clear" w:pos="7609"/>
              <w:tab w:val="right" w:pos="9026" w:leader="dot"/>
            </w:tabs>
            <w:rPr/>
          </w:pPr>
          <w:hyperlink w:anchor="__RefHeading___Toc5767747_3224264995">
            <w:r>
              <w:rPr>
                <w:webHidden/>
                <w:rStyle w:val="IndexLink"/>
                <w:rtl w:val="true"/>
              </w:rPr>
              <w:t>ظاهر المشهور الحمل علی الصحّة الواقعیّة</w:t>
            </w:r>
            <w:r>
              <w:rPr>
                <w:rStyle w:val="IndexLink"/>
                <w:rtl w:val="true"/>
              </w:rPr>
              <w:tab/>
            </w:r>
            <w:r>
              <w:rPr>
                <w:rStyle w:val="IndexLink"/>
              </w:rPr>
              <w:t>372</w:t>
            </w:r>
          </w:hyperlink>
        </w:p>
        <w:p>
          <w:pPr>
            <w:pStyle w:val="Contents6"/>
            <w:tabs>
              <w:tab w:val="clear" w:pos="7609"/>
              <w:tab w:val="right" w:pos="9026" w:leader="dot"/>
            </w:tabs>
            <w:rPr/>
          </w:pPr>
          <w:hyperlink w:anchor="__RefHeading___Toc5767749_3224264995">
            <w:r>
              <w:rPr>
                <w:webHidden/>
                <w:rStyle w:val="IndexLink"/>
                <w:rtl w:val="true"/>
              </w:rPr>
              <w:t>ظاهر بعض المتأخّرین الحمل علی الصحّة باعتقاد الفاعل</w:t>
            </w:r>
            <w:r>
              <w:rPr>
                <w:rStyle w:val="IndexLink"/>
                <w:rtl w:val="true"/>
              </w:rPr>
              <w:t>:</w:t>
              <w:tab/>
            </w:r>
            <w:r>
              <w:rPr>
                <w:rStyle w:val="IndexLink"/>
              </w:rPr>
              <w:t>372</w:t>
            </w:r>
          </w:hyperlink>
        </w:p>
        <w:p>
          <w:pPr>
            <w:pStyle w:val="Contents6"/>
            <w:tabs>
              <w:tab w:val="clear" w:pos="7609"/>
              <w:tab w:val="right" w:pos="9026" w:leader="dot"/>
            </w:tabs>
            <w:rPr/>
          </w:pPr>
          <w:hyperlink w:anchor="__RefHeading___Toc5767751_3224264995">
            <w:r>
              <w:rPr>
                <w:webHidden/>
                <w:rStyle w:val="IndexLink"/>
                <w:rtl w:val="true"/>
              </w:rPr>
              <w:t>و المسألة محلّ إشکال</w:t>
            </w:r>
            <w:r>
              <w:rPr>
                <w:rStyle w:val="IndexLink"/>
                <w:rtl w:val="true"/>
              </w:rPr>
              <w:t>:</w:t>
              <w:tab/>
            </w:r>
            <w:r>
              <w:rPr>
                <w:rStyle w:val="IndexLink"/>
              </w:rPr>
              <w:t>373</w:t>
            </w:r>
          </w:hyperlink>
        </w:p>
        <w:p>
          <w:pPr>
            <w:pStyle w:val="Contents6"/>
            <w:tabs>
              <w:tab w:val="clear" w:pos="7609"/>
              <w:tab w:val="right" w:pos="9026" w:leader="dot"/>
            </w:tabs>
            <w:rPr/>
          </w:pPr>
          <w:hyperlink w:anchor="__RefHeading___Toc5767753_3224264995">
            <w:r>
              <w:rPr>
                <w:webHidden/>
                <w:rStyle w:val="IndexLink"/>
                <w:rtl w:val="true"/>
              </w:rPr>
              <w:t>صور المسألة</w:t>
            </w:r>
            <w:r>
              <w:rPr>
                <w:rStyle w:val="IndexLink"/>
                <w:rtl w:val="true"/>
              </w:rPr>
              <w:t>:</w:t>
              <w:tab/>
            </w:r>
            <w:r>
              <w:rPr>
                <w:rStyle w:val="IndexLink"/>
              </w:rPr>
              <w:t>373</w:t>
            </w:r>
          </w:hyperlink>
        </w:p>
        <w:p>
          <w:pPr>
            <w:pStyle w:val="Contents6"/>
            <w:tabs>
              <w:tab w:val="clear" w:pos="7609"/>
              <w:tab w:val="right" w:pos="9026" w:leader="dot"/>
            </w:tabs>
            <w:rPr/>
          </w:pPr>
          <w:hyperlink w:anchor="__RefHeading___Toc5767755_3224264995">
            <w:r>
              <w:rPr>
                <w:webHidden/>
                <w:rStyle w:val="IndexLink"/>
              </w:rPr>
              <w:t>1</w:t>
            </w:r>
            <w:r>
              <w:rPr>
                <w:rStyle w:val="IndexLink"/>
                <w:rtl w:val="true"/>
              </w:rPr>
              <w:t>-</w:t>
            </w:r>
            <w:r>
              <w:rPr>
                <w:rStyle w:val="IndexLink"/>
                <w:rtl w:val="true"/>
              </w:rPr>
              <w:t>أن یعلم کون الفاعل عالما بالصحّة و الفساد</w:t>
            </w:r>
            <w:r>
              <w:rPr>
                <w:rStyle w:val="IndexLink"/>
                <w:rtl w:val="true"/>
              </w:rPr>
              <w:t>:</w:t>
              <w:tab/>
            </w:r>
            <w:r>
              <w:rPr>
                <w:rStyle w:val="IndexLink"/>
              </w:rPr>
              <w:t>373</w:t>
            </w:r>
          </w:hyperlink>
        </w:p>
        <w:p>
          <w:pPr>
            <w:pStyle w:val="Contents6"/>
            <w:tabs>
              <w:tab w:val="clear" w:pos="7609"/>
              <w:tab w:val="right" w:pos="9026" w:leader="dot"/>
            </w:tabs>
            <w:rPr/>
          </w:pPr>
          <w:hyperlink w:anchor="__RefHeading___Toc5767757_3224264995">
            <w:r>
              <w:rPr>
                <w:webHidden/>
                <w:rStyle w:val="IndexLink"/>
              </w:rPr>
              <w:t>2</w:t>
            </w:r>
            <w:r>
              <w:rPr>
                <w:rStyle w:val="IndexLink"/>
                <w:rtl w:val="true"/>
              </w:rPr>
              <w:t>-</w:t>
            </w:r>
            <w:r>
              <w:rPr>
                <w:rStyle w:val="IndexLink"/>
                <w:rtl w:val="true"/>
              </w:rPr>
              <w:t>أن یعلم کونه جاهلا</w:t>
            </w:r>
            <w:r>
              <w:rPr>
                <w:rStyle w:val="IndexLink"/>
                <w:rtl w:val="true"/>
              </w:rPr>
              <w:t>:</w:t>
              <w:tab/>
            </w:r>
            <w:r>
              <w:rPr>
                <w:rStyle w:val="IndexLink"/>
              </w:rPr>
              <w:t>374</w:t>
            </w:r>
          </w:hyperlink>
        </w:p>
        <w:p>
          <w:pPr>
            <w:pStyle w:val="Contents6"/>
            <w:tabs>
              <w:tab w:val="clear" w:pos="7609"/>
              <w:tab w:val="right" w:pos="9026" w:leader="dot"/>
            </w:tabs>
            <w:rPr/>
          </w:pPr>
          <w:hyperlink w:anchor="__RefHeading___Toc5767759_3224264995">
            <w:r>
              <w:rPr>
                <w:webHidden/>
                <w:rStyle w:val="IndexLink"/>
              </w:rPr>
              <w:t>3</w:t>
            </w:r>
            <w:r>
              <w:rPr>
                <w:rStyle w:val="IndexLink"/>
                <w:rtl w:val="true"/>
              </w:rPr>
              <w:t>-</w:t>
            </w:r>
            <w:r>
              <w:rPr>
                <w:rStyle w:val="IndexLink"/>
                <w:rtl w:val="true"/>
              </w:rPr>
              <w:t>أن یجهل حاله</w:t>
            </w:r>
            <w:r>
              <w:rPr>
                <w:rStyle w:val="IndexLink"/>
                <w:rtl w:val="true"/>
              </w:rPr>
              <w:tab/>
            </w:r>
            <w:r>
              <w:rPr>
                <w:rStyle w:val="IndexLink"/>
              </w:rPr>
              <w:t>374</w:t>
            </w:r>
          </w:hyperlink>
        </w:p>
        <w:p>
          <w:pPr>
            <w:pStyle w:val="Contents6"/>
            <w:tabs>
              <w:tab w:val="clear" w:pos="7609"/>
              <w:tab w:val="right" w:pos="9026" w:leader="dot"/>
            </w:tabs>
            <w:rPr/>
          </w:pPr>
          <w:hyperlink w:anchor="__RefHeading___Toc5767761_3224264995">
            <w:r>
              <w:rPr>
                <w:webHidden/>
                <w:rStyle w:val="IndexLink"/>
                <w:rtl w:val="true"/>
              </w:rPr>
              <w:t>الأمر الثانی هل یعتبر فی جریان أصالة الصحّة فی العقود استکمال أرکان العقد؟</w:t>
            </w:r>
            <w:r>
              <w:rPr>
                <w:rStyle w:val="IndexLink"/>
                <w:rtl w:val="true"/>
              </w:rPr>
              <w:tab/>
            </w:r>
            <w:r>
              <w:rPr>
                <w:rStyle w:val="IndexLink"/>
              </w:rPr>
              <w:t>375</w:t>
            </w:r>
          </w:hyperlink>
        </w:p>
        <w:p>
          <w:pPr>
            <w:pStyle w:val="Contents6"/>
            <w:tabs>
              <w:tab w:val="clear" w:pos="7609"/>
              <w:tab w:val="right" w:pos="9026" w:leader="dot"/>
            </w:tabs>
            <w:rPr/>
          </w:pPr>
          <w:hyperlink w:anchor="__RefHeading___Toc5767763_3224264995">
            <w:r>
              <w:rPr>
                <w:webHidden/>
                <w:rStyle w:val="IndexLink"/>
                <w:rtl w:val="true"/>
              </w:rPr>
              <w:t>کلام المحقق الثانی فی باب الضمان</w:t>
            </w:r>
            <w:r>
              <w:rPr>
                <w:rStyle w:val="IndexLink"/>
                <w:rtl w:val="true"/>
              </w:rPr>
              <w:t>:</w:t>
              <w:tab/>
            </w:r>
            <w:r>
              <w:rPr>
                <w:rStyle w:val="IndexLink"/>
              </w:rPr>
              <w:t>375</w:t>
            </w:r>
          </w:hyperlink>
        </w:p>
        <w:p>
          <w:pPr>
            <w:pStyle w:val="Contents6"/>
            <w:tabs>
              <w:tab w:val="clear" w:pos="7609"/>
              <w:tab w:val="right" w:pos="9026" w:leader="dot"/>
            </w:tabs>
            <w:rPr/>
          </w:pPr>
          <w:hyperlink w:anchor="__RefHeading___Toc5767765_3224264995">
            <w:r>
              <w:rPr>
                <w:webHidden/>
                <w:rStyle w:val="IndexLink"/>
                <w:rtl w:val="true"/>
              </w:rPr>
              <w:t>کلامه فی باب الاجارة</w:t>
            </w:r>
            <w:r>
              <w:rPr>
                <w:rStyle w:val="IndexLink"/>
                <w:rtl w:val="true"/>
              </w:rPr>
              <w:t>:</w:t>
              <w:tab/>
            </w:r>
            <w:r>
              <w:rPr>
                <w:rStyle w:val="IndexLink"/>
              </w:rPr>
              <w:t>375</w:t>
            </w:r>
          </w:hyperlink>
        </w:p>
        <w:p>
          <w:pPr>
            <w:pStyle w:val="Contents6"/>
            <w:tabs>
              <w:tab w:val="clear" w:pos="7609"/>
              <w:tab w:val="right" w:pos="9026" w:leader="dot"/>
            </w:tabs>
            <w:rPr/>
          </w:pPr>
          <w:hyperlink w:anchor="__RefHeading___Toc5767767_3224264995">
            <w:r>
              <w:rPr>
                <w:webHidden/>
                <w:rStyle w:val="IndexLink"/>
                <w:rtl w:val="true"/>
              </w:rPr>
              <w:t>کلام العلاّمة رحمه اللّه فی القواعد</w:t>
            </w:r>
            <w:r>
              <w:rPr>
                <w:rStyle w:val="IndexLink"/>
                <w:rtl w:val="true"/>
              </w:rPr>
              <w:t>:</w:t>
              <w:tab/>
            </w:r>
            <w:r>
              <w:rPr>
                <w:rStyle w:val="IndexLink"/>
              </w:rPr>
              <w:t>376</w:t>
            </w:r>
          </w:hyperlink>
        </w:p>
        <w:p>
          <w:pPr>
            <w:pStyle w:val="Contents6"/>
            <w:tabs>
              <w:tab w:val="clear" w:pos="7609"/>
              <w:tab w:val="right" w:pos="9026" w:leader="dot"/>
            </w:tabs>
            <w:rPr/>
          </w:pPr>
          <w:hyperlink w:anchor="__RefHeading___Toc5767769_3224264995">
            <w:r>
              <w:rPr>
                <w:webHidden/>
                <w:rStyle w:val="IndexLink"/>
                <w:rtl w:val="true"/>
              </w:rPr>
              <w:t>کلامه فی التذکرة</w:t>
            </w:r>
            <w:r>
              <w:rPr>
                <w:rStyle w:val="IndexLink"/>
                <w:rtl w:val="true"/>
              </w:rPr>
              <w:t>:</w:t>
              <w:tab/>
            </w:r>
            <w:r>
              <w:rPr>
                <w:rStyle w:val="IndexLink"/>
              </w:rPr>
              <w:t>376</w:t>
            </w:r>
          </w:hyperlink>
        </w:p>
        <w:p>
          <w:pPr>
            <w:pStyle w:val="Contents6"/>
            <w:tabs>
              <w:tab w:val="clear" w:pos="7609"/>
              <w:tab w:val="right" w:pos="9026" w:leader="dot"/>
            </w:tabs>
            <w:rPr/>
          </w:pPr>
          <w:hyperlink w:anchor="__RefHeading___Toc5767771_3224264995">
            <w:r>
              <w:rPr>
                <w:webHidden/>
                <w:rStyle w:val="IndexLink"/>
                <w:rtl w:val="true"/>
              </w:rPr>
              <w:t>الأقوی التعمیم و عدم اعتبار استکمال الأرکان</w:t>
            </w:r>
            <w:r>
              <w:rPr>
                <w:rStyle w:val="IndexLink"/>
                <w:rtl w:val="true"/>
              </w:rPr>
              <w:t>:</w:t>
              <w:tab/>
            </w:r>
            <w:r>
              <w:rPr>
                <w:rStyle w:val="IndexLink"/>
              </w:rPr>
              <w:t>378</w:t>
            </w:r>
          </w:hyperlink>
        </w:p>
        <w:p>
          <w:pPr>
            <w:pStyle w:val="Contents6"/>
            <w:tabs>
              <w:tab w:val="clear" w:pos="7609"/>
              <w:tab w:val="right" w:pos="9026" w:leader="dot"/>
            </w:tabs>
            <w:rPr/>
          </w:pPr>
          <w:hyperlink w:anchor="__RefHeading___Toc5767773_3224264995">
            <w:r>
              <w:rPr>
                <w:webHidden/>
                <w:rStyle w:val="IndexLink"/>
                <w:rtl w:val="true"/>
              </w:rPr>
              <w:t>المناقشة فیما ذکره المحقق الثانی</w:t>
            </w:r>
            <w:r>
              <w:rPr>
                <w:rStyle w:val="IndexLink"/>
                <w:rtl w:val="true"/>
              </w:rPr>
              <w:t>:</w:t>
              <w:tab/>
            </w:r>
            <w:r>
              <w:rPr>
                <w:rStyle w:val="IndexLink"/>
              </w:rPr>
              <w:t>378</w:t>
            </w:r>
          </w:hyperlink>
        </w:p>
        <w:p>
          <w:pPr>
            <w:pStyle w:val="Contents6"/>
            <w:tabs>
              <w:tab w:val="clear" w:pos="7609"/>
              <w:tab w:val="right" w:pos="9026" w:leader="dot"/>
            </w:tabs>
            <w:rPr/>
          </w:pPr>
          <w:hyperlink w:anchor="__RefHeading___Toc5767775_3224264995">
            <w:r>
              <w:rPr>
                <w:webHidden/>
                <w:rStyle w:val="IndexLink"/>
                <w:rtl w:val="true"/>
              </w:rPr>
              <w:t>الثالث صحّة کلّ شیء بحسبه و باعتبار آثار نفسه</w:t>
            </w:r>
            <w:r>
              <w:rPr>
                <w:rStyle w:val="IndexLink"/>
                <w:rtl w:val="true"/>
              </w:rPr>
              <w:tab/>
            </w:r>
            <w:r>
              <w:rPr>
                <w:rStyle w:val="IndexLink"/>
              </w:rPr>
              <w:t>381</w:t>
            </w:r>
          </w:hyperlink>
        </w:p>
        <w:p>
          <w:pPr>
            <w:pStyle w:val="Contents6"/>
            <w:tabs>
              <w:tab w:val="clear" w:pos="7609"/>
              <w:tab w:val="right" w:pos="9026" w:leader="dot"/>
            </w:tabs>
            <w:rPr/>
          </w:pPr>
          <w:hyperlink w:anchor="__RefHeading___Toc5767777_3224264995">
            <w:r>
              <w:rPr>
                <w:webHidden/>
                <w:rStyle w:val="IndexLink"/>
                <w:rtl w:val="true"/>
              </w:rPr>
              <w:t>و ممّا یتفرّع علی ذلک أیضا</w:t>
            </w:r>
            <w:r>
              <w:rPr>
                <w:rStyle w:val="IndexLink"/>
                <w:rtl w:val="true"/>
              </w:rPr>
              <w:t>:</w:t>
              <w:tab/>
            </w:r>
            <w:r>
              <w:rPr>
                <w:rStyle w:val="IndexLink"/>
              </w:rPr>
              <w:t>382</w:t>
            </w:r>
          </w:hyperlink>
        </w:p>
        <w:p>
          <w:pPr>
            <w:pStyle w:val="Contents6"/>
            <w:tabs>
              <w:tab w:val="clear" w:pos="7609"/>
              <w:tab w:val="right" w:pos="9026" w:leader="dot"/>
            </w:tabs>
            <w:rPr/>
          </w:pPr>
          <w:hyperlink w:anchor="__RefHeading___Toc5767779_3224264995">
            <w:r>
              <w:rPr>
                <w:webHidden/>
                <w:rStyle w:val="IndexLink"/>
                <w:rtl w:val="true"/>
              </w:rPr>
              <w:t>الرابع اعتبار إحراز أصل العمل فی أصالة الصحّة</w:t>
            </w:r>
            <w:r>
              <w:rPr>
                <w:rStyle w:val="IndexLink"/>
                <w:rtl w:val="true"/>
              </w:rPr>
              <w:tab/>
            </w:r>
            <w:r>
              <w:rPr>
                <w:rStyle w:val="IndexLink"/>
              </w:rPr>
              <w:t>385</w:t>
            </w:r>
          </w:hyperlink>
        </w:p>
        <w:p>
          <w:pPr>
            <w:pStyle w:val="Contents6"/>
            <w:tabs>
              <w:tab w:val="clear" w:pos="7609"/>
              <w:tab w:val="right" w:pos="9026" w:leader="dot"/>
            </w:tabs>
            <w:rPr/>
          </w:pPr>
          <w:hyperlink w:anchor="__RefHeading___Toc5767781_3224264995">
            <w:r>
              <w:rPr>
                <w:webHidden/>
                <w:rStyle w:val="IndexLink"/>
                <w:rtl w:val="true"/>
              </w:rPr>
              <w:t>الإشکال فی الفرق بین صلاة الغیر علی المیّت و بین الصلاة عن المیت تبرّعا أو بالإجارة</w:t>
            </w:r>
            <w:r>
              <w:rPr>
                <w:rStyle w:val="IndexLink"/>
                <w:rtl w:val="true"/>
              </w:rPr>
              <w:t>:</w:t>
              <w:tab/>
            </w:r>
            <w:r>
              <w:rPr>
                <w:rStyle w:val="IndexLink"/>
              </w:rPr>
              <w:t>385</w:t>
            </w:r>
          </w:hyperlink>
        </w:p>
        <w:p>
          <w:pPr>
            <w:pStyle w:val="Contents6"/>
            <w:tabs>
              <w:tab w:val="clear" w:pos="7609"/>
              <w:tab w:val="right" w:pos="9026" w:leader="dot"/>
            </w:tabs>
            <w:rPr/>
          </w:pPr>
          <w:hyperlink w:anchor="__RefHeading___Toc5767783_3224264995">
            <w:r>
              <w:rPr>
                <w:webHidden/>
                <w:rStyle w:val="IndexLink"/>
                <w:rtl w:val="true"/>
              </w:rPr>
              <w:t>توجیه الفرق</w:t>
            </w:r>
            <w:r>
              <w:rPr>
                <w:rStyle w:val="IndexLink"/>
                <w:rtl w:val="true"/>
              </w:rPr>
              <w:t>:</w:t>
              <w:tab/>
            </w:r>
            <w:r>
              <w:rPr>
                <w:rStyle w:val="IndexLink"/>
              </w:rPr>
              <w:t>386</w:t>
            </w:r>
          </w:hyperlink>
        </w:p>
        <w:p>
          <w:pPr>
            <w:pStyle w:val="Contents6"/>
            <w:tabs>
              <w:tab w:val="clear" w:pos="7609"/>
              <w:tab w:val="right" w:pos="9026" w:leader="dot"/>
            </w:tabs>
            <w:rPr/>
          </w:pPr>
          <w:hyperlink w:anchor="__RefHeading___Toc5767785_3224264995">
            <w:r>
              <w:rPr>
                <w:webHidden/>
                <w:rStyle w:val="IndexLink"/>
                <w:rtl w:val="true"/>
              </w:rPr>
              <w:t>الخامس عدم جواز الأخذ باللوازم فی أصالة الصحّة</w:t>
            </w:r>
            <w:r>
              <w:rPr>
                <w:rStyle w:val="IndexLink"/>
                <w:rtl w:val="true"/>
              </w:rPr>
              <w:tab/>
            </w:r>
            <w:r>
              <w:rPr>
                <w:rStyle w:val="IndexLink"/>
              </w:rPr>
              <w:t>389</w:t>
            </w:r>
          </w:hyperlink>
        </w:p>
        <w:p>
          <w:pPr>
            <w:pStyle w:val="Contents6"/>
            <w:tabs>
              <w:tab w:val="clear" w:pos="7609"/>
              <w:tab w:val="right" w:pos="9026" w:leader="dot"/>
            </w:tabs>
            <w:rPr/>
          </w:pPr>
          <w:hyperlink w:anchor="__RefHeading___Toc5767787_3224264995">
            <w:r>
              <w:rPr>
                <w:webHidden/>
                <w:rStyle w:val="IndexLink"/>
                <w:rtl w:val="true"/>
              </w:rPr>
              <w:t>السادس وجه تقدیم أصالة الصحّة علی استصحاب الفساد</w:t>
            </w:r>
            <w:r>
              <w:rPr>
                <w:rStyle w:val="IndexLink"/>
                <w:rtl w:val="true"/>
              </w:rPr>
              <w:tab/>
            </w:r>
            <w:r>
              <w:rPr>
                <w:rStyle w:val="IndexLink"/>
              </w:rPr>
              <w:t>391</w:t>
            </w:r>
          </w:hyperlink>
        </w:p>
        <w:p>
          <w:pPr>
            <w:pStyle w:val="Contents6"/>
            <w:tabs>
              <w:tab w:val="clear" w:pos="7609"/>
              <w:tab w:val="right" w:pos="9026" w:leader="dot"/>
            </w:tabs>
            <w:rPr/>
          </w:pPr>
          <w:hyperlink w:anchor="__RefHeading___Toc5767789_3224264995">
            <w:r>
              <w:rPr>
                <w:webHidden/>
                <w:rStyle w:val="IndexLink"/>
                <w:rtl w:val="true"/>
              </w:rPr>
              <w:t>اضطراب کلمات الأصحاب فی تقدیم أصالة الصحّة علی الاستصحابات الموضوعیّة</w:t>
            </w:r>
            <w:r>
              <w:rPr>
                <w:rStyle w:val="IndexLink"/>
                <w:rtl w:val="true"/>
              </w:rPr>
              <w:t>:</w:t>
              <w:tab/>
            </w:r>
            <w:r>
              <w:rPr>
                <w:rStyle w:val="IndexLink"/>
              </w:rPr>
              <w:t>391</w:t>
            </w:r>
          </w:hyperlink>
        </w:p>
        <w:p>
          <w:pPr>
            <w:pStyle w:val="Contents6"/>
            <w:tabs>
              <w:tab w:val="clear" w:pos="7609"/>
              <w:tab w:val="right" w:pos="9026" w:leader="dot"/>
            </w:tabs>
            <w:rPr/>
          </w:pPr>
          <w:hyperlink w:anchor="__RefHeading___Toc5767791_3224264995">
            <w:r>
              <w:rPr>
                <w:webHidden/>
                <w:rStyle w:val="IndexLink"/>
                <w:rtl w:val="true"/>
              </w:rPr>
              <w:t>التحقیق فی المسألة</w:t>
            </w:r>
            <w:r>
              <w:rPr>
                <w:rStyle w:val="IndexLink"/>
                <w:rtl w:val="true"/>
              </w:rPr>
              <w:t>:</w:t>
              <w:tab/>
            </w:r>
            <w:r>
              <w:rPr>
                <w:rStyle w:val="IndexLink"/>
              </w:rPr>
              <w:t>392</w:t>
            </w:r>
          </w:hyperlink>
        </w:p>
        <w:p>
          <w:pPr>
            <w:pStyle w:val="Contents6"/>
            <w:tabs>
              <w:tab w:val="clear" w:pos="7609"/>
              <w:tab w:val="right" w:pos="9026" w:leader="dot"/>
            </w:tabs>
            <w:rPr/>
          </w:pPr>
          <w:hyperlink w:anchor="__RefHeading___Toc5767793_3224264995">
            <w:r>
              <w:rPr>
                <w:webHidden/>
                <w:rStyle w:val="IndexLink"/>
                <w:rtl w:val="true"/>
              </w:rPr>
              <w:t>بقی الکلام فی أصالة الصحّة فی الأقوال و الاعتقادات</w:t>
            </w:r>
            <w:r>
              <w:rPr>
                <w:rStyle w:val="IndexLink"/>
                <w:rtl w:val="true"/>
              </w:rPr>
              <w:tab/>
            </w:r>
            <w:r>
              <w:rPr>
                <w:rStyle w:val="IndexLink"/>
              </w:rPr>
              <w:t>399</w:t>
            </w:r>
          </w:hyperlink>
        </w:p>
        <w:p>
          <w:pPr>
            <w:pStyle w:val="Contents6"/>
            <w:tabs>
              <w:tab w:val="clear" w:pos="7609"/>
              <w:tab w:val="right" w:pos="9026" w:leader="dot"/>
            </w:tabs>
            <w:rPr/>
          </w:pPr>
          <w:hyperlink w:anchor="__RefHeading___Toc5767795_3224264995">
            <w:r>
              <w:rPr>
                <w:webHidden/>
                <w:rStyle w:val="IndexLink"/>
                <w:rtl w:val="true"/>
              </w:rPr>
              <w:t>أصالة الصحّة فی الأقوال</w:t>
            </w:r>
            <w:r>
              <w:rPr>
                <w:rStyle w:val="IndexLink"/>
                <w:rtl w:val="true"/>
              </w:rPr>
              <w:t>:</w:t>
              <w:tab/>
            </w:r>
            <w:r>
              <w:rPr>
                <w:rStyle w:val="IndexLink"/>
              </w:rPr>
              <w:t>399</w:t>
            </w:r>
          </w:hyperlink>
        </w:p>
        <w:p>
          <w:pPr>
            <w:pStyle w:val="Contents6"/>
            <w:tabs>
              <w:tab w:val="clear" w:pos="7609"/>
              <w:tab w:val="right" w:pos="9026" w:leader="dot"/>
            </w:tabs>
            <w:rPr/>
          </w:pPr>
          <w:hyperlink w:anchor="__RefHeading___Toc5767797_3224264995">
            <w:r>
              <w:rPr>
                <w:webHidden/>
                <w:rStyle w:val="IndexLink"/>
                <w:rtl w:val="true"/>
              </w:rPr>
              <w:t>أصالة الصحّة فی الاعتقادات</w:t>
            </w:r>
            <w:r>
              <w:rPr>
                <w:rStyle w:val="IndexLink"/>
                <w:rtl w:val="true"/>
              </w:rPr>
              <w:t>:</w:t>
              <w:tab/>
            </w:r>
            <w:r>
              <w:rPr>
                <w:rStyle w:val="IndexLink"/>
              </w:rPr>
              <w:t>401</w:t>
            </w:r>
          </w:hyperlink>
        </w:p>
        <w:p>
          <w:pPr>
            <w:pStyle w:val="Contents5"/>
            <w:tabs>
              <w:tab w:val="clear" w:pos="7892"/>
              <w:tab w:val="right" w:pos="9026" w:leader="dot"/>
            </w:tabs>
            <w:rPr/>
          </w:pPr>
          <w:hyperlink w:anchor="__RefHeading___Toc5767799_3224264995">
            <w:r>
              <w:rPr>
                <w:webHidden/>
                <w:rStyle w:val="IndexLink"/>
                <w:rtl w:val="true"/>
              </w:rPr>
              <w:t>المقام الثانی فی بیان تعارض الاستصحاب مع القرعة</w:t>
            </w:r>
            <w:r>
              <w:rPr>
                <w:rStyle w:val="IndexLink"/>
                <w:rtl w:val="true"/>
              </w:rPr>
              <w:tab/>
            </w:r>
            <w:r>
              <w:rPr>
                <w:rStyle w:val="IndexLink"/>
              </w:rPr>
              <w:t>403</w:t>
            </w:r>
          </w:hyperlink>
        </w:p>
        <w:p>
          <w:pPr>
            <w:pStyle w:val="Contents6"/>
            <w:tabs>
              <w:tab w:val="clear" w:pos="7609"/>
              <w:tab w:val="right" w:pos="9026" w:leader="dot"/>
            </w:tabs>
            <w:rPr/>
          </w:pPr>
          <w:hyperlink w:anchor="__RefHeading___Toc5767801_3224264995">
            <w:r>
              <w:rPr>
                <w:webHidden/>
                <w:rStyle w:val="IndexLink"/>
                <w:rtl w:val="true"/>
              </w:rPr>
              <w:t>تقدم الاستصحاب علی القرعة</w:t>
            </w:r>
            <w:r>
              <w:rPr>
                <w:rStyle w:val="IndexLink"/>
                <w:rtl w:val="true"/>
              </w:rPr>
              <w:t>:</w:t>
              <w:tab/>
            </w:r>
            <w:r>
              <w:rPr>
                <w:rStyle w:val="IndexLink"/>
              </w:rPr>
              <w:t>403</w:t>
            </w:r>
          </w:hyperlink>
        </w:p>
        <w:p>
          <w:pPr>
            <w:pStyle w:val="Contents6"/>
            <w:tabs>
              <w:tab w:val="clear" w:pos="7609"/>
              <w:tab w:val="right" w:pos="9026" w:leader="dot"/>
            </w:tabs>
            <w:rPr/>
          </w:pPr>
          <w:hyperlink w:anchor="__RefHeading___Toc5767803_3224264995">
            <w:r>
              <w:rPr>
                <w:webHidden/>
                <w:rStyle w:val="IndexLink"/>
                <w:rtl w:val="true"/>
              </w:rPr>
              <w:t>تعارض القرعة مع سائر الأصول</w:t>
            </w:r>
            <w:r>
              <w:rPr>
                <w:rStyle w:val="IndexLink"/>
                <w:rtl w:val="true"/>
              </w:rPr>
              <w:t>:</w:t>
              <w:tab/>
            </w:r>
            <w:r>
              <w:rPr>
                <w:rStyle w:val="IndexLink"/>
              </w:rPr>
              <w:t>403</w:t>
            </w:r>
          </w:hyperlink>
        </w:p>
        <w:p>
          <w:pPr>
            <w:pStyle w:val="Contents5"/>
            <w:tabs>
              <w:tab w:val="clear" w:pos="7892"/>
              <w:tab w:val="right" w:pos="9026" w:leader="dot"/>
            </w:tabs>
            <w:rPr/>
          </w:pPr>
          <w:hyperlink w:anchor="__RefHeading___Toc5767805_3224264995">
            <w:r>
              <w:rPr>
                <w:webHidden/>
                <w:rStyle w:val="IndexLink"/>
                <w:rtl w:val="true"/>
              </w:rPr>
              <w:t>المقام الثالث فی تعارض الاستصحاب مع ما عداه من الاصول العملیّة</w:t>
            </w:r>
            <w:r>
              <w:rPr>
                <w:rStyle w:val="IndexLink"/>
                <w:rtl w:val="true"/>
              </w:rPr>
              <w:tab/>
            </w:r>
            <w:r>
              <w:rPr>
                <w:rStyle w:val="IndexLink"/>
              </w:rPr>
              <w:t>405</w:t>
            </w:r>
          </w:hyperlink>
        </w:p>
        <w:p>
          <w:pPr>
            <w:pStyle w:val="Contents6"/>
            <w:tabs>
              <w:tab w:val="clear" w:pos="7609"/>
              <w:tab w:val="right" w:pos="9026" w:leader="dot"/>
            </w:tabs>
            <w:rPr/>
          </w:pPr>
          <w:hyperlink w:anchor="__RefHeading___Toc5767807_3224264995">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5767809_3224264995">
            <w:r>
              <w:rPr>
                <w:webHidden/>
                <w:rStyle w:val="IndexLink"/>
                <w:rtl w:val="true"/>
              </w:rPr>
              <w:t>الأوّل</w:t>
            </w:r>
            <w:r>
              <w:rPr>
                <w:rStyle w:val="IndexLink"/>
                <w:rtl w:val="true"/>
              </w:rPr>
              <w:t>:</w:t>
            </w:r>
            <w:r>
              <w:rPr>
                <w:rStyle w:val="IndexLink"/>
                <w:rtl w:val="true"/>
              </w:rPr>
              <w:t>تعارض البراءة مع الاستصحاب</w:t>
            </w:r>
            <w:r>
              <w:rPr>
                <w:rStyle w:val="IndexLink"/>
                <w:rtl w:val="true"/>
              </w:rPr>
              <w:tab/>
            </w:r>
            <w:r>
              <w:rPr>
                <w:rStyle w:val="IndexLink"/>
              </w:rPr>
              <w:t>405</w:t>
            </w:r>
          </w:hyperlink>
        </w:p>
        <w:p>
          <w:pPr>
            <w:pStyle w:val="Contents6"/>
            <w:tabs>
              <w:tab w:val="clear" w:pos="7609"/>
              <w:tab w:val="right" w:pos="9026" w:leader="dot"/>
            </w:tabs>
            <w:rPr/>
          </w:pPr>
          <w:hyperlink w:anchor="__RefHeading___Toc5767811_3224264995">
            <w:r>
              <w:rPr>
                <w:webHidden/>
                <w:rStyle w:val="IndexLink"/>
                <w:rtl w:val="true"/>
              </w:rPr>
              <w:t>تقدّم الاستصحاب و غیره من الأدلّة و الاصول علی أصالة البراءة</w:t>
            </w:r>
            <w:r>
              <w:rPr>
                <w:rStyle w:val="IndexLink"/>
                <w:rtl w:val="true"/>
              </w:rPr>
              <w:t>:</w:t>
              <w:tab/>
            </w:r>
            <w:r>
              <w:rPr>
                <w:rStyle w:val="IndexLink"/>
              </w:rPr>
              <w:t>405</w:t>
            </w:r>
          </w:hyperlink>
        </w:p>
        <w:p>
          <w:pPr>
            <w:pStyle w:val="Contents6"/>
            <w:tabs>
              <w:tab w:val="clear" w:pos="7609"/>
              <w:tab w:val="right" w:pos="9026" w:leader="dot"/>
            </w:tabs>
            <w:rPr/>
          </w:pPr>
          <w:hyperlink w:anchor="__RefHeading___Toc5767813_3224264995">
            <w:r>
              <w:rPr>
                <w:webHidden/>
                <w:rStyle w:val="IndexLink"/>
                <w:rtl w:val="true"/>
              </w:rPr>
              <w:t>حکومة دلیل الاستصحاب علی قوله علیه السّلام</w:t>
            </w:r>
            <w:r>
              <w:rPr>
                <w:rStyle w:val="IndexLink"/>
                <w:rtl w:val="true"/>
              </w:rPr>
              <w:t>:«</w:t>
            </w:r>
            <w:r>
              <w:rPr>
                <w:rStyle w:val="IndexLink"/>
                <w:rtl w:val="true"/>
              </w:rPr>
              <w:t>کلّ شیء مطلق حتی یرد فیه نهی</w:t>
            </w:r>
            <w:r>
              <w:rPr>
                <w:rStyle w:val="IndexLink"/>
                <w:rtl w:val="true"/>
              </w:rPr>
              <w:t>»:</w:t>
              <w:tab/>
            </w:r>
            <w:r>
              <w:rPr>
                <w:rStyle w:val="IndexLink"/>
              </w:rPr>
              <w:t>407</w:t>
            </w:r>
          </w:hyperlink>
        </w:p>
        <w:p>
          <w:pPr>
            <w:pStyle w:val="Contents6"/>
            <w:tabs>
              <w:tab w:val="clear" w:pos="7609"/>
              <w:tab w:val="right" w:pos="9026" w:leader="dot"/>
            </w:tabs>
            <w:rPr/>
          </w:pPr>
          <w:hyperlink w:anchor="__RefHeading___Toc5767815_3224264995">
            <w:r>
              <w:rPr>
                <w:webHidden/>
                <w:rStyle w:val="IndexLink"/>
                <w:rtl w:val="true"/>
              </w:rPr>
              <w:t>الإشکال فی بعض أخبار أصالة البراءة فی الشبهة الموضوعیّة</w:t>
            </w:r>
            <w:r>
              <w:rPr>
                <w:rStyle w:val="IndexLink"/>
                <w:rtl w:val="true"/>
              </w:rPr>
              <w:t>:</w:t>
              <w:tab/>
            </w:r>
            <w:r>
              <w:rPr>
                <w:rStyle w:val="IndexLink"/>
              </w:rPr>
              <w:t>407</w:t>
            </w:r>
          </w:hyperlink>
        </w:p>
        <w:p>
          <w:pPr>
            <w:pStyle w:val="Contents6"/>
            <w:tabs>
              <w:tab w:val="clear" w:pos="7609"/>
              <w:tab w:val="right" w:pos="9026" w:leader="dot"/>
            </w:tabs>
            <w:rPr/>
          </w:pPr>
          <w:hyperlink w:anchor="__RefHeading___Toc5767817_3224264995">
            <w:r>
              <w:rPr>
                <w:webHidden/>
                <w:rStyle w:val="IndexLink"/>
                <w:rtl w:val="true"/>
              </w:rPr>
              <w:t>الثانی</w:t>
            </w:r>
            <w:r>
              <w:rPr>
                <w:rStyle w:val="IndexLink"/>
                <w:rtl w:val="true"/>
              </w:rPr>
              <w:t>:</w:t>
            </w:r>
            <w:r>
              <w:rPr>
                <w:rStyle w:val="IndexLink"/>
                <w:rtl w:val="true"/>
              </w:rPr>
              <w:t>تعارض قاعدة الاشتغال مع الاستصحاب</w:t>
            </w:r>
            <w:r>
              <w:rPr>
                <w:rStyle w:val="IndexLink"/>
                <w:rtl w:val="true"/>
              </w:rPr>
              <w:tab/>
            </w:r>
            <w:r>
              <w:rPr>
                <w:rStyle w:val="IndexLink"/>
              </w:rPr>
              <w:t>409</w:t>
            </w:r>
          </w:hyperlink>
        </w:p>
        <w:p>
          <w:pPr>
            <w:pStyle w:val="Contents6"/>
            <w:tabs>
              <w:tab w:val="clear" w:pos="7609"/>
              <w:tab w:val="right" w:pos="9026" w:leader="dot"/>
            </w:tabs>
            <w:rPr/>
          </w:pPr>
          <w:hyperlink w:anchor="__RefHeading___Toc5767819_3224264995">
            <w:r>
              <w:rPr>
                <w:webHidden/>
                <w:rStyle w:val="IndexLink"/>
                <w:rtl w:val="true"/>
              </w:rPr>
              <w:t>ورود الاستصحاب علی قاعدة الاشتغال</w:t>
            </w:r>
            <w:r>
              <w:rPr>
                <w:rStyle w:val="IndexLink"/>
                <w:rtl w:val="true"/>
              </w:rPr>
              <w:t>:</w:t>
              <w:tab/>
            </w:r>
            <w:r>
              <w:rPr>
                <w:rStyle w:val="IndexLink"/>
              </w:rPr>
              <w:t>409</w:t>
            </w:r>
          </w:hyperlink>
        </w:p>
        <w:p>
          <w:pPr>
            <w:pStyle w:val="Contents6"/>
            <w:tabs>
              <w:tab w:val="clear" w:pos="7609"/>
              <w:tab w:val="right" w:pos="9026" w:leader="dot"/>
            </w:tabs>
            <w:rPr/>
          </w:pPr>
          <w:hyperlink w:anchor="__RefHeading___Toc5767821_3224264995">
            <w:r>
              <w:rPr>
                <w:webHidden/>
                <w:rStyle w:val="IndexLink"/>
                <w:rtl w:val="true"/>
              </w:rPr>
              <w:t>الثالث</w:t>
            </w:r>
            <w:r>
              <w:rPr>
                <w:rStyle w:val="IndexLink"/>
                <w:rtl w:val="true"/>
              </w:rPr>
              <w:t>:</w:t>
            </w:r>
            <w:r>
              <w:rPr>
                <w:rStyle w:val="IndexLink"/>
                <w:rtl w:val="true"/>
              </w:rPr>
              <w:t>تعارض قاعدة التخییرمع الاستصحاب</w:t>
            </w:r>
            <w:r>
              <w:rPr>
                <w:rStyle w:val="IndexLink"/>
                <w:rtl w:val="true"/>
              </w:rPr>
              <w:tab/>
            </w:r>
            <w:r>
              <w:rPr>
                <w:rStyle w:val="IndexLink"/>
              </w:rPr>
              <w:t>410</w:t>
            </w:r>
          </w:hyperlink>
        </w:p>
        <w:p>
          <w:pPr>
            <w:pStyle w:val="Contents6"/>
            <w:tabs>
              <w:tab w:val="clear" w:pos="7609"/>
              <w:tab w:val="right" w:pos="9026" w:leader="dot"/>
            </w:tabs>
            <w:rPr/>
          </w:pPr>
          <w:hyperlink w:anchor="__RefHeading___Toc5767823_3224264995">
            <w:r>
              <w:rPr>
                <w:webHidden/>
                <w:rStyle w:val="IndexLink"/>
                <w:rtl w:val="true"/>
              </w:rPr>
              <w:t>ورود الاستصحاب علی قاعدة التخییر</w:t>
            </w:r>
            <w:r>
              <w:rPr>
                <w:rStyle w:val="IndexLink"/>
                <w:rtl w:val="true"/>
              </w:rPr>
              <w:t>:</w:t>
              <w:tab/>
            </w:r>
            <w:r>
              <w:rPr>
                <w:rStyle w:val="IndexLink"/>
              </w:rPr>
              <w:t>410</w:t>
            </w:r>
          </w:hyperlink>
        </w:p>
        <w:p>
          <w:pPr>
            <w:pStyle w:val="Contents4"/>
            <w:tabs>
              <w:tab w:val="clear" w:pos="8176"/>
              <w:tab w:val="right" w:pos="9026" w:leader="dot"/>
            </w:tabs>
            <w:rPr/>
          </w:pPr>
          <w:hyperlink w:anchor="__RefHeading___Toc5767825_3224264995">
            <w:r>
              <w:rPr>
                <w:webHidden/>
                <w:rStyle w:val="IndexLink"/>
                <w:rtl w:val="true"/>
              </w:rPr>
              <w:t>تعارض الاستصحابین</w:t>
            </w:r>
            <w:r>
              <w:rPr>
                <w:rStyle w:val="IndexLink"/>
                <w:rtl w:val="true"/>
              </w:rPr>
              <w:tab/>
            </w:r>
            <w:r>
              <w:rPr>
                <w:rStyle w:val="IndexLink"/>
              </w:rPr>
              <w:t>411</w:t>
            </w:r>
          </w:hyperlink>
        </w:p>
        <w:p>
          <w:pPr>
            <w:pStyle w:val="Contents5"/>
            <w:tabs>
              <w:tab w:val="clear" w:pos="7892"/>
              <w:tab w:val="right" w:pos="9026" w:leader="dot"/>
            </w:tabs>
            <w:rPr/>
          </w:pPr>
          <w:hyperlink w:anchor="__RefHeading___Toc5767827_322426499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767829_3224264995">
            <w:r>
              <w:rPr>
                <w:webHidden/>
                <w:rStyle w:val="IndexLink"/>
                <w:rtl w:val="true"/>
              </w:rPr>
              <w:t>أقسام الاستصحابین المتعارضین</w:t>
            </w:r>
            <w:r>
              <w:rPr>
                <w:rStyle w:val="IndexLink"/>
                <w:rtl w:val="true"/>
              </w:rPr>
              <w:t>:</w:t>
              <w:tab/>
            </w:r>
            <w:r>
              <w:rPr>
                <w:rStyle w:val="IndexLink"/>
              </w:rPr>
              <w:t>411</w:t>
            </w:r>
          </w:hyperlink>
        </w:p>
        <w:p>
          <w:pPr>
            <w:pStyle w:val="Contents6"/>
            <w:tabs>
              <w:tab w:val="clear" w:pos="7609"/>
              <w:tab w:val="right" w:pos="9026" w:leader="dot"/>
            </w:tabs>
            <w:rPr/>
          </w:pPr>
          <w:hyperlink w:anchor="__RefHeading___Toc5767831_3224264995">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5767833_3224264995">
            <w:r>
              <w:rPr>
                <w:webHidden/>
                <w:rStyle w:val="IndexLink"/>
                <w:rtl w:val="true"/>
              </w:rPr>
              <w:t>القسم الأوّل</w:t>
            </w:r>
            <w:r>
              <w:rPr>
                <w:rStyle w:val="IndexLink"/>
                <w:rtl w:val="true"/>
              </w:rPr>
              <w:t xml:space="preserve">: </w:t>
            </w:r>
            <w:r>
              <w:rPr>
                <w:rStyle w:val="IndexLink"/>
                <w:rtl w:val="true"/>
              </w:rPr>
              <w:t>إذا کان الشکّ فی أحدهما مسبّبا عن الشکّ فی الآخر</w:t>
            </w:r>
            <w:r>
              <w:rPr>
                <w:rStyle w:val="IndexLink"/>
                <w:rtl w:val="true"/>
              </w:rPr>
              <w:tab/>
            </w:r>
            <w:r>
              <w:rPr>
                <w:rStyle w:val="IndexLink"/>
              </w:rPr>
              <w:t>412</w:t>
            </w:r>
          </w:hyperlink>
        </w:p>
        <w:p>
          <w:pPr>
            <w:pStyle w:val="Contents6"/>
            <w:tabs>
              <w:tab w:val="clear" w:pos="7609"/>
              <w:tab w:val="right" w:pos="9026" w:leader="dot"/>
            </w:tabs>
            <w:rPr/>
          </w:pPr>
          <w:hyperlink w:anchor="__RefHeading___Toc5767835_3224264995">
            <w:r>
              <w:rPr>
                <w:webHidden/>
                <w:rStyle w:val="IndexLink"/>
                <w:rtl w:val="true"/>
              </w:rPr>
              <w:t>تقدّم الاستصحاب السببی علی المسبّبی و الاستدلال علیه</w:t>
            </w:r>
            <w:r>
              <w:rPr>
                <w:rStyle w:val="IndexLink"/>
                <w:rtl w:val="true"/>
              </w:rPr>
              <w:t>:</w:t>
              <w:tab/>
            </w:r>
            <w:r>
              <w:rPr>
                <w:rStyle w:val="IndexLink"/>
              </w:rPr>
              <w:t>412</w:t>
            </w:r>
          </w:hyperlink>
        </w:p>
        <w:p>
          <w:pPr>
            <w:pStyle w:val="Contents6"/>
            <w:tabs>
              <w:tab w:val="clear" w:pos="7609"/>
              <w:tab w:val="right" w:pos="9026" w:leader="dot"/>
            </w:tabs>
            <w:rPr/>
          </w:pPr>
          <w:hyperlink w:anchor="__RefHeading___Toc5767837_3224264995">
            <w:r>
              <w:rPr>
                <w:webHidden/>
                <w:rStyle w:val="IndexLink"/>
                <w:rtl w:val="true"/>
              </w:rPr>
              <w:t>الدلیل الأوّل</w:t>
            </w:r>
            <w:r>
              <w:rPr>
                <w:rStyle w:val="IndexLink"/>
                <w:rtl w:val="true"/>
              </w:rPr>
              <w:t>:</w:t>
            </w:r>
            <w:r>
              <w:rPr>
                <w:rStyle w:val="IndexLink"/>
                <w:rtl w:val="true"/>
              </w:rPr>
              <w:t>الإجماع</w:t>
            </w:r>
            <w:r>
              <w:rPr>
                <w:rStyle w:val="IndexLink"/>
                <w:rtl w:val="true"/>
              </w:rPr>
              <w:tab/>
            </w:r>
            <w:r>
              <w:rPr>
                <w:rStyle w:val="IndexLink"/>
              </w:rPr>
              <w:t>412</w:t>
            </w:r>
          </w:hyperlink>
        </w:p>
        <w:p>
          <w:pPr>
            <w:pStyle w:val="Contents6"/>
            <w:tabs>
              <w:tab w:val="clear" w:pos="7609"/>
              <w:tab w:val="right" w:pos="9026" w:leader="dot"/>
            </w:tabs>
            <w:rPr/>
          </w:pPr>
          <w:hyperlink w:anchor="__RefHeading___Toc5767839_3224264995">
            <w:r>
              <w:rPr>
                <w:webHidden/>
                <w:rStyle w:val="IndexLink"/>
                <w:rtl w:val="true"/>
              </w:rPr>
              <w:t>الدلیل الثانی</w:t>
            </w:r>
            <w:r>
              <w:rPr>
                <w:rStyle w:val="IndexLink"/>
                <w:rtl w:val="true"/>
              </w:rPr>
              <w:t>:</w:t>
            </w:r>
            <w:r>
              <w:rPr>
                <w:rStyle w:val="IndexLink"/>
                <w:rtl w:val="true"/>
              </w:rPr>
              <w:t>أنّ قوله علیه السّلام</w:t>
            </w:r>
            <w:r>
              <w:rPr>
                <w:rStyle w:val="IndexLink"/>
                <w:rtl w:val="true"/>
              </w:rPr>
              <w:t>:«</w:t>
            </w:r>
            <w:r>
              <w:rPr>
                <w:rStyle w:val="IndexLink"/>
                <w:rtl w:val="true"/>
              </w:rPr>
              <w:t>لا تنقض الیقین بالشکّ</w:t>
            </w:r>
            <w:r>
              <w:rPr>
                <w:rStyle w:val="IndexLink"/>
                <w:rtl w:val="true"/>
              </w:rPr>
              <w:t>»</w:t>
              <w:tab/>
            </w:r>
            <w:r>
              <w:rPr>
                <w:rStyle w:val="IndexLink"/>
              </w:rPr>
              <w:t>413</w:t>
            </w:r>
          </w:hyperlink>
        </w:p>
        <w:p>
          <w:pPr>
            <w:pStyle w:val="Contents6"/>
            <w:tabs>
              <w:tab w:val="clear" w:pos="7609"/>
              <w:tab w:val="right" w:pos="9026" w:leader="dot"/>
            </w:tabs>
            <w:rPr/>
          </w:pPr>
          <w:hyperlink w:anchor="__RefHeading___Toc5767841_3224264995">
            <w:r>
              <w:rPr>
                <w:webHidden/>
                <w:rStyle w:val="IndexLink"/>
                <w:rtl w:val="true"/>
              </w:rPr>
              <w:t>الدلیل الثالث</w:t>
            </w:r>
            <w:r>
              <w:rPr>
                <w:rStyle w:val="IndexLink"/>
                <w:rtl w:val="true"/>
              </w:rPr>
              <w:t>:</w:t>
            </w:r>
            <w:r>
              <w:rPr>
                <w:rStyle w:val="IndexLink"/>
                <w:rtl w:val="true"/>
              </w:rPr>
              <w:t>أنّه لو لم یبن علی تقدیم الاستصحاب فی الشکّ السببیّ</w:t>
            </w:r>
            <w:r>
              <w:rPr>
                <w:rStyle w:val="IndexLink"/>
                <w:rtl w:val="true"/>
              </w:rPr>
              <w:tab/>
            </w:r>
            <w:r>
              <w:rPr>
                <w:rStyle w:val="IndexLink"/>
              </w:rPr>
              <w:t>416</w:t>
            </w:r>
          </w:hyperlink>
        </w:p>
        <w:p>
          <w:pPr>
            <w:pStyle w:val="Contents6"/>
            <w:tabs>
              <w:tab w:val="clear" w:pos="7609"/>
              <w:tab w:val="right" w:pos="9026" w:leader="dot"/>
            </w:tabs>
            <w:rPr/>
          </w:pPr>
          <w:hyperlink w:anchor="__RefHeading___Toc5767843_3224264995">
            <w:r>
              <w:rPr>
                <w:webHidden/>
                <w:rStyle w:val="IndexLink"/>
                <w:rtl w:val="true"/>
              </w:rPr>
              <w:t>عدم تمامیة الدلیل الثالث</w:t>
            </w:r>
            <w:r>
              <w:rPr>
                <w:rStyle w:val="IndexLink"/>
                <w:rtl w:val="true"/>
              </w:rPr>
              <w:t>:</w:t>
              <w:tab/>
            </w:r>
            <w:r>
              <w:rPr>
                <w:rStyle w:val="IndexLink"/>
              </w:rPr>
              <w:t>417</w:t>
            </w:r>
          </w:hyperlink>
        </w:p>
        <w:p>
          <w:pPr>
            <w:pStyle w:val="Contents6"/>
            <w:tabs>
              <w:tab w:val="clear" w:pos="7609"/>
              <w:tab w:val="right" w:pos="9026" w:leader="dot"/>
            </w:tabs>
            <w:rPr/>
          </w:pPr>
          <w:hyperlink w:anchor="__RefHeading___Toc5767845_3224264995">
            <w:r>
              <w:rPr>
                <w:webHidden/>
                <w:rStyle w:val="IndexLink"/>
                <w:rtl w:val="true"/>
              </w:rPr>
              <w:t>الدلیل الرابع</w:t>
            </w:r>
            <w:r>
              <w:rPr>
                <w:rStyle w:val="IndexLink"/>
                <w:rtl w:val="true"/>
              </w:rPr>
              <w:t>:</w:t>
            </w:r>
            <w:r>
              <w:rPr>
                <w:rStyle w:val="IndexLink"/>
                <w:rtl w:val="true"/>
              </w:rPr>
              <w:t>أنّ المستفاد من الأخبار عدم الاعتبار بالیقین السابق فی مورد الشکّ المسبّب</w:t>
            </w:r>
            <w:r>
              <w:rPr>
                <w:rStyle w:val="IndexLink"/>
                <w:rtl w:val="true"/>
              </w:rPr>
              <w:t>.</w:t>
              <w:tab/>
            </w:r>
            <w:r>
              <w:rPr>
                <w:rStyle w:val="IndexLink"/>
              </w:rPr>
              <w:t>417</w:t>
            </w:r>
          </w:hyperlink>
        </w:p>
        <w:p>
          <w:pPr>
            <w:pStyle w:val="Contents6"/>
            <w:tabs>
              <w:tab w:val="clear" w:pos="7609"/>
              <w:tab w:val="right" w:pos="9026" w:leader="dot"/>
            </w:tabs>
            <w:rPr/>
          </w:pPr>
          <w:hyperlink w:anchor="__RefHeading___Toc5767847_3224264995">
            <w:r>
              <w:rPr>
                <w:webHidden/>
                <w:rStyle w:val="IndexLink"/>
                <w:rtl w:val="true"/>
              </w:rPr>
              <w:t>لا تأمل فی ترجیح الاستصحاب السببی</w:t>
            </w:r>
            <w:r>
              <w:rPr>
                <w:rStyle w:val="IndexLink"/>
                <w:rtl w:val="true"/>
              </w:rPr>
              <w:t>:</w:t>
              <w:tab/>
            </w:r>
            <w:r>
              <w:rPr>
                <w:rStyle w:val="IndexLink"/>
              </w:rPr>
              <w:t>418</w:t>
            </w:r>
          </w:hyperlink>
        </w:p>
        <w:p>
          <w:pPr>
            <w:pStyle w:val="Contents6"/>
            <w:tabs>
              <w:tab w:val="clear" w:pos="7609"/>
              <w:tab w:val="right" w:pos="9026" w:leader="dot"/>
            </w:tabs>
            <w:rPr/>
          </w:pPr>
          <w:hyperlink w:anchor="__RefHeading___Toc5767849_3224264995">
            <w:r>
              <w:rPr>
                <w:webHidden/>
                <w:rStyle w:val="IndexLink"/>
                <w:rtl w:val="true"/>
              </w:rPr>
              <w:t>لو عملنا بالاستصحاب من باب الظنّ فالحکم أوضح</w:t>
            </w:r>
            <w:r>
              <w:rPr>
                <w:rStyle w:val="IndexLink"/>
                <w:rtl w:val="true"/>
              </w:rPr>
              <w:t>:</w:t>
              <w:tab/>
            </w:r>
            <w:r>
              <w:rPr>
                <w:rStyle w:val="IndexLink"/>
              </w:rPr>
              <w:t>418</w:t>
            </w:r>
          </w:hyperlink>
        </w:p>
        <w:p>
          <w:pPr>
            <w:pStyle w:val="Contents6"/>
            <w:tabs>
              <w:tab w:val="clear" w:pos="7609"/>
              <w:tab w:val="right" w:pos="9026" w:leader="dot"/>
            </w:tabs>
            <w:rPr/>
          </w:pPr>
          <w:hyperlink w:anchor="__RefHeading___Toc5767851_3224264995">
            <w:r>
              <w:rPr>
                <w:webHidden/>
                <w:rStyle w:val="IndexLink"/>
                <w:rtl w:val="true"/>
              </w:rPr>
              <w:t>ظهور الخلاف فی المسألة عن جماعة</w:t>
            </w:r>
            <w:r>
              <w:rPr>
                <w:rStyle w:val="IndexLink"/>
                <w:rtl w:val="true"/>
              </w:rPr>
              <w:t>:</w:t>
              <w:tab/>
            </w:r>
            <w:r>
              <w:rPr>
                <w:rStyle w:val="IndexLink"/>
              </w:rPr>
              <w:t>419</w:t>
            </w:r>
          </w:hyperlink>
        </w:p>
        <w:p>
          <w:pPr>
            <w:pStyle w:val="Contents6"/>
            <w:tabs>
              <w:tab w:val="clear" w:pos="7609"/>
              <w:tab w:val="right" w:pos="9026" w:leader="dot"/>
            </w:tabs>
            <w:rPr/>
          </w:pPr>
          <w:hyperlink w:anchor="__RefHeading___Toc5767853_3224264995">
            <w:r>
              <w:rPr>
                <w:webHidden/>
                <w:rStyle w:val="IndexLink"/>
                <w:rtl w:val="true"/>
              </w:rPr>
              <w:t>تصریح بعضهم بالجمع بین الاستصحابین</w:t>
            </w:r>
            <w:r>
              <w:rPr>
                <w:rStyle w:val="IndexLink"/>
                <w:rtl w:val="true"/>
              </w:rPr>
              <w:t>«</w:t>
            </w:r>
            <w:r>
              <w:rPr>
                <w:rStyle w:val="IndexLink"/>
                <w:rtl w:val="true"/>
              </w:rPr>
              <w:t>السببی و المسبّبی</w:t>
            </w:r>
            <w:r>
              <w:rPr>
                <w:rStyle w:val="IndexLink"/>
                <w:rtl w:val="true"/>
              </w:rPr>
              <w:t>»:</w:t>
              <w:tab/>
            </w:r>
            <w:r>
              <w:rPr>
                <w:rStyle w:val="IndexLink"/>
              </w:rPr>
              <w:t>421</w:t>
            </w:r>
          </w:hyperlink>
        </w:p>
        <w:p>
          <w:pPr>
            <w:pStyle w:val="Contents6"/>
            <w:tabs>
              <w:tab w:val="clear" w:pos="7609"/>
              <w:tab w:val="right" w:pos="9026" w:leader="dot"/>
            </w:tabs>
            <w:rPr/>
          </w:pPr>
          <w:hyperlink w:anchor="__RefHeading___Toc5767855_3224264995">
            <w:r>
              <w:rPr>
                <w:webHidden/>
                <w:rStyle w:val="IndexLink"/>
                <w:rtl w:val="true"/>
              </w:rPr>
              <w:t>عدم صحّة الجمع</w:t>
            </w:r>
            <w:r>
              <w:rPr>
                <w:rStyle w:val="IndexLink"/>
                <w:rtl w:val="true"/>
              </w:rPr>
              <w:t>:</w:t>
              <w:tab/>
            </w:r>
            <w:r>
              <w:rPr>
                <w:rStyle w:val="IndexLink"/>
              </w:rPr>
              <w:t>421</w:t>
            </w:r>
          </w:hyperlink>
        </w:p>
        <w:p>
          <w:pPr>
            <w:pStyle w:val="Contents6"/>
            <w:tabs>
              <w:tab w:val="clear" w:pos="7609"/>
              <w:tab w:val="right" w:pos="9026" w:leader="dot"/>
            </w:tabs>
            <w:rPr/>
          </w:pPr>
          <w:hyperlink w:anchor="__RefHeading___Toc5767857_3224264995">
            <w:r>
              <w:rPr>
                <w:webHidden/>
                <w:rStyle w:val="IndexLink"/>
                <w:rtl w:val="true"/>
              </w:rPr>
              <w:t>دعوی الإجماع علی تقدیم الاستصحاب الموضوعیّ علی الحکمیّ</w:t>
            </w:r>
            <w:r>
              <w:rPr>
                <w:rStyle w:val="IndexLink"/>
                <w:rtl w:val="true"/>
              </w:rPr>
              <w:t>.</w:t>
              <w:tab/>
            </w:r>
            <w:r>
              <w:rPr>
                <w:rStyle w:val="IndexLink"/>
              </w:rPr>
              <w:t>423</w:t>
            </w:r>
          </w:hyperlink>
        </w:p>
        <w:p>
          <w:pPr>
            <w:pStyle w:val="Contents6"/>
            <w:tabs>
              <w:tab w:val="clear" w:pos="7609"/>
              <w:tab w:val="right" w:pos="9026" w:leader="dot"/>
            </w:tabs>
            <w:rPr/>
          </w:pPr>
          <w:hyperlink w:anchor="__RefHeading___Toc5767859_3224264995">
            <w:r>
              <w:rPr>
                <w:webHidden/>
                <w:rStyle w:val="IndexLink"/>
                <w:rtl w:val="true"/>
              </w:rPr>
              <w:t>المناقشة فی دعوی الاجماع</w:t>
            </w:r>
            <w:r>
              <w:rPr>
                <w:rStyle w:val="IndexLink"/>
                <w:rtl w:val="true"/>
              </w:rPr>
              <w:tab/>
            </w:r>
            <w:r>
              <w:rPr>
                <w:rStyle w:val="IndexLink"/>
              </w:rPr>
              <w:t>423</w:t>
            </w:r>
          </w:hyperlink>
        </w:p>
        <w:p>
          <w:pPr>
            <w:pStyle w:val="Contents6"/>
            <w:tabs>
              <w:tab w:val="clear" w:pos="7609"/>
              <w:tab w:val="right" w:pos="9026" w:leader="dot"/>
            </w:tabs>
            <w:rPr/>
          </w:pPr>
          <w:hyperlink w:anchor="__RefHeading___Toc5767861_3224264995">
            <w:r>
              <w:rPr>
                <w:webHidden/>
                <w:rStyle w:val="IndexLink"/>
                <w:rtl w:val="true"/>
              </w:rPr>
              <w:t>و أمّا القسم الثانی</w:t>
            </w:r>
            <w:r>
              <w:rPr>
                <w:rStyle w:val="IndexLink"/>
                <w:rtl w:val="true"/>
              </w:rPr>
              <w:t>:</w:t>
            </w:r>
            <w:r>
              <w:rPr>
                <w:rStyle w:val="IndexLink"/>
                <w:rtl w:val="true"/>
              </w:rPr>
              <w:t>إذا کان الشکّ فی کلیهما مسبّبا عن أمر ثالث</w:t>
            </w:r>
            <w:r>
              <w:rPr>
                <w:rStyle w:val="IndexLink"/>
                <w:rtl w:val="true"/>
              </w:rPr>
              <w:tab/>
            </w:r>
            <w:r>
              <w:rPr>
                <w:rStyle w:val="IndexLink"/>
              </w:rPr>
              <w:t>424</w:t>
            </w:r>
          </w:hyperlink>
        </w:p>
        <w:p>
          <w:pPr>
            <w:pStyle w:val="Contents6"/>
            <w:tabs>
              <w:tab w:val="clear" w:pos="7609"/>
              <w:tab w:val="right" w:pos="9026" w:leader="dot"/>
            </w:tabs>
            <w:rPr/>
          </w:pPr>
          <w:hyperlink w:anchor="__RefHeading___Toc5767863_3224264995">
            <w:r>
              <w:rPr>
                <w:webHidden/>
                <w:rStyle w:val="IndexLink"/>
                <w:rtl w:val="true"/>
              </w:rPr>
              <w:t>صور المسألة</w:t>
            </w:r>
            <w:r>
              <w:rPr>
                <w:rStyle w:val="IndexLink"/>
                <w:rtl w:val="true"/>
              </w:rPr>
              <w:t>:</w:t>
              <w:tab/>
            </w:r>
            <w:r>
              <w:rPr>
                <w:rStyle w:val="IndexLink"/>
              </w:rPr>
              <w:t>424</w:t>
            </w:r>
          </w:hyperlink>
        </w:p>
        <w:p>
          <w:pPr>
            <w:pStyle w:val="Contents6"/>
            <w:tabs>
              <w:tab w:val="clear" w:pos="7609"/>
              <w:tab w:val="right" w:pos="9026" w:leader="dot"/>
            </w:tabs>
            <w:rPr/>
          </w:pPr>
          <w:hyperlink w:anchor="__RefHeading___Toc5767865_3224264995">
            <w:r>
              <w:rPr>
                <w:webHidden/>
                <w:rStyle w:val="IndexLink"/>
                <w:rtl w:val="true"/>
              </w:rPr>
              <w:t>أمّا الأولیان، لو کان العمل بالاستصحابین مستلزما لمخالفة قطعیّة عملیّة أو قام الدلیل علی عدم الجمع بینهما</w:t>
            </w:r>
            <w:r>
              <w:rPr>
                <w:rStyle w:val="IndexLink"/>
                <w:rtl w:val="true"/>
              </w:rPr>
              <w:tab/>
            </w:r>
            <w:r>
              <w:rPr>
                <w:rStyle w:val="IndexLink"/>
              </w:rPr>
              <w:t>425</w:t>
            </w:r>
          </w:hyperlink>
        </w:p>
        <w:p>
          <w:pPr>
            <w:pStyle w:val="Contents6"/>
            <w:tabs>
              <w:tab w:val="clear" w:pos="7609"/>
              <w:tab w:val="right" w:pos="9026" w:leader="dot"/>
            </w:tabs>
            <w:rPr/>
          </w:pPr>
          <w:hyperlink w:anchor="__RefHeading___Toc5767867_3224264995">
            <w:r>
              <w:rPr>
                <w:webHidden/>
                <w:rStyle w:val="IndexLink"/>
                <w:rtl w:val="true"/>
              </w:rPr>
              <w:t>فهنا دعویان</w:t>
            </w:r>
            <w:r>
              <w:rPr>
                <w:rStyle w:val="IndexLink"/>
                <w:rtl w:val="true"/>
              </w:rPr>
              <w:t>:</w:t>
              <w:tab/>
            </w:r>
            <w:r>
              <w:rPr>
                <w:rStyle w:val="IndexLink"/>
              </w:rPr>
              <w:t>426</w:t>
            </w:r>
          </w:hyperlink>
        </w:p>
        <w:p>
          <w:pPr>
            <w:pStyle w:val="Contents6"/>
            <w:tabs>
              <w:tab w:val="clear" w:pos="7609"/>
              <w:tab w:val="right" w:pos="9026" w:leader="dot"/>
            </w:tabs>
            <w:rPr/>
          </w:pPr>
          <w:hyperlink w:anchor="__RefHeading___Toc5767869_3224264995">
            <w:r>
              <w:rPr>
                <w:webHidden/>
                <w:rStyle w:val="IndexLink"/>
                <w:rtl w:val="true"/>
              </w:rPr>
              <w:t>الاولی</w:t>
            </w:r>
            <w:r>
              <w:rPr>
                <w:rStyle w:val="IndexLink"/>
                <w:rtl w:val="true"/>
              </w:rPr>
              <w:t>:</w:t>
            </w:r>
            <w:r>
              <w:rPr>
                <w:rStyle w:val="IndexLink"/>
                <w:rtl w:val="true"/>
              </w:rPr>
              <w:t>عدم الترجیح</w:t>
            </w:r>
            <w:r>
              <w:rPr>
                <w:rStyle w:val="IndexLink"/>
                <w:rtl w:val="true"/>
              </w:rPr>
              <w:tab/>
            </w:r>
            <w:r>
              <w:rPr>
                <w:rStyle w:val="IndexLink"/>
              </w:rPr>
              <w:t>426</w:t>
            </w:r>
          </w:hyperlink>
        </w:p>
        <w:p>
          <w:pPr>
            <w:pStyle w:val="Contents6"/>
            <w:tabs>
              <w:tab w:val="clear" w:pos="7609"/>
              <w:tab w:val="right" w:pos="9026" w:leader="dot"/>
            </w:tabs>
            <w:rPr/>
          </w:pPr>
          <w:hyperlink w:anchor="__RefHeading___Toc5767871_3224264995">
            <w:r>
              <w:rPr>
                <w:webHidden/>
                <w:rStyle w:val="IndexLink"/>
                <w:rtl w:val="true"/>
              </w:rPr>
              <w:t>الدلیل علی عدم الترجیح</w:t>
            </w:r>
            <w:r>
              <w:rPr>
                <w:rStyle w:val="IndexLink"/>
                <w:rtl w:val="true"/>
              </w:rPr>
              <w:t>:</w:t>
              <w:tab/>
            </w:r>
            <w:r>
              <w:rPr>
                <w:rStyle w:val="IndexLink"/>
              </w:rPr>
              <w:t>426</w:t>
            </w:r>
          </w:hyperlink>
        </w:p>
        <w:p>
          <w:pPr>
            <w:pStyle w:val="Contents6"/>
            <w:tabs>
              <w:tab w:val="clear" w:pos="7609"/>
              <w:tab w:val="right" w:pos="9026" w:leader="dot"/>
            </w:tabs>
            <w:rPr/>
          </w:pPr>
          <w:hyperlink w:anchor="__RefHeading___Toc5767873_3224264995">
            <w:r>
              <w:rPr>
                <w:webHidden/>
                <w:rStyle w:val="IndexLink"/>
                <w:rtl w:val="true"/>
              </w:rPr>
              <w:t>الثانیة</w:t>
            </w:r>
            <w:r>
              <w:rPr>
                <w:rStyle w:val="IndexLink"/>
                <w:rtl w:val="true"/>
              </w:rPr>
              <w:t xml:space="preserve">: </w:t>
            </w:r>
            <w:r>
              <w:rPr>
                <w:rStyle w:val="IndexLink"/>
                <w:rtl w:val="true"/>
              </w:rPr>
              <w:t>أنّ الحکم هو التساقط دون التخییر و الدلیل علیه</w:t>
            </w:r>
            <w:r>
              <w:rPr>
                <w:rStyle w:val="IndexLink"/>
                <w:rtl w:val="true"/>
              </w:rPr>
              <w:tab/>
            </w:r>
            <w:r>
              <w:rPr>
                <w:rStyle w:val="IndexLink"/>
              </w:rPr>
              <w:t>427</w:t>
            </w:r>
          </w:hyperlink>
        </w:p>
        <w:p>
          <w:pPr>
            <w:pStyle w:val="Contents6"/>
            <w:tabs>
              <w:tab w:val="clear" w:pos="7609"/>
              <w:tab w:val="right" w:pos="9026" w:leader="dot"/>
            </w:tabs>
            <w:rPr/>
          </w:pPr>
          <w:hyperlink w:anchor="__RefHeading___Toc5767875_3224264995">
            <w:r>
              <w:rPr>
                <w:webHidden/>
                <w:rStyle w:val="IndexLink"/>
                <w:rtl w:val="true"/>
              </w:rPr>
              <w:t>الصورة الثالثة</w:t>
            </w:r>
            <w:r>
              <w:rPr>
                <w:rStyle w:val="IndexLink"/>
                <w:rtl w:val="true"/>
              </w:rPr>
              <w:t>:</w:t>
            </w:r>
            <w:r>
              <w:rPr>
                <w:rStyle w:val="IndexLink"/>
                <w:rtl w:val="true"/>
              </w:rPr>
              <w:t>لو ترتّب أثر شرعی علی کلا المستصحبین</w:t>
            </w:r>
            <w:r>
              <w:rPr>
                <w:rStyle w:val="IndexLink"/>
                <w:rtl w:val="true"/>
              </w:rPr>
              <w:tab/>
            </w:r>
            <w:r>
              <w:rPr>
                <w:rStyle w:val="IndexLink"/>
              </w:rPr>
              <w:t>431</w:t>
            </w:r>
          </w:hyperlink>
        </w:p>
        <w:p>
          <w:pPr>
            <w:pStyle w:val="Contents6"/>
            <w:tabs>
              <w:tab w:val="clear" w:pos="7609"/>
              <w:tab w:val="right" w:pos="9026" w:leader="dot"/>
            </w:tabs>
            <w:rPr/>
          </w:pPr>
          <w:hyperlink w:anchor="__RefHeading___Toc5767877_3224264995">
            <w:r>
              <w:rPr>
                <w:webHidden/>
                <w:rStyle w:val="IndexLink"/>
                <w:rtl w:val="true"/>
              </w:rPr>
              <w:t>الصورة الرابعة</w:t>
            </w:r>
            <w:r>
              <w:rPr>
                <w:rStyle w:val="IndexLink"/>
                <w:rtl w:val="true"/>
              </w:rPr>
              <w:t>:</w:t>
            </w:r>
            <w:r>
              <w:rPr>
                <w:rStyle w:val="IndexLink"/>
                <w:rtl w:val="true"/>
              </w:rPr>
              <w:t>لو ترتّب الأثر علی أحدهما دون الآخر</w:t>
            </w:r>
            <w:r>
              <w:rPr>
                <w:rStyle w:val="IndexLink"/>
                <w:rtl w:val="true"/>
              </w:rPr>
              <w:tab/>
            </w:r>
            <w:r>
              <w:rPr>
                <w:rStyle w:val="IndexLink"/>
              </w:rPr>
              <w:t>432</w:t>
            </w:r>
          </w:hyperlink>
        </w:p>
        <w:p>
          <w:pPr>
            <w:pStyle w:val="Contents3"/>
            <w:tabs>
              <w:tab w:val="clear" w:pos="8459"/>
              <w:tab w:val="right" w:pos="9026" w:leader="dot"/>
            </w:tabs>
            <w:rPr/>
          </w:pPr>
          <w:hyperlink w:anchor="__RefHeading___Toc5767879_3224264995">
            <w:r>
              <w:rPr>
                <w:webHidden/>
                <w:rStyle w:val="IndexLink"/>
                <w:rtl w:val="true"/>
              </w:rPr>
              <w:t>التعارض لغة و اصطلاحا</w:t>
            </w:r>
            <w:r>
              <w:rPr>
                <w:rStyle w:val="IndexLink"/>
                <w:rtl w:val="true"/>
              </w:rPr>
              <w:t>:</w:t>
              <w:tab/>
            </w:r>
            <w:r>
              <w:rPr>
                <w:rStyle w:val="IndexLink"/>
              </w:rPr>
              <w:t>437</w:t>
            </w:r>
          </w:hyperlink>
        </w:p>
        <w:p>
          <w:pPr>
            <w:pStyle w:val="Contents3"/>
            <w:tabs>
              <w:tab w:val="clear" w:pos="8459"/>
              <w:tab w:val="right" w:pos="9026" w:leader="dot"/>
            </w:tabs>
            <w:rPr/>
          </w:pPr>
          <w:hyperlink w:anchor="__RefHeading___Toc5767881_3224264995">
            <w:r>
              <w:rPr>
                <w:webHidden/>
                <w:rStyle w:val="IndexLink"/>
                <w:rtl w:val="true"/>
              </w:rPr>
              <w:t>عدم التعارض بین الاصول و الأدلّة الاجتهادیة</w:t>
            </w:r>
            <w:r>
              <w:rPr>
                <w:rStyle w:val="IndexLink"/>
                <w:rtl w:val="true"/>
              </w:rPr>
              <w:t>:</w:t>
              <w:tab/>
            </w:r>
            <w:r>
              <w:rPr>
                <w:rStyle w:val="IndexLink"/>
              </w:rPr>
              <w:t>437</w:t>
            </w:r>
          </w:hyperlink>
        </w:p>
        <w:p>
          <w:pPr>
            <w:pStyle w:val="Contents3"/>
            <w:tabs>
              <w:tab w:val="clear" w:pos="8459"/>
              <w:tab w:val="right" w:pos="9026" w:leader="dot"/>
            </w:tabs>
            <w:rPr/>
          </w:pPr>
          <w:hyperlink w:anchor="__RefHeading___Toc5767883_3224264995">
            <w:r>
              <w:rPr>
                <w:webHidden/>
                <w:rStyle w:val="IndexLink"/>
                <w:rtl w:val="true"/>
              </w:rPr>
              <w:t>ورود الأدلّة علی الاصول العقلیّة</w:t>
            </w:r>
            <w:r>
              <w:rPr>
                <w:rStyle w:val="IndexLink"/>
                <w:rtl w:val="true"/>
              </w:rPr>
              <w:t>:</w:t>
              <w:tab/>
            </w:r>
            <w:r>
              <w:rPr>
                <w:rStyle w:val="IndexLink"/>
              </w:rPr>
              <w:t>438</w:t>
            </w:r>
          </w:hyperlink>
        </w:p>
        <w:p>
          <w:pPr>
            <w:pStyle w:val="Contents3"/>
            <w:tabs>
              <w:tab w:val="clear" w:pos="8459"/>
              <w:tab w:val="right" w:pos="9026" w:leader="dot"/>
            </w:tabs>
            <w:rPr/>
          </w:pPr>
          <w:hyperlink w:anchor="__RefHeading___Toc5767885_3224264995">
            <w:r>
              <w:rPr>
                <w:webHidden/>
                <w:rStyle w:val="IndexLink"/>
                <w:rtl w:val="true"/>
              </w:rPr>
              <w:t>حکومة الأدلّة علی الاصول الشرعیّة</w:t>
            </w:r>
            <w:r>
              <w:rPr>
                <w:rStyle w:val="IndexLink"/>
                <w:rtl w:val="true"/>
              </w:rPr>
              <w:t>:</w:t>
              <w:tab/>
            </w:r>
            <w:r>
              <w:rPr>
                <w:rStyle w:val="IndexLink"/>
              </w:rPr>
              <w:t>439</w:t>
            </w:r>
          </w:hyperlink>
        </w:p>
        <w:p>
          <w:pPr>
            <w:pStyle w:val="Contents4"/>
            <w:tabs>
              <w:tab w:val="clear" w:pos="8176"/>
              <w:tab w:val="right" w:pos="9026" w:leader="dot"/>
            </w:tabs>
            <w:rPr/>
          </w:pPr>
          <w:hyperlink w:anchor="__RefHeading___Toc5767887_3224264995">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5767889_3224264995">
            <w:r>
              <w:rPr>
                <w:webHidden/>
                <w:rStyle w:val="IndexLink"/>
                <w:rtl w:val="true"/>
              </w:rPr>
              <w:t>ضابط الحکومة</w:t>
            </w:r>
            <w:r>
              <w:rPr>
                <w:rStyle w:val="IndexLink"/>
                <w:rtl w:val="true"/>
              </w:rPr>
              <w:t>:</w:t>
              <w:tab/>
            </w:r>
            <w:r>
              <w:rPr>
                <w:rStyle w:val="IndexLink"/>
              </w:rPr>
              <w:t>439</w:t>
            </w:r>
          </w:hyperlink>
        </w:p>
        <w:p>
          <w:pPr>
            <w:pStyle w:val="Contents4"/>
            <w:tabs>
              <w:tab w:val="clear" w:pos="8176"/>
              <w:tab w:val="right" w:pos="9026" w:leader="dot"/>
            </w:tabs>
            <w:rPr/>
          </w:pPr>
          <w:hyperlink w:anchor="__RefHeading___Toc5767891_3224264995">
            <w:r>
              <w:rPr>
                <w:webHidden/>
                <w:rStyle w:val="IndexLink"/>
                <w:rtl w:val="true"/>
              </w:rPr>
              <w:t>الفرق بین الحکومة و التخصیص</w:t>
            </w:r>
            <w:r>
              <w:rPr>
                <w:rStyle w:val="IndexLink"/>
                <w:rtl w:val="true"/>
              </w:rPr>
              <w:t>:</w:t>
              <w:tab/>
            </w:r>
            <w:r>
              <w:rPr>
                <w:rStyle w:val="IndexLink"/>
              </w:rPr>
              <w:t>440</w:t>
            </w:r>
          </w:hyperlink>
        </w:p>
        <w:p>
          <w:pPr>
            <w:pStyle w:val="Contents4"/>
            <w:tabs>
              <w:tab w:val="clear" w:pos="8176"/>
              <w:tab w:val="right" w:pos="9026" w:leader="dot"/>
            </w:tabs>
            <w:rPr/>
          </w:pPr>
          <w:hyperlink w:anchor="__RefHeading___Toc5767893_3224264995">
            <w:r>
              <w:rPr>
                <w:webHidden/>
                <w:rStyle w:val="IndexLink"/>
                <w:rtl w:val="true"/>
              </w:rPr>
              <w:t>لثمرة بین التخصیص و الحکومة</w:t>
            </w:r>
            <w:r>
              <w:rPr>
                <w:rStyle w:val="IndexLink"/>
                <w:rtl w:val="true"/>
              </w:rPr>
              <w:t>:</w:t>
              <w:tab/>
            </w:r>
            <w:r>
              <w:rPr>
                <w:rStyle w:val="IndexLink"/>
              </w:rPr>
              <w:t>440</w:t>
            </w:r>
          </w:hyperlink>
        </w:p>
        <w:p>
          <w:pPr>
            <w:pStyle w:val="Contents4"/>
            <w:tabs>
              <w:tab w:val="clear" w:pos="8176"/>
              <w:tab w:val="right" w:pos="9026" w:leader="dot"/>
            </w:tabs>
            <w:rPr/>
          </w:pPr>
          <w:hyperlink w:anchor="__RefHeading___Toc5767895_3224264995">
            <w:r>
              <w:rPr>
                <w:webHidden/>
                <w:rStyle w:val="IndexLink"/>
                <w:rtl w:val="true"/>
              </w:rPr>
              <w:t>جریان الورود و الحکومة فی الاصول اللفظیّة أیضا</w:t>
            </w:r>
            <w:r>
              <w:rPr>
                <w:rStyle w:val="IndexLink"/>
                <w:rtl w:val="true"/>
              </w:rPr>
              <w:t>:</w:t>
              <w:tab/>
            </w:r>
            <w:r>
              <w:rPr>
                <w:rStyle w:val="IndexLink"/>
              </w:rPr>
              <w:t>441</w:t>
            </w:r>
          </w:hyperlink>
        </w:p>
        <w:p>
          <w:pPr>
            <w:pStyle w:val="Contents3"/>
            <w:tabs>
              <w:tab w:val="clear" w:pos="8459"/>
              <w:tab w:val="right" w:pos="9026" w:leader="dot"/>
            </w:tabs>
            <w:rPr/>
          </w:pPr>
          <w:hyperlink w:anchor="__RefHeading___Toc5767897_3224264995">
            <w:r>
              <w:rPr>
                <w:webHidden/>
                <w:rStyle w:val="IndexLink"/>
                <w:rtl w:val="true"/>
              </w:rPr>
              <w:t>عدم التعارض فی القطعیّین و لا فی الظنّیین الفعلیّین</w:t>
            </w:r>
            <w:r>
              <w:rPr>
                <w:rStyle w:val="IndexLink"/>
                <w:rtl w:val="true"/>
              </w:rPr>
              <w:t>:</w:t>
              <w:tab/>
            </w:r>
            <w:r>
              <w:rPr>
                <w:rStyle w:val="IndexLink"/>
              </w:rPr>
              <w:t>443</w:t>
            </w:r>
          </w:hyperlink>
        </w:p>
        <w:p>
          <w:pPr>
            <w:pStyle w:val="Contents3"/>
            <w:tabs>
              <w:tab w:val="clear" w:pos="8459"/>
              <w:tab w:val="right" w:pos="9026" w:leader="dot"/>
            </w:tabs>
            <w:rPr/>
          </w:pPr>
          <w:hyperlink w:anchor="__RefHeading___Toc5767899_3224264995">
            <w:r>
              <w:rPr>
                <w:webHidden/>
                <w:rStyle w:val="IndexLink"/>
                <w:rtl w:val="true"/>
              </w:rPr>
              <w:t>قاعدة</w:t>
            </w:r>
            <w:r>
              <w:rPr>
                <w:rStyle w:val="IndexLink"/>
                <w:rtl w:val="true"/>
              </w:rPr>
              <w:t>«</w:t>
            </w:r>
            <w:r>
              <w:rPr>
                <w:rStyle w:val="IndexLink"/>
                <w:rtl w:val="true"/>
              </w:rPr>
              <w:t>الجمع مهما أمکن أولی من الطرح</w:t>
            </w:r>
            <w:r>
              <w:rPr>
                <w:rStyle w:val="IndexLink"/>
                <w:rtl w:val="true"/>
              </w:rPr>
              <w:t>»:</w:t>
              <w:tab/>
            </w:r>
            <w:r>
              <w:rPr>
                <w:rStyle w:val="IndexLink"/>
              </w:rPr>
              <w:t>445</w:t>
            </w:r>
          </w:hyperlink>
        </w:p>
        <w:p>
          <w:pPr>
            <w:pStyle w:val="Contents4"/>
            <w:tabs>
              <w:tab w:val="clear" w:pos="8176"/>
              <w:tab w:val="right" w:pos="9026" w:leader="dot"/>
            </w:tabs>
            <w:rPr/>
          </w:pPr>
          <w:hyperlink w:anchor="__RefHeading___Toc5767901_3224264995">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767903_3224264995">
            <w:r>
              <w:rPr>
                <w:webHidden/>
                <w:rStyle w:val="IndexLink"/>
                <w:rtl w:val="true"/>
              </w:rPr>
              <w:t>کلام ابن أبی جمهور الأحسائیّ فی عوالی اللآلی</w:t>
            </w:r>
            <w:r>
              <w:rPr>
                <w:rStyle w:val="IndexLink"/>
                <w:rtl w:val="true"/>
              </w:rPr>
              <w:t>:</w:t>
              <w:tab/>
            </w:r>
            <w:r>
              <w:rPr>
                <w:rStyle w:val="IndexLink"/>
              </w:rPr>
              <w:t>445</w:t>
            </w:r>
          </w:hyperlink>
        </w:p>
        <w:p>
          <w:pPr>
            <w:pStyle w:val="Contents4"/>
            <w:tabs>
              <w:tab w:val="clear" w:pos="8176"/>
              <w:tab w:val="right" w:pos="9026" w:leader="dot"/>
            </w:tabs>
            <w:rPr/>
          </w:pPr>
          <w:hyperlink w:anchor="__RefHeading___Toc5767905_3224264995">
            <w:r>
              <w:rPr>
                <w:webHidden/>
                <w:rStyle w:val="IndexLink"/>
                <w:rtl w:val="true"/>
              </w:rPr>
              <w:t>ما استدلّ به علی هذه القاعدة</w:t>
            </w:r>
            <w:r>
              <w:rPr>
                <w:rStyle w:val="IndexLink"/>
                <w:rtl w:val="true"/>
              </w:rPr>
              <w:t>:</w:t>
              <w:tab/>
            </w:r>
            <w:r>
              <w:rPr>
                <w:rStyle w:val="IndexLink"/>
              </w:rPr>
              <w:t>446</w:t>
            </w:r>
          </w:hyperlink>
        </w:p>
        <w:p>
          <w:pPr>
            <w:pStyle w:val="Contents4"/>
            <w:tabs>
              <w:tab w:val="clear" w:pos="8176"/>
              <w:tab w:val="right" w:pos="9026" w:leader="dot"/>
            </w:tabs>
            <w:rPr/>
          </w:pPr>
          <w:hyperlink w:anchor="__RefHeading___Toc5767907_3224264995">
            <w:r>
              <w:rPr>
                <w:webHidden/>
                <w:rStyle w:val="IndexLink"/>
                <w:rtl w:val="true"/>
              </w:rPr>
              <w:t>عدم إمکان العمل بهذه القاعدة</w:t>
            </w:r>
            <w:r>
              <w:rPr>
                <w:rStyle w:val="IndexLink"/>
                <w:rtl w:val="true"/>
              </w:rPr>
              <w:t>:</w:t>
              <w:tab/>
            </w:r>
            <w:r>
              <w:rPr>
                <w:rStyle w:val="IndexLink"/>
              </w:rPr>
              <w:t>446</w:t>
            </w:r>
          </w:hyperlink>
        </w:p>
        <w:p>
          <w:pPr>
            <w:pStyle w:val="Contents4"/>
            <w:tabs>
              <w:tab w:val="clear" w:pos="8176"/>
              <w:tab w:val="right" w:pos="9026" w:leader="dot"/>
            </w:tabs>
            <w:rPr/>
          </w:pPr>
          <w:hyperlink w:anchor="__RefHeading___Toc5767909_3224264995">
            <w:r>
              <w:rPr>
                <w:webHidden/>
                <w:rStyle w:val="IndexLink"/>
                <w:rtl w:val="true"/>
              </w:rPr>
              <w:t>عدم الدلیل علی هذه القاعدة</w:t>
            </w:r>
            <w:r>
              <w:rPr>
                <w:rStyle w:val="IndexLink"/>
                <w:rtl w:val="true"/>
              </w:rPr>
              <w:tab/>
            </w:r>
            <w:r>
              <w:rPr>
                <w:rStyle w:val="IndexLink"/>
              </w:rPr>
              <w:t>446</w:t>
            </w:r>
          </w:hyperlink>
        </w:p>
        <w:p>
          <w:pPr>
            <w:pStyle w:val="Contents4"/>
            <w:tabs>
              <w:tab w:val="clear" w:pos="8176"/>
              <w:tab w:val="right" w:pos="9026" w:leader="dot"/>
            </w:tabs>
            <w:rPr/>
          </w:pPr>
          <w:hyperlink w:anchor="__RefHeading___Toc5767911_3224264995">
            <w:r>
              <w:rPr>
                <w:webHidden/>
                <w:rStyle w:val="IndexLink"/>
                <w:rtl w:val="true"/>
              </w:rPr>
              <w:t>دلیل آخر علی عدم کلیّة هذه القاعدة</w:t>
            </w:r>
            <w:r>
              <w:rPr>
                <w:rStyle w:val="IndexLink"/>
                <w:rtl w:val="true"/>
              </w:rPr>
              <w:t>:</w:t>
              <w:tab/>
            </w:r>
            <w:r>
              <w:rPr>
                <w:rStyle w:val="IndexLink"/>
              </w:rPr>
              <w:t>450</w:t>
            </w:r>
          </w:hyperlink>
        </w:p>
        <w:p>
          <w:pPr>
            <w:pStyle w:val="Contents4"/>
            <w:tabs>
              <w:tab w:val="clear" w:pos="8176"/>
              <w:tab w:val="right" w:pos="9026" w:leader="dot"/>
            </w:tabs>
            <w:rPr/>
          </w:pPr>
          <w:hyperlink w:anchor="__RefHeading___Toc5767913_3224264995">
            <w:r>
              <w:rPr>
                <w:webHidden/>
                <w:rStyle w:val="IndexLink"/>
                <w:rtl w:val="true"/>
              </w:rPr>
              <w:t>مخالفة هذه القاعدة للإجماع</w:t>
            </w:r>
            <w:r>
              <w:rPr>
                <w:rStyle w:val="IndexLink"/>
                <w:rtl w:val="true"/>
              </w:rPr>
              <w:t>:</w:t>
              <w:tab/>
            </w:r>
            <w:r>
              <w:rPr>
                <w:rStyle w:val="IndexLink"/>
              </w:rPr>
              <w:t>450</w:t>
            </w:r>
          </w:hyperlink>
        </w:p>
        <w:p>
          <w:pPr>
            <w:pStyle w:val="Contents4"/>
            <w:tabs>
              <w:tab w:val="clear" w:pos="8176"/>
              <w:tab w:val="right" w:pos="9026" w:leader="dot"/>
            </w:tabs>
            <w:rPr/>
          </w:pPr>
          <w:hyperlink w:anchor="__RefHeading___Toc5767915_3224264995">
            <w:r>
              <w:rPr>
                <w:webHidden/>
                <w:rStyle w:val="IndexLink"/>
                <w:rtl w:val="true"/>
              </w:rPr>
              <w:t>رجوع الی کلام عوالی اللالی</w:t>
            </w:r>
            <w:r>
              <w:rPr>
                <w:rStyle w:val="IndexLink"/>
                <w:rtl w:val="true"/>
              </w:rPr>
              <w:tab/>
            </w:r>
            <w:r>
              <w:rPr>
                <w:rStyle w:val="IndexLink"/>
              </w:rPr>
              <w:t>450</w:t>
            </w:r>
          </w:hyperlink>
        </w:p>
        <w:p>
          <w:pPr>
            <w:pStyle w:val="Contents4"/>
            <w:tabs>
              <w:tab w:val="clear" w:pos="8176"/>
              <w:tab w:val="right" w:pos="9026" w:leader="dot"/>
            </w:tabs>
            <w:rPr/>
          </w:pPr>
          <w:hyperlink w:anchor="__RefHeading___Toc5767917_3224264995">
            <w:r>
              <w:rPr>
                <w:webHidden/>
                <w:rStyle w:val="IndexLink"/>
                <w:rtl w:val="true"/>
              </w:rPr>
              <w:t>أقسام الجمع</w:t>
            </w:r>
            <w:r>
              <w:rPr>
                <w:rStyle w:val="IndexLink"/>
                <w:rtl w:val="true"/>
              </w:rPr>
              <w:t>:</w:t>
              <w:tab/>
            </w:r>
            <w:r>
              <w:rPr>
                <w:rStyle w:val="IndexLink"/>
              </w:rPr>
              <w:t>451</w:t>
            </w:r>
          </w:hyperlink>
        </w:p>
        <w:p>
          <w:pPr>
            <w:pStyle w:val="Contents5"/>
            <w:tabs>
              <w:tab w:val="clear" w:pos="7892"/>
              <w:tab w:val="right" w:pos="9026" w:leader="dot"/>
            </w:tabs>
            <w:rPr/>
          </w:pPr>
          <w:hyperlink w:anchor="__RefHeading___Toc5767919_3224264995">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5767921_3224264995">
            <w:r>
              <w:rPr>
                <w:webHidden/>
                <w:rStyle w:val="IndexLink"/>
                <w:rtl w:val="true"/>
              </w:rPr>
              <w:t>تعارض الظاهرین</w:t>
            </w:r>
            <w:r>
              <w:rPr>
                <w:rStyle w:val="IndexLink"/>
                <w:rtl w:val="true"/>
              </w:rPr>
              <w:t>:</w:t>
              <w:tab/>
            </w:r>
            <w:r>
              <w:rPr>
                <w:rStyle w:val="IndexLink"/>
              </w:rPr>
              <w:t>451</w:t>
            </w:r>
          </w:hyperlink>
        </w:p>
        <w:p>
          <w:pPr>
            <w:pStyle w:val="Contents6"/>
            <w:tabs>
              <w:tab w:val="clear" w:pos="7609"/>
              <w:tab w:val="right" w:pos="9026" w:leader="dot"/>
            </w:tabs>
            <w:rPr/>
          </w:pPr>
          <w:hyperlink w:anchor="__RefHeading___Toc5767923_3224264995">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5767925_3224264995">
            <w:r>
              <w:rPr>
                <w:webHidden/>
                <w:rStyle w:val="IndexLink"/>
                <w:rtl w:val="true"/>
              </w:rPr>
              <w:t>لو کان لأحد الظاهرین مزیّة علی الآخر</w:t>
            </w:r>
            <w:r>
              <w:rPr>
                <w:rStyle w:val="IndexLink"/>
                <w:rtl w:val="true"/>
              </w:rPr>
              <w:t>:</w:t>
              <w:tab/>
            </w:r>
            <w:r>
              <w:rPr>
                <w:rStyle w:val="IndexLink"/>
              </w:rPr>
              <w:t>452</w:t>
            </w:r>
          </w:hyperlink>
        </w:p>
        <w:p>
          <w:pPr>
            <w:pStyle w:val="Contents6"/>
            <w:tabs>
              <w:tab w:val="clear" w:pos="7609"/>
              <w:tab w:val="right" w:pos="9026" w:leader="dot"/>
            </w:tabs>
            <w:rPr/>
          </w:pPr>
          <w:hyperlink w:anchor="__RefHeading___Toc5767927_3224264995">
            <w:r>
              <w:rPr>
                <w:webHidden/>
                <w:rStyle w:val="IndexLink"/>
                <w:rtl w:val="true"/>
              </w:rPr>
              <w:t>لو لم یکن لأحد الظاهرین مزیّة علی الآخر</w:t>
            </w:r>
            <w:r>
              <w:rPr>
                <w:rStyle w:val="IndexLink"/>
                <w:rtl w:val="true"/>
              </w:rPr>
              <w:t>:</w:t>
              <w:tab/>
            </w:r>
            <w:r>
              <w:rPr>
                <w:rStyle w:val="IndexLink"/>
              </w:rPr>
              <w:t>453</w:t>
            </w:r>
          </w:hyperlink>
        </w:p>
        <w:p>
          <w:pPr>
            <w:pStyle w:val="Contents6"/>
            <w:tabs>
              <w:tab w:val="clear" w:pos="7609"/>
              <w:tab w:val="right" w:pos="9026" w:leader="dot"/>
            </w:tabs>
            <w:rPr/>
          </w:pPr>
          <w:hyperlink w:anchor="__RefHeading___Toc5767929_3224264995">
            <w:r>
              <w:rPr>
                <w:webHidden/>
                <w:rStyle w:val="IndexLink"/>
                <w:rtl w:val="true"/>
              </w:rPr>
              <w:t>تفصیل فی الظاهرین المتعارضین</w:t>
            </w:r>
            <w:r>
              <w:rPr>
                <w:rStyle w:val="IndexLink"/>
                <w:rtl w:val="true"/>
              </w:rPr>
              <w:t>:</w:t>
              <w:tab/>
            </w:r>
            <w:r>
              <w:rPr>
                <w:rStyle w:val="IndexLink"/>
              </w:rPr>
              <w:t>454</w:t>
            </w:r>
          </w:hyperlink>
        </w:p>
        <w:p>
          <w:pPr>
            <w:pStyle w:val="Contents4"/>
            <w:tabs>
              <w:tab w:val="clear" w:pos="8176"/>
              <w:tab w:val="right" w:pos="9026" w:leader="dot"/>
            </w:tabs>
            <w:rPr/>
          </w:pPr>
          <w:hyperlink w:anchor="__RefHeading___Toc5767931_3224264995">
            <w:r>
              <w:rPr>
                <w:webHidden/>
                <w:rStyle w:val="IndexLink"/>
                <w:rtl w:val="true"/>
              </w:rPr>
              <w:t>ما فرّعه الشهید الثانی علی قاعدة</w:t>
            </w:r>
            <w:r>
              <w:rPr>
                <w:rStyle w:val="IndexLink"/>
                <w:rtl w:val="true"/>
              </w:rPr>
              <w:t>«</w:t>
            </w:r>
            <w:r>
              <w:rPr>
                <w:rStyle w:val="IndexLink"/>
                <w:rtl w:val="true"/>
              </w:rPr>
              <w:t>الجمع</w:t>
            </w:r>
            <w:r>
              <w:rPr>
                <w:rStyle w:val="IndexLink"/>
                <w:rtl w:val="true"/>
              </w:rPr>
              <w:t>»:</w:t>
              <w:tab/>
            </w:r>
            <w:r>
              <w:rPr>
                <w:rStyle w:val="IndexLink"/>
              </w:rPr>
              <w:t>455</w:t>
            </w:r>
          </w:hyperlink>
        </w:p>
        <w:p>
          <w:pPr>
            <w:pStyle w:val="Contents4"/>
            <w:tabs>
              <w:tab w:val="clear" w:pos="8176"/>
              <w:tab w:val="right" w:pos="9026" w:leader="dot"/>
            </w:tabs>
            <w:rPr/>
          </w:pPr>
          <w:hyperlink w:anchor="__RefHeading___Toc5767933_3224264995">
            <w:r>
              <w:rPr>
                <w:webHidden/>
                <w:rStyle w:val="IndexLink"/>
                <w:rtl w:val="true"/>
              </w:rPr>
              <w:t>إمکان الجمع بین البیّنات بالتبعیض</w:t>
            </w:r>
            <w:r>
              <w:rPr>
                <w:rStyle w:val="IndexLink"/>
                <w:rtl w:val="true"/>
              </w:rPr>
              <w:t>:</w:t>
              <w:tab/>
            </w:r>
            <w:r>
              <w:rPr>
                <w:rStyle w:val="IndexLink"/>
              </w:rPr>
              <w:t>456</w:t>
            </w:r>
          </w:hyperlink>
        </w:p>
        <w:p>
          <w:pPr>
            <w:pStyle w:val="Contents4"/>
            <w:tabs>
              <w:tab w:val="clear" w:pos="8176"/>
              <w:tab w:val="right" w:pos="9026" w:leader="dot"/>
            </w:tabs>
            <w:rPr/>
          </w:pPr>
          <w:hyperlink w:anchor="__RefHeading___Toc5767935_3224264995">
            <w:r>
              <w:rPr>
                <w:webHidden/>
                <w:rStyle w:val="IndexLink"/>
                <w:rtl w:val="true"/>
              </w:rPr>
              <w:t>عدم إمکان الجمع بالتبعیض فی تعارض الأخبار</w:t>
            </w:r>
            <w:r>
              <w:rPr>
                <w:rStyle w:val="IndexLink"/>
                <w:rtl w:val="true"/>
              </w:rPr>
              <w:t>:</w:t>
              <w:tab/>
            </w:r>
            <w:r>
              <w:rPr>
                <w:rStyle w:val="IndexLink"/>
              </w:rPr>
              <w:t>456</w:t>
            </w:r>
          </w:hyperlink>
        </w:p>
        <w:p>
          <w:pPr>
            <w:pStyle w:val="Contents4"/>
            <w:tabs>
              <w:tab w:val="clear" w:pos="8176"/>
              <w:tab w:val="right" w:pos="9026" w:leader="dot"/>
            </w:tabs>
            <w:rPr/>
          </w:pPr>
          <w:hyperlink w:anchor="__RefHeading___Toc5767937_3224264995">
            <w:r>
              <w:rPr>
                <w:webHidden/>
                <w:rStyle w:val="IndexLink"/>
                <w:rtl w:val="true"/>
              </w:rPr>
              <w:t>الجمع بین البیّنات فی حقوق الناس</w:t>
            </w:r>
            <w:r>
              <w:rPr>
                <w:rStyle w:val="IndexLink"/>
                <w:rtl w:val="true"/>
              </w:rPr>
              <w:t>:</w:t>
              <w:tab/>
            </w:r>
            <w:r>
              <w:rPr>
                <w:rStyle w:val="IndexLink"/>
              </w:rPr>
              <w:t>457</w:t>
            </w:r>
          </w:hyperlink>
        </w:p>
        <w:p>
          <w:pPr>
            <w:pStyle w:val="Contents4"/>
            <w:tabs>
              <w:tab w:val="clear" w:pos="8176"/>
              <w:tab w:val="right" w:pos="9026" w:leader="dot"/>
            </w:tabs>
            <w:rPr/>
          </w:pPr>
          <w:hyperlink w:anchor="__RefHeading___Toc5767939_3224264995">
            <w:r>
              <w:rPr>
                <w:webHidden/>
                <w:rStyle w:val="IndexLink"/>
                <w:rtl w:val="true"/>
              </w:rPr>
              <w:t>الأصل فی تعارض البیّنات هی القرعة</w:t>
            </w:r>
            <w:r>
              <w:rPr>
                <w:rStyle w:val="IndexLink"/>
                <w:rtl w:val="true"/>
              </w:rPr>
              <w:t>:</w:t>
              <w:tab/>
            </w:r>
            <w:r>
              <w:rPr>
                <w:rStyle w:val="IndexLink"/>
              </w:rPr>
              <w:t>458</w:t>
            </w:r>
          </w:hyperlink>
        </w:p>
        <w:p>
          <w:pPr>
            <w:pStyle w:val="Contents3"/>
            <w:tabs>
              <w:tab w:val="clear" w:pos="8459"/>
              <w:tab w:val="right" w:pos="9026" w:leader="dot"/>
            </w:tabs>
            <w:rPr/>
          </w:pPr>
          <w:hyperlink w:anchor="__RefHeading___Toc5767941_3224264995">
            <w:r>
              <w:rPr>
                <w:webHidden/>
                <w:rStyle w:val="IndexLink"/>
                <w:rtl w:val="true"/>
              </w:rPr>
              <w:t>الکلام فی أحکام التعارض فی مقامین</w:t>
            </w:r>
            <w:r>
              <w:rPr>
                <w:rStyle w:val="IndexLink"/>
                <w:rtl w:val="true"/>
              </w:rPr>
              <w:t>:</w:t>
              <w:tab/>
            </w:r>
            <w:r>
              <w:rPr>
                <w:rStyle w:val="IndexLink"/>
              </w:rPr>
              <w:t>458</w:t>
            </w:r>
          </w:hyperlink>
        </w:p>
        <w:p>
          <w:pPr>
            <w:pStyle w:val="Contents4"/>
            <w:tabs>
              <w:tab w:val="clear" w:pos="8176"/>
              <w:tab w:val="right" w:pos="9026" w:leader="dot"/>
            </w:tabs>
            <w:rPr/>
          </w:pPr>
          <w:hyperlink w:anchor="__RefHeading___Toc5767943_3224264995">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5767945_3224264995">
            <w:r>
              <w:rPr>
                <w:webHidden/>
                <w:rStyle w:val="IndexLink"/>
                <w:rtl w:val="true"/>
              </w:rPr>
              <w:t>المقام الأوّل</w:t>
            </w:r>
            <w:r>
              <w:rPr>
                <w:rStyle w:val="IndexLink"/>
                <w:rtl w:val="true"/>
              </w:rPr>
              <w:t xml:space="preserve">: </w:t>
            </w:r>
            <w:r>
              <w:rPr>
                <w:rStyle w:val="IndexLink"/>
                <w:rtl w:val="true"/>
              </w:rPr>
              <w:t>فی المتکافئین</w:t>
            </w:r>
            <w:r>
              <w:rPr>
                <w:rStyle w:val="IndexLink"/>
                <w:rtl w:val="true"/>
              </w:rPr>
              <w:tab/>
            </w:r>
            <w:r>
              <w:rPr>
                <w:rStyle w:val="IndexLink"/>
              </w:rPr>
              <w:t>459</w:t>
            </w:r>
          </w:hyperlink>
        </w:p>
        <w:p>
          <w:pPr>
            <w:pStyle w:val="Contents5"/>
            <w:tabs>
              <w:tab w:val="clear" w:pos="7892"/>
              <w:tab w:val="right" w:pos="9026" w:leader="dot"/>
            </w:tabs>
            <w:rPr/>
          </w:pPr>
          <w:hyperlink w:anchor="__RefHeading___Toc5767947_3224264995">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5767949_3224264995">
            <w:r>
              <w:rPr>
                <w:webHidden/>
                <w:rStyle w:val="IndexLink"/>
                <w:rtl w:val="true"/>
              </w:rPr>
              <w:t>ما هو مقتضی الأصل الأوّلی فی المتکافئین؟</w:t>
            </w:r>
            <w:r>
              <w:rPr>
                <w:rStyle w:val="IndexLink"/>
                <w:rtl w:val="true"/>
              </w:rPr>
              <w:tab/>
            </w:r>
            <w:r>
              <w:rPr>
                <w:rStyle w:val="IndexLink"/>
              </w:rPr>
              <w:t>459</w:t>
            </w:r>
          </w:hyperlink>
        </w:p>
        <w:p>
          <w:pPr>
            <w:pStyle w:val="Contents5"/>
            <w:tabs>
              <w:tab w:val="clear" w:pos="7892"/>
              <w:tab w:val="right" w:pos="9026" w:leader="dot"/>
            </w:tabs>
            <w:rPr/>
          </w:pPr>
          <w:hyperlink w:anchor="__RefHeading___Toc5767951_3224264995">
            <w:r>
              <w:rPr>
                <w:webHidden/>
                <w:rStyle w:val="IndexLink"/>
                <w:rtl w:val="true"/>
              </w:rPr>
              <w:t>کلام السیّد المجاهد فی أنّ مقتضی الأصل هو التساقط</w:t>
            </w:r>
            <w:r>
              <w:rPr>
                <w:rStyle w:val="IndexLink"/>
                <w:rtl w:val="true"/>
              </w:rPr>
              <w:tab/>
            </w:r>
            <w:r>
              <w:rPr>
                <w:rStyle w:val="IndexLink"/>
              </w:rPr>
              <w:t>459</w:t>
            </w:r>
          </w:hyperlink>
        </w:p>
        <w:p>
          <w:pPr>
            <w:pStyle w:val="Contents6"/>
            <w:tabs>
              <w:tab w:val="clear" w:pos="7609"/>
              <w:tab w:val="right" w:pos="9026" w:leader="dot"/>
            </w:tabs>
            <w:rPr/>
          </w:pPr>
          <w:hyperlink w:anchor="__RefHeading___Toc5767953_3224264995">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5767955_3224264995">
            <w:r>
              <w:rPr>
                <w:webHidden/>
                <w:rStyle w:val="IndexLink"/>
                <w:rtl w:val="true"/>
              </w:rPr>
              <w:t>المناقشة فیما أفاده السیّد المجاهد</w:t>
            </w:r>
            <w:r>
              <w:rPr>
                <w:rStyle w:val="IndexLink"/>
                <w:rtl w:val="true"/>
              </w:rPr>
              <w:tab/>
            </w:r>
            <w:r>
              <w:rPr>
                <w:rStyle w:val="IndexLink"/>
              </w:rPr>
              <w:t>460</w:t>
            </w:r>
          </w:hyperlink>
        </w:p>
        <w:p>
          <w:pPr>
            <w:pStyle w:val="Contents5"/>
            <w:tabs>
              <w:tab w:val="clear" w:pos="7892"/>
              <w:tab w:val="right" w:pos="9026" w:leader="dot"/>
            </w:tabs>
            <w:rPr/>
          </w:pPr>
          <w:hyperlink w:anchor="__RefHeading___Toc5767957_3224264995">
            <w:r>
              <w:rPr>
                <w:webHidden/>
                <w:rStyle w:val="IndexLink"/>
                <w:rtl w:val="true"/>
              </w:rPr>
              <w:t>الأصل عدم التساقط و الدلیل علیه</w:t>
            </w:r>
            <w:r>
              <w:rPr>
                <w:rStyle w:val="IndexLink"/>
                <w:rtl w:val="true"/>
              </w:rPr>
              <w:t>:</w:t>
              <w:tab/>
            </w:r>
            <w:r>
              <w:rPr>
                <w:rStyle w:val="IndexLink"/>
              </w:rPr>
              <w:t>461</w:t>
            </w:r>
          </w:hyperlink>
        </w:p>
        <w:p>
          <w:pPr>
            <w:pStyle w:val="Contents5"/>
            <w:tabs>
              <w:tab w:val="clear" w:pos="7892"/>
              <w:tab w:val="right" w:pos="9026" w:leader="dot"/>
            </w:tabs>
            <w:rPr/>
          </w:pPr>
          <w:hyperlink w:anchor="__RefHeading___Toc5767959_3224264995">
            <w:r>
              <w:rPr>
                <w:webHidden/>
                <w:rStyle w:val="IndexLink"/>
                <w:rtl w:val="true"/>
              </w:rPr>
              <w:t>مقتضی الأصل التخییر بناء علی السببیّة</w:t>
            </w:r>
            <w:r>
              <w:rPr>
                <w:rStyle w:val="IndexLink"/>
                <w:rtl w:val="true"/>
              </w:rPr>
              <w:t>:</w:t>
              <w:tab/>
            </w:r>
            <w:r>
              <w:rPr>
                <w:rStyle w:val="IndexLink"/>
              </w:rPr>
              <w:t>463</w:t>
            </w:r>
          </w:hyperlink>
        </w:p>
        <w:p>
          <w:pPr>
            <w:pStyle w:val="Contents5"/>
            <w:tabs>
              <w:tab w:val="clear" w:pos="7892"/>
              <w:tab w:val="right" w:pos="9026" w:leader="dot"/>
            </w:tabs>
            <w:rPr/>
          </w:pPr>
          <w:hyperlink w:anchor="__RefHeading___Toc5767961_3224264995">
            <w:r>
              <w:rPr>
                <w:webHidden/>
                <w:rStyle w:val="IndexLink"/>
                <w:rtl w:val="true"/>
              </w:rPr>
              <w:t>مقتضی الأصل التوقّف بناء علی الطریقیّة</w:t>
            </w:r>
            <w:r>
              <w:rPr>
                <w:rStyle w:val="IndexLink"/>
                <w:rtl w:val="true"/>
              </w:rPr>
              <w:t>:</w:t>
              <w:tab/>
            </w:r>
            <w:r>
              <w:rPr>
                <w:rStyle w:val="IndexLink"/>
              </w:rPr>
              <w:t>464</w:t>
            </w:r>
          </w:hyperlink>
        </w:p>
        <w:p>
          <w:pPr>
            <w:pStyle w:val="Contents5"/>
            <w:tabs>
              <w:tab w:val="clear" w:pos="7892"/>
              <w:tab w:val="right" w:pos="9026" w:leader="dot"/>
            </w:tabs>
            <w:rPr/>
          </w:pPr>
          <w:hyperlink w:anchor="__RefHeading___Toc5767963_3224264995">
            <w:r>
              <w:rPr>
                <w:webHidden/>
                <w:rStyle w:val="IndexLink"/>
                <w:rtl w:val="true"/>
              </w:rPr>
              <w:t>مقتضی الأخبار عدم التساقط</w:t>
            </w:r>
            <w:r>
              <w:rPr>
                <w:rStyle w:val="IndexLink"/>
                <w:rtl w:val="true"/>
              </w:rPr>
              <w:t>:</w:t>
              <w:tab/>
            </w:r>
            <w:r>
              <w:rPr>
                <w:rStyle w:val="IndexLink"/>
              </w:rPr>
              <w:t>465</w:t>
            </w:r>
          </w:hyperlink>
        </w:p>
        <w:p>
          <w:pPr>
            <w:pStyle w:val="Contents6"/>
            <w:tabs>
              <w:tab w:val="clear" w:pos="7609"/>
              <w:tab w:val="right" w:pos="9026" w:leader="dot"/>
            </w:tabs>
            <w:rPr/>
          </w:pPr>
          <w:hyperlink w:anchor="__RefHeading___Toc5767965_3224264995">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5767967_3224264995">
            <w:r>
              <w:rPr>
                <w:webHidden/>
                <w:rStyle w:val="IndexLink"/>
                <w:rtl w:val="true"/>
              </w:rPr>
              <w:t>ما هو الحکم بناء علی عدم التساقط؟</w:t>
            </w:r>
            <w:r>
              <w:rPr>
                <w:rStyle w:val="IndexLink"/>
                <w:rtl w:val="true"/>
              </w:rPr>
              <w:tab/>
            </w:r>
            <w:r>
              <w:rPr>
                <w:rStyle w:val="IndexLink"/>
              </w:rPr>
              <w:t>465</w:t>
            </w:r>
          </w:hyperlink>
        </w:p>
        <w:p>
          <w:pPr>
            <w:pStyle w:val="Contents6"/>
            <w:tabs>
              <w:tab w:val="clear" w:pos="7609"/>
              <w:tab w:val="right" w:pos="9026" w:leader="dot"/>
            </w:tabs>
            <w:rPr/>
          </w:pPr>
          <w:hyperlink w:anchor="__RefHeading___Toc5767969_3224264995">
            <w:r>
              <w:rPr>
                <w:webHidden/>
                <w:rStyle w:val="IndexLink"/>
                <w:rtl w:val="true"/>
              </w:rPr>
              <w:t>المشهور هو التخییر للأخبار المستفیضة الدالّة علی التخییر</w:t>
            </w:r>
            <w:r>
              <w:rPr>
                <w:rStyle w:val="IndexLink"/>
                <w:rtl w:val="true"/>
              </w:rPr>
              <w:t>:</w:t>
              <w:tab/>
            </w:r>
            <w:r>
              <w:rPr>
                <w:rStyle w:val="IndexLink"/>
              </w:rPr>
              <w:t>465</w:t>
            </w:r>
          </w:hyperlink>
        </w:p>
        <w:p>
          <w:pPr>
            <w:pStyle w:val="Contents5"/>
            <w:tabs>
              <w:tab w:val="clear" w:pos="7892"/>
              <w:tab w:val="right" w:pos="9026" w:leader="dot"/>
            </w:tabs>
            <w:rPr/>
          </w:pPr>
          <w:hyperlink w:anchor="__RefHeading___Toc5767971_3224264995">
            <w:r>
              <w:rPr>
                <w:webHidden/>
                <w:rStyle w:val="IndexLink"/>
                <w:rtl w:val="true"/>
              </w:rPr>
              <w:t>أخبار التوقّف و الجواب عنها</w:t>
            </w:r>
            <w:r>
              <w:rPr>
                <w:rStyle w:val="IndexLink"/>
                <w:rtl w:val="true"/>
              </w:rPr>
              <w:tab/>
            </w:r>
            <w:r>
              <w:rPr>
                <w:rStyle w:val="IndexLink"/>
              </w:rPr>
              <w:t>466</w:t>
            </w:r>
          </w:hyperlink>
        </w:p>
        <w:p>
          <w:pPr>
            <w:pStyle w:val="Contents5"/>
            <w:tabs>
              <w:tab w:val="clear" w:pos="7892"/>
              <w:tab w:val="right" w:pos="9026" w:leader="dot"/>
            </w:tabs>
            <w:rPr/>
          </w:pPr>
          <w:hyperlink w:anchor="__RefHeading___Toc5767973_3224264995">
            <w:r>
              <w:rPr>
                <w:webHidden/>
                <w:rStyle w:val="IndexLink"/>
                <w:rtl w:val="true"/>
              </w:rPr>
              <w:t>لو وقع التعادل للمجتهد فی عمل نفسه أو للمفتی لأجل الإفتاء</w:t>
            </w:r>
            <w:r>
              <w:rPr>
                <w:rStyle w:val="IndexLink"/>
                <w:rtl w:val="true"/>
              </w:rPr>
              <w:t>:</w:t>
              <w:tab/>
            </w:r>
            <w:r>
              <w:rPr>
                <w:rStyle w:val="IndexLink"/>
              </w:rPr>
              <w:t>467</w:t>
            </w:r>
          </w:hyperlink>
        </w:p>
        <w:p>
          <w:pPr>
            <w:pStyle w:val="Contents5"/>
            <w:tabs>
              <w:tab w:val="clear" w:pos="7892"/>
              <w:tab w:val="right" w:pos="9026" w:leader="dot"/>
            </w:tabs>
            <w:rPr/>
          </w:pPr>
          <w:hyperlink w:anchor="__RefHeading___Toc5767975_3224264995">
            <w:r>
              <w:rPr>
                <w:webHidden/>
                <w:rStyle w:val="IndexLink"/>
                <w:rtl w:val="true"/>
              </w:rPr>
              <w:t>لو وقع التعادل للحاکم و القاضی فالظاهر التخییر</w:t>
            </w:r>
            <w:r>
              <w:rPr>
                <w:rStyle w:val="IndexLink"/>
                <w:rtl w:val="true"/>
              </w:rPr>
              <w:t>:</w:t>
              <w:tab/>
            </w:r>
            <w:r>
              <w:rPr>
                <w:rStyle w:val="IndexLink"/>
              </w:rPr>
              <w:t>468</w:t>
            </w:r>
          </w:hyperlink>
        </w:p>
        <w:p>
          <w:pPr>
            <w:pStyle w:val="Contents6"/>
            <w:tabs>
              <w:tab w:val="clear" w:pos="7609"/>
              <w:tab w:val="right" w:pos="9026" w:leader="dot"/>
            </w:tabs>
            <w:rPr/>
          </w:pPr>
          <w:hyperlink w:anchor="__RefHeading___Toc5767977_3224264995">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5767979_3224264995">
            <w:r>
              <w:rPr>
                <w:webHidden/>
                <w:rStyle w:val="IndexLink"/>
                <w:rtl w:val="true"/>
              </w:rPr>
              <w:t>هل التخییر بدویّ أو استمراری؟</w:t>
            </w:r>
            <w:r>
              <w:rPr>
                <w:rStyle w:val="IndexLink"/>
                <w:rtl w:val="true"/>
              </w:rPr>
              <w:tab/>
            </w:r>
            <w:r>
              <w:rPr>
                <w:rStyle w:val="IndexLink"/>
              </w:rPr>
              <w:t>469</w:t>
            </w:r>
          </w:hyperlink>
        </w:p>
        <w:p>
          <w:pPr>
            <w:pStyle w:val="Contents6"/>
            <w:tabs>
              <w:tab w:val="clear" w:pos="7609"/>
              <w:tab w:val="right" w:pos="9026" w:leader="dot"/>
            </w:tabs>
            <w:rPr/>
          </w:pPr>
          <w:hyperlink w:anchor="__RefHeading___Toc5767981_3224264995">
            <w:r>
              <w:rPr>
                <w:webHidden/>
                <w:rStyle w:val="IndexLink"/>
                <w:rtl w:val="true"/>
              </w:rPr>
              <w:t>مختار المصنّف التخییر البدویّ</w:t>
            </w:r>
            <w:r>
              <w:rPr>
                <w:rStyle w:val="IndexLink"/>
                <w:rtl w:val="true"/>
              </w:rPr>
              <w:t>:</w:t>
              <w:tab/>
            </w:r>
            <w:r>
              <w:rPr>
                <w:rStyle w:val="IndexLink"/>
              </w:rPr>
              <w:t>469</w:t>
            </w:r>
          </w:hyperlink>
        </w:p>
        <w:p>
          <w:pPr>
            <w:pStyle w:val="Contents6"/>
            <w:tabs>
              <w:tab w:val="clear" w:pos="7609"/>
              <w:tab w:val="right" w:pos="9026" w:leader="dot"/>
            </w:tabs>
            <w:rPr/>
          </w:pPr>
          <w:hyperlink w:anchor="__RefHeading___Toc5767983_3224264995">
            <w:r>
              <w:rPr>
                <w:webHidden/>
                <w:rStyle w:val="IndexLink"/>
                <w:rtl w:val="true"/>
              </w:rPr>
              <w:t>حکم التعادل فی الأمارات المنصوبة فی غیر الأحکام</w:t>
            </w:r>
            <w:r>
              <w:rPr>
                <w:rStyle w:val="IndexLink"/>
                <w:rtl w:val="true"/>
              </w:rPr>
              <w:t>:</w:t>
              <w:tab/>
            </w:r>
            <w:r>
              <w:rPr>
                <w:rStyle w:val="IndexLink"/>
              </w:rPr>
              <w:t>470</w:t>
            </w:r>
          </w:hyperlink>
        </w:p>
        <w:p>
          <w:pPr>
            <w:pStyle w:val="Contents6"/>
            <w:tabs>
              <w:tab w:val="clear" w:pos="7609"/>
              <w:tab w:val="right" w:pos="9026" w:leader="dot"/>
            </w:tabs>
            <w:rPr/>
          </w:pPr>
          <w:hyperlink w:anchor="__RefHeading___Toc5767985_3224264995">
            <w:r>
              <w:rPr>
                <w:webHidden/>
                <w:rStyle w:val="IndexLink"/>
                <w:rtl w:val="true"/>
              </w:rPr>
              <w:t>لا بدّ من الفحص عن المرجّحات فی المتعارضین</w:t>
            </w:r>
            <w:r>
              <w:rPr>
                <w:rStyle w:val="IndexLink"/>
                <w:rtl w:val="true"/>
              </w:rPr>
              <w:t>:</w:t>
              <w:tab/>
            </w:r>
            <w:r>
              <w:rPr>
                <w:rStyle w:val="IndexLink"/>
              </w:rPr>
              <w:t>471</w:t>
            </w:r>
          </w:hyperlink>
        </w:p>
        <w:p>
          <w:pPr>
            <w:pStyle w:val="Contents4"/>
            <w:tabs>
              <w:tab w:val="clear" w:pos="8176"/>
              <w:tab w:val="right" w:pos="9026" w:leader="dot"/>
            </w:tabs>
            <w:rPr/>
          </w:pPr>
          <w:hyperlink w:anchor="__RefHeading___Toc5767987_3224264995">
            <w:r>
              <w:rPr>
                <w:webHidden/>
                <w:rStyle w:val="IndexLink"/>
                <w:rtl w:val="true"/>
              </w:rPr>
              <w:t>المقام الثانی</w:t>
            </w:r>
            <w:r>
              <w:rPr>
                <w:rStyle w:val="IndexLink"/>
                <w:rtl w:val="true"/>
              </w:rPr>
              <w:t xml:space="preserve">: </w:t>
            </w:r>
            <w:r>
              <w:rPr>
                <w:rStyle w:val="IndexLink"/>
                <w:rtl w:val="true"/>
              </w:rPr>
              <w:t>فی التراجیح تعریف الترجیح</w:t>
            </w:r>
            <w:r>
              <w:rPr>
                <w:rStyle w:val="IndexLink"/>
                <w:rtl w:val="true"/>
              </w:rPr>
              <w:t>:</w:t>
              <w:tab/>
            </w:r>
            <w:r>
              <w:rPr>
                <w:rStyle w:val="IndexLink"/>
              </w:rPr>
              <w:t>473</w:t>
            </w:r>
          </w:hyperlink>
        </w:p>
        <w:p>
          <w:pPr>
            <w:pStyle w:val="Contents5"/>
            <w:tabs>
              <w:tab w:val="clear" w:pos="7892"/>
              <w:tab w:val="right" w:pos="9026" w:leader="dot"/>
            </w:tabs>
            <w:rPr/>
          </w:pPr>
          <w:hyperlink w:anchor="__RefHeading___Toc5767989_3224264995">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5767991_3224264995">
            <w:r>
              <w:rPr>
                <w:webHidden/>
                <w:rStyle w:val="IndexLink"/>
                <w:rtl w:val="true"/>
              </w:rPr>
              <w:t>هنا مقامات</w:t>
            </w:r>
            <w:r>
              <w:rPr>
                <w:rStyle w:val="IndexLink"/>
                <w:rtl w:val="true"/>
              </w:rPr>
              <w:t>:</w:t>
              <w:tab/>
            </w:r>
            <w:r>
              <w:rPr>
                <w:rStyle w:val="IndexLink"/>
              </w:rPr>
              <w:t>473</w:t>
            </w:r>
          </w:hyperlink>
        </w:p>
        <w:p>
          <w:pPr>
            <w:pStyle w:val="Contents6"/>
            <w:tabs>
              <w:tab w:val="clear" w:pos="7609"/>
              <w:tab w:val="right" w:pos="9026" w:leader="dot"/>
            </w:tabs>
            <w:rPr/>
          </w:pPr>
          <w:hyperlink w:anchor="__RefHeading___Toc5767993_3224264995">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5767995_3224264995">
            <w:r>
              <w:rPr>
                <w:webHidden/>
                <w:rStyle w:val="IndexLink"/>
                <w:rtl w:val="true"/>
              </w:rPr>
              <w:t xml:space="preserve">أمّا المقام الأوّل </w:t>
            </w:r>
            <w:r>
              <w:rPr>
                <w:rStyle w:val="IndexLink"/>
                <w:rtl w:val="true"/>
              </w:rPr>
              <w:t>:</w:t>
            </w:r>
            <w:r>
              <w:rPr>
                <w:rStyle w:val="IndexLink"/>
                <w:rtl w:val="true"/>
              </w:rPr>
              <w:t>المشهور وجوب الترجیح و الاستدلال علیه</w:t>
            </w:r>
            <w:r>
              <w:rPr>
                <w:rStyle w:val="IndexLink"/>
                <w:rtl w:val="true"/>
              </w:rPr>
              <w:tab/>
            </w:r>
            <w:r>
              <w:rPr>
                <w:rStyle w:val="IndexLink"/>
              </w:rPr>
              <w:t>473</w:t>
            </w:r>
          </w:hyperlink>
        </w:p>
        <w:p>
          <w:pPr>
            <w:pStyle w:val="Contents6"/>
            <w:tabs>
              <w:tab w:val="clear" w:pos="7609"/>
              <w:tab w:val="right" w:pos="9026" w:leader="dot"/>
            </w:tabs>
            <w:rPr/>
          </w:pPr>
          <w:hyperlink w:anchor="__RefHeading___Toc5767997_3224264995">
            <w:r>
              <w:rPr>
                <w:webHidden/>
                <w:rStyle w:val="IndexLink"/>
                <w:rtl w:val="true"/>
              </w:rPr>
              <w:t>المناقشة فی وجوب الترجیح</w:t>
            </w:r>
            <w:r>
              <w:rPr>
                <w:rStyle w:val="IndexLink"/>
                <w:rtl w:val="true"/>
              </w:rPr>
              <w:t>:</w:t>
              <w:tab/>
            </w:r>
            <w:r>
              <w:rPr>
                <w:rStyle w:val="IndexLink"/>
              </w:rPr>
              <w:t>475</w:t>
            </w:r>
          </w:hyperlink>
        </w:p>
        <w:p>
          <w:pPr>
            <w:pStyle w:val="Contents6"/>
            <w:tabs>
              <w:tab w:val="clear" w:pos="7609"/>
              <w:tab w:val="right" w:pos="9026" w:leader="dot"/>
            </w:tabs>
            <w:rPr/>
          </w:pPr>
          <w:hyperlink w:anchor="__RefHeading___Toc5767999_3224264995">
            <w:r>
              <w:rPr>
                <w:webHidden/>
                <w:rStyle w:val="IndexLink"/>
                <w:rtl w:val="true"/>
              </w:rPr>
              <w:t>الجواب عن المناقشة</w:t>
            </w:r>
            <w:r>
              <w:rPr>
                <w:rStyle w:val="IndexLink"/>
                <w:rtl w:val="true"/>
              </w:rPr>
              <w:t>:</w:t>
              <w:tab/>
            </w:r>
            <w:r>
              <w:rPr>
                <w:rStyle w:val="IndexLink"/>
              </w:rPr>
              <w:t>475</w:t>
            </w:r>
          </w:hyperlink>
        </w:p>
        <w:p>
          <w:pPr>
            <w:pStyle w:val="Contents6"/>
            <w:tabs>
              <w:tab w:val="clear" w:pos="7609"/>
              <w:tab w:val="right" w:pos="9026" w:leader="dot"/>
            </w:tabs>
            <w:rPr/>
          </w:pPr>
          <w:hyperlink w:anchor="__RefHeading___Toc5768001_3224264995">
            <w:r>
              <w:rPr>
                <w:webHidden/>
                <w:rStyle w:val="IndexLink"/>
                <w:rtl w:val="true"/>
              </w:rPr>
              <w:t>عدم اندراج المسألة فی مسألة</w:t>
            </w:r>
            <w:r>
              <w:rPr>
                <w:rStyle w:val="IndexLink"/>
                <w:rtl w:val="true"/>
              </w:rPr>
              <w:t>«</w:t>
            </w:r>
            <w:r>
              <w:rPr>
                <w:rStyle w:val="IndexLink"/>
                <w:rtl w:val="true"/>
              </w:rPr>
              <w:t>دوران الأمر بین التعیین و التخییر</w:t>
            </w:r>
            <w:r>
              <w:rPr>
                <w:rStyle w:val="IndexLink"/>
                <w:rtl w:val="true"/>
              </w:rPr>
              <w:t>»:</w:t>
              <w:tab/>
            </w:r>
            <w:r>
              <w:rPr>
                <w:rStyle w:val="IndexLink"/>
              </w:rPr>
              <w:t>476</w:t>
            </w:r>
          </w:hyperlink>
        </w:p>
        <w:p>
          <w:pPr>
            <w:pStyle w:val="Contents6"/>
            <w:tabs>
              <w:tab w:val="clear" w:pos="7609"/>
              <w:tab w:val="right" w:pos="9026" w:leader="dot"/>
            </w:tabs>
            <w:rPr/>
          </w:pPr>
          <w:hyperlink w:anchor="__RefHeading___Toc5768003_3224264995">
            <w:r>
              <w:rPr>
                <w:webHidden/>
                <w:rStyle w:val="IndexLink"/>
                <w:rtl w:val="true"/>
              </w:rPr>
              <w:t>التحقیق فی المسألة</w:t>
            </w:r>
            <w:r>
              <w:rPr>
                <w:rStyle w:val="IndexLink"/>
                <w:rtl w:val="true"/>
              </w:rPr>
              <w:t>:</w:t>
              <w:tab/>
            </w:r>
            <w:r>
              <w:rPr>
                <w:rStyle w:val="IndexLink"/>
              </w:rPr>
              <w:t>476</w:t>
            </w:r>
          </w:hyperlink>
        </w:p>
        <w:p>
          <w:pPr>
            <w:pStyle w:val="Contents6"/>
            <w:tabs>
              <w:tab w:val="clear" w:pos="7609"/>
              <w:tab w:val="right" w:pos="9026" w:leader="dot"/>
            </w:tabs>
            <w:rPr/>
          </w:pPr>
          <w:hyperlink w:anchor="__RefHeading___Toc5768005_3224264995">
            <w:r>
              <w:rPr>
                <w:webHidden/>
                <w:rStyle w:val="IndexLink"/>
                <w:rtl w:val="true"/>
              </w:rPr>
              <w:t>الأصل وجوب العمل بالمرجّح،بل ما یحتمل کونه مرجّحا</w:t>
            </w:r>
            <w:r>
              <w:rPr>
                <w:rStyle w:val="IndexLink"/>
                <w:rtl w:val="true"/>
              </w:rPr>
              <w:tab/>
            </w:r>
            <w:r>
              <w:rPr>
                <w:rStyle w:val="IndexLink"/>
              </w:rPr>
              <w:t>479</w:t>
            </w:r>
          </w:hyperlink>
        </w:p>
        <w:p>
          <w:pPr>
            <w:pStyle w:val="Contents6"/>
            <w:tabs>
              <w:tab w:val="clear" w:pos="7609"/>
              <w:tab w:val="right" w:pos="9026" w:leader="dot"/>
            </w:tabs>
            <w:rPr/>
          </w:pPr>
          <w:hyperlink w:anchor="__RefHeading___Toc5768007_3224264995">
            <w:r>
              <w:rPr>
                <w:webHidden/>
                <w:rStyle w:val="IndexLink"/>
                <w:rtl w:val="true"/>
              </w:rPr>
              <w:t>استدلال آخر علی وجوب الترجیح و المناقشة فیه</w:t>
            </w:r>
            <w:r>
              <w:rPr>
                <w:rStyle w:val="IndexLink"/>
                <w:rtl w:val="true"/>
              </w:rPr>
              <w:t>:</w:t>
              <w:tab/>
            </w:r>
            <w:r>
              <w:rPr>
                <w:rStyle w:val="IndexLink"/>
              </w:rPr>
              <w:t>479</w:t>
            </w:r>
          </w:hyperlink>
        </w:p>
        <w:p>
          <w:pPr>
            <w:pStyle w:val="Contents6"/>
            <w:tabs>
              <w:tab w:val="clear" w:pos="7609"/>
              <w:tab w:val="right" w:pos="9026" w:leader="dot"/>
            </w:tabs>
            <w:rPr/>
          </w:pPr>
          <w:hyperlink w:anchor="__RefHeading___Toc5768009_3224264995">
            <w:r>
              <w:rPr>
                <w:webHidden/>
                <w:rStyle w:val="IndexLink"/>
                <w:rtl w:val="true"/>
              </w:rPr>
              <w:t>ضعف القول بعدم وجوب الترجیح و ضعف دلیله</w:t>
            </w:r>
            <w:r>
              <w:rPr>
                <w:rStyle w:val="IndexLink"/>
                <w:rtl w:val="true"/>
              </w:rPr>
              <w:t>:</w:t>
              <w:tab/>
            </w:r>
            <w:r>
              <w:rPr>
                <w:rStyle w:val="IndexLink"/>
              </w:rPr>
              <w:t>480</w:t>
            </w:r>
          </w:hyperlink>
        </w:p>
        <w:p>
          <w:pPr>
            <w:pStyle w:val="Contents6"/>
            <w:tabs>
              <w:tab w:val="clear" w:pos="7609"/>
              <w:tab w:val="right" w:pos="9026" w:leader="dot"/>
            </w:tabs>
            <w:rPr/>
          </w:pPr>
          <w:hyperlink w:anchor="__RefHeading___Toc5768011_3224264995">
            <w:r>
              <w:rPr>
                <w:webHidden/>
                <w:rStyle w:val="IndexLink"/>
                <w:rtl w:val="true"/>
              </w:rPr>
              <w:t>اضعفیه دلیله الاخر</w:t>
            </w:r>
            <w:r>
              <w:rPr>
                <w:rStyle w:val="IndexLink"/>
                <w:rtl w:val="true"/>
              </w:rPr>
              <w:tab/>
            </w:r>
            <w:r>
              <w:rPr>
                <w:rStyle w:val="IndexLink"/>
              </w:rPr>
              <w:t>480</w:t>
            </w:r>
          </w:hyperlink>
        </w:p>
        <w:p>
          <w:pPr>
            <w:pStyle w:val="Contents6"/>
            <w:tabs>
              <w:tab w:val="clear" w:pos="7609"/>
              <w:tab w:val="right" w:pos="9026" w:leader="dot"/>
            </w:tabs>
            <w:rPr/>
          </w:pPr>
          <w:hyperlink w:anchor="__RefHeading___Toc5768013_3224264995">
            <w:r>
              <w:rPr>
                <w:webHidden/>
                <w:rStyle w:val="IndexLink"/>
                <w:rtl w:val="true"/>
              </w:rPr>
              <w:t>جواب العلامه عن هذا الدلیل</w:t>
            </w:r>
            <w:r>
              <w:rPr>
                <w:rStyle w:val="IndexLink"/>
                <w:rtl w:val="true"/>
              </w:rPr>
              <w:tab/>
            </w:r>
            <w:r>
              <w:rPr>
                <w:rStyle w:val="IndexLink"/>
              </w:rPr>
              <w:t>480</w:t>
            </w:r>
          </w:hyperlink>
        </w:p>
        <w:p>
          <w:pPr>
            <w:pStyle w:val="Contents6"/>
            <w:tabs>
              <w:tab w:val="clear" w:pos="7609"/>
              <w:tab w:val="right" w:pos="9026" w:leader="dot"/>
            </w:tabs>
            <w:rPr/>
          </w:pPr>
          <w:hyperlink w:anchor="__RefHeading___Toc5768015_3224264995">
            <w:r>
              <w:rPr>
                <w:webHidden/>
                <w:rStyle w:val="IndexLink"/>
                <w:rtl w:val="true"/>
              </w:rPr>
              <w:t>المناقشه فی جواب العلامه</w:t>
            </w:r>
            <w:r>
              <w:rPr>
                <w:rStyle w:val="IndexLink"/>
                <w:rtl w:val="true"/>
              </w:rPr>
              <w:tab/>
            </w:r>
            <w:r>
              <w:rPr>
                <w:rStyle w:val="IndexLink"/>
              </w:rPr>
              <w:t>480</w:t>
            </w:r>
          </w:hyperlink>
        </w:p>
        <w:p>
          <w:pPr>
            <w:pStyle w:val="Contents6"/>
            <w:tabs>
              <w:tab w:val="clear" w:pos="7609"/>
              <w:tab w:val="right" w:pos="9026" w:leader="dot"/>
            </w:tabs>
            <w:rPr/>
          </w:pPr>
          <w:hyperlink w:anchor="__RefHeading___Toc5768017_3224264995">
            <w:r>
              <w:rPr>
                <w:webHidden/>
                <w:rStyle w:val="IndexLink"/>
                <w:rtl w:val="true"/>
              </w:rPr>
              <w:t>حمل أخبار الترجیح علی الاستحباب فی کلام السیّد الصدر</w:t>
            </w:r>
            <w:r>
              <w:rPr>
                <w:rStyle w:val="IndexLink"/>
                <w:rtl w:val="true"/>
              </w:rPr>
              <w:t>:</w:t>
              <w:tab/>
            </w:r>
            <w:r>
              <w:rPr>
                <w:rStyle w:val="IndexLink"/>
              </w:rPr>
              <w:t>481</w:t>
            </w:r>
          </w:hyperlink>
        </w:p>
        <w:p>
          <w:pPr>
            <w:pStyle w:val="Contents6"/>
            <w:tabs>
              <w:tab w:val="clear" w:pos="7609"/>
              <w:tab w:val="right" w:pos="9026" w:leader="dot"/>
            </w:tabs>
            <w:rPr/>
          </w:pPr>
          <w:hyperlink w:anchor="__RefHeading___Toc5768019_3224264995">
            <w:r>
              <w:rPr>
                <w:webHidden/>
                <w:rStyle w:val="IndexLink"/>
                <w:rtl w:val="true"/>
              </w:rPr>
              <w:t>المناقشة فی ما أفاده السیّد الصدر</w:t>
            </w:r>
            <w:r>
              <w:rPr>
                <w:rStyle w:val="IndexLink"/>
                <w:rtl w:val="true"/>
              </w:rPr>
              <w:t>:</w:t>
              <w:tab/>
            </w:r>
            <w:r>
              <w:rPr>
                <w:rStyle w:val="IndexLink"/>
              </w:rPr>
              <w:t>481</w:t>
            </w:r>
          </w:hyperlink>
        </w:p>
        <w:p>
          <w:pPr>
            <w:pStyle w:val="Contents6"/>
            <w:tabs>
              <w:tab w:val="clear" w:pos="7609"/>
              <w:tab w:val="right" w:pos="9026" w:leader="dot"/>
            </w:tabs>
            <w:rPr/>
          </w:pPr>
          <w:hyperlink w:anchor="__RefHeading___Toc5768021_3224264995">
            <w:r>
              <w:rPr>
                <w:webHidden/>
                <w:rStyle w:val="IndexLink"/>
                <w:rtl w:val="true"/>
              </w:rPr>
              <w:t xml:space="preserve">المقام الثانی </w:t>
            </w:r>
            <w:r>
              <w:rPr>
                <w:rStyle w:val="IndexLink"/>
                <w:rtl w:val="true"/>
              </w:rPr>
              <w:t>:</w:t>
            </w:r>
            <w:r>
              <w:rPr>
                <w:rStyle w:val="IndexLink"/>
                <w:rtl w:val="true"/>
              </w:rPr>
              <w:t>فی ذکر الأخبار العلاجیّة</w:t>
            </w:r>
            <w:r>
              <w:rPr>
                <w:rStyle w:val="IndexLink"/>
                <w:rtl w:val="true"/>
              </w:rPr>
              <w:t>:</w:t>
              <w:tab/>
            </w:r>
            <w:r>
              <w:rPr>
                <w:rStyle w:val="IndexLink"/>
              </w:rPr>
              <w:t>483</w:t>
            </w:r>
          </w:hyperlink>
        </w:p>
        <w:p>
          <w:pPr>
            <w:pStyle w:val="Contents6"/>
            <w:tabs>
              <w:tab w:val="clear" w:pos="7609"/>
              <w:tab w:val="right" w:pos="9026" w:leader="dot"/>
            </w:tabs>
            <w:rPr/>
          </w:pPr>
          <w:hyperlink w:anchor="__RefHeading___Toc5768023_3224264995">
            <w:r>
              <w:rPr>
                <w:webHidden/>
                <w:rStyle w:val="IndexLink"/>
              </w:rPr>
              <w:t>1</w:t>
            </w:r>
            <w:r>
              <w:rPr>
                <w:rStyle w:val="IndexLink"/>
                <w:rtl w:val="true"/>
              </w:rPr>
              <w:t>-</w:t>
            </w:r>
            <w:r>
              <w:rPr>
                <w:rStyle w:val="IndexLink"/>
                <w:rtl w:val="true"/>
              </w:rPr>
              <w:t>مقبولة عمر بن حنظلة</w:t>
            </w:r>
            <w:r>
              <w:rPr>
                <w:rStyle w:val="IndexLink"/>
                <w:rtl w:val="true"/>
              </w:rPr>
              <w:tab/>
            </w:r>
            <w:r>
              <w:rPr>
                <w:rStyle w:val="IndexLink"/>
              </w:rPr>
              <w:t>483</w:t>
            </w:r>
          </w:hyperlink>
        </w:p>
        <w:p>
          <w:pPr>
            <w:pStyle w:val="Contents6"/>
            <w:tabs>
              <w:tab w:val="clear" w:pos="7609"/>
              <w:tab w:val="right" w:pos="9026" w:leader="dot"/>
            </w:tabs>
            <w:rPr/>
          </w:pPr>
          <w:hyperlink w:anchor="__RefHeading___Toc5768025_3224264995">
            <w:r>
              <w:rPr>
                <w:webHidden/>
                <w:rStyle w:val="IndexLink"/>
                <w:rtl w:val="true"/>
              </w:rPr>
              <w:t>ظهور المقبولة فی وجوب الترجیح بالمرجّحات</w:t>
            </w:r>
            <w:r>
              <w:rPr>
                <w:rStyle w:val="IndexLink"/>
                <w:rtl w:val="true"/>
              </w:rPr>
              <w:t>:</w:t>
              <w:tab/>
            </w:r>
            <w:r>
              <w:rPr>
                <w:rStyle w:val="IndexLink"/>
              </w:rPr>
              <w:t>485</w:t>
            </w:r>
          </w:hyperlink>
        </w:p>
        <w:p>
          <w:pPr>
            <w:pStyle w:val="Contents6"/>
            <w:tabs>
              <w:tab w:val="clear" w:pos="7609"/>
              <w:tab w:val="right" w:pos="9026" w:leader="dot"/>
            </w:tabs>
            <w:rPr/>
          </w:pPr>
          <w:hyperlink w:anchor="__RefHeading___Toc5768027_3224264995">
            <w:r>
              <w:rPr>
                <w:webHidden/>
                <w:rStyle w:val="IndexLink"/>
                <w:rtl w:val="true"/>
              </w:rPr>
              <w:t>بعض الإشکالات فی ترتّب المرجّحات فی المقبولة</w:t>
            </w:r>
            <w:r>
              <w:rPr>
                <w:rStyle w:val="IndexLink"/>
                <w:rtl w:val="true"/>
              </w:rPr>
              <w:t>:</w:t>
              <w:tab/>
            </w:r>
            <w:r>
              <w:rPr>
                <w:rStyle w:val="IndexLink"/>
              </w:rPr>
              <w:t>486</w:t>
            </w:r>
          </w:hyperlink>
        </w:p>
        <w:p>
          <w:pPr>
            <w:pStyle w:val="Contents6"/>
            <w:tabs>
              <w:tab w:val="clear" w:pos="7609"/>
              <w:tab w:val="right" w:pos="9026" w:leader="dot"/>
            </w:tabs>
            <w:rPr/>
          </w:pPr>
          <w:hyperlink w:anchor="__RefHeading___Toc5768029_3224264995">
            <w:r>
              <w:rPr>
                <w:webHidden/>
                <w:rStyle w:val="IndexLink"/>
                <w:rtl w:val="true"/>
              </w:rPr>
              <w:t>عدم قدح هذه الإشکالات فی ظهور المقبولة</w:t>
            </w:r>
            <w:r>
              <w:rPr>
                <w:rStyle w:val="IndexLink"/>
                <w:rtl w:val="true"/>
              </w:rPr>
              <w:t>:</w:t>
              <w:tab/>
            </w:r>
            <w:r>
              <w:rPr>
                <w:rStyle w:val="IndexLink"/>
              </w:rPr>
              <w:t>487</w:t>
            </w:r>
          </w:hyperlink>
        </w:p>
        <w:p>
          <w:pPr>
            <w:pStyle w:val="Contents6"/>
            <w:tabs>
              <w:tab w:val="clear" w:pos="7609"/>
              <w:tab w:val="right" w:pos="9026" w:leader="dot"/>
            </w:tabs>
            <w:rPr/>
          </w:pPr>
          <w:hyperlink w:anchor="__RefHeading___Toc5768031_3224264995">
            <w:r>
              <w:rPr>
                <w:webHidden/>
                <w:rStyle w:val="IndexLink"/>
              </w:rPr>
              <w:t>2</w:t>
            </w:r>
            <w:r>
              <w:rPr>
                <w:rStyle w:val="IndexLink"/>
                <w:rtl w:val="true"/>
              </w:rPr>
              <w:t>-</w:t>
            </w:r>
            <w:r>
              <w:rPr>
                <w:rStyle w:val="IndexLink"/>
                <w:rtl w:val="true"/>
              </w:rPr>
              <w:t>مرفوعة زرارة</w:t>
            </w:r>
            <w:r>
              <w:rPr>
                <w:rStyle w:val="IndexLink"/>
                <w:rtl w:val="true"/>
              </w:rPr>
              <w:t>:</w:t>
              <w:tab/>
            </w:r>
            <w:r>
              <w:rPr>
                <w:rStyle w:val="IndexLink"/>
              </w:rPr>
              <w:t>488</w:t>
            </w:r>
          </w:hyperlink>
        </w:p>
        <w:p>
          <w:pPr>
            <w:pStyle w:val="Contents6"/>
            <w:tabs>
              <w:tab w:val="clear" w:pos="7609"/>
              <w:tab w:val="right" w:pos="9026" w:leader="dot"/>
            </w:tabs>
            <w:rPr/>
          </w:pPr>
          <w:hyperlink w:anchor="__RefHeading___Toc5768033_3224264995">
            <w:r>
              <w:rPr>
                <w:webHidden/>
                <w:rStyle w:val="IndexLink"/>
              </w:rPr>
              <w:t>3</w:t>
            </w:r>
            <w:r>
              <w:rPr>
                <w:rStyle w:val="IndexLink"/>
                <w:rtl w:val="true"/>
              </w:rPr>
              <w:t>-</w:t>
            </w:r>
            <w:r>
              <w:rPr>
                <w:rStyle w:val="IndexLink"/>
                <w:rtl w:val="true"/>
              </w:rPr>
              <w:t>روایة الصدوق</w:t>
            </w:r>
            <w:r>
              <w:rPr>
                <w:rStyle w:val="IndexLink"/>
                <w:rtl w:val="true"/>
              </w:rPr>
              <w:t>:</w:t>
              <w:tab/>
            </w:r>
            <w:r>
              <w:rPr>
                <w:rStyle w:val="IndexLink"/>
              </w:rPr>
              <w:t>489</w:t>
            </w:r>
          </w:hyperlink>
        </w:p>
        <w:p>
          <w:pPr>
            <w:pStyle w:val="Contents6"/>
            <w:tabs>
              <w:tab w:val="clear" w:pos="7609"/>
              <w:tab w:val="right" w:pos="9026" w:leader="dot"/>
            </w:tabs>
            <w:rPr/>
          </w:pPr>
          <w:hyperlink w:anchor="__RefHeading___Toc5768035_3224264995">
            <w:r>
              <w:rPr>
                <w:webHidden/>
                <w:rStyle w:val="IndexLink"/>
              </w:rPr>
              <w:t>4</w:t>
            </w:r>
            <w:r>
              <w:rPr>
                <w:rStyle w:val="IndexLink"/>
                <w:rtl w:val="true"/>
              </w:rPr>
              <w:t>-</w:t>
            </w:r>
            <w:r>
              <w:rPr>
                <w:rStyle w:val="IndexLink"/>
                <w:rtl w:val="true"/>
              </w:rPr>
              <w:t>روایة القطب الراوندی</w:t>
            </w:r>
            <w:r>
              <w:rPr>
                <w:rStyle w:val="IndexLink"/>
                <w:rtl w:val="true"/>
              </w:rPr>
              <w:t>:</w:t>
              <w:tab/>
            </w:r>
            <w:r>
              <w:rPr>
                <w:rStyle w:val="IndexLink"/>
              </w:rPr>
              <w:t>489</w:t>
            </w:r>
          </w:hyperlink>
        </w:p>
        <w:p>
          <w:pPr>
            <w:pStyle w:val="Contents6"/>
            <w:tabs>
              <w:tab w:val="clear" w:pos="7609"/>
              <w:tab w:val="right" w:pos="9026" w:leader="dot"/>
            </w:tabs>
            <w:rPr/>
          </w:pPr>
          <w:hyperlink w:anchor="__RefHeading___Toc5768037_3224264995">
            <w:r>
              <w:rPr>
                <w:webHidden/>
                <w:rStyle w:val="IndexLink"/>
              </w:rPr>
              <w:t>5</w:t>
            </w:r>
            <w:r>
              <w:rPr>
                <w:rStyle w:val="IndexLink"/>
                <w:rtl w:val="true"/>
              </w:rPr>
              <w:t>-</w:t>
            </w:r>
            <w:r>
              <w:rPr>
                <w:rStyle w:val="IndexLink"/>
                <w:rtl w:val="true"/>
              </w:rPr>
              <w:t>روایة الحسین بن السرّی</w:t>
            </w:r>
            <w:r>
              <w:rPr>
                <w:rStyle w:val="IndexLink"/>
                <w:rtl w:val="true"/>
              </w:rPr>
              <w:t>:</w:t>
              <w:tab/>
            </w:r>
            <w:r>
              <w:rPr>
                <w:rStyle w:val="IndexLink"/>
              </w:rPr>
              <w:t>490</w:t>
            </w:r>
          </w:hyperlink>
        </w:p>
        <w:p>
          <w:pPr>
            <w:pStyle w:val="Contents6"/>
            <w:tabs>
              <w:tab w:val="clear" w:pos="7609"/>
              <w:tab w:val="right" w:pos="9026" w:leader="dot"/>
            </w:tabs>
            <w:rPr/>
          </w:pPr>
          <w:hyperlink w:anchor="__RefHeading___Toc5768039_3224264995">
            <w:r>
              <w:rPr>
                <w:webHidden/>
                <w:rStyle w:val="IndexLink"/>
              </w:rPr>
              <w:t>6</w:t>
            </w:r>
            <w:r>
              <w:rPr>
                <w:rStyle w:val="IndexLink"/>
                <w:rtl w:val="true"/>
              </w:rPr>
              <w:t>-</w:t>
            </w:r>
            <w:r>
              <w:rPr>
                <w:rStyle w:val="IndexLink"/>
                <w:rtl w:val="true"/>
              </w:rPr>
              <w:t>روایة الحسن بن الجهم</w:t>
            </w:r>
            <w:r>
              <w:rPr>
                <w:rStyle w:val="IndexLink"/>
                <w:rtl w:val="true"/>
              </w:rPr>
              <w:t>:</w:t>
              <w:tab/>
            </w:r>
            <w:r>
              <w:rPr>
                <w:rStyle w:val="IndexLink"/>
              </w:rPr>
              <w:t>490</w:t>
            </w:r>
          </w:hyperlink>
        </w:p>
        <w:p>
          <w:pPr>
            <w:pStyle w:val="Contents6"/>
            <w:tabs>
              <w:tab w:val="clear" w:pos="7609"/>
              <w:tab w:val="right" w:pos="9026" w:leader="dot"/>
            </w:tabs>
            <w:rPr/>
          </w:pPr>
          <w:hyperlink w:anchor="__RefHeading___Toc5768041_3224264995">
            <w:r>
              <w:rPr>
                <w:webHidden/>
                <w:rStyle w:val="IndexLink"/>
              </w:rPr>
              <w:t>7</w:t>
            </w:r>
            <w:r>
              <w:rPr>
                <w:rStyle w:val="IndexLink"/>
                <w:rtl w:val="true"/>
              </w:rPr>
              <w:t>-</w:t>
            </w:r>
            <w:r>
              <w:rPr>
                <w:rStyle w:val="IndexLink"/>
                <w:rtl w:val="true"/>
              </w:rPr>
              <w:t>روایة محمد بن عبد اللّه</w:t>
            </w:r>
            <w:r>
              <w:rPr>
                <w:rStyle w:val="IndexLink"/>
                <w:rtl w:val="true"/>
              </w:rPr>
              <w:t>:</w:t>
              <w:tab/>
            </w:r>
            <w:r>
              <w:rPr>
                <w:rStyle w:val="IndexLink"/>
              </w:rPr>
              <w:t>490</w:t>
            </w:r>
          </w:hyperlink>
        </w:p>
        <w:p>
          <w:pPr>
            <w:pStyle w:val="Contents6"/>
            <w:tabs>
              <w:tab w:val="clear" w:pos="7609"/>
              <w:tab w:val="right" w:pos="9026" w:leader="dot"/>
            </w:tabs>
            <w:rPr/>
          </w:pPr>
          <w:hyperlink w:anchor="__RefHeading___Toc5768043_3224264995">
            <w:r>
              <w:rPr>
                <w:webHidden/>
                <w:rStyle w:val="IndexLink"/>
              </w:rPr>
              <w:t>8</w:t>
            </w:r>
            <w:r>
              <w:rPr>
                <w:rStyle w:val="IndexLink"/>
                <w:rtl w:val="true"/>
              </w:rPr>
              <w:t>-</w:t>
            </w:r>
            <w:r>
              <w:rPr>
                <w:rStyle w:val="IndexLink"/>
                <w:rtl w:val="true"/>
              </w:rPr>
              <w:t>روایة سماعة بن مهران</w:t>
            </w:r>
            <w:r>
              <w:rPr>
                <w:rStyle w:val="IndexLink"/>
                <w:rtl w:val="true"/>
              </w:rPr>
              <w:t>:</w:t>
              <w:tab/>
            </w:r>
            <w:r>
              <w:rPr>
                <w:rStyle w:val="IndexLink"/>
              </w:rPr>
              <w:t>491</w:t>
            </w:r>
          </w:hyperlink>
        </w:p>
        <w:p>
          <w:pPr>
            <w:pStyle w:val="Contents6"/>
            <w:tabs>
              <w:tab w:val="clear" w:pos="7609"/>
              <w:tab w:val="right" w:pos="9026" w:leader="dot"/>
            </w:tabs>
            <w:rPr/>
          </w:pPr>
          <w:hyperlink w:anchor="__RefHeading___Toc5768045_3224264995">
            <w:r>
              <w:rPr>
                <w:webHidden/>
                <w:rStyle w:val="IndexLink"/>
              </w:rPr>
              <w:t>9</w:t>
            </w:r>
            <w:r>
              <w:rPr>
                <w:rStyle w:val="IndexLink"/>
                <w:rtl w:val="true"/>
              </w:rPr>
              <w:t>-</w:t>
            </w:r>
            <w:r>
              <w:rPr>
                <w:rStyle w:val="IndexLink"/>
                <w:rtl w:val="true"/>
              </w:rPr>
              <w:t>روایة المعلّی بن خنیس</w:t>
            </w:r>
            <w:r>
              <w:rPr>
                <w:rStyle w:val="IndexLink"/>
                <w:rtl w:val="true"/>
              </w:rPr>
              <w:t>:</w:t>
              <w:tab/>
            </w:r>
            <w:r>
              <w:rPr>
                <w:rStyle w:val="IndexLink"/>
              </w:rPr>
              <w:t>491</w:t>
            </w:r>
          </w:hyperlink>
        </w:p>
        <w:p>
          <w:pPr>
            <w:pStyle w:val="Contents6"/>
            <w:tabs>
              <w:tab w:val="clear" w:pos="7609"/>
              <w:tab w:val="right" w:pos="9026" w:leader="dot"/>
            </w:tabs>
            <w:rPr/>
          </w:pPr>
          <w:hyperlink w:anchor="__RefHeading___Toc5768047_3224264995">
            <w:r>
              <w:rPr>
                <w:webHidden/>
                <w:rStyle w:val="IndexLink"/>
              </w:rPr>
              <w:t>10</w:t>
            </w:r>
            <w:r>
              <w:rPr>
                <w:rStyle w:val="IndexLink"/>
                <w:rtl w:val="true"/>
              </w:rPr>
              <w:t>-</w:t>
            </w:r>
            <w:r>
              <w:rPr>
                <w:rStyle w:val="IndexLink"/>
                <w:rtl w:val="true"/>
              </w:rPr>
              <w:t>روایة الحسین بن المختار</w:t>
            </w:r>
            <w:r>
              <w:rPr>
                <w:rStyle w:val="IndexLink"/>
                <w:rtl w:val="true"/>
              </w:rPr>
              <w:t>:</w:t>
              <w:tab/>
            </w:r>
            <w:r>
              <w:rPr>
                <w:rStyle w:val="IndexLink"/>
              </w:rPr>
              <w:t>492</w:t>
            </w:r>
          </w:hyperlink>
        </w:p>
        <w:p>
          <w:pPr>
            <w:pStyle w:val="Contents6"/>
            <w:tabs>
              <w:tab w:val="clear" w:pos="7609"/>
              <w:tab w:val="right" w:pos="9026" w:leader="dot"/>
            </w:tabs>
            <w:rPr/>
          </w:pPr>
          <w:hyperlink w:anchor="__RefHeading___Toc5768049_3224264995">
            <w:r>
              <w:rPr>
                <w:webHidden/>
                <w:rStyle w:val="IndexLink"/>
              </w:rPr>
              <w:t>11</w:t>
            </w:r>
            <w:r>
              <w:rPr>
                <w:rStyle w:val="IndexLink"/>
                <w:rtl w:val="true"/>
              </w:rPr>
              <w:t>-</w:t>
            </w:r>
            <w:r>
              <w:rPr>
                <w:rStyle w:val="IndexLink"/>
                <w:rtl w:val="true"/>
              </w:rPr>
              <w:t>روایة أبی عمرو الکنانی</w:t>
            </w:r>
            <w:r>
              <w:rPr>
                <w:rStyle w:val="IndexLink"/>
                <w:rtl w:val="true"/>
              </w:rPr>
              <w:t>:</w:t>
              <w:tab/>
            </w:r>
            <w:r>
              <w:rPr>
                <w:rStyle w:val="IndexLink"/>
              </w:rPr>
              <w:t>492</w:t>
            </w:r>
          </w:hyperlink>
        </w:p>
        <w:p>
          <w:pPr>
            <w:pStyle w:val="Contents6"/>
            <w:tabs>
              <w:tab w:val="clear" w:pos="7609"/>
              <w:tab w:val="right" w:pos="9026" w:leader="dot"/>
            </w:tabs>
            <w:rPr/>
          </w:pPr>
          <w:hyperlink w:anchor="__RefHeading___Toc5768051_3224264995">
            <w:r>
              <w:rPr>
                <w:webHidden/>
                <w:rStyle w:val="IndexLink"/>
              </w:rPr>
              <w:t>12</w:t>
            </w:r>
            <w:r>
              <w:rPr>
                <w:rStyle w:val="IndexLink"/>
                <w:rtl w:val="true"/>
              </w:rPr>
              <w:t>-</w:t>
            </w:r>
            <w:r>
              <w:rPr>
                <w:rStyle w:val="IndexLink"/>
                <w:rtl w:val="true"/>
              </w:rPr>
              <w:t>روایة محمد بن مسلم</w:t>
            </w:r>
            <w:r>
              <w:rPr>
                <w:rStyle w:val="IndexLink"/>
                <w:rtl w:val="true"/>
              </w:rPr>
              <w:t>:</w:t>
              <w:tab/>
            </w:r>
            <w:r>
              <w:rPr>
                <w:rStyle w:val="IndexLink"/>
              </w:rPr>
              <w:t>493</w:t>
            </w:r>
          </w:hyperlink>
        </w:p>
        <w:p>
          <w:pPr>
            <w:pStyle w:val="Contents6"/>
            <w:tabs>
              <w:tab w:val="clear" w:pos="7609"/>
              <w:tab w:val="right" w:pos="9026" w:leader="dot"/>
            </w:tabs>
            <w:rPr/>
          </w:pPr>
          <w:hyperlink w:anchor="__RefHeading___Toc5768053_3224264995">
            <w:r>
              <w:rPr>
                <w:webHidden/>
                <w:rStyle w:val="IndexLink"/>
              </w:rPr>
              <w:t>13</w:t>
            </w:r>
            <w:r>
              <w:rPr>
                <w:rStyle w:val="IndexLink"/>
                <w:rtl w:val="true"/>
              </w:rPr>
              <w:t>-</w:t>
            </w:r>
            <w:r>
              <w:rPr>
                <w:rStyle w:val="IndexLink"/>
                <w:rtl w:val="true"/>
              </w:rPr>
              <w:t>روایة أبی حیّون</w:t>
            </w:r>
            <w:r>
              <w:rPr>
                <w:rStyle w:val="IndexLink"/>
                <w:rtl w:val="true"/>
              </w:rPr>
              <w:t>:</w:t>
              <w:tab/>
            </w:r>
            <w:r>
              <w:rPr>
                <w:rStyle w:val="IndexLink"/>
              </w:rPr>
              <w:t>493</w:t>
            </w:r>
          </w:hyperlink>
        </w:p>
        <w:p>
          <w:pPr>
            <w:pStyle w:val="Contents6"/>
            <w:tabs>
              <w:tab w:val="clear" w:pos="7609"/>
              <w:tab w:val="right" w:pos="9026" w:leader="dot"/>
            </w:tabs>
            <w:rPr/>
          </w:pPr>
          <w:hyperlink w:anchor="__RefHeading___Toc5768055_3224264995">
            <w:r>
              <w:rPr>
                <w:webHidden/>
                <w:rStyle w:val="IndexLink"/>
              </w:rPr>
              <w:t>14</w:t>
            </w:r>
            <w:r>
              <w:rPr>
                <w:rStyle w:val="IndexLink"/>
                <w:rtl w:val="true"/>
              </w:rPr>
              <w:t>-</w:t>
            </w:r>
            <w:r>
              <w:rPr>
                <w:rStyle w:val="IndexLink"/>
                <w:rtl w:val="true"/>
              </w:rPr>
              <w:t>روایة داود بن فرقد</w:t>
            </w:r>
            <w:r>
              <w:rPr>
                <w:rStyle w:val="IndexLink"/>
                <w:rtl w:val="true"/>
              </w:rPr>
              <w:t>:</w:t>
              <w:tab/>
            </w:r>
            <w:r>
              <w:rPr>
                <w:rStyle w:val="IndexLink"/>
              </w:rPr>
              <w:t>493</w:t>
            </w:r>
          </w:hyperlink>
        </w:p>
        <w:p>
          <w:pPr>
            <w:pStyle w:val="Contents6"/>
            <w:tabs>
              <w:tab w:val="clear" w:pos="7609"/>
              <w:tab w:val="right" w:pos="9026" w:leader="dot"/>
            </w:tabs>
            <w:rPr/>
          </w:pPr>
          <w:hyperlink w:anchor="__RefHeading___Toc5768057_3224264995">
            <w:r>
              <w:rPr>
                <w:webHidden/>
                <w:rStyle w:val="IndexLink"/>
                <w:rtl w:val="true"/>
              </w:rPr>
              <w:t>علاج التعارض المتوهّم بین الأخبار العلاجیّة</w:t>
            </w:r>
            <w:r>
              <w:rPr>
                <w:rStyle w:val="IndexLink"/>
                <w:rtl w:val="true"/>
              </w:rPr>
              <w:tab/>
            </w:r>
            <w:r>
              <w:rPr>
                <w:rStyle w:val="IndexLink"/>
              </w:rPr>
              <w:t>494</w:t>
            </w:r>
          </w:hyperlink>
        </w:p>
        <w:p>
          <w:pPr>
            <w:pStyle w:val="Contents6"/>
            <w:tabs>
              <w:tab w:val="clear" w:pos="7609"/>
              <w:tab w:val="right" w:pos="9026" w:leader="dot"/>
            </w:tabs>
            <w:rPr/>
          </w:pPr>
          <w:hyperlink w:anchor="__RefHeading___Toc5768059_3224264995">
            <w:r>
              <w:rPr>
                <w:webHidden/>
                <w:rStyle w:val="IndexLink"/>
                <w:rtl w:val="true"/>
              </w:rPr>
              <w:t>الموضع الاول</w:t>
            </w:r>
            <w:r>
              <w:rPr>
                <w:rStyle w:val="IndexLink"/>
                <w:rtl w:val="true"/>
              </w:rPr>
              <w:t xml:space="preserve">: </w:t>
            </w:r>
            <w:r>
              <w:rPr>
                <w:rStyle w:val="IndexLink"/>
                <w:rtl w:val="true"/>
              </w:rPr>
              <w:t>علاج تعارض مقبولة ابن حنظلة و مرفوعة زرازة</w:t>
            </w:r>
            <w:r>
              <w:rPr>
                <w:rStyle w:val="IndexLink"/>
                <w:rtl w:val="true"/>
              </w:rPr>
              <w:tab/>
            </w:r>
            <w:r>
              <w:rPr>
                <w:rStyle w:val="IndexLink"/>
              </w:rPr>
              <w:t>494</w:t>
            </w:r>
          </w:hyperlink>
        </w:p>
        <w:p>
          <w:pPr>
            <w:pStyle w:val="Contents6"/>
            <w:tabs>
              <w:tab w:val="clear" w:pos="7609"/>
              <w:tab w:val="right" w:pos="9026" w:leader="dot"/>
            </w:tabs>
            <w:rPr/>
          </w:pPr>
          <w:hyperlink w:anchor="__RefHeading___Toc5768061_3224264995">
            <w:r>
              <w:rPr>
                <w:webHidden/>
                <w:rStyle w:val="IndexLink"/>
                <w:rtl w:val="true"/>
              </w:rPr>
              <w:t>الموضع الثانی</w:t>
            </w:r>
            <w:r>
              <w:rPr>
                <w:rStyle w:val="IndexLink"/>
                <w:rtl w:val="true"/>
              </w:rPr>
              <w:tab/>
            </w:r>
            <w:r>
              <w:rPr>
                <w:rStyle w:val="IndexLink"/>
              </w:rPr>
              <w:t>496</w:t>
            </w:r>
          </w:hyperlink>
        </w:p>
        <w:p>
          <w:pPr>
            <w:pStyle w:val="Contents6"/>
            <w:tabs>
              <w:tab w:val="clear" w:pos="7609"/>
              <w:tab w:val="right" w:pos="9026" w:leader="dot"/>
            </w:tabs>
            <w:rPr/>
          </w:pPr>
          <w:hyperlink w:anchor="__RefHeading___Toc5768063_3224264995">
            <w:r>
              <w:rPr>
                <w:webHidden/>
                <w:rStyle w:val="IndexLink"/>
                <w:rtl w:val="true"/>
              </w:rPr>
              <w:t>الموضع الثالث</w:t>
            </w:r>
            <w:r>
              <w:rPr>
                <w:rStyle w:val="IndexLink"/>
                <w:rtl w:val="true"/>
              </w:rPr>
              <w:tab/>
            </w:r>
            <w:r>
              <w:rPr>
                <w:rStyle w:val="IndexLink"/>
              </w:rPr>
              <w:t>497</w:t>
            </w:r>
          </w:hyperlink>
        </w:p>
        <w:p>
          <w:pPr>
            <w:pStyle w:val="Contents6"/>
            <w:tabs>
              <w:tab w:val="clear" w:pos="7609"/>
              <w:tab w:val="right" w:pos="9026" w:leader="dot"/>
            </w:tabs>
            <w:rPr/>
          </w:pPr>
          <w:hyperlink w:anchor="__RefHeading___Toc5768065_3224264995">
            <w:r>
              <w:rPr>
                <w:webHidden/>
                <w:rStyle w:val="IndexLink"/>
                <w:rtl w:val="true"/>
              </w:rPr>
              <w:t>الموضع الرابع</w:t>
            </w:r>
            <w:r>
              <w:rPr>
                <w:rStyle w:val="IndexLink"/>
                <w:rtl w:val="true"/>
              </w:rPr>
              <w:tab/>
            </w:r>
            <w:r>
              <w:rPr>
                <w:rStyle w:val="IndexLink"/>
              </w:rPr>
              <w:t>497</w:t>
            </w:r>
          </w:hyperlink>
        </w:p>
        <w:p>
          <w:pPr>
            <w:pStyle w:val="Contents6"/>
            <w:tabs>
              <w:tab w:val="clear" w:pos="7609"/>
              <w:tab w:val="right" w:pos="9026" w:leader="dot"/>
            </w:tabs>
            <w:rPr/>
          </w:pPr>
          <w:hyperlink w:anchor="__RefHeading___Toc5768067_3224264995">
            <w:r>
              <w:rPr>
                <w:webHidden/>
                <w:rStyle w:val="IndexLink"/>
                <w:rtl w:val="true"/>
              </w:rPr>
              <w:t>الموضع الخامس</w:t>
            </w:r>
            <w:r>
              <w:rPr>
                <w:rStyle w:val="IndexLink"/>
                <w:rtl w:val="true"/>
              </w:rPr>
              <w:tab/>
            </w:r>
            <w:r>
              <w:rPr>
                <w:rStyle w:val="IndexLink"/>
              </w:rPr>
              <w:t>498</w:t>
            </w:r>
          </w:hyperlink>
        </w:p>
        <w:p>
          <w:pPr>
            <w:pStyle w:val="Contents6"/>
            <w:tabs>
              <w:tab w:val="clear" w:pos="7609"/>
              <w:tab w:val="right" w:pos="9026" w:leader="dot"/>
            </w:tabs>
            <w:rPr/>
          </w:pPr>
          <w:hyperlink w:anchor="__RefHeading___Toc5768069_3224264995">
            <w:r>
              <w:rPr>
                <w:webHidden/>
                <w:rStyle w:val="IndexLink"/>
                <w:rtl w:val="true"/>
              </w:rPr>
              <w:t xml:space="preserve">المقام الثالث </w:t>
            </w:r>
            <w:r>
              <w:rPr>
                <w:rStyle w:val="IndexLink"/>
                <w:rtl w:val="true"/>
              </w:rPr>
              <w:t>:</w:t>
            </w:r>
            <w:r>
              <w:rPr>
                <w:rStyle w:val="IndexLink"/>
                <w:rtl w:val="true"/>
              </w:rPr>
              <w:t>فی عدم جواز الاقتصار علی المرجّحات المنصوصة</w:t>
            </w:r>
            <w:r>
              <w:rPr>
                <w:rStyle w:val="IndexLink"/>
                <w:rtl w:val="true"/>
              </w:rPr>
              <w:tab/>
            </w:r>
            <w:r>
              <w:rPr>
                <w:rStyle w:val="IndexLink"/>
              </w:rPr>
              <w:t>499</w:t>
            </w:r>
          </w:hyperlink>
        </w:p>
        <w:p>
          <w:pPr>
            <w:pStyle w:val="Contents6"/>
            <w:tabs>
              <w:tab w:val="clear" w:pos="7609"/>
              <w:tab w:val="right" w:pos="9026" w:leader="dot"/>
            </w:tabs>
            <w:rPr/>
          </w:pPr>
          <w:hyperlink w:anchor="__RefHeading___Toc5768071_3224264995">
            <w:r>
              <w:rPr>
                <w:webHidden/>
                <w:rStyle w:val="IndexLink"/>
                <w:rtl w:val="true"/>
              </w:rPr>
              <w:t>حاصل ما یستفاد من أخبار الترجیح</w:t>
            </w:r>
            <w:r>
              <w:rPr>
                <w:rStyle w:val="IndexLink"/>
                <w:rtl w:val="true"/>
              </w:rPr>
              <w:t>:</w:t>
              <w:tab/>
            </w:r>
            <w:r>
              <w:rPr>
                <w:rStyle w:val="IndexLink"/>
              </w:rPr>
              <w:t>499</w:t>
            </w:r>
          </w:hyperlink>
        </w:p>
        <w:p>
          <w:pPr>
            <w:pStyle w:val="Contents6"/>
            <w:tabs>
              <w:tab w:val="clear" w:pos="7609"/>
              <w:tab w:val="right" w:pos="9026" w:leader="dot"/>
            </w:tabs>
            <w:rPr/>
          </w:pPr>
          <w:hyperlink w:anchor="__RefHeading___Toc5768073_3224264995">
            <w:r>
              <w:rPr>
                <w:webHidden/>
                <w:rStyle w:val="IndexLink"/>
                <w:rtl w:val="true"/>
              </w:rPr>
              <w:t>کلام الشیخ الکلینی فی دیباجة الکافی</w:t>
            </w:r>
            <w:r>
              <w:rPr>
                <w:rStyle w:val="IndexLink"/>
                <w:rtl w:val="true"/>
              </w:rPr>
              <w:tab/>
            </w:r>
            <w:r>
              <w:rPr>
                <w:rStyle w:val="IndexLink"/>
              </w:rPr>
              <w:t>499</w:t>
            </w:r>
          </w:hyperlink>
        </w:p>
        <w:p>
          <w:pPr>
            <w:pStyle w:val="Contents6"/>
            <w:tabs>
              <w:tab w:val="clear" w:pos="7609"/>
              <w:tab w:val="right" w:pos="9026" w:leader="dot"/>
            </w:tabs>
            <w:rPr/>
          </w:pPr>
          <w:hyperlink w:anchor="__RefHeading___Toc5768075_3224264995">
            <w:r>
              <w:rPr>
                <w:webHidden/>
                <w:rStyle w:val="IndexLink"/>
                <w:rtl w:val="true"/>
              </w:rPr>
              <w:t>توضیح کلام الشیخ الکلینی</w:t>
            </w:r>
            <w:r>
              <w:rPr>
                <w:rStyle w:val="IndexLink"/>
                <w:rtl w:val="true"/>
              </w:rPr>
              <w:tab/>
            </w:r>
            <w:r>
              <w:rPr>
                <w:rStyle w:val="IndexLink"/>
              </w:rPr>
              <w:t>500</w:t>
            </w:r>
          </w:hyperlink>
        </w:p>
        <w:p>
          <w:pPr>
            <w:pStyle w:val="Contents6"/>
            <w:tabs>
              <w:tab w:val="clear" w:pos="7609"/>
              <w:tab w:val="right" w:pos="9026" w:leader="dot"/>
            </w:tabs>
            <w:rPr/>
          </w:pPr>
          <w:hyperlink w:anchor="__RefHeading___Toc5768077_3224264995">
            <w:r>
              <w:rPr>
                <w:webHidden/>
                <w:rStyle w:val="IndexLink"/>
                <w:rtl w:val="true"/>
              </w:rPr>
              <w:t>کلام المحدث البحرانی</w:t>
            </w:r>
            <w:r>
              <w:rPr>
                <w:rStyle w:val="IndexLink"/>
                <w:rtl w:val="true"/>
              </w:rPr>
              <w:tab/>
            </w:r>
            <w:r>
              <w:rPr>
                <w:rStyle w:val="IndexLink"/>
              </w:rPr>
              <w:t>500</w:t>
            </w:r>
          </w:hyperlink>
        </w:p>
        <w:p>
          <w:pPr>
            <w:pStyle w:val="Contents6"/>
            <w:tabs>
              <w:tab w:val="clear" w:pos="7609"/>
              <w:tab w:val="right" w:pos="9026" w:leader="dot"/>
            </w:tabs>
            <w:rPr/>
          </w:pPr>
          <w:hyperlink w:anchor="__RefHeading___Toc5768079_3224264995">
            <w:r>
              <w:rPr>
                <w:webHidden/>
                <w:rStyle w:val="IndexLink"/>
                <w:rtl w:val="true"/>
              </w:rPr>
              <w:t>المناقشة فیما افاده المحدث البحرانی</w:t>
            </w:r>
            <w:r>
              <w:rPr>
                <w:rStyle w:val="IndexLink"/>
                <w:rtl w:val="true"/>
              </w:rPr>
              <w:tab/>
            </w:r>
            <w:r>
              <w:rPr>
                <w:rStyle w:val="IndexLink"/>
              </w:rPr>
              <w:t>501</w:t>
            </w:r>
          </w:hyperlink>
        </w:p>
        <w:p>
          <w:pPr>
            <w:pStyle w:val="Contents6"/>
            <w:tabs>
              <w:tab w:val="clear" w:pos="7609"/>
              <w:tab w:val="right" w:pos="9026" w:leader="dot"/>
            </w:tabs>
            <w:rPr/>
          </w:pPr>
          <w:hyperlink w:anchor="__RefHeading___Toc5768081_3224264995">
            <w:r>
              <w:rPr>
                <w:webHidden/>
                <w:rStyle w:val="IndexLink"/>
                <w:rtl w:val="true"/>
              </w:rPr>
              <w:t>عدم الاقتصار علی المرجّحات الخاصّة</w:t>
            </w:r>
            <w:r>
              <w:rPr>
                <w:rStyle w:val="IndexLink"/>
                <w:rtl w:val="true"/>
              </w:rPr>
              <w:t>:</w:t>
              <w:tab/>
            </w:r>
            <w:r>
              <w:rPr>
                <w:rStyle w:val="IndexLink"/>
              </w:rPr>
              <w:t>501</w:t>
            </w:r>
          </w:hyperlink>
        </w:p>
        <w:p>
          <w:pPr>
            <w:pStyle w:val="Contents6"/>
            <w:tabs>
              <w:tab w:val="clear" w:pos="7609"/>
              <w:tab w:val="right" w:pos="9026" w:leader="dot"/>
            </w:tabs>
            <w:rPr/>
          </w:pPr>
          <w:hyperlink w:anchor="__RefHeading___Toc5768083_3224264995">
            <w:r>
              <w:rPr>
                <w:webHidden/>
                <w:rStyle w:val="IndexLink"/>
                <w:rtl w:val="true"/>
              </w:rPr>
              <w:t>ما یمکن ان یستفاد منه هذا المطلب</w:t>
            </w:r>
            <w:r>
              <w:rPr>
                <w:rStyle w:val="IndexLink"/>
                <w:rtl w:val="true"/>
              </w:rPr>
              <w:tab/>
            </w:r>
            <w:r>
              <w:rPr>
                <w:rStyle w:val="IndexLink"/>
              </w:rPr>
              <w:t>502</w:t>
            </w:r>
          </w:hyperlink>
        </w:p>
        <w:p>
          <w:pPr>
            <w:pStyle w:val="Contents6"/>
            <w:tabs>
              <w:tab w:val="clear" w:pos="7609"/>
              <w:tab w:val="right" w:pos="9026" w:leader="dot"/>
            </w:tabs>
            <w:rPr/>
          </w:pPr>
          <w:hyperlink w:anchor="__RefHeading___Toc5768085_3224264995">
            <w:r>
              <w:rPr>
                <w:webHidden/>
                <w:rStyle w:val="IndexLink"/>
                <w:rtl w:val="true"/>
              </w:rPr>
              <w:t>المقام الرابع</w:t>
            </w:r>
            <w:r>
              <w:rPr>
                <w:rStyle w:val="IndexLink"/>
                <w:rtl w:val="true"/>
              </w:rPr>
              <w:t>:</w:t>
            </w:r>
            <w:r>
              <w:rPr>
                <w:rStyle w:val="IndexLink"/>
                <w:rtl w:val="true"/>
              </w:rPr>
              <w:t>فی بیان المرجّحات</w:t>
            </w:r>
            <w:r>
              <w:rPr>
                <w:rStyle w:val="IndexLink"/>
                <w:rtl w:val="true"/>
              </w:rPr>
              <w:t>.</w:t>
              <w:tab/>
            </w:r>
            <w:r>
              <w:rPr>
                <w:rStyle w:val="IndexLink"/>
              </w:rPr>
              <w:t>505</w:t>
            </w:r>
          </w:hyperlink>
        </w:p>
        <w:p>
          <w:pPr>
            <w:pStyle w:val="Contents6"/>
            <w:tabs>
              <w:tab w:val="clear" w:pos="7609"/>
              <w:tab w:val="right" w:pos="9026" w:leader="dot"/>
            </w:tabs>
            <w:rPr/>
          </w:pPr>
          <w:hyperlink w:anchor="__RefHeading___Toc5768087_3224264995">
            <w:r>
              <w:rPr>
                <w:webHidden/>
                <w:rStyle w:val="IndexLink"/>
                <w:rtl w:val="true"/>
              </w:rPr>
              <w:t>أصناف المرجّحات</w:t>
            </w:r>
            <w:r>
              <w:rPr>
                <w:rStyle w:val="IndexLink"/>
                <w:rtl w:val="true"/>
              </w:rPr>
              <w:t>:</w:t>
              <w:tab/>
            </w:r>
            <w:r>
              <w:rPr>
                <w:rStyle w:val="IndexLink"/>
              </w:rPr>
              <w:t>505</w:t>
            </w:r>
          </w:hyperlink>
        </w:p>
        <w:p>
          <w:pPr>
            <w:pStyle w:val="Contents6"/>
            <w:tabs>
              <w:tab w:val="clear" w:pos="7609"/>
              <w:tab w:val="right" w:pos="9026" w:leader="dot"/>
            </w:tabs>
            <w:rPr/>
          </w:pPr>
          <w:hyperlink w:anchor="__RefHeading___Toc5768089_3224264995">
            <w:r>
              <w:rPr>
                <w:webHidden/>
                <w:rStyle w:val="IndexLink"/>
                <w:rtl w:val="true"/>
              </w:rPr>
              <w:t>المرجحات الداخلیّة</w:t>
            </w:r>
            <w:r>
              <w:rPr>
                <w:rStyle w:val="IndexLink"/>
                <w:rtl w:val="true"/>
              </w:rPr>
              <w:tab/>
            </w:r>
            <w:r>
              <w:rPr>
                <w:rStyle w:val="IndexLink"/>
              </w:rPr>
              <w:t>506</w:t>
            </w:r>
          </w:hyperlink>
        </w:p>
        <w:p>
          <w:pPr>
            <w:pStyle w:val="Contents6"/>
            <w:tabs>
              <w:tab w:val="clear" w:pos="7609"/>
              <w:tab w:val="right" w:pos="9026" w:leader="dot"/>
            </w:tabs>
            <w:rPr/>
          </w:pPr>
          <w:hyperlink w:anchor="__RefHeading___Toc5768091_3224264995">
            <w:r>
              <w:rPr>
                <w:webHidden/>
                <w:rStyle w:val="IndexLink"/>
                <w:rtl w:val="true"/>
              </w:rPr>
              <w:t>تأخّر المرجّحات الداخلیّة عن الترجیح بالدلالة و الاستدلال علیه</w:t>
            </w:r>
            <w:r>
              <w:rPr>
                <w:rStyle w:val="IndexLink"/>
                <w:rtl w:val="true"/>
              </w:rPr>
              <w:t>:</w:t>
              <w:tab/>
            </w:r>
            <w:r>
              <w:rPr>
                <w:rStyle w:val="IndexLink"/>
              </w:rPr>
              <w:t>506</w:t>
            </w:r>
          </w:hyperlink>
        </w:p>
        <w:p>
          <w:pPr>
            <w:pStyle w:val="Contents6"/>
            <w:tabs>
              <w:tab w:val="clear" w:pos="7609"/>
              <w:tab w:val="right" w:pos="9026" w:leader="dot"/>
            </w:tabs>
            <w:rPr/>
          </w:pPr>
          <w:hyperlink w:anchor="__RefHeading___Toc5768093_3224264995">
            <w:r>
              <w:rPr>
                <w:webHidden/>
                <w:rStyle w:val="IndexLink"/>
                <w:rtl w:val="true"/>
              </w:rPr>
              <w:t>ظاهر الشیخ الطوسی خلاف ذلک</w:t>
            </w:r>
            <w:r>
              <w:rPr>
                <w:rStyle w:val="IndexLink"/>
                <w:rtl w:val="true"/>
              </w:rPr>
              <w:tab/>
            </w:r>
            <w:r>
              <w:rPr>
                <w:rStyle w:val="IndexLink"/>
              </w:rPr>
              <w:t>508</w:t>
            </w:r>
          </w:hyperlink>
        </w:p>
        <w:p>
          <w:pPr>
            <w:pStyle w:val="Contents6"/>
            <w:tabs>
              <w:tab w:val="clear" w:pos="7609"/>
              <w:tab w:val="right" w:pos="9026" w:leader="dot"/>
            </w:tabs>
            <w:rPr/>
          </w:pPr>
          <w:hyperlink w:anchor="__RefHeading___Toc5768095_3224264995">
            <w:r>
              <w:rPr>
                <w:webHidden/>
                <w:rStyle w:val="IndexLink"/>
                <w:rtl w:val="true"/>
              </w:rPr>
              <w:t>کلام الشیخ فی الاستبصار</w:t>
            </w:r>
            <w:r>
              <w:rPr>
                <w:rStyle w:val="IndexLink"/>
                <w:rtl w:val="true"/>
              </w:rPr>
              <w:tab/>
            </w:r>
            <w:r>
              <w:rPr>
                <w:rStyle w:val="IndexLink"/>
              </w:rPr>
              <w:t>508</w:t>
            </w:r>
          </w:hyperlink>
        </w:p>
        <w:p>
          <w:pPr>
            <w:pStyle w:val="Contents6"/>
            <w:tabs>
              <w:tab w:val="clear" w:pos="7609"/>
              <w:tab w:val="right" w:pos="9026" w:leader="dot"/>
            </w:tabs>
            <w:rPr/>
          </w:pPr>
          <w:hyperlink w:anchor="__RefHeading___Toc5768097_3224264995">
            <w:r>
              <w:rPr>
                <w:webHidden/>
                <w:rStyle w:val="IndexLink"/>
                <w:rtl w:val="true"/>
              </w:rPr>
              <w:t>کلام الشیخ فی العدة</w:t>
            </w:r>
            <w:r>
              <w:rPr>
                <w:rStyle w:val="IndexLink"/>
                <w:rtl w:val="true"/>
              </w:rPr>
              <w:tab/>
            </w:r>
            <w:r>
              <w:rPr>
                <w:rStyle w:val="IndexLink"/>
              </w:rPr>
              <w:t>509</w:t>
            </w:r>
          </w:hyperlink>
        </w:p>
        <w:p>
          <w:pPr>
            <w:pStyle w:val="Contents6"/>
            <w:tabs>
              <w:tab w:val="clear" w:pos="7609"/>
              <w:tab w:val="right" w:pos="9026" w:leader="dot"/>
            </w:tabs>
            <w:rPr/>
          </w:pPr>
          <w:hyperlink w:anchor="__RefHeading___Toc5768099_3224264995">
            <w:r>
              <w:rPr>
                <w:webHidden/>
                <w:rStyle w:val="IndexLink"/>
                <w:rtl w:val="true"/>
              </w:rPr>
              <w:t>ظهور کلام المحدث البحرانی فی ذلک ایضا</w:t>
            </w:r>
            <w:r>
              <w:rPr>
                <w:rStyle w:val="IndexLink"/>
                <w:rtl w:val="true"/>
              </w:rPr>
              <w:tab/>
            </w:r>
            <w:r>
              <w:rPr>
                <w:rStyle w:val="IndexLink"/>
              </w:rPr>
              <w:t>511</w:t>
            </w:r>
          </w:hyperlink>
        </w:p>
        <w:p>
          <w:pPr>
            <w:pStyle w:val="Contents6"/>
            <w:tabs>
              <w:tab w:val="clear" w:pos="7609"/>
              <w:tab w:val="right" w:pos="9026" w:leader="dot"/>
            </w:tabs>
            <w:rPr/>
          </w:pPr>
          <w:hyperlink w:anchor="__RefHeading___Toc5768101_3224264995">
            <w:r>
              <w:rPr>
                <w:webHidden/>
                <w:rStyle w:val="IndexLink"/>
                <w:rtl w:val="true"/>
              </w:rPr>
              <w:t>یلوح ذلک من المحقق القمی ایضا</w:t>
            </w:r>
            <w:r>
              <w:rPr>
                <w:rStyle w:val="IndexLink"/>
                <w:rtl w:val="true"/>
              </w:rPr>
              <w:tab/>
            </w:r>
            <w:r>
              <w:rPr>
                <w:rStyle w:val="IndexLink"/>
              </w:rPr>
              <w:t>511</w:t>
            </w:r>
          </w:hyperlink>
        </w:p>
        <w:p>
          <w:pPr>
            <w:pStyle w:val="Contents6"/>
            <w:tabs>
              <w:tab w:val="clear" w:pos="7609"/>
              <w:tab w:val="right" w:pos="9026" w:leader="dot"/>
            </w:tabs>
            <w:rPr/>
          </w:pPr>
          <w:hyperlink w:anchor="__RefHeading___Toc5768103_3224264995">
            <w:r>
              <w:rPr>
                <w:webHidden/>
                <w:rStyle w:val="IndexLink"/>
                <w:rtl w:val="true"/>
              </w:rPr>
              <w:t>مرجع التعارض بین النصّ و الظاهر</w:t>
            </w:r>
            <w:r>
              <w:rPr>
                <w:rStyle w:val="IndexLink"/>
                <w:rtl w:val="true"/>
              </w:rPr>
              <w:t>:</w:t>
              <w:tab/>
            </w:r>
            <w:r>
              <w:rPr>
                <w:rStyle w:val="IndexLink"/>
              </w:rPr>
              <w:t>512</w:t>
            </w:r>
          </w:hyperlink>
        </w:p>
        <w:p>
          <w:pPr>
            <w:pStyle w:val="Contents6"/>
            <w:tabs>
              <w:tab w:val="clear" w:pos="7609"/>
              <w:tab w:val="right" w:pos="9026" w:leader="dot"/>
            </w:tabs>
            <w:rPr/>
          </w:pPr>
          <w:hyperlink w:anchor="__RefHeading___Toc5768105_3224264995">
            <w:r>
              <w:rPr>
                <w:webHidden/>
                <w:rStyle w:val="IndexLink"/>
                <w:rtl w:val="true"/>
              </w:rPr>
              <w:t>الإشکال فی الظاهرین اللذین یمکن رفع المنافاة بینهما بالتصرّف فی کلّ واحد منهما</w:t>
            </w:r>
            <w:r>
              <w:rPr>
                <w:rStyle w:val="IndexLink"/>
                <w:rtl w:val="true"/>
              </w:rPr>
              <w:tab/>
            </w:r>
            <w:r>
              <w:rPr>
                <w:rStyle w:val="IndexLink"/>
              </w:rPr>
              <w:t>512</w:t>
            </w:r>
          </w:hyperlink>
        </w:p>
        <w:p>
          <w:pPr>
            <w:pStyle w:val="Contents6"/>
            <w:tabs>
              <w:tab w:val="clear" w:pos="7609"/>
              <w:tab w:val="right" w:pos="9026" w:leader="dot"/>
            </w:tabs>
            <w:rPr/>
          </w:pPr>
          <w:hyperlink w:anchor="__RefHeading___Toc5768107_3224264995">
            <w:r>
              <w:rPr>
                <w:webHidden/>
                <w:rStyle w:val="IndexLink"/>
                <w:rtl w:val="true"/>
              </w:rPr>
              <w:t>تقدیم النصّ علی الظاهر خارج عن مسألة الترجیح</w:t>
            </w:r>
            <w:r>
              <w:rPr>
                <w:rStyle w:val="IndexLink"/>
                <w:rtl w:val="true"/>
              </w:rPr>
              <w:t>:</w:t>
              <w:tab/>
            </w:r>
            <w:r>
              <w:rPr>
                <w:rStyle w:val="IndexLink"/>
              </w:rPr>
              <w:t>515</w:t>
            </w:r>
          </w:hyperlink>
        </w:p>
        <w:p>
          <w:pPr>
            <w:pStyle w:val="Contents6"/>
            <w:tabs>
              <w:tab w:val="clear" w:pos="7609"/>
              <w:tab w:val="right" w:pos="9026" w:leader="dot"/>
            </w:tabs>
            <w:rPr/>
          </w:pPr>
          <w:hyperlink w:anchor="__RefHeading___Toc5768109_3224264995">
            <w:r>
              <w:rPr>
                <w:webHidden/>
                <w:rStyle w:val="IndexLink"/>
                <w:rtl w:val="true"/>
              </w:rPr>
              <w:t>انحصار الترجیح بالدلالة فی تعارض الأظهر و الظاهر</w:t>
            </w:r>
            <w:r>
              <w:rPr>
                <w:rStyle w:val="IndexLink"/>
                <w:rtl w:val="true"/>
              </w:rPr>
              <w:tab/>
            </w:r>
            <w:r>
              <w:rPr>
                <w:rStyle w:val="IndexLink"/>
              </w:rPr>
              <w:t>515</w:t>
            </w:r>
          </w:hyperlink>
        </w:p>
        <w:p>
          <w:pPr>
            <w:pStyle w:val="Contents6"/>
            <w:tabs>
              <w:tab w:val="clear" w:pos="7609"/>
              <w:tab w:val="right" w:pos="9026" w:leader="dot"/>
            </w:tabs>
            <w:rPr/>
          </w:pPr>
          <w:hyperlink w:anchor="__RefHeading___Toc5768111_3224264995">
            <w:r>
              <w:rPr>
                <w:webHidden/>
                <w:rStyle w:val="IndexLink"/>
                <w:rtl w:val="true"/>
              </w:rPr>
              <w:t>ظهور خلاف ما ذکرنا من بعض</w:t>
            </w:r>
            <w:r>
              <w:rPr>
                <w:rStyle w:val="IndexLink"/>
                <w:rtl w:val="true"/>
              </w:rPr>
              <w:tab/>
            </w:r>
            <w:r>
              <w:rPr>
                <w:rStyle w:val="IndexLink"/>
              </w:rPr>
              <w:t>516</w:t>
            </w:r>
          </w:hyperlink>
        </w:p>
        <w:p>
          <w:pPr>
            <w:pStyle w:val="Contents6"/>
            <w:tabs>
              <w:tab w:val="clear" w:pos="7609"/>
              <w:tab w:val="right" w:pos="9026" w:leader="dot"/>
            </w:tabs>
            <w:rPr/>
          </w:pPr>
          <w:hyperlink w:anchor="__RefHeading___Toc5768113_3224264995">
            <w:r>
              <w:rPr>
                <w:webHidden/>
                <w:rStyle w:val="IndexLink"/>
                <w:rtl w:val="true"/>
              </w:rPr>
              <w:t>کلام الوحید البهبهائی</w:t>
            </w:r>
            <w:r>
              <w:rPr>
                <w:rStyle w:val="IndexLink"/>
                <w:rtl w:val="true"/>
              </w:rPr>
              <w:tab/>
            </w:r>
            <w:r>
              <w:rPr>
                <w:rStyle w:val="IndexLink"/>
              </w:rPr>
              <w:t>517</w:t>
            </w:r>
          </w:hyperlink>
        </w:p>
        <w:p>
          <w:pPr>
            <w:pStyle w:val="Contents6"/>
            <w:tabs>
              <w:tab w:val="clear" w:pos="7609"/>
              <w:tab w:val="right" w:pos="9026" w:leader="dot"/>
            </w:tabs>
            <w:rPr/>
          </w:pPr>
          <w:hyperlink w:anchor="__RefHeading___Toc5768115_3224264995">
            <w:r>
              <w:rPr>
                <w:webHidden/>
                <w:rStyle w:val="IndexLink"/>
                <w:rtl w:val="true"/>
              </w:rPr>
              <w:t>المرجّحات فی الدلالة</w:t>
            </w:r>
            <w:r>
              <w:rPr>
                <w:rStyle w:val="IndexLink"/>
                <w:rtl w:val="true"/>
              </w:rPr>
              <w:tab/>
            </w:r>
            <w:r>
              <w:rPr>
                <w:rStyle w:val="IndexLink"/>
              </w:rPr>
              <w:t>519</w:t>
            </w:r>
          </w:hyperlink>
        </w:p>
        <w:p>
          <w:pPr>
            <w:pStyle w:val="Contents6"/>
            <w:tabs>
              <w:tab w:val="clear" w:pos="7609"/>
              <w:tab w:val="right" w:pos="9026" w:leader="dot"/>
            </w:tabs>
            <w:rPr/>
          </w:pPr>
          <w:hyperlink w:anchor="__RefHeading___Toc5768117_3224264995">
            <w:r>
              <w:rPr>
                <w:webHidden/>
                <w:rStyle w:val="IndexLink"/>
                <w:rtl w:val="true"/>
              </w:rPr>
              <w:t>الأظهریّة قد تکون بملاحظة خصوص المتعارضین و قد تکون بملاحظة نوعهما</w:t>
            </w:r>
            <w:r>
              <w:rPr>
                <w:rStyle w:val="IndexLink"/>
                <w:rtl w:val="true"/>
              </w:rPr>
              <w:tab/>
            </w:r>
            <w:r>
              <w:rPr>
                <w:rStyle w:val="IndexLink"/>
              </w:rPr>
              <w:t>519</w:t>
            </w:r>
          </w:hyperlink>
        </w:p>
        <w:p>
          <w:pPr>
            <w:pStyle w:val="Contents6"/>
            <w:tabs>
              <w:tab w:val="clear" w:pos="7609"/>
              <w:tab w:val="right" w:pos="9026" w:leader="dot"/>
            </w:tabs>
            <w:rPr/>
          </w:pPr>
          <w:hyperlink w:anchor="__RefHeading___Toc5768119_3224264995">
            <w:r>
              <w:rPr>
                <w:webHidden/>
                <w:rStyle w:val="IndexLink"/>
                <w:rtl w:val="true"/>
              </w:rPr>
              <w:t>المرجّحات النوعیّة لظاهر أحد المتعارضین</w:t>
            </w:r>
            <w:r>
              <w:rPr>
                <w:rStyle w:val="IndexLink"/>
                <w:rtl w:val="true"/>
              </w:rPr>
              <w:t>:</w:t>
              <w:tab/>
            </w:r>
            <w:r>
              <w:rPr>
                <w:rStyle w:val="IndexLink"/>
              </w:rPr>
              <w:t>519</w:t>
            </w:r>
          </w:hyperlink>
        </w:p>
        <w:p>
          <w:pPr>
            <w:pStyle w:val="Contents6"/>
            <w:tabs>
              <w:tab w:val="clear" w:pos="7609"/>
              <w:tab w:val="right" w:pos="9026" w:leader="dot"/>
            </w:tabs>
            <w:rPr/>
          </w:pPr>
          <w:hyperlink w:anchor="__RefHeading___Toc5768121_3224264995">
            <w:r>
              <w:rPr>
                <w:webHidden/>
                <w:rStyle w:val="IndexLink"/>
                <w:rtl w:val="true"/>
              </w:rPr>
              <w:t>ترجیح التخصیص علی النسخ</w:t>
            </w:r>
            <w:r>
              <w:rPr>
                <w:rStyle w:val="IndexLink"/>
                <w:rtl w:val="true"/>
              </w:rPr>
              <w:t>:</w:t>
              <w:tab/>
            </w:r>
            <w:r>
              <w:rPr>
                <w:rStyle w:val="IndexLink"/>
              </w:rPr>
              <w:t>519</w:t>
            </w:r>
          </w:hyperlink>
        </w:p>
        <w:p>
          <w:pPr>
            <w:pStyle w:val="Contents6"/>
            <w:tabs>
              <w:tab w:val="clear" w:pos="7609"/>
              <w:tab w:val="right" w:pos="9026" w:leader="dot"/>
            </w:tabs>
            <w:rPr/>
          </w:pPr>
          <w:hyperlink w:anchor="__RefHeading___Toc5768123_3224264995">
            <w:r>
              <w:rPr>
                <w:webHidden/>
                <w:rStyle w:val="IndexLink"/>
                <w:rtl w:val="true"/>
              </w:rPr>
              <w:t>الإشکال فی تخصیص العمومات المتقدّمة بالمخصّصات المتأخّرة</w:t>
            </w:r>
            <w:r>
              <w:rPr>
                <w:rStyle w:val="IndexLink"/>
                <w:rtl w:val="true"/>
              </w:rPr>
              <w:t>:</w:t>
              <w:tab/>
            </w:r>
            <w:r>
              <w:rPr>
                <w:rStyle w:val="IndexLink"/>
              </w:rPr>
              <w:t>520</w:t>
            </w:r>
          </w:hyperlink>
        </w:p>
        <w:p>
          <w:pPr>
            <w:pStyle w:val="Contents6"/>
            <w:tabs>
              <w:tab w:val="clear" w:pos="7609"/>
              <w:tab w:val="right" w:pos="9026" w:leader="dot"/>
            </w:tabs>
            <w:rPr/>
          </w:pPr>
          <w:hyperlink w:anchor="__RefHeading___Toc5768125_3224264995">
            <w:r>
              <w:rPr>
                <w:webHidden/>
                <w:rStyle w:val="IndexLink"/>
                <w:rtl w:val="true"/>
              </w:rPr>
              <w:t>الأوجه فی دفع الإشکال</w:t>
            </w:r>
            <w:r>
              <w:rPr>
                <w:rStyle w:val="IndexLink"/>
                <w:rtl w:val="true"/>
              </w:rPr>
              <w:t>:</w:t>
              <w:tab/>
            </w:r>
            <w:r>
              <w:rPr>
                <w:rStyle w:val="IndexLink"/>
              </w:rPr>
              <w:t>521</w:t>
            </w:r>
          </w:hyperlink>
        </w:p>
        <w:p>
          <w:pPr>
            <w:pStyle w:val="Contents6"/>
            <w:tabs>
              <w:tab w:val="clear" w:pos="7609"/>
              <w:tab w:val="right" w:pos="9026" w:leader="dot"/>
            </w:tabs>
            <w:rPr/>
          </w:pPr>
          <w:hyperlink w:anchor="__RefHeading___Toc5768127_3224264995">
            <w:r>
              <w:rPr>
                <w:webHidden/>
                <w:rStyle w:val="IndexLink"/>
                <w:rtl w:val="true"/>
              </w:rPr>
              <w:t>ترجیح التقیید علی التخصیص عند تعارض الإطلاق و العموم</w:t>
            </w:r>
            <w:r>
              <w:rPr>
                <w:rStyle w:val="IndexLink"/>
                <w:rtl w:val="true"/>
              </w:rPr>
              <w:t>:</w:t>
              <w:tab/>
            </w:r>
            <w:r>
              <w:rPr>
                <w:rStyle w:val="IndexLink"/>
              </w:rPr>
              <w:t>523</w:t>
            </w:r>
          </w:hyperlink>
        </w:p>
        <w:p>
          <w:pPr>
            <w:pStyle w:val="Contents6"/>
            <w:tabs>
              <w:tab w:val="clear" w:pos="7609"/>
              <w:tab w:val="right" w:pos="9026" w:leader="dot"/>
            </w:tabs>
            <w:rPr/>
          </w:pPr>
          <w:hyperlink w:anchor="__RefHeading___Toc5768129_3224264995">
            <w:r>
              <w:rPr>
                <w:webHidden/>
                <w:rStyle w:val="IndexLink"/>
                <w:rtl w:val="true"/>
              </w:rPr>
              <w:t>تقدیم التخصیص عند تعارض العموم مع غیر الإطلاق</w:t>
            </w:r>
            <w:r>
              <w:rPr>
                <w:rStyle w:val="IndexLink"/>
                <w:rtl w:val="true"/>
              </w:rPr>
              <w:t>:</w:t>
              <w:tab/>
            </w:r>
            <w:r>
              <w:rPr>
                <w:rStyle w:val="IndexLink"/>
              </w:rPr>
              <w:t>524</w:t>
            </w:r>
          </w:hyperlink>
        </w:p>
        <w:p>
          <w:pPr>
            <w:pStyle w:val="Contents6"/>
            <w:tabs>
              <w:tab w:val="clear" w:pos="7609"/>
              <w:tab w:val="right" w:pos="9026" w:leader="dot"/>
            </w:tabs>
            <w:rPr/>
          </w:pPr>
          <w:hyperlink w:anchor="__RefHeading___Toc5768131_3224264995">
            <w:r>
              <w:rPr>
                <w:webHidden/>
                <w:rStyle w:val="IndexLink"/>
                <w:rtl w:val="true"/>
              </w:rPr>
              <w:t>تقدیم الجملة الغائیّة علی الشرطیّة،و الشرطیّة علی الوصفیّة</w:t>
            </w:r>
            <w:r>
              <w:rPr>
                <w:rStyle w:val="IndexLink"/>
                <w:rtl w:val="true"/>
              </w:rPr>
              <w:t>:</w:t>
              <w:tab/>
            </w:r>
            <w:r>
              <w:rPr>
                <w:rStyle w:val="IndexLink"/>
              </w:rPr>
              <w:t>525</w:t>
            </w:r>
          </w:hyperlink>
        </w:p>
        <w:p>
          <w:pPr>
            <w:pStyle w:val="Contents6"/>
            <w:tabs>
              <w:tab w:val="clear" w:pos="7609"/>
              <w:tab w:val="right" w:pos="9026" w:leader="dot"/>
            </w:tabs>
            <w:rPr/>
          </w:pPr>
          <w:hyperlink w:anchor="__RefHeading___Toc5768133_3224264995">
            <w:r>
              <w:rPr>
                <w:webHidden/>
                <w:rStyle w:val="IndexLink"/>
                <w:rtl w:val="true"/>
              </w:rPr>
              <w:t>ترجیح کلّ الاحتمالات علی النسخ</w:t>
            </w:r>
            <w:r>
              <w:rPr>
                <w:rStyle w:val="IndexLink"/>
                <w:rtl w:val="true"/>
              </w:rPr>
              <w:t>:</w:t>
              <w:tab/>
            </w:r>
            <w:r>
              <w:rPr>
                <w:rStyle w:val="IndexLink"/>
              </w:rPr>
              <w:t>525</w:t>
            </w:r>
          </w:hyperlink>
        </w:p>
        <w:p>
          <w:pPr>
            <w:pStyle w:val="Contents6"/>
            <w:tabs>
              <w:tab w:val="clear" w:pos="7609"/>
              <w:tab w:val="right" w:pos="9026" w:leader="dot"/>
            </w:tabs>
            <w:rPr/>
          </w:pPr>
          <w:hyperlink w:anchor="__RefHeading___Toc5768135_3224264995">
            <w:r>
              <w:rPr>
                <w:webHidden/>
                <w:rStyle w:val="IndexLink"/>
                <w:rtl w:val="true"/>
              </w:rPr>
              <w:t>تقدیم الحقیقة علی المجاز و المناقشة فیه</w:t>
            </w:r>
            <w:r>
              <w:rPr>
                <w:rStyle w:val="IndexLink"/>
                <w:rtl w:val="true"/>
              </w:rPr>
              <w:t>:</w:t>
              <w:tab/>
            </w:r>
            <w:r>
              <w:rPr>
                <w:rStyle w:val="IndexLink"/>
              </w:rPr>
              <w:t>526</w:t>
            </w:r>
          </w:hyperlink>
        </w:p>
        <w:p>
          <w:pPr>
            <w:pStyle w:val="Contents6"/>
            <w:tabs>
              <w:tab w:val="clear" w:pos="7609"/>
              <w:tab w:val="right" w:pos="9026" w:leader="dot"/>
            </w:tabs>
            <w:rPr/>
          </w:pPr>
          <w:hyperlink w:anchor="__RefHeading___Toc5768137_3224264995">
            <w:r>
              <w:rPr>
                <w:webHidden/>
                <w:rStyle w:val="IndexLink"/>
                <w:rtl w:val="true"/>
              </w:rPr>
              <w:t>تعارض الصنفین المختلفین فی الظهور</w:t>
            </w:r>
            <w:r>
              <w:rPr>
                <w:rStyle w:val="IndexLink"/>
                <w:rtl w:val="true"/>
              </w:rPr>
              <w:t>:</w:t>
              <w:tab/>
            </w:r>
            <w:r>
              <w:rPr>
                <w:rStyle w:val="IndexLink"/>
              </w:rPr>
              <w:t>527</w:t>
            </w:r>
          </w:hyperlink>
        </w:p>
        <w:p>
          <w:pPr>
            <w:pStyle w:val="Contents6"/>
            <w:tabs>
              <w:tab w:val="clear" w:pos="7609"/>
              <w:tab w:val="right" w:pos="9026" w:leader="dot"/>
            </w:tabs>
            <w:rPr/>
          </w:pPr>
          <w:hyperlink w:anchor="__RefHeading___Toc5768139_3224264995">
            <w:r>
              <w:rPr>
                <w:webHidden/>
                <w:rStyle w:val="IndexLink"/>
                <w:rtl w:val="true"/>
              </w:rPr>
              <w:t>بیان انقلاب النسبة</w:t>
            </w:r>
            <w:r>
              <w:rPr>
                <w:rStyle w:val="IndexLink"/>
                <w:rtl w:val="true"/>
              </w:rPr>
              <w:tab/>
            </w:r>
            <w:r>
              <w:rPr>
                <w:rStyle w:val="IndexLink"/>
              </w:rPr>
              <w:t>528</w:t>
            </w:r>
          </w:hyperlink>
        </w:p>
        <w:p>
          <w:pPr>
            <w:pStyle w:val="Contents6"/>
            <w:tabs>
              <w:tab w:val="clear" w:pos="7609"/>
              <w:tab w:val="right" w:pos="9026" w:leader="dot"/>
            </w:tabs>
            <w:rPr/>
          </w:pPr>
          <w:hyperlink w:anchor="__RefHeading___Toc5768141_3224264995">
            <w:r>
              <w:rPr>
                <w:webHidden/>
                <w:rStyle w:val="IndexLink"/>
                <w:rtl w:val="true"/>
              </w:rPr>
              <w:t>التعارض بین أزید من دلیلین</w:t>
            </w:r>
            <w:r>
              <w:rPr>
                <w:rStyle w:val="IndexLink"/>
                <w:rtl w:val="true"/>
              </w:rPr>
              <w:t>:</w:t>
              <w:tab/>
            </w:r>
            <w:r>
              <w:rPr>
                <w:rStyle w:val="IndexLink"/>
              </w:rPr>
              <w:t>528</w:t>
            </w:r>
          </w:hyperlink>
        </w:p>
        <w:p>
          <w:pPr>
            <w:pStyle w:val="Contents6"/>
            <w:tabs>
              <w:tab w:val="clear" w:pos="7609"/>
              <w:tab w:val="right" w:pos="9026" w:leader="dot"/>
            </w:tabs>
            <w:rPr/>
          </w:pPr>
          <w:hyperlink w:anchor="__RefHeading___Toc5768143_3224264995">
            <w:r>
              <w:rPr>
                <w:webHidden/>
                <w:rStyle w:val="IndexLink"/>
                <w:rtl w:val="true"/>
              </w:rPr>
              <w:t>إذا کانت النسبة بین المتعارضات واحدة</w:t>
            </w:r>
            <w:r>
              <w:rPr>
                <w:rStyle w:val="IndexLink"/>
                <w:rtl w:val="true"/>
              </w:rPr>
              <w:t>:</w:t>
              <w:tab/>
            </w:r>
            <w:r>
              <w:rPr>
                <w:rStyle w:val="IndexLink"/>
              </w:rPr>
              <w:t>528</w:t>
            </w:r>
          </w:hyperlink>
        </w:p>
        <w:p>
          <w:pPr>
            <w:pStyle w:val="Contents6"/>
            <w:tabs>
              <w:tab w:val="clear" w:pos="7609"/>
              <w:tab w:val="right" w:pos="9026" w:leader="dot"/>
            </w:tabs>
            <w:rPr/>
          </w:pPr>
          <w:hyperlink w:anchor="__RefHeading___Toc5768145_3224264995">
            <w:r>
              <w:rPr>
                <w:webHidden/>
                <w:rStyle w:val="IndexLink"/>
                <w:rtl w:val="true"/>
              </w:rPr>
              <w:t>لو کانت النسبة العموم من وجه</w:t>
            </w:r>
            <w:r>
              <w:rPr>
                <w:rStyle w:val="IndexLink"/>
                <w:rtl w:val="true"/>
              </w:rPr>
              <w:t>:</w:t>
              <w:tab/>
            </w:r>
            <w:r>
              <w:rPr>
                <w:rStyle w:val="IndexLink"/>
              </w:rPr>
              <w:t>528</w:t>
            </w:r>
          </w:hyperlink>
        </w:p>
        <w:p>
          <w:pPr>
            <w:pStyle w:val="Contents6"/>
            <w:tabs>
              <w:tab w:val="clear" w:pos="7609"/>
              <w:tab w:val="right" w:pos="9026" w:leader="dot"/>
            </w:tabs>
            <w:rPr/>
          </w:pPr>
          <w:hyperlink w:anchor="__RefHeading___Toc5768147_3224264995">
            <w:r>
              <w:rPr>
                <w:webHidden/>
                <w:rStyle w:val="IndexLink"/>
                <w:rtl w:val="true"/>
              </w:rPr>
              <w:t>لو کانت النسبة عموما مطلقا</w:t>
            </w:r>
            <w:r>
              <w:rPr>
                <w:rStyle w:val="IndexLink"/>
                <w:rtl w:val="true"/>
              </w:rPr>
              <w:t>:</w:t>
              <w:tab/>
            </w:r>
            <w:r>
              <w:rPr>
                <w:rStyle w:val="IndexLink"/>
              </w:rPr>
              <w:t>528</w:t>
            </w:r>
          </w:hyperlink>
        </w:p>
        <w:p>
          <w:pPr>
            <w:pStyle w:val="Contents6"/>
            <w:tabs>
              <w:tab w:val="clear" w:pos="7609"/>
              <w:tab w:val="right" w:pos="9026" w:leader="dot"/>
            </w:tabs>
            <w:rPr/>
          </w:pPr>
          <w:hyperlink w:anchor="__RefHeading___Toc5768149_3224264995">
            <w:r>
              <w:rPr>
                <w:webHidden/>
                <w:rStyle w:val="IndexLink"/>
                <w:rtl w:val="true"/>
              </w:rPr>
              <w:t>ما توهمه بعض المعاصرین</w:t>
            </w:r>
            <w:r>
              <w:rPr>
                <w:rStyle w:val="IndexLink"/>
                <w:rtl w:val="true"/>
              </w:rPr>
              <w:tab/>
            </w:r>
            <w:r>
              <w:rPr>
                <w:rStyle w:val="IndexLink"/>
              </w:rPr>
              <w:t>529</w:t>
            </w:r>
          </w:hyperlink>
        </w:p>
        <w:p>
          <w:pPr>
            <w:pStyle w:val="Contents6"/>
            <w:tabs>
              <w:tab w:val="clear" w:pos="7609"/>
              <w:tab w:val="right" w:pos="9026" w:leader="dot"/>
            </w:tabs>
            <w:rPr/>
          </w:pPr>
          <w:hyperlink w:anchor="__RefHeading___Toc5768151_3224264995">
            <w:r>
              <w:rPr>
                <w:webHidden/>
                <w:rStyle w:val="IndexLink"/>
                <w:rtl w:val="true"/>
              </w:rPr>
              <w:t>دفع التوهم المذکور</w:t>
            </w:r>
            <w:r>
              <w:rPr>
                <w:rStyle w:val="IndexLink"/>
                <w:rtl w:val="true"/>
              </w:rPr>
              <w:tab/>
            </w:r>
            <w:r>
              <w:rPr>
                <w:rStyle w:val="IndexLink"/>
              </w:rPr>
              <w:t>529</w:t>
            </w:r>
          </w:hyperlink>
        </w:p>
        <w:p>
          <w:pPr>
            <w:pStyle w:val="Contents6"/>
            <w:tabs>
              <w:tab w:val="clear" w:pos="7609"/>
              <w:tab w:val="right" w:pos="9026" w:leader="dot"/>
            </w:tabs>
            <w:rPr/>
          </w:pPr>
          <w:hyperlink w:anchor="__RefHeading___Toc5768153_3224264995">
            <w:r>
              <w:rPr>
                <w:webHidden/>
                <w:rStyle w:val="IndexLink"/>
                <w:rtl w:val="true"/>
              </w:rPr>
              <w:t>کلام صاحب المسالک فی ضمان عاریة الذهب و الفضّة</w:t>
            </w:r>
            <w:r>
              <w:rPr>
                <w:rStyle w:val="IndexLink"/>
                <w:rtl w:val="true"/>
              </w:rPr>
              <w:t>:</w:t>
              <w:tab/>
            </w:r>
            <w:r>
              <w:rPr>
                <w:rStyle w:val="IndexLink"/>
              </w:rPr>
              <w:t>532</w:t>
            </w:r>
          </w:hyperlink>
        </w:p>
        <w:p>
          <w:pPr>
            <w:pStyle w:val="Contents6"/>
            <w:tabs>
              <w:tab w:val="clear" w:pos="7609"/>
              <w:tab w:val="right" w:pos="9026" w:leader="dot"/>
            </w:tabs>
            <w:rPr/>
          </w:pPr>
          <w:hyperlink w:anchor="__RefHeading___Toc5768155_3224264995">
            <w:r>
              <w:rPr>
                <w:webHidden/>
                <w:rStyle w:val="IndexLink"/>
                <w:rtl w:val="true"/>
              </w:rPr>
              <w:t>نظریّة المصنّف فی الجمع بین الأدلّة الواردة فی ضمان العاریة</w:t>
            </w:r>
            <w:r>
              <w:rPr>
                <w:rStyle w:val="IndexLink"/>
                <w:rtl w:val="true"/>
              </w:rPr>
              <w:tab/>
            </w:r>
            <w:r>
              <w:rPr>
                <w:rStyle w:val="IndexLink"/>
              </w:rPr>
              <w:t>536</w:t>
            </w:r>
          </w:hyperlink>
        </w:p>
        <w:p>
          <w:pPr>
            <w:pStyle w:val="Contents6"/>
            <w:tabs>
              <w:tab w:val="clear" w:pos="7609"/>
              <w:tab w:val="right" w:pos="9026" w:leader="dot"/>
            </w:tabs>
            <w:rPr/>
          </w:pPr>
          <w:hyperlink w:anchor="__RefHeading___Toc5768157_3224264995">
            <w:r>
              <w:rPr>
                <w:webHidden/>
                <w:rStyle w:val="IndexLink"/>
                <w:rtl w:val="true"/>
              </w:rPr>
              <w:t>إذا کانت النسبة بین المتعارضات مختلفة</w:t>
            </w:r>
            <w:r>
              <w:rPr>
                <w:rStyle w:val="IndexLink"/>
                <w:rtl w:val="true"/>
              </w:rPr>
              <w:t>:</w:t>
              <w:tab/>
            </w:r>
            <w:r>
              <w:rPr>
                <w:rStyle w:val="IndexLink"/>
              </w:rPr>
              <w:t>537</w:t>
            </w:r>
          </w:hyperlink>
        </w:p>
        <w:p>
          <w:pPr>
            <w:pStyle w:val="Contents6"/>
            <w:tabs>
              <w:tab w:val="clear" w:pos="7609"/>
              <w:tab w:val="right" w:pos="9026" w:leader="dot"/>
            </w:tabs>
            <w:rPr/>
          </w:pPr>
          <w:hyperlink w:anchor="__RefHeading___Toc5768159_3224264995">
            <w:r>
              <w:rPr>
                <w:webHidden/>
                <w:rStyle w:val="IndexLink"/>
                <w:rtl w:val="true"/>
              </w:rPr>
              <w:t>المرجّحات الاخری</w:t>
            </w:r>
            <w:r>
              <w:rPr>
                <w:rStyle w:val="IndexLink"/>
                <w:rtl w:val="true"/>
              </w:rPr>
              <w:tab/>
            </w:r>
            <w:r>
              <w:rPr>
                <w:rStyle w:val="IndexLink"/>
              </w:rPr>
              <w:t>539</w:t>
            </w:r>
          </w:hyperlink>
        </w:p>
        <w:p>
          <w:pPr>
            <w:pStyle w:val="Contents6"/>
            <w:tabs>
              <w:tab w:val="clear" w:pos="7609"/>
              <w:tab w:val="right" w:pos="9026" w:leader="dot"/>
            </w:tabs>
            <w:rPr/>
          </w:pPr>
          <w:hyperlink w:anchor="__RefHeading___Toc5768161_3224264995">
            <w:r>
              <w:rPr>
                <w:webHidden/>
                <w:rStyle w:val="IndexLink"/>
                <w:rtl w:val="true"/>
              </w:rPr>
              <w:t>المرجّحات السندیّة</w:t>
            </w:r>
            <w:r>
              <w:rPr>
                <w:rStyle w:val="IndexLink"/>
                <w:rtl w:val="true"/>
              </w:rPr>
              <w:tab/>
            </w:r>
            <w:r>
              <w:rPr>
                <w:rStyle w:val="IndexLink"/>
              </w:rPr>
              <w:t>540</w:t>
            </w:r>
          </w:hyperlink>
        </w:p>
        <w:p>
          <w:pPr>
            <w:pStyle w:val="Contents6"/>
            <w:tabs>
              <w:tab w:val="clear" w:pos="7609"/>
              <w:tab w:val="right" w:pos="9026" w:leader="dot"/>
            </w:tabs>
            <w:rPr/>
          </w:pPr>
          <w:hyperlink w:anchor="__RefHeading___Toc5768163_3224264995">
            <w:r>
              <w:rPr>
                <w:webHidden/>
                <w:rStyle w:val="IndexLink"/>
              </w:rPr>
              <w:t>1</w:t>
            </w:r>
            <w:r>
              <w:rPr>
                <w:rStyle w:val="IndexLink"/>
                <w:rtl w:val="true"/>
              </w:rPr>
              <w:t>-</w:t>
            </w:r>
            <w:r>
              <w:rPr>
                <w:rStyle w:val="IndexLink"/>
                <w:rtl w:val="true"/>
              </w:rPr>
              <w:t>العدالة</w:t>
            </w:r>
            <w:r>
              <w:rPr>
                <w:rStyle w:val="IndexLink"/>
                <w:rtl w:val="true"/>
              </w:rPr>
              <w:t>:</w:t>
              <w:tab/>
            </w:r>
            <w:r>
              <w:rPr>
                <w:rStyle w:val="IndexLink"/>
              </w:rPr>
              <w:t>540</w:t>
            </w:r>
          </w:hyperlink>
        </w:p>
        <w:p>
          <w:pPr>
            <w:pStyle w:val="Contents6"/>
            <w:tabs>
              <w:tab w:val="clear" w:pos="7609"/>
              <w:tab w:val="right" w:pos="9026" w:leader="dot"/>
            </w:tabs>
            <w:rPr/>
          </w:pPr>
          <w:hyperlink w:anchor="__RefHeading___Toc5768165_3224264995">
            <w:r>
              <w:rPr>
                <w:webHidden/>
                <w:rStyle w:val="IndexLink"/>
              </w:rPr>
              <w:t>2</w:t>
            </w:r>
            <w:r>
              <w:rPr>
                <w:rStyle w:val="IndexLink"/>
                <w:rtl w:val="true"/>
              </w:rPr>
              <w:t>-</w:t>
            </w:r>
            <w:r>
              <w:rPr>
                <w:rStyle w:val="IndexLink"/>
                <w:rtl w:val="true"/>
              </w:rPr>
              <w:t>الأعدلیّة</w:t>
            </w:r>
            <w:r>
              <w:rPr>
                <w:rStyle w:val="IndexLink"/>
                <w:rtl w:val="true"/>
              </w:rPr>
              <w:t>:</w:t>
              <w:tab/>
            </w:r>
            <w:r>
              <w:rPr>
                <w:rStyle w:val="IndexLink"/>
              </w:rPr>
              <w:t>540</w:t>
            </w:r>
          </w:hyperlink>
        </w:p>
        <w:p>
          <w:pPr>
            <w:pStyle w:val="Contents6"/>
            <w:tabs>
              <w:tab w:val="clear" w:pos="7609"/>
              <w:tab w:val="right" w:pos="9026" w:leader="dot"/>
            </w:tabs>
            <w:rPr/>
          </w:pPr>
          <w:hyperlink w:anchor="__RefHeading___Toc5768167_3224264995">
            <w:r>
              <w:rPr>
                <w:webHidden/>
                <w:rStyle w:val="IndexLink"/>
              </w:rPr>
              <w:t>3</w:t>
            </w:r>
            <w:r>
              <w:rPr>
                <w:rStyle w:val="IndexLink"/>
                <w:rtl w:val="true"/>
              </w:rPr>
              <w:t>-</w:t>
            </w:r>
            <w:r>
              <w:rPr>
                <w:rStyle w:val="IndexLink"/>
                <w:rtl w:val="true"/>
              </w:rPr>
              <w:t>الأصدقیّة</w:t>
            </w:r>
            <w:r>
              <w:rPr>
                <w:rStyle w:val="IndexLink"/>
                <w:rtl w:val="true"/>
              </w:rPr>
              <w:t>:</w:t>
              <w:tab/>
            </w:r>
            <w:r>
              <w:rPr>
                <w:rStyle w:val="IndexLink"/>
              </w:rPr>
              <w:t>540</w:t>
            </w:r>
          </w:hyperlink>
        </w:p>
        <w:p>
          <w:pPr>
            <w:pStyle w:val="Contents6"/>
            <w:tabs>
              <w:tab w:val="clear" w:pos="7609"/>
              <w:tab w:val="right" w:pos="9026" w:leader="dot"/>
            </w:tabs>
            <w:rPr/>
          </w:pPr>
          <w:hyperlink w:anchor="__RefHeading___Toc5768169_3224264995">
            <w:r>
              <w:rPr>
                <w:webHidden/>
                <w:rStyle w:val="IndexLink"/>
              </w:rPr>
              <w:t>4</w:t>
            </w:r>
            <w:r>
              <w:rPr>
                <w:rStyle w:val="IndexLink"/>
                <w:rtl w:val="true"/>
              </w:rPr>
              <w:t>-</w:t>
            </w:r>
            <w:r>
              <w:rPr>
                <w:rStyle w:val="IndexLink"/>
                <w:rtl w:val="true"/>
              </w:rPr>
              <w:t>علوّ الإسناد</w:t>
            </w:r>
            <w:r>
              <w:rPr>
                <w:rStyle w:val="IndexLink"/>
                <w:rtl w:val="true"/>
              </w:rPr>
              <w:t>:</w:t>
              <w:tab/>
            </w:r>
            <w:r>
              <w:rPr>
                <w:rStyle w:val="IndexLink"/>
              </w:rPr>
              <w:t>541</w:t>
            </w:r>
          </w:hyperlink>
        </w:p>
        <w:p>
          <w:pPr>
            <w:pStyle w:val="Contents6"/>
            <w:tabs>
              <w:tab w:val="clear" w:pos="7609"/>
              <w:tab w:val="right" w:pos="9026" w:leader="dot"/>
            </w:tabs>
            <w:rPr/>
          </w:pPr>
          <w:hyperlink w:anchor="__RefHeading___Toc5768171_3224264995">
            <w:r>
              <w:rPr>
                <w:webHidden/>
                <w:rStyle w:val="IndexLink"/>
              </w:rPr>
              <w:t>5</w:t>
            </w:r>
            <w:r>
              <w:rPr>
                <w:rStyle w:val="IndexLink"/>
                <w:rtl w:val="true"/>
              </w:rPr>
              <w:t>-</w:t>
            </w:r>
            <w:r>
              <w:rPr>
                <w:rStyle w:val="IndexLink"/>
                <w:rtl w:val="true"/>
              </w:rPr>
              <w:t>المسندیّة</w:t>
            </w:r>
            <w:r>
              <w:rPr>
                <w:rStyle w:val="IndexLink"/>
                <w:rtl w:val="true"/>
              </w:rPr>
              <w:t>:</w:t>
              <w:tab/>
            </w:r>
            <w:r>
              <w:rPr>
                <w:rStyle w:val="IndexLink"/>
              </w:rPr>
              <w:t>541</w:t>
            </w:r>
          </w:hyperlink>
        </w:p>
        <w:p>
          <w:pPr>
            <w:pStyle w:val="Contents6"/>
            <w:tabs>
              <w:tab w:val="clear" w:pos="7609"/>
              <w:tab w:val="right" w:pos="9026" w:leader="dot"/>
            </w:tabs>
            <w:rPr/>
          </w:pPr>
          <w:hyperlink w:anchor="__RefHeading___Toc5768173_3224264995">
            <w:r>
              <w:rPr>
                <w:webHidden/>
                <w:rStyle w:val="IndexLink"/>
              </w:rPr>
              <w:t>6</w:t>
            </w:r>
            <w:r>
              <w:rPr>
                <w:rStyle w:val="IndexLink"/>
                <w:rtl w:val="true"/>
              </w:rPr>
              <w:t>-</w:t>
            </w:r>
            <w:r>
              <w:rPr>
                <w:rStyle w:val="IndexLink"/>
                <w:rtl w:val="true"/>
              </w:rPr>
              <w:t>تعدّد الراوی</w:t>
            </w:r>
            <w:r>
              <w:rPr>
                <w:rStyle w:val="IndexLink"/>
                <w:rtl w:val="true"/>
              </w:rPr>
              <w:t>:</w:t>
              <w:tab/>
            </w:r>
            <w:r>
              <w:rPr>
                <w:rStyle w:val="IndexLink"/>
              </w:rPr>
              <w:t>541</w:t>
            </w:r>
          </w:hyperlink>
        </w:p>
        <w:p>
          <w:pPr>
            <w:pStyle w:val="Contents6"/>
            <w:tabs>
              <w:tab w:val="clear" w:pos="7609"/>
              <w:tab w:val="right" w:pos="9026" w:leader="dot"/>
            </w:tabs>
            <w:rPr/>
          </w:pPr>
          <w:hyperlink w:anchor="__RefHeading___Toc5768175_3224264995">
            <w:r>
              <w:rPr>
                <w:webHidden/>
                <w:rStyle w:val="IndexLink"/>
              </w:rPr>
              <w:t>7</w:t>
            </w:r>
            <w:r>
              <w:rPr>
                <w:rStyle w:val="IndexLink"/>
                <w:rtl w:val="true"/>
              </w:rPr>
              <w:t>-</w:t>
            </w:r>
            <w:r>
              <w:rPr>
                <w:rStyle w:val="IndexLink"/>
                <w:rtl w:val="true"/>
              </w:rPr>
              <w:t>أعلائیّة طریق التحمّل</w:t>
            </w:r>
            <w:r>
              <w:rPr>
                <w:rStyle w:val="IndexLink"/>
                <w:rtl w:val="true"/>
              </w:rPr>
              <w:t>:</w:t>
              <w:tab/>
            </w:r>
            <w:r>
              <w:rPr>
                <w:rStyle w:val="IndexLink"/>
              </w:rPr>
              <w:t>541</w:t>
            </w:r>
          </w:hyperlink>
        </w:p>
        <w:p>
          <w:pPr>
            <w:pStyle w:val="Contents6"/>
            <w:tabs>
              <w:tab w:val="clear" w:pos="7609"/>
              <w:tab w:val="right" w:pos="9026" w:leader="dot"/>
            </w:tabs>
            <w:rPr/>
          </w:pPr>
          <w:hyperlink w:anchor="__RefHeading___Toc5768177_3224264995">
            <w:r>
              <w:rPr>
                <w:webHidden/>
                <w:rStyle w:val="IndexLink"/>
                <w:rtl w:val="true"/>
              </w:rPr>
              <w:t>ما تخلیه بعض</w:t>
            </w:r>
            <w:r>
              <w:rPr>
                <w:rStyle w:val="IndexLink"/>
                <w:rtl w:val="true"/>
              </w:rPr>
              <w:tab/>
            </w:r>
            <w:r>
              <w:rPr>
                <w:rStyle w:val="IndexLink"/>
              </w:rPr>
              <w:t>542</w:t>
            </w:r>
          </w:hyperlink>
        </w:p>
        <w:p>
          <w:pPr>
            <w:pStyle w:val="Contents6"/>
            <w:tabs>
              <w:tab w:val="clear" w:pos="7609"/>
              <w:tab w:val="right" w:pos="9026" w:leader="dot"/>
            </w:tabs>
            <w:rPr/>
          </w:pPr>
          <w:hyperlink w:anchor="__RefHeading___Toc5768179_3224264995">
            <w:r>
              <w:rPr>
                <w:webHidden/>
                <w:rStyle w:val="IndexLink"/>
                <w:rtl w:val="true"/>
              </w:rPr>
              <w:t>دفع التخیل المذکور</w:t>
            </w:r>
            <w:r>
              <w:rPr>
                <w:rStyle w:val="IndexLink"/>
                <w:rtl w:val="true"/>
              </w:rPr>
              <w:tab/>
            </w:r>
            <w:r>
              <w:rPr>
                <w:rStyle w:val="IndexLink"/>
              </w:rPr>
              <w:t>542</w:t>
            </w:r>
          </w:hyperlink>
        </w:p>
        <w:p>
          <w:pPr>
            <w:pStyle w:val="Contents6"/>
            <w:tabs>
              <w:tab w:val="clear" w:pos="7609"/>
              <w:tab w:val="right" w:pos="9026" w:leader="dot"/>
            </w:tabs>
            <w:rPr/>
          </w:pPr>
          <w:hyperlink w:anchor="__RefHeading___Toc5768181_3224264995">
            <w:r>
              <w:rPr>
                <w:webHidden/>
                <w:rStyle w:val="IndexLink"/>
                <w:rtl w:val="true"/>
              </w:rPr>
              <w:t>المرجّحات المتنیّة</w:t>
            </w:r>
            <w:r>
              <w:rPr>
                <w:rStyle w:val="IndexLink"/>
                <w:rtl w:val="true"/>
              </w:rPr>
              <w:tab/>
            </w:r>
            <w:r>
              <w:rPr>
                <w:rStyle w:val="IndexLink"/>
              </w:rPr>
              <w:t>543</w:t>
            </w:r>
          </w:hyperlink>
        </w:p>
        <w:p>
          <w:pPr>
            <w:pStyle w:val="Contents6"/>
            <w:tabs>
              <w:tab w:val="clear" w:pos="7609"/>
              <w:tab w:val="right" w:pos="9026" w:leader="dot"/>
            </w:tabs>
            <w:rPr/>
          </w:pPr>
          <w:hyperlink w:anchor="__RefHeading___Toc5768183_3224264995">
            <w:r>
              <w:rPr>
                <w:webHidden/>
                <w:rStyle w:val="IndexLink"/>
              </w:rPr>
              <w:t>1</w:t>
            </w:r>
            <w:r>
              <w:rPr>
                <w:rStyle w:val="IndexLink"/>
                <w:rtl w:val="true"/>
              </w:rPr>
              <w:t>-</w:t>
            </w:r>
            <w:r>
              <w:rPr>
                <w:rStyle w:val="IndexLink"/>
                <w:rtl w:val="true"/>
              </w:rPr>
              <w:t>الفصاحة</w:t>
            </w:r>
            <w:r>
              <w:rPr>
                <w:rStyle w:val="IndexLink"/>
                <w:rtl w:val="true"/>
              </w:rPr>
              <w:t>:</w:t>
              <w:tab/>
            </w:r>
            <w:r>
              <w:rPr>
                <w:rStyle w:val="IndexLink"/>
              </w:rPr>
              <w:t>543</w:t>
            </w:r>
          </w:hyperlink>
        </w:p>
        <w:p>
          <w:pPr>
            <w:pStyle w:val="Contents6"/>
            <w:tabs>
              <w:tab w:val="clear" w:pos="7609"/>
              <w:tab w:val="right" w:pos="9026" w:leader="dot"/>
            </w:tabs>
            <w:rPr/>
          </w:pPr>
          <w:hyperlink w:anchor="__RefHeading___Toc5768185_3224264995">
            <w:r>
              <w:rPr>
                <w:webHidden/>
                <w:rStyle w:val="IndexLink"/>
              </w:rPr>
              <w:t>2</w:t>
            </w:r>
            <w:r>
              <w:rPr>
                <w:rStyle w:val="IndexLink"/>
                <w:rtl w:val="true"/>
              </w:rPr>
              <w:t>-</w:t>
            </w:r>
            <w:r>
              <w:rPr>
                <w:rStyle w:val="IndexLink"/>
                <w:rtl w:val="true"/>
              </w:rPr>
              <w:t>الأفصحیّة</w:t>
            </w:r>
            <w:r>
              <w:rPr>
                <w:rStyle w:val="IndexLink"/>
                <w:rtl w:val="true"/>
              </w:rPr>
              <w:t>:</w:t>
              <w:tab/>
            </w:r>
            <w:r>
              <w:rPr>
                <w:rStyle w:val="IndexLink"/>
              </w:rPr>
              <w:t>543</w:t>
            </w:r>
          </w:hyperlink>
        </w:p>
        <w:p>
          <w:pPr>
            <w:pStyle w:val="Contents6"/>
            <w:tabs>
              <w:tab w:val="clear" w:pos="7609"/>
              <w:tab w:val="right" w:pos="9026" w:leader="dot"/>
            </w:tabs>
            <w:rPr/>
          </w:pPr>
          <w:hyperlink w:anchor="__RefHeading___Toc5768187_3224264995">
            <w:r>
              <w:rPr>
                <w:webHidden/>
                <w:rStyle w:val="IndexLink"/>
              </w:rPr>
              <w:t>3</w:t>
            </w:r>
            <w:r>
              <w:rPr>
                <w:rStyle w:val="IndexLink"/>
                <w:rtl w:val="true"/>
              </w:rPr>
              <w:t>-</w:t>
            </w:r>
            <w:r>
              <w:rPr>
                <w:rStyle w:val="IndexLink"/>
                <w:rtl w:val="true"/>
              </w:rPr>
              <w:t>استقامة المتن</w:t>
            </w:r>
            <w:r>
              <w:rPr>
                <w:rStyle w:val="IndexLink"/>
                <w:rtl w:val="true"/>
              </w:rPr>
              <w:t>:</w:t>
              <w:tab/>
            </w:r>
            <w:r>
              <w:rPr>
                <w:rStyle w:val="IndexLink"/>
              </w:rPr>
              <w:t>544</w:t>
            </w:r>
          </w:hyperlink>
        </w:p>
        <w:p>
          <w:pPr>
            <w:pStyle w:val="Contents6"/>
            <w:tabs>
              <w:tab w:val="clear" w:pos="7609"/>
              <w:tab w:val="right" w:pos="9026" w:leader="dot"/>
            </w:tabs>
            <w:rPr/>
          </w:pPr>
          <w:hyperlink w:anchor="__RefHeading___Toc5768189_3224264995">
            <w:r>
              <w:rPr>
                <w:webHidden/>
                <w:rStyle w:val="IndexLink"/>
                <w:rtl w:val="true"/>
              </w:rPr>
              <w:t>المرجّحات الجهتیّة</w:t>
            </w:r>
            <w:r>
              <w:rPr>
                <w:rStyle w:val="IndexLink"/>
                <w:rtl w:val="true"/>
              </w:rPr>
              <w:tab/>
            </w:r>
            <w:r>
              <w:rPr>
                <w:rStyle w:val="IndexLink"/>
              </w:rPr>
              <w:t>545</w:t>
            </w:r>
          </w:hyperlink>
        </w:p>
        <w:p>
          <w:pPr>
            <w:pStyle w:val="Contents6"/>
            <w:tabs>
              <w:tab w:val="clear" w:pos="7609"/>
              <w:tab w:val="right" w:pos="9026" w:leader="dot"/>
            </w:tabs>
            <w:rPr/>
          </w:pPr>
          <w:hyperlink w:anchor="__RefHeading___Toc5768191_3224264995">
            <w:r>
              <w:rPr>
                <w:webHidden/>
                <w:rStyle w:val="IndexLink"/>
                <w:rtl w:val="true"/>
              </w:rPr>
              <w:t>التقیّة و غیرها من المصالح</w:t>
            </w:r>
            <w:r>
              <w:rPr>
                <w:rStyle w:val="IndexLink"/>
                <w:rtl w:val="true"/>
              </w:rPr>
              <w:t>:</w:t>
              <w:tab/>
            </w:r>
            <w:r>
              <w:rPr>
                <w:rStyle w:val="IndexLink"/>
              </w:rPr>
              <w:t>545</w:t>
            </w:r>
          </w:hyperlink>
        </w:p>
        <w:p>
          <w:pPr>
            <w:pStyle w:val="Contents6"/>
            <w:tabs>
              <w:tab w:val="clear" w:pos="7609"/>
              <w:tab w:val="right" w:pos="9026" w:leader="dot"/>
            </w:tabs>
            <w:rPr/>
          </w:pPr>
          <w:hyperlink w:anchor="__RefHeading___Toc5768193_3224264995">
            <w:r>
              <w:rPr>
                <w:webHidden/>
                <w:rStyle w:val="IndexLink"/>
                <w:rtl w:val="true"/>
              </w:rPr>
              <w:t>الترجیح بمخالفة العامّة</w:t>
            </w:r>
            <w:r>
              <w:rPr>
                <w:rStyle w:val="IndexLink"/>
                <w:rtl w:val="true"/>
              </w:rPr>
              <w:t>:</w:t>
              <w:tab/>
            </w:r>
            <w:r>
              <w:rPr>
                <w:rStyle w:val="IndexLink"/>
              </w:rPr>
              <w:t>546</w:t>
            </w:r>
          </w:hyperlink>
        </w:p>
        <w:p>
          <w:pPr>
            <w:pStyle w:val="Contents6"/>
            <w:tabs>
              <w:tab w:val="clear" w:pos="7609"/>
              <w:tab w:val="right" w:pos="9026" w:leader="dot"/>
            </w:tabs>
            <w:rPr/>
          </w:pPr>
          <w:hyperlink w:anchor="__RefHeading___Toc5768195_3224264995">
            <w:r>
              <w:rPr>
                <w:webHidden/>
                <w:rStyle w:val="IndexLink"/>
                <w:rtl w:val="true"/>
              </w:rPr>
              <w:t>الوجوه المحتملة فی الترجیح بمخالفة العامّة</w:t>
            </w:r>
            <w:r>
              <w:rPr>
                <w:rStyle w:val="IndexLink"/>
                <w:rtl w:val="true"/>
              </w:rPr>
              <w:t>:</w:t>
              <w:tab/>
            </w:r>
            <w:r>
              <w:rPr>
                <w:rStyle w:val="IndexLink"/>
              </w:rPr>
              <w:t>547</w:t>
            </w:r>
          </w:hyperlink>
        </w:p>
        <w:p>
          <w:pPr>
            <w:pStyle w:val="Contents6"/>
            <w:tabs>
              <w:tab w:val="clear" w:pos="7609"/>
              <w:tab w:val="right" w:pos="9026" w:leader="dot"/>
            </w:tabs>
            <w:rPr/>
          </w:pPr>
          <w:hyperlink w:anchor="__RefHeading___Toc5768197_3224264995">
            <w:r>
              <w:rPr>
                <w:webHidden/>
                <w:rStyle w:val="IndexLink"/>
                <w:rtl w:val="true"/>
              </w:rPr>
              <w:t>الأوّل</w:t>
            </w:r>
            <w:r>
              <w:rPr>
                <w:rStyle w:val="IndexLink"/>
                <w:rtl w:val="true"/>
              </w:rPr>
              <w:t>:</w:t>
            </w:r>
            <w:r>
              <w:rPr>
                <w:rStyle w:val="IndexLink"/>
                <w:rtl w:val="true"/>
              </w:rPr>
              <w:t>مجرّد التعبّد</w:t>
            </w:r>
            <w:r>
              <w:rPr>
                <w:rStyle w:val="IndexLink"/>
                <w:rtl w:val="true"/>
              </w:rPr>
              <w:tab/>
            </w:r>
            <w:r>
              <w:rPr>
                <w:rStyle w:val="IndexLink"/>
              </w:rPr>
              <w:t>547</w:t>
            </w:r>
          </w:hyperlink>
        </w:p>
        <w:p>
          <w:pPr>
            <w:pStyle w:val="Contents6"/>
            <w:tabs>
              <w:tab w:val="clear" w:pos="7609"/>
              <w:tab w:val="right" w:pos="9026" w:leader="dot"/>
            </w:tabs>
            <w:rPr/>
          </w:pPr>
          <w:hyperlink w:anchor="__RefHeading___Toc5768199_3224264995">
            <w:r>
              <w:rPr>
                <w:webHidden/>
                <w:rStyle w:val="IndexLink"/>
                <w:rtl w:val="true"/>
              </w:rPr>
              <w:t>الثانی</w:t>
            </w:r>
            <w:r>
              <w:rPr>
                <w:rStyle w:val="IndexLink"/>
                <w:rtl w:val="true"/>
              </w:rPr>
              <w:t>:</w:t>
            </w:r>
            <w:r>
              <w:rPr>
                <w:rStyle w:val="IndexLink"/>
                <w:rtl w:val="true"/>
              </w:rPr>
              <w:t>کون الرشد فی خلافهم</w:t>
            </w:r>
            <w:r>
              <w:rPr>
                <w:rStyle w:val="IndexLink"/>
                <w:rtl w:val="true"/>
              </w:rPr>
              <w:tab/>
            </w:r>
            <w:r>
              <w:rPr>
                <w:rStyle w:val="IndexLink"/>
              </w:rPr>
              <w:t>547</w:t>
            </w:r>
          </w:hyperlink>
        </w:p>
        <w:p>
          <w:pPr>
            <w:pStyle w:val="Contents6"/>
            <w:tabs>
              <w:tab w:val="clear" w:pos="7609"/>
              <w:tab w:val="right" w:pos="9026" w:leader="dot"/>
            </w:tabs>
            <w:rPr/>
          </w:pPr>
          <w:hyperlink w:anchor="__RefHeading___Toc5768201_3224264995">
            <w:r>
              <w:rPr>
                <w:webHidden/>
                <w:rStyle w:val="IndexLink"/>
                <w:rtl w:val="true"/>
              </w:rPr>
              <w:t>الثالث</w:t>
            </w:r>
            <w:r>
              <w:rPr>
                <w:rStyle w:val="IndexLink"/>
                <w:rtl w:val="true"/>
              </w:rPr>
              <w:t>:</w:t>
            </w:r>
            <w:r>
              <w:rPr>
                <w:rStyle w:val="IndexLink"/>
                <w:rtl w:val="true"/>
              </w:rPr>
              <w:t>حسن مجرّد المخالفة لهم</w:t>
            </w:r>
            <w:r>
              <w:rPr>
                <w:rStyle w:val="IndexLink"/>
                <w:rtl w:val="true"/>
              </w:rPr>
              <w:tab/>
            </w:r>
            <w:r>
              <w:rPr>
                <w:rStyle w:val="IndexLink"/>
              </w:rPr>
              <w:t>548</w:t>
            </w:r>
          </w:hyperlink>
        </w:p>
        <w:p>
          <w:pPr>
            <w:pStyle w:val="Contents6"/>
            <w:tabs>
              <w:tab w:val="clear" w:pos="7609"/>
              <w:tab w:val="right" w:pos="9026" w:leader="dot"/>
            </w:tabs>
            <w:rPr/>
          </w:pPr>
          <w:hyperlink w:anchor="__RefHeading___Toc5768203_3224264995">
            <w:r>
              <w:rPr>
                <w:webHidden/>
                <w:rStyle w:val="IndexLink"/>
                <w:rtl w:val="true"/>
              </w:rPr>
              <w:t>الرابع</w:t>
            </w:r>
            <w:r>
              <w:rPr>
                <w:rStyle w:val="IndexLink"/>
                <w:rtl w:val="true"/>
              </w:rPr>
              <w:t>:</w:t>
            </w:r>
            <w:r>
              <w:rPr>
                <w:rStyle w:val="IndexLink"/>
                <w:rtl w:val="true"/>
              </w:rPr>
              <w:t>الحکم بصدور الموافق تقیّة</w:t>
            </w:r>
            <w:r>
              <w:rPr>
                <w:rStyle w:val="IndexLink"/>
                <w:rtl w:val="true"/>
              </w:rPr>
              <w:t>.</w:t>
              <w:tab/>
            </w:r>
            <w:r>
              <w:rPr>
                <w:rStyle w:val="IndexLink"/>
              </w:rPr>
              <w:t>548</w:t>
            </w:r>
          </w:hyperlink>
        </w:p>
        <w:p>
          <w:pPr>
            <w:pStyle w:val="Contents6"/>
            <w:tabs>
              <w:tab w:val="clear" w:pos="7609"/>
              <w:tab w:val="right" w:pos="9026" w:leader="dot"/>
            </w:tabs>
            <w:rPr/>
          </w:pPr>
          <w:hyperlink w:anchor="__RefHeading___Toc5768205_3224264995">
            <w:r>
              <w:rPr>
                <w:webHidden/>
                <w:rStyle w:val="IndexLink"/>
                <w:rtl w:val="true"/>
              </w:rPr>
              <w:t>ضعف الوجه الأوّل</w:t>
            </w:r>
            <w:r>
              <w:rPr>
                <w:rStyle w:val="IndexLink"/>
                <w:rtl w:val="true"/>
              </w:rPr>
              <w:t>:</w:t>
              <w:tab/>
            </w:r>
            <w:r>
              <w:rPr>
                <w:rStyle w:val="IndexLink"/>
              </w:rPr>
              <w:t>549</w:t>
            </w:r>
          </w:hyperlink>
        </w:p>
        <w:p>
          <w:pPr>
            <w:pStyle w:val="Contents6"/>
            <w:tabs>
              <w:tab w:val="clear" w:pos="7609"/>
              <w:tab w:val="right" w:pos="9026" w:leader="dot"/>
            </w:tabs>
            <w:rPr/>
          </w:pPr>
          <w:hyperlink w:anchor="__RefHeading___Toc5768207_3224264995">
            <w:r>
              <w:rPr>
                <w:webHidden/>
                <w:rStyle w:val="IndexLink"/>
                <w:rtl w:val="true"/>
              </w:rPr>
              <w:t>ضعف الوجه الثالث</w:t>
            </w:r>
            <w:r>
              <w:rPr>
                <w:rStyle w:val="IndexLink"/>
                <w:rtl w:val="true"/>
              </w:rPr>
              <w:t>:</w:t>
              <w:tab/>
            </w:r>
            <w:r>
              <w:rPr>
                <w:rStyle w:val="IndexLink"/>
              </w:rPr>
              <w:t>549</w:t>
            </w:r>
          </w:hyperlink>
        </w:p>
        <w:p>
          <w:pPr>
            <w:pStyle w:val="Contents6"/>
            <w:tabs>
              <w:tab w:val="clear" w:pos="7609"/>
              <w:tab w:val="right" w:pos="9026" w:leader="dot"/>
            </w:tabs>
            <w:rPr/>
          </w:pPr>
          <w:hyperlink w:anchor="__RefHeading___Toc5768209_3224264995">
            <w:r>
              <w:rPr>
                <w:webHidden/>
                <w:rStyle w:val="IndexLink"/>
                <w:rtl w:val="true"/>
              </w:rPr>
              <w:t>تعیّن الوجه الثانی أو الرابع</w:t>
            </w:r>
            <w:r>
              <w:rPr>
                <w:rStyle w:val="IndexLink"/>
                <w:rtl w:val="true"/>
              </w:rPr>
              <w:t>:</w:t>
              <w:tab/>
            </w:r>
            <w:r>
              <w:rPr>
                <w:rStyle w:val="IndexLink"/>
              </w:rPr>
              <w:t>549</w:t>
            </w:r>
          </w:hyperlink>
        </w:p>
        <w:p>
          <w:pPr>
            <w:pStyle w:val="Contents6"/>
            <w:tabs>
              <w:tab w:val="clear" w:pos="7609"/>
              <w:tab w:val="right" w:pos="9026" w:leader="dot"/>
            </w:tabs>
            <w:rPr/>
          </w:pPr>
          <w:hyperlink w:anchor="__RefHeading___Toc5768211_3224264995">
            <w:r>
              <w:rPr>
                <w:webHidden/>
                <w:rStyle w:val="IndexLink"/>
                <w:rtl w:val="true"/>
              </w:rPr>
              <w:t>الإشکال علی الوجه الثانی</w:t>
            </w:r>
            <w:r>
              <w:rPr>
                <w:rStyle w:val="IndexLink"/>
                <w:rtl w:val="true"/>
              </w:rPr>
              <w:t>:</w:t>
              <w:tab/>
            </w:r>
            <w:r>
              <w:rPr>
                <w:rStyle w:val="IndexLink"/>
              </w:rPr>
              <w:t>549</w:t>
            </w:r>
          </w:hyperlink>
        </w:p>
        <w:p>
          <w:pPr>
            <w:pStyle w:val="Contents6"/>
            <w:tabs>
              <w:tab w:val="clear" w:pos="7609"/>
              <w:tab w:val="right" w:pos="9026" w:leader="dot"/>
            </w:tabs>
            <w:rPr/>
          </w:pPr>
          <w:hyperlink w:anchor="__RefHeading___Toc5768213_3224264995">
            <w:r>
              <w:rPr>
                <w:webHidden/>
                <w:rStyle w:val="IndexLink"/>
                <w:rtl w:val="true"/>
              </w:rPr>
              <w:t>الإشکال علی الوجه الرابع</w:t>
            </w:r>
            <w:r>
              <w:rPr>
                <w:rStyle w:val="IndexLink"/>
                <w:rtl w:val="true"/>
              </w:rPr>
              <w:t>:</w:t>
              <w:tab/>
            </w:r>
            <w:r>
              <w:rPr>
                <w:rStyle w:val="IndexLink"/>
              </w:rPr>
              <w:t>550</w:t>
            </w:r>
          </w:hyperlink>
        </w:p>
        <w:p>
          <w:pPr>
            <w:pStyle w:val="Contents6"/>
            <w:tabs>
              <w:tab w:val="clear" w:pos="7609"/>
              <w:tab w:val="right" w:pos="9026" w:leader="dot"/>
            </w:tabs>
            <w:rPr/>
          </w:pPr>
          <w:hyperlink w:anchor="__RefHeading___Toc5768215_3224264995">
            <w:r>
              <w:rPr>
                <w:webHidden/>
                <w:rStyle w:val="IndexLink"/>
                <w:rtl w:val="true"/>
              </w:rPr>
              <w:t>توجیه الوجه الثانی</w:t>
            </w:r>
            <w:r>
              <w:rPr>
                <w:rStyle w:val="IndexLink"/>
                <w:rtl w:val="true"/>
              </w:rPr>
              <w:t>:</w:t>
              <w:tab/>
            </w:r>
            <w:r>
              <w:rPr>
                <w:rStyle w:val="IndexLink"/>
              </w:rPr>
              <w:t>550</w:t>
            </w:r>
          </w:hyperlink>
        </w:p>
        <w:p>
          <w:pPr>
            <w:pStyle w:val="Contents6"/>
            <w:tabs>
              <w:tab w:val="clear" w:pos="7609"/>
              <w:tab w:val="right" w:pos="9026" w:leader="dot"/>
            </w:tabs>
            <w:rPr/>
          </w:pPr>
          <w:hyperlink w:anchor="__RefHeading___Toc5768217_3224264995">
            <w:r>
              <w:rPr>
                <w:webHidden/>
                <w:rStyle w:val="IndexLink"/>
                <w:rtl w:val="true"/>
              </w:rPr>
              <w:t>توجیه الوجه الرابع</w:t>
            </w:r>
            <w:r>
              <w:rPr>
                <w:rStyle w:val="IndexLink"/>
                <w:rtl w:val="true"/>
              </w:rPr>
              <w:t>:</w:t>
              <w:tab/>
            </w:r>
            <w:r>
              <w:rPr>
                <w:rStyle w:val="IndexLink"/>
              </w:rPr>
              <w:t>551</w:t>
            </w:r>
          </w:hyperlink>
        </w:p>
        <w:p>
          <w:pPr>
            <w:pStyle w:val="Contents6"/>
            <w:tabs>
              <w:tab w:val="clear" w:pos="7609"/>
              <w:tab w:val="right" w:pos="9026" w:leader="dot"/>
            </w:tabs>
            <w:rPr/>
          </w:pPr>
          <w:hyperlink w:anchor="__RefHeading___Toc5768219_3224264995">
            <w:r>
              <w:rPr>
                <w:webHidden/>
                <w:rStyle w:val="IndexLink"/>
                <w:rtl w:val="true"/>
              </w:rPr>
              <w:t>تلخیص ما ذکرنا</w:t>
            </w:r>
            <w:r>
              <w:rPr>
                <w:rStyle w:val="IndexLink"/>
                <w:rtl w:val="true"/>
              </w:rPr>
              <w:t>:</w:t>
              <w:tab/>
            </w:r>
            <w:r>
              <w:rPr>
                <w:rStyle w:val="IndexLink"/>
              </w:rPr>
              <w:t>553</w:t>
            </w:r>
          </w:hyperlink>
        </w:p>
        <w:p>
          <w:pPr>
            <w:pStyle w:val="Contents6"/>
            <w:tabs>
              <w:tab w:val="clear" w:pos="7609"/>
              <w:tab w:val="right" w:pos="9026" w:leader="dot"/>
            </w:tabs>
            <w:rPr/>
          </w:pPr>
          <w:hyperlink w:anchor="__RefHeading___Toc5768221_3224264995">
            <w:r>
              <w:rPr>
                <w:webHidden/>
                <w:rStyle w:val="IndexLink"/>
                <w:rtl w:val="true"/>
              </w:rPr>
              <w:t>بقی فی هذا المقام امور</w:t>
            </w:r>
            <w:r>
              <w:rPr>
                <w:rStyle w:val="IndexLink"/>
                <w:rtl w:val="true"/>
              </w:rPr>
              <w:t>:</w:t>
              <w:tab/>
            </w:r>
            <w:r>
              <w:rPr>
                <w:rStyle w:val="IndexLink"/>
              </w:rPr>
              <w:t>554</w:t>
            </w:r>
          </w:hyperlink>
        </w:p>
        <w:p>
          <w:pPr>
            <w:pStyle w:val="Contents6"/>
            <w:tabs>
              <w:tab w:val="clear" w:pos="7609"/>
              <w:tab w:val="right" w:pos="9026" w:leader="dot"/>
            </w:tabs>
            <w:rPr/>
          </w:pPr>
          <w:hyperlink w:anchor="__RefHeading___Toc5768223_3224264995">
            <w:r>
              <w:rPr>
                <w:webHidden/>
                <w:rStyle w:val="IndexLink"/>
                <w:rtl w:val="true"/>
              </w:rPr>
              <w:t>الأوّل حمل موارد التقیّة علی التوریة</w:t>
            </w:r>
            <w:r>
              <w:rPr>
                <w:rStyle w:val="IndexLink"/>
                <w:rtl w:val="true"/>
              </w:rPr>
              <w:t>:</w:t>
              <w:tab/>
            </w:r>
            <w:r>
              <w:rPr>
                <w:rStyle w:val="IndexLink"/>
              </w:rPr>
              <w:t>554</w:t>
            </w:r>
          </w:hyperlink>
        </w:p>
        <w:p>
          <w:pPr>
            <w:pStyle w:val="Contents6"/>
            <w:tabs>
              <w:tab w:val="clear" w:pos="7609"/>
              <w:tab w:val="right" w:pos="9026" w:leader="dot"/>
            </w:tabs>
            <w:rPr/>
          </w:pPr>
          <w:hyperlink w:anchor="__RefHeading___Toc5768225_3224264995">
            <w:r>
              <w:rPr>
                <w:webHidden/>
                <w:rStyle w:val="IndexLink"/>
                <w:rtl w:val="true"/>
              </w:rPr>
              <w:t>الثانی ما أفاده المحدّث البحرانی فی منشأ التقیّة</w:t>
            </w:r>
            <w:r>
              <w:rPr>
                <w:rStyle w:val="IndexLink"/>
                <w:rtl w:val="true"/>
              </w:rPr>
              <w:t>:</w:t>
              <w:tab/>
            </w:r>
            <w:r>
              <w:rPr>
                <w:rStyle w:val="IndexLink"/>
              </w:rPr>
              <w:t>554</w:t>
            </w:r>
          </w:hyperlink>
        </w:p>
        <w:p>
          <w:pPr>
            <w:pStyle w:val="Contents6"/>
            <w:tabs>
              <w:tab w:val="clear" w:pos="7609"/>
              <w:tab w:val="right" w:pos="9026" w:leader="dot"/>
            </w:tabs>
            <w:rPr/>
          </w:pPr>
          <w:hyperlink w:anchor="__RefHeading___Toc5768227_3224264995">
            <w:r>
              <w:rPr>
                <w:webHidden/>
                <w:rStyle w:val="IndexLink"/>
                <w:rtl w:val="true"/>
              </w:rPr>
              <w:t>المناقشة فیما أفاده المحدّث البحرانی</w:t>
            </w:r>
            <w:r>
              <w:rPr>
                <w:rStyle w:val="IndexLink"/>
                <w:rtl w:val="true"/>
              </w:rPr>
              <w:t>:</w:t>
              <w:tab/>
            </w:r>
            <w:r>
              <w:rPr>
                <w:rStyle w:val="IndexLink"/>
              </w:rPr>
              <w:t>555</w:t>
            </w:r>
          </w:hyperlink>
        </w:p>
        <w:p>
          <w:pPr>
            <w:pStyle w:val="Contents6"/>
            <w:tabs>
              <w:tab w:val="clear" w:pos="7609"/>
              <w:tab w:val="right" w:pos="9026" w:leader="dot"/>
            </w:tabs>
            <w:rPr/>
          </w:pPr>
          <w:hyperlink w:anchor="__RefHeading___Toc5768229_3224264995">
            <w:r>
              <w:rPr>
                <w:webHidden/>
                <w:rStyle w:val="IndexLink"/>
                <w:rtl w:val="true"/>
              </w:rPr>
              <w:t>منشأ اختلاف الروایات</w:t>
            </w:r>
            <w:r>
              <w:rPr>
                <w:rStyle w:val="IndexLink"/>
                <w:rtl w:val="true"/>
              </w:rPr>
              <w:t>:</w:t>
              <w:tab/>
            </w:r>
            <w:r>
              <w:rPr>
                <w:rStyle w:val="IndexLink"/>
              </w:rPr>
              <w:t>556</w:t>
            </w:r>
          </w:hyperlink>
        </w:p>
        <w:p>
          <w:pPr>
            <w:pStyle w:val="Contents6"/>
            <w:tabs>
              <w:tab w:val="clear" w:pos="7609"/>
              <w:tab w:val="right" w:pos="9026" w:leader="dot"/>
            </w:tabs>
            <w:rPr/>
          </w:pPr>
          <w:hyperlink w:anchor="__RefHeading___Toc5768231_3224264995">
            <w:r>
              <w:rPr>
                <w:webHidden/>
                <w:rStyle w:val="IndexLink"/>
                <w:rtl w:val="true"/>
              </w:rPr>
              <w:t>إرادة المحامل و التأویلات البعیدة فی الأخبار</w:t>
            </w:r>
            <w:r>
              <w:rPr>
                <w:rStyle w:val="IndexLink"/>
                <w:rtl w:val="true"/>
              </w:rPr>
              <w:t>:</w:t>
              <w:tab/>
            </w:r>
            <w:r>
              <w:rPr>
                <w:rStyle w:val="IndexLink"/>
              </w:rPr>
              <w:t>556</w:t>
            </w:r>
          </w:hyperlink>
        </w:p>
        <w:p>
          <w:pPr>
            <w:pStyle w:val="Contents6"/>
            <w:tabs>
              <w:tab w:val="clear" w:pos="7609"/>
              <w:tab w:val="right" w:pos="9026" w:leader="dot"/>
            </w:tabs>
            <w:rPr/>
          </w:pPr>
          <w:hyperlink w:anchor="__RefHeading___Toc5768233_3224264995">
            <w:r>
              <w:rPr>
                <w:webHidden/>
                <w:rStyle w:val="IndexLink"/>
                <w:rtl w:val="true"/>
              </w:rPr>
              <w:t>الثالث أنواع التقیّة</w:t>
            </w:r>
            <w:r>
              <w:rPr>
                <w:rStyle w:val="IndexLink"/>
                <w:rtl w:val="true"/>
              </w:rPr>
              <w:t>:</w:t>
              <w:tab/>
            </w:r>
            <w:r>
              <w:rPr>
                <w:rStyle w:val="IndexLink"/>
              </w:rPr>
              <w:t>559</w:t>
            </w:r>
          </w:hyperlink>
        </w:p>
        <w:p>
          <w:pPr>
            <w:pStyle w:val="Contents6"/>
            <w:tabs>
              <w:tab w:val="clear" w:pos="7609"/>
              <w:tab w:val="right" w:pos="9026" w:leader="dot"/>
            </w:tabs>
            <w:rPr/>
          </w:pPr>
          <w:hyperlink w:anchor="__RefHeading___Toc5768235_3224264995">
            <w:r>
              <w:rPr>
                <w:webHidden/>
                <w:rStyle w:val="IndexLink"/>
                <w:rtl w:val="true"/>
              </w:rPr>
              <w:t>الرابع الملاک فی مرجّحیة التقیّة</w:t>
            </w:r>
            <w:r>
              <w:rPr>
                <w:rStyle w:val="IndexLink"/>
                <w:rtl w:val="true"/>
              </w:rPr>
              <w:t>:</w:t>
              <w:tab/>
            </w:r>
            <w:r>
              <w:rPr>
                <w:rStyle w:val="IndexLink"/>
              </w:rPr>
              <w:t>560</w:t>
            </w:r>
          </w:hyperlink>
        </w:p>
        <w:p>
          <w:pPr>
            <w:pStyle w:val="Contents6"/>
            <w:tabs>
              <w:tab w:val="clear" w:pos="7609"/>
              <w:tab w:val="right" w:pos="9026" w:leader="dot"/>
            </w:tabs>
            <w:rPr/>
          </w:pPr>
          <w:hyperlink w:anchor="__RefHeading___Toc5768237_3224264995">
            <w:r>
              <w:rPr>
                <w:webHidden/>
                <w:rStyle w:val="IndexLink"/>
                <w:rtl w:val="true"/>
              </w:rPr>
              <w:t>لو کان کلّ واحد من الخبرین المتعارضین موافقا لبعض العامّة</w:t>
            </w:r>
            <w:r>
              <w:rPr>
                <w:rStyle w:val="IndexLink"/>
                <w:rtl w:val="true"/>
              </w:rPr>
              <w:t>:</w:t>
              <w:tab/>
            </w:r>
            <w:r>
              <w:rPr>
                <w:rStyle w:val="IndexLink"/>
              </w:rPr>
              <w:t>560</w:t>
            </w:r>
          </w:hyperlink>
        </w:p>
        <w:p>
          <w:pPr>
            <w:pStyle w:val="Contents6"/>
            <w:tabs>
              <w:tab w:val="clear" w:pos="7609"/>
              <w:tab w:val="right" w:pos="9026" w:leader="dot"/>
            </w:tabs>
            <w:rPr/>
          </w:pPr>
          <w:hyperlink w:anchor="__RefHeading___Toc5768239_3224264995">
            <w:r>
              <w:rPr>
                <w:webHidden/>
                <w:rStyle w:val="IndexLink"/>
                <w:rtl w:val="true"/>
              </w:rPr>
              <w:t>الخامس مرتبة هذا المرجّح</w:t>
            </w:r>
            <w:r>
              <w:rPr>
                <w:rStyle w:val="IndexLink"/>
                <w:rtl w:val="true"/>
              </w:rPr>
              <w:t>:</w:t>
              <w:tab/>
            </w:r>
            <w:r>
              <w:rPr>
                <w:rStyle w:val="IndexLink"/>
              </w:rPr>
              <w:t>562</w:t>
            </w:r>
          </w:hyperlink>
        </w:p>
        <w:p>
          <w:pPr>
            <w:pStyle w:val="Contents6"/>
            <w:tabs>
              <w:tab w:val="clear" w:pos="7609"/>
              <w:tab w:val="right" w:pos="9026" w:leader="dot"/>
            </w:tabs>
            <w:rPr/>
          </w:pPr>
          <w:hyperlink w:anchor="__RefHeading___Toc5768241_3224264995">
            <w:r>
              <w:rPr>
                <w:webHidden/>
                <w:rStyle w:val="IndexLink"/>
                <w:rtl w:val="true"/>
              </w:rPr>
              <w:t>تقدّم المرجّح الصدوری علی الجهتی</w:t>
            </w:r>
            <w:r>
              <w:rPr>
                <w:rStyle w:val="IndexLink"/>
                <w:rtl w:val="true"/>
              </w:rPr>
              <w:t>:</w:t>
              <w:tab/>
            </w:r>
            <w:r>
              <w:rPr>
                <w:rStyle w:val="IndexLink"/>
              </w:rPr>
              <w:t>562</w:t>
            </w:r>
          </w:hyperlink>
        </w:p>
        <w:p>
          <w:pPr>
            <w:pStyle w:val="Contents6"/>
            <w:tabs>
              <w:tab w:val="clear" w:pos="7609"/>
              <w:tab w:val="right" w:pos="9026" w:leader="dot"/>
            </w:tabs>
            <w:rPr/>
          </w:pPr>
          <w:hyperlink w:anchor="__RefHeading___Toc5768243_3224264995">
            <w:r>
              <w:rPr>
                <w:webHidden/>
                <w:rStyle w:val="IndexLink"/>
                <w:rtl w:val="true"/>
              </w:rPr>
              <w:t>المرجحات الخارجیة</w:t>
            </w:r>
            <w:r>
              <w:rPr>
                <w:rStyle w:val="IndexLink"/>
                <w:rtl w:val="true"/>
              </w:rPr>
              <w:tab/>
            </w:r>
            <w:r>
              <w:rPr>
                <w:rStyle w:val="IndexLink"/>
              </w:rPr>
              <w:t>565</w:t>
            </w:r>
          </w:hyperlink>
        </w:p>
        <w:p>
          <w:pPr>
            <w:pStyle w:val="Contents6"/>
            <w:tabs>
              <w:tab w:val="clear" w:pos="7609"/>
              <w:tab w:val="right" w:pos="9026" w:leader="dot"/>
            </w:tabs>
            <w:rPr/>
          </w:pPr>
          <w:hyperlink w:anchor="__RefHeading___Toc5768245_3224264995">
            <w:r>
              <w:rPr>
                <w:webHidden/>
                <w:rStyle w:val="IndexLink"/>
                <w:rtl w:val="true"/>
              </w:rPr>
              <w:t>القسم الأوّل</w:t>
            </w:r>
            <w:r>
              <w:rPr>
                <w:rStyle w:val="IndexLink"/>
                <w:rtl w:val="true"/>
              </w:rPr>
              <w:tab/>
            </w:r>
            <w:r>
              <w:rPr>
                <w:rStyle w:val="IndexLink"/>
              </w:rPr>
              <w:t>565</w:t>
            </w:r>
          </w:hyperlink>
        </w:p>
        <w:p>
          <w:pPr>
            <w:pStyle w:val="Contents6"/>
            <w:tabs>
              <w:tab w:val="clear" w:pos="7609"/>
              <w:tab w:val="right" w:pos="9026" w:leader="dot"/>
            </w:tabs>
            <w:rPr/>
          </w:pPr>
          <w:hyperlink w:anchor="__RefHeading___Toc5768247_3224264995">
            <w:r>
              <w:rPr>
                <w:webHidden/>
                <w:rStyle w:val="IndexLink"/>
              </w:rPr>
              <w:t>1</w:t>
            </w:r>
            <w:r>
              <w:rPr>
                <w:rStyle w:val="IndexLink"/>
                <w:rtl w:val="true"/>
              </w:rPr>
              <w:t>-</w:t>
            </w:r>
            <w:r>
              <w:rPr>
                <w:rStyle w:val="IndexLink"/>
                <w:rtl w:val="true"/>
              </w:rPr>
              <w:t>شهرة أحد الخبرین</w:t>
            </w:r>
            <w:r>
              <w:rPr>
                <w:rStyle w:val="IndexLink"/>
                <w:rtl w:val="true"/>
              </w:rPr>
              <w:t>:</w:t>
              <w:tab/>
            </w:r>
            <w:r>
              <w:rPr>
                <w:rStyle w:val="IndexLink"/>
              </w:rPr>
              <w:t>565</w:t>
            </w:r>
          </w:hyperlink>
        </w:p>
        <w:p>
          <w:pPr>
            <w:pStyle w:val="Contents6"/>
            <w:tabs>
              <w:tab w:val="clear" w:pos="7609"/>
              <w:tab w:val="right" w:pos="9026" w:leader="dot"/>
            </w:tabs>
            <w:rPr/>
          </w:pPr>
          <w:hyperlink w:anchor="__RefHeading___Toc5768249_3224264995">
            <w:r>
              <w:rPr>
                <w:webHidden/>
                <w:rStyle w:val="IndexLink"/>
              </w:rPr>
              <w:t>2</w:t>
            </w:r>
            <w:r>
              <w:rPr>
                <w:rStyle w:val="IndexLink"/>
                <w:rtl w:val="true"/>
              </w:rPr>
              <w:t>-</w:t>
            </w:r>
            <w:r>
              <w:rPr>
                <w:rStyle w:val="IndexLink"/>
                <w:rtl w:val="true"/>
              </w:rPr>
              <w:t>کون الراوی أفقه</w:t>
            </w:r>
            <w:r>
              <w:rPr>
                <w:rStyle w:val="IndexLink"/>
                <w:rtl w:val="true"/>
              </w:rPr>
              <w:t>:</w:t>
              <w:tab/>
            </w:r>
            <w:r>
              <w:rPr>
                <w:rStyle w:val="IndexLink"/>
              </w:rPr>
              <w:t>565</w:t>
            </w:r>
          </w:hyperlink>
        </w:p>
        <w:p>
          <w:pPr>
            <w:pStyle w:val="Contents6"/>
            <w:tabs>
              <w:tab w:val="clear" w:pos="7609"/>
              <w:tab w:val="right" w:pos="9026" w:leader="dot"/>
            </w:tabs>
            <w:rPr/>
          </w:pPr>
          <w:hyperlink w:anchor="__RefHeading___Toc5768251_3224264995">
            <w:r>
              <w:rPr>
                <w:webHidden/>
                <w:rStyle w:val="IndexLink"/>
              </w:rPr>
              <w:t>3</w:t>
            </w:r>
            <w:r>
              <w:rPr>
                <w:rStyle w:val="IndexLink"/>
                <w:rtl w:val="true"/>
              </w:rPr>
              <w:t>-</w:t>
            </w:r>
            <w:r>
              <w:rPr>
                <w:rStyle w:val="IndexLink"/>
                <w:rtl w:val="true"/>
              </w:rPr>
              <w:t>مخالفة أحد الخبرین للعامّة</w:t>
            </w:r>
            <w:r>
              <w:rPr>
                <w:rStyle w:val="IndexLink"/>
                <w:rtl w:val="true"/>
              </w:rPr>
              <w:t>:</w:t>
              <w:tab/>
            </w:r>
            <w:r>
              <w:rPr>
                <w:rStyle w:val="IndexLink"/>
              </w:rPr>
              <w:t>566</w:t>
            </w:r>
          </w:hyperlink>
        </w:p>
        <w:p>
          <w:pPr>
            <w:pStyle w:val="Contents6"/>
            <w:tabs>
              <w:tab w:val="clear" w:pos="7609"/>
              <w:tab w:val="right" w:pos="9026" w:leader="dot"/>
            </w:tabs>
            <w:rPr/>
          </w:pPr>
          <w:hyperlink w:anchor="__RefHeading___Toc5768253_3224264995">
            <w:r>
              <w:rPr>
                <w:webHidden/>
                <w:rStyle w:val="IndexLink"/>
              </w:rPr>
              <w:t>4</w:t>
            </w:r>
            <w:r>
              <w:rPr>
                <w:rStyle w:val="IndexLink"/>
                <w:rtl w:val="true"/>
              </w:rPr>
              <w:t>-</w:t>
            </w:r>
            <w:r>
              <w:rPr>
                <w:rStyle w:val="IndexLink"/>
                <w:rtl w:val="true"/>
              </w:rPr>
              <w:t>کلّ أمارة مستقلّة غیر معتبرة</w:t>
            </w:r>
            <w:r>
              <w:rPr>
                <w:rStyle w:val="IndexLink"/>
                <w:rtl w:val="true"/>
              </w:rPr>
              <w:t>:</w:t>
              <w:tab/>
            </w:r>
            <w:r>
              <w:rPr>
                <w:rStyle w:val="IndexLink"/>
              </w:rPr>
              <w:t>566</w:t>
            </w:r>
          </w:hyperlink>
        </w:p>
        <w:p>
          <w:pPr>
            <w:pStyle w:val="Contents6"/>
            <w:tabs>
              <w:tab w:val="clear" w:pos="7609"/>
              <w:tab w:val="right" w:pos="9026" w:leader="dot"/>
            </w:tabs>
            <w:rPr/>
          </w:pPr>
          <w:hyperlink w:anchor="__RefHeading___Toc5768255_3224264995">
            <w:r>
              <w:rPr>
                <w:webHidden/>
                <w:rStyle w:val="IndexLink"/>
                <w:rtl w:val="true"/>
              </w:rPr>
              <w:t>الدلیل علی هذا النحو من المرجّح</w:t>
            </w:r>
            <w:r>
              <w:rPr>
                <w:rStyle w:val="IndexLink"/>
                <w:rtl w:val="true"/>
              </w:rPr>
              <w:t>:</w:t>
              <w:tab/>
            </w:r>
            <w:r>
              <w:rPr>
                <w:rStyle w:val="IndexLink"/>
              </w:rPr>
              <w:t>566</w:t>
            </w:r>
          </w:hyperlink>
        </w:p>
        <w:p>
          <w:pPr>
            <w:pStyle w:val="Contents6"/>
            <w:tabs>
              <w:tab w:val="clear" w:pos="7609"/>
              <w:tab w:val="right" w:pos="9026" w:leader="dot"/>
            </w:tabs>
            <w:rPr/>
          </w:pPr>
          <w:hyperlink w:anchor="__RefHeading___Toc5768257_3224264995">
            <w:r>
              <w:rPr>
                <w:webHidden/>
                <w:rStyle w:val="IndexLink"/>
                <w:rtl w:val="true"/>
              </w:rPr>
              <w:t>بقی فی المقام أمران</w:t>
            </w:r>
            <w:r>
              <w:rPr>
                <w:rStyle w:val="IndexLink"/>
                <w:rtl w:val="true"/>
              </w:rPr>
              <w:t>:</w:t>
              <w:tab/>
            </w:r>
            <w:r>
              <w:rPr>
                <w:rStyle w:val="IndexLink"/>
              </w:rPr>
              <w:t>569</w:t>
            </w:r>
          </w:hyperlink>
        </w:p>
        <w:p>
          <w:pPr>
            <w:pStyle w:val="Contents6"/>
            <w:tabs>
              <w:tab w:val="clear" w:pos="7609"/>
              <w:tab w:val="right" w:pos="9026" w:leader="dot"/>
            </w:tabs>
            <w:rPr/>
          </w:pPr>
          <w:hyperlink w:anchor="__RefHeading___Toc5768259_3224264995">
            <w:r>
              <w:rPr>
                <w:webHidden/>
                <w:rStyle w:val="IndexLink"/>
                <w:rtl w:val="true"/>
              </w:rPr>
              <w:t>أحدهما</w:t>
            </w:r>
            <w:r>
              <w:rPr>
                <w:rStyle w:val="IndexLink"/>
                <w:rtl w:val="true"/>
              </w:rPr>
              <w:t xml:space="preserve">: </w:t>
            </w:r>
            <w:r>
              <w:rPr>
                <w:rStyle w:val="IndexLink"/>
                <w:rtl w:val="true"/>
              </w:rPr>
              <w:t>الترجیح بما ورد المنع عن العمل به کالقیاس</w:t>
            </w:r>
            <w:r>
              <w:rPr>
                <w:rStyle w:val="IndexLink"/>
                <w:rtl w:val="true"/>
              </w:rPr>
              <w:t>:</w:t>
              <w:tab/>
            </w:r>
            <w:r>
              <w:rPr>
                <w:rStyle w:val="IndexLink"/>
              </w:rPr>
              <w:t>569</w:t>
            </w:r>
          </w:hyperlink>
        </w:p>
        <w:p>
          <w:pPr>
            <w:pStyle w:val="Contents6"/>
            <w:tabs>
              <w:tab w:val="clear" w:pos="7609"/>
              <w:tab w:val="right" w:pos="9026" w:leader="dot"/>
            </w:tabs>
            <w:rPr/>
          </w:pPr>
          <w:hyperlink w:anchor="__RefHeading___Toc5768261_3224264995">
            <w:r>
              <w:rPr>
                <w:webHidden/>
                <w:rStyle w:val="IndexLink"/>
                <w:rtl w:val="true"/>
              </w:rPr>
              <w:t>الثانی</w:t>
            </w:r>
            <w:r>
              <w:rPr>
                <w:rStyle w:val="IndexLink"/>
                <w:rtl w:val="true"/>
              </w:rPr>
              <w:t>:</w:t>
            </w:r>
            <w:r>
              <w:rPr>
                <w:rStyle w:val="IndexLink"/>
                <w:rtl w:val="true"/>
              </w:rPr>
              <w:t>فی مرتبة هذا المرجّح</w:t>
            </w:r>
            <w:r>
              <w:rPr>
                <w:rStyle w:val="IndexLink"/>
                <w:rtl w:val="true"/>
              </w:rPr>
              <w:tab/>
            </w:r>
            <w:r>
              <w:rPr>
                <w:rStyle w:val="IndexLink"/>
              </w:rPr>
              <w:t>571</w:t>
            </w:r>
          </w:hyperlink>
        </w:p>
        <w:p>
          <w:pPr>
            <w:pStyle w:val="Contents6"/>
            <w:tabs>
              <w:tab w:val="clear" w:pos="7609"/>
              <w:tab w:val="right" w:pos="9026" w:leader="dot"/>
            </w:tabs>
            <w:rPr/>
          </w:pPr>
          <w:hyperlink w:anchor="__RefHeading___Toc5768263_3224264995">
            <w:r>
              <w:rPr>
                <w:webHidden/>
                <w:rStyle w:val="IndexLink"/>
                <w:rtl w:val="true"/>
              </w:rPr>
              <w:t>القسم الثانی</w:t>
            </w:r>
            <w:r>
              <w:rPr>
                <w:rStyle w:val="IndexLink"/>
                <w:rtl w:val="true"/>
              </w:rPr>
              <w:t>:</w:t>
            </w:r>
            <w:r>
              <w:rPr>
                <w:rStyle w:val="IndexLink"/>
                <w:rtl w:val="true"/>
              </w:rPr>
              <w:t>ما یکون معتبرا فی نفسه،و هو علی قسمین</w:t>
            </w:r>
            <w:r>
              <w:rPr>
                <w:rStyle w:val="IndexLink"/>
                <w:rtl w:val="true"/>
              </w:rPr>
              <w:t>:</w:t>
              <w:tab/>
            </w:r>
            <w:r>
              <w:rPr>
                <w:rStyle w:val="IndexLink"/>
              </w:rPr>
              <w:t>572</w:t>
            </w:r>
          </w:hyperlink>
        </w:p>
        <w:p>
          <w:pPr>
            <w:pStyle w:val="Contents6"/>
            <w:tabs>
              <w:tab w:val="clear" w:pos="7609"/>
              <w:tab w:val="right" w:pos="9026" w:leader="dot"/>
            </w:tabs>
            <w:rPr/>
          </w:pPr>
          <w:hyperlink w:anchor="__RefHeading___Toc5768265_3224264995">
            <w:r>
              <w:rPr>
                <w:webHidden/>
                <w:rStyle w:val="IndexLink"/>
                <w:rtl w:val="true"/>
              </w:rPr>
              <w:t>الترجیح بموافقة الکتاب و السنّة و الدلیل علیه</w:t>
            </w:r>
            <w:r>
              <w:rPr>
                <w:rStyle w:val="IndexLink"/>
                <w:rtl w:val="true"/>
              </w:rPr>
              <w:tab/>
            </w:r>
            <w:r>
              <w:rPr>
                <w:rStyle w:val="IndexLink"/>
              </w:rPr>
              <w:t>572</w:t>
            </w:r>
          </w:hyperlink>
        </w:p>
        <w:p>
          <w:pPr>
            <w:pStyle w:val="Contents6"/>
            <w:tabs>
              <w:tab w:val="clear" w:pos="7609"/>
              <w:tab w:val="right" w:pos="9026" w:leader="dot"/>
            </w:tabs>
            <w:rPr/>
          </w:pPr>
          <w:hyperlink w:anchor="__RefHeading___Toc5768267_3224264995">
            <w:r>
              <w:rPr>
                <w:webHidden/>
                <w:rStyle w:val="IndexLink"/>
                <w:rtl w:val="true"/>
              </w:rPr>
              <w:t>صور مخالفة ظاهر الکتاب</w:t>
            </w:r>
            <w:r>
              <w:rPr>
                <w:rStyle w:val="IndexLink"/>
                <w:rtl w:val="true"/>
              </w:rPr>
              <w:t>:</w:t>
              <w:tab/>
            </w:r>
            <w:r>
              <w:rPr>
                <w:rStyle w:val="IndexLink"/>
              </w:rPr>
              <w:t>573</w:t>
            </w:r>
          </w:hyperlink>
        </w:p>
        <w:p>
          <w:pPr>
            <w:pStyle w:val="Contents6"/>
            <w:tabs>
              <w:tab w:val="clear" w:pos="7609"/>
              <w:tab w:val="right" w:pos="9026" w:leader="dot"/>
            </w:tabs>
            <w:rPr/>
          </w:pPr>
          <w:hyperlink w:anchor="__RefHeading___Toc5768269_3224264995">
            <w:r>
              <w:rPr>
                <w:webHidden/>
                <w:rStyle w:val="IndexLink"/>
                <w:rtl w:val="true"/>
              </w:rPr>
              <w:t>الصورة الاولی</w:t>
            </w:r>
            <w:r>
              <w:rPr>
                <w:rStyle w:val="IndexLink"/>
                <w:rtl w:val="true"/>
              </w:rPr>
              <w:tab/>
            </w:r>
            <w:r>
              <w:rPr>
                <w:rStyle w:val="IndexLink"/>
              </w:rPr>
              <w:t>573</w:t>
            </w:r>
          </w:hyperlink>
        </w:p>
        <w:p>
          <w:pPr>
            <w:pStyle w:val="Contents6"/>
            <w:tabs>
              <w:tab w:val="clear" w:pos="7609"/>
              <w:tab w:val="right" w:pos="9026" w:leader="dot"/>
            </w:tabs>
            <w:rPr/>
          </w:pPr>
          <w:hyperlink w:anchor="__RefHeading___Toc5768271_3224264995">
            <w:r>
              <w:rPr>
                <w:webHidden/>
                <w:rStyle w:val="IndexLink"/>
                <w:rtl w:val="true"/>
              </w:rPr>
              <w:t>الصورة الثانیة</w:t>
            </w:r>
            <w:r>
              <w:rPr>
                <w:rStyle w:val="IndexLink"/>
                <w:rtl w:val="true"/>
              </w:rPr>
              <w:tab/>
            </w:r>
            <w:r>
              <w:rPr>
                <w:rStyle w:val="IndexLink"/>
              </w:rPr>
              <w:t>574</w:t>
            </w:r>
          </w:hyperlink>
        </w:p>
        <w:p>
          <w:pPr>
            <w:pStyle w:val="Contents6"/>
            <w:tabs>
              <w:tab w:val="clear" w:pos="7609"/>
              <w:tab w:val="right" w:pos="9026" w:leader="dot"/>
            </w:tabs>
            <w:rPr/>
          </w:pPr>
          <w:hyperlink w:anchor="__RefHeading___Toc5768273_3224264995">
            <w:r>
              <w:rPr>
                <w:webHidden/>
                <w:rStyle w:val="IndexLink"/>
                <w:rtl w:val="true"/>
              </w:rPr>
              <w:t>الصورة الثالث</w:t>
            </w:r>
            <w:r>
              <w:rPr>
                <w:rStyle w:val="IndexLink"/>
                <w:rtl w:val="true"/>
              </w:rPr>
              <w:tab/>
            </w:r>
            <w:r>
              <w:rPr>
                <w:rStyle w:val="IndexLink"/>
              </w:rPr>
              <w:t>574</w:t>
            </w:r>
          </w:hyperlink>
        </w:p>
        <w:p>
          <w:pPr>
            <w:pStyle w:val="Contents6"/>
            <w:tabs>
              <w:tab w:val="clear" w:pos="7609"/>
              <w:tab w:val="right" w:pos="9026" w:leader="dot"/>
            </w:tabs>
            <w:rPr/>
          </w:pPr>
          <w:hyperlink w:anchor="__RefHeading___Toc5768275_3224264995">
            <w:r>
              <w:rPr>
                <w:webHidden/>
                <w:rStyle w:val="IndexLink"/>
                <w:rtl w:val="true"/>
              </w:rPr>
              <w:t>مرتبة هذا المرجّح</w:t>
            </w:r>
            <w:r>
              <w:rPr>
                <w:rStyle w:val="IndexLink"/>
                <w:rtl w:val="true"/>
              </w:rPr>
              <w:t>:</w:t>
              <w:tab/>
            </w:r>
            <w:r>
              <w:rPr>
                <w:rStyle w:val="IndexLink"/>
              </w:rPr>
              <w:t>575</w:t>
            </w:r>
          </w:hyperlink>
        </w:p>
        <w:p>
          <w:pPr>
            <w:pStyle w:val="Contents6"/>
            <w:tabs>
              <w:tab w:val="clear" w:pos="7609"/>
              <w:tab w:val="right" w:pos="9026" w:leader="dot"/>
            </w:tabs>
            <w:rPr/>
          </w:pPr>
          <w:hyperlink w:anchor="__RefHeading___Toc5768277_3224264995">
            <w:r>
              <w:rPr>
                <w:webHidden/>
                <w:rStyle w:val="IndexLink"/>
                <w:rtl w:val="true"/>
              </w:rPr>
              <w:t>الاشکال فی مقبوله ابن حنظلة</w:t>
            </w:r>
            <w:r>
              <w:rPr>
                <w:rStyle w:val="IndexLink"/>
                <w:rtl w:val="true"/>
              </w:rPr>
              <w:tab/>
            </w:r>
            <w:r>
              <w:rPr>
                <w:rStyle w:val="IndexLink"/>
              </w:rPr>
              <w:t>576</w:t>
            </w:r>
          </w:hyperlink>
        </w:p>
        <w:p>
          <w:pPr>
            <w:pStyle w:val="Contents6"/>
            <w:tabs>
              <w:tab w:val="clear" w:pos="7609"/>
              <w:tab w:val="right" w:pos="9026" w:leader="dot"/>
            </w:tabs>
            <w:rPr/>
          </w:pPr>
          <w:hyperlink w:anchor="__RefHeading___Toc5768279_3224264995">
            <w:r>
              <w:rPr>
                <w:webHidden/>
                <w:rStyle w:val="IndexLink"/>
                <w:rtl w:val="true"/>
              </w:rPr>
              <w:t>الجواب عن الاشکال</w:t>
            </w:r>
            <w:r>
              <w:rPr>
                <w:rStyle w:val="IndexLink"/>
                <w:rtl w:val="true"/>
              </w:rPr>
              <w:tab/>
            </w:r>
            <w:r>
              <w:rPr>
                <w:rStyle w:val="IndexLink"/>
              </w:rPr>
              <w:t>576</w:t>
            </w:r>
          </w:hyperlink>
        </w:p>
        <w:p>
          <w:pPr>
            <w:pStyle w:val="Contents6"/>
            <w:tabs>
              <w:tab w:val="clear" w:pos="7609"/>
              <w:tab w:val="right" w:pos="9026" w:leader="dot"/>
            </w:tabs>
            <w:rPr/>
          </w:pPr>
          <w:hyperlink w:anchor="__RefHeading___Toc5768281_3224264995">
            <w:r>
              <w:rPr>
                <w:webHidden/>
                <w:rStyle w:val="IndexLink"/>
                <w:rtl w:val="true"/>
              </w:rPr>
              <w:t>الثانی</w:t>
            </w:r>
            <w:r>
              <w:rPr>
                <w:rStyle w:val="IndexLink"/>
                <w:rtl w:val="true"/>
              </w:rPr>
              <w:t>:-</w:t>
            </w:r>
            <w:r>
              <w:rPr>
                <w:rStyle w:val="IndexLink"/>
                <w:rtl w:val="true"/>
              </w:rPr>
              <w:t>ما لا یکون معاضدا لأحد الخبرین</w:t>
            </w:r>
            <w:r>
              <w:rPr>
                <w:rStyle w:val="IndexLink"/>
                <w:rtl w:val="true"/>
              </w:rPr>
              <w:tab/>
            </w:r>
            <w:r>
              <w:rPr>
                <w:rStyle w:val="IndexLink"/>
              </w:rPr>
              <w:t>577</w:t>
            </w:r>
          </w:hyperlink>
        </w:p>
        <w:p>
          <w:pPr>
            <w:pStyle w:val="Contents6"/>
            <w:tabs>
              <w:tab w:val="clear" w:pos="7609"/>
              <w:tab w:val="right" w:pos="9026" w:leader="dot"/>
            </w:tabs>
            <w:rPr/>
          </w:pPr>
          <w:hyperlink w:anchor="__RefHeading___Toc5768283_3224264995">
            <w:r>
              <w:rPr>
                <w:webHidden/>
                <w:rStyle w:val="IndexLink"/>
                <w:rtl w:val="true"/>
              </w:rPr>
              <w:t>الترجیح بموافقة الأصل</w:t>
            </w:r>
            <w:r>
              <w:rPr>
                <w:rStyle w:val="IndexLink"/>
                <w:rtl w:val="true"/>
              </w:rPr>
              <w:t>:</w:t>
              <w:tab/>
            </w:r>
            <w:r>
              <w:rPr>
                <w:rStyle w:val="IndexLink"/>
              </w:rPr>
              <w:t>577</w:t>
            </w:r>
          </w:hyperlink>
        </w:p>
        <w:p>
          <w:pPr>
            <w:pStyle w:val="Contents6"/>
            <w:tabs>
              <w:tab w:val="clear" w:pos="7609"/>
              <w:tab w:val="right" w:pos="9026" w:leader="dot"/>
            </w:tabs>
            <w:rPr/>
          </w:pPr>
          <w:hyperlink w:anchor="__RefHeading___Toc5768285_3224264995">
            <w:r>
              <w:rPr>
                <w:webHidden/>
                <w:rStyle w:val="IndexLink"/>
                <w:rtl w:val="true"/>
              </w:rPr>
              <w:t>الإشکال فی الترجیح بالاصول</w:t>
            </w:r>
            <w:r>
              <w:rPr>
                <w:rStyle w:val="IndexLink"/>
                <w:rtl w:val="true"/>
              </w:rPr>
              <w:t>:</w:t>
              <w:tab/>
            </w:r>
            <w:r>
              <w:rPr>
                <w:rStyle w:val="IndexLink"/>
              </w:rPr>
              <w:t>577</w:t>
            </w:r>
          </w:hyperlink>
        </w:p>
        <w:p>
          <w:pPr>
            <w:pStyle w:val="Contents6"/>
            <w:tabs>
              <w:tab w:val="clear" w:pos="7609"/>
              <w:tab w:val="right" w:pos="9026" w:leader="dot"/>
            </w:tabs>
            <w:rPr/>
          </w:pPr>
          <w:hyperlink w:anchor="__RefHeading___Toc5768287_3224264995">
            <w:r>
              <w:rPr>
                <w:webHidden/>
                <w:rStyle w:val="IndexLink"/>
                <w:rtl w:val="true"/>
              </w:rPr>
              <w:t>ما استدلّ به علی تقدیم الموافق للأصل و مناقشته</w:t>
            </w:r>
            <w:r>
              <w:rPr>
                <w:rStyle w:val="IndexLink"/>
                <w:rtl w:val="true"/>
              </w:rPr>
              <w:t>:</w:t>
              <w:tab/>
            </w:r>
            <w:r>
              <w:rPr>
                <w:rStyle w:val="IndexLink"/>
              </w:rPr>
              <w:t>579</w:t>
            </w:r>
          </w:hyperlink>
        </w:p>
        <w:p>
          <w:pPr>
            <w:pStyle w:val="Contents6"/>
            <w:tabs>
              <w:tab w:val="clear" w:pos="7609"/>
              <w:tab w:val="right" w:pos="9026" w:leader="dot"/>
            </w:tabs>
            <w:rPr/>
          </w:pPr>
          <w:hyperlink w:anchor="__RefHeading___Toc5768289_3224264995">
            <w:r>
              <w:rPr>
                <w:webHidden/>
                <w:rStyle w:val="IndexLink"/>
                <w:rtl w:val="true"/>
              </w:rPr>
              <w:t>تعارض المقرّر و الناقل</w:t>
            </w:r>
            <w:r>
              <w:rPr>
                <w:rStyle w:val="IndexLink"/>
                <w:rtl w:val="true"/>
              </w:rPr>
              <w:t>:</w:t>
              <w:tab/>
            </w:r>
            <w:r>
              <w:rPr>
                <w:rStyle w:val="IndexLink"/>
              </w:rPr>
              <w:t>579</w:t>
            </w:r>
          </w:hyperlink>
        </w:p>
        <w:p>
          <w:pPr>
            <w:pStyle w:val="Contents6"/>
            <w:tabs>
              <w:tab w:val="clear" w:pos="7609"/>
              <w:tab w:val="right" w:pos="9026" w:leader="dot"/>
            </w:tabs>
            <w:rPr/>
          </w:pPr>
          <w:hyperlink w:anchor="__RefHeading___Toc5768291_3224264995">
            <w:r>
              <w:rPr>
                <w:webHidden/>
                <w:rStyle w:val="IndexLink"/>
                <w:rtl w:val="true"/>
              </w:rPr>
              <w:t>تعارض المبیح و الحاظر</w:t>
            </w:r>
            <w:r>
              <w:rPr>
                <w:rStyle w:val="IndexLink"/>
                <w:rtl w:val="true"/>
              </w:rPr>
              <w:t>:</w:t>
              <w:tab/>
            </w:r>
            <w:r>
              <w:rPr>
                <w:rStyle w:val="IndexLink"/>
              </w:rPr>
              <w:t>580</w:t>
            </w:r>
          </w:hyperlink>
        </w:p>
        <w:p>
          <w:pPr>
            <w:pStyle w:val="Contents6"/>
            <w:tabs>
              <w:tab w:val="clear" w:pos="7609"/>
              <w:tab w:val="right" w:pos="9026" w:leader="dot"/>
            </w:tabs>
            <w:rPr/>
          </w:pPr>
          <w:hyperlink w:anchor="__RefHeading___Toc5768293_3224264995">
            <w:r>
              <w:rPr>
                <w:webHidden/>
                <w:rStyle w:val="IndexLink"/>
                <w:rtl w:val="true"/>
              </w:rPr>
              <w:t>ابتناء المسألة علی أصالة الحظر أو الإباحة</w:t>
            </w:r>
            <w:r>
              <w:rPr>
                <w:rStyle w:val="IndexLink"/>
                <w:rtl w:val="true"/>
              </w:rPr>
              <w:t>:</w:t>
              <w:tab/>
            </w:r>
            <w:r>
              <w:rPr>
                <w:rStyle w:val="IndexLink"/>
              </w:rPr>
              <w:t>581</w:t>
            </w:r>
          </w:hyperlink>
        </w:p>
        <w:p>
          <w:pPr>
            <w:pStyle w:val="Contents6"/>
            <w:tabs>
              <w:tab w:val="clear" w:pos="7609"/>
              <w:tab w:val="right" w:pos="9026" w:leader="dot"/>
            </w:tabs>
            <w:rPr/>
          </w:pPr>
          <w:hyperlink w:anchor="__RefHeading___Toc5768295_3224264995">
            <w:r>
              <w:rPr>
                <w:webHidden/>
                <w:rStyle w:val="IndexLink"/>
                <w:rtl w:val="true"/>
              </w:rPr>
              <w:t>الاستدلال لترجیح الحظر</w:t>
            </w:r>
            <w:r>
              <w:rPr>
                <w:rStyle w:val="IndexLink"/>
                <w:rtl w:val="true"/>
              </w:rPr>
              <w:t>:</w:t>
              <w:tab/>
            </w:r>
            <w:r>
              <w:rPr>
                <w:rStyle w:val="IndexLink"/>
              </w:rPr>
              <w:t>581</w:t>
            </w:r>
          </w:hyperlink>
        </w:p>
        <w:p>
          <w:pPr>
            <w:pStyle w:val="Contents6"/>
            <w:tabs>
              <w:tab w:val="clear" w:pos="7609"/>
              <w:tab w:val="right" w:pos="9026" w:leader="dot"/>
            </w:tabs>
            <w:rPr/>
          </w:pPr>
          <w:hyperlink w:anchor="__RefHeading___Toc5768297_3224264995">
            <w:r>
              <w:rPr>
                <w:webHidden/>
                <w:rStyle w:val="IndexLink"/>
                <w:rtl w:val="true"/>
              </w:rPr>
              <w:t>رجوع الی کلام الشیخ الطوسی</w:t>
            </w:r>
            <w:r>
              <w:rPr>
                <w:rStyle w:val="IndexLink"/>
                <w:rtl w:val="true"/>
              </w:rPr>
              <w:tab/>
            </w:r>
            <w:r>
              <w:rPr>
                <w:rStyle w:val="IndexLink"/>
              </w:rPr>
              <w:t>581</w:t>
            </w:r>
          </w:hyperlink>
        </w:p>
        <w:p>
          <w:pPr>
            <w:pStyle w:val="Contents6"/>
            <w:tabs>
              <w:tab w:val="clear" w:pos="7609"/>
              <w:tab w:val="right" w:pos="9026" w:leader="dot"/>
            </w:tabs>
            <w:rPr/>
          </w:pPr>
          <w:hyperlink w:anchor="__RefHeading___Toc5768299_3224264995">
            <w:r>
              <w:rPr>
                <w:webHidden/>
                <w:rStyle w:val="IndexLink"/>
                <w:rtl w:val="true"/>
              </w:rPr>
              <w:t>الإشکال فی الفرق بین مسألتی الناقل و المقرّر،و الحاظر و المبیح</w:t>
            </w:r>
            <w:r>
              <w:rPr>
                <w:rStyle w:val="IndexLink"/>
                <w:rtl w:val="true"/>
              </w:rPr>
              <w:tab/>
            </w:r>
            <w:r>
              <w:rPr>
                <w:rStyle w:val="IndexLink"/>
              </w:rPr>
              <w:t>582</w:t>
            </w:r>
          </w:hyperlink>
        </w:p>
        <w:p>
          <w:pPr>
            <w:pStyle w:val="Contents6"/>
            <w:tabs>
              <w:tab w:val="clear" w:pos="7609"/>
              <w:tab w:val="right" w:pos="9026" w:leader="dot"/>
            </w:tabs>
            <w:rPr/>
          </w:pPr>
          <w:hyperlink w:anchor="__RefHeading___Toc5768301_3224264995">
            <w:r>
              <w:rPr>
                <w:webHidden/>
                <w:rStyle w:val="IndexLink"/>
                <w:rtl w:val="true"/>
              </w:rPr>
              <w:t>لو تعارض دلیل الحرمة و دلیل الوجوب</w:t>
            </w:r>
            <w:r>
              <w:rPr>
                <w:rStyle w:val="IndexLink"/>
                <w:rtl w:val="true"/>
              </w:rPr>
              <w:t>:</w:t>
              <w:tab/>
            </w:r>
            <w:r>
              <w:rPr>
                <w:rStyle w:val="IndexLink"/>
              </w:rPr>
              <w:t>583</w:t>
            </w:r>
          </w:hyperlink>
        </w:p>
        <w:p>
          <w:pPr>
            <w:pStyle w:val="Contents6"/>
            <w:tabs>
              <w:tab w:val="clear" w:pos="7609"/>
              <w:tab w:val="right" w:pos="9026" w:leader="dot"/>
            </w:tabs>
            <w:rPr/>
          </w:pPr>
          <w:hyperlink w:anchor="__RefHeading___Toc5768303_3224264995">
            <w:r>
              <w:rPr>
                <w:webHidden/>
                <w:rStyle w:val="IndexLink"/>
                <w:rtl w:val="true"/>
              </w:rPr>
              <w:t>الحقّ هو التخییر فی هذا المورد</w:t>
            </w:r>
            <w:r>
              <w:rPr>
                <w:rStyle w:val="IndexLink"/>
                <w:rtl w:val="true"/>
              </w:rPr>
              <w:t>:</w:t>
              <w:tab/>
            </w:r>
            <w:r>
              <w:rPr>
                <w:rStyle w:val="IndexLink"/>
              </w:rPr>
              <w:t>584</w:t>
            </w:r>
          </w:hyperlink>
        </w:p>
        <w:p>
          <w:pPr>
            <w:pStyle w:val="Contents6"/>
            <w:tabs>
              <w:tab w:val="clear" w:pos="7609"/>
              <w:tab w:val="right" w:pos="9026" w:leader="dot"/>
            </w:tabs>
            <w:rPr/>
          </w:pPr>
          <w:hyperlink w:anchor="__RefHeading___Toc5768305_3224264995">
            <w:r>
              <w:rPr>
                <w:webHidden/>
                <w:rStyle w:val="IndexLink"/>
                <w:rtl w:val="true"/>
              </w:rPr>
              <w:t>تعارض غیر الخبرین من الأدلّة الظنّیة</w:t>
            </w:r>
            <w:r>
              <w:rPr>
                <w:rStyle w:val="IndexLink"/>
                <w:rtl w:val="true"/>
              </w:rPr>
              <w:t>:</w:t>
              <w:tab/>
            </w:r>
            <w:r>
              <w:rPr>
                <w:rStyle w:val="IndexLink"/>
              </w:rPr>
              <w:t>584</w:t>
            </w:r>
          </w:hyperlink>
        </w:p>
        <w:p>
          <w:pPr>
            <w:pStyle w:val="Contents2"/>
            <w:tabs>
              <w:tab w:val="clear" w:pos="8743"/>
              <w:tab w:val="right" w:pos="9026" w:leader="dot"/>
            </w:tabs>
            <w:rPr/>
          </w:pPr>
          <w:hyperlink w:anchor="__RefHeading___Toc5768307_3224264995">
            <w:r>
              <w:rPr>
                <w:webHidden/>
                <w:rStyle w:val="IndexLink"/>
                <w:rtl w:val="true"/>
              </w:rPr>
              <w:t>فهرس المحتوی</w:t>
            </w:r>
            <w:r>
              <w:rPr>
                <w:rStyle w:val="IndexLink"/>
                <w:rtl w:val="true"/>
              </w:rPr>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5_124849"/>
      <w:bookmarkStart w:id="1" w:name="pg12985_124849"/>
      <w:bookmarkEnd w:id="1"/>
    </w:p>
    <w:p>
      <w:pPr>
        <w:pStyle w:val="Heading2"/>
        <w:numPr>
          <w:ilvl w:val="1"/>
          <w:numId w:val="1"/>
        </w:numPr>
        <w:rPr/>
      </w:pPr>
      <w:bookmarkStart w:id="2" w:name="pg12985_124849"/>
      <w:bookmarkStart w:id="3" w:name="__RefHeading___Toc576678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12047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6787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للموتمر العالمی بمناسبه الذکری للمئویه‌الثانیه لمیلاد‌الشیخ‌الانصاری</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للشیخ الاعظم استاد الفقهاء و المجتهدین الشیخ مرتضی الانصاری</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 تحقیق تراث‌الشیخ الاعظم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نستعین الحمد للّه رب العالمین و الصلاه و السلام علی خیر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اعدائهم اجمعین الی یوم الدین</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فی الاستصحاب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محمّد و آله الطاهرین،و لعنة اللّه علی أعدائهم أجمعین إلی یوم الدین</w:t>
      </w:r>
      <w:r>
        <w:rPr>
          <w:rFonts w:eastAsia="IRNazanin" w:cs="IRNazanin"/>
          <w:color w:val="111111"/>
          <w:sz w:val="28"/>
          <w:szCs w:val="28"/>
          <w:rtl w:val="true"/>
          <w:lang w:bidi="fa-IR"/>
        </w:rPr>
        <w:t xml:space="preserve">. </w:t>
      </w:r>
      <w:bookmarkStart w:id="7" w:name="pg12985_124857"/>
    </w:p>
    <w:p>
      <w:pPr>
        <w:pStyle w:val="Heading2"/>
        <w:numPr>
          <w:ilvl w:val="1"/>
          <w:numId w:val="1"/>
        </w:numPr>
        <w:rPr/>
      </w:pPr>
      <w:bookmarkStart w:id="8" w:name="__RefHeading___Toc5766789_3224264995"/>
      <w:bookmarkStart w:id="9" w:name="_Toc3"/>
      <w:bookmarkEnd w:id="7"/>
      <w:bookmarkEnd w:id="8"/>
      <w:r>
        <w:rPr>
          <w:rtl w:val="true"/>
        </w:rPr>
        <w:t>المقام الثانی</w:t>
      </w:r>
      <w:r>
        <w:rPr>
          <w:rtl w:val="true"/>
        </w:rPr>
        <w:t xml:space="preserve">: </w:t>
      </w:r>
      <w:r>
        <w:rPr>
          <w:rtl w:val="true"/>
        </w:rPr>
        <w:t>فی الاستصحاب</w:t>
      </w:r>
      <w:bookmarkEnd w:id="9"/>
    </w:p>
    <w:p>
      <w:pPr>
        <w:pStyle w:val="Heading3"/>
        <w:numPr>
          <w:ilvl w:val="2"/>
          <w:numId w:val="1"/>
        </w:numPr>
        <w:rPr/>
      </w:pPr>
      <w:bookmarkStart w:id="10" w:name="__RefHeading___Toc5766791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2"/>
      </w:r>
      <w:r>
        <w:rPr>
          <w:rFonts w:ascii="IRNazanin" w:hAnsi="IRNazanin" w:eastAsia="IRNazanin"/>
          <w:color w:val="111111"/>
          <w:sz w:val="28"/>
          <w:sz w:val="28"/>
          <w:szCs w:val="28"/>
          <w:rtl w:val="true"/>
          <w:lang w:bidi="fa-IR"/>
        </w:rPr>
        <w:t>فی الاستصحاب</w:t>
      </w:r>
    </w:p>
    <w:p>
      <w:pPr>
        <w:pStyle w:val="Heading3"/>
        <w:numPr>
          <w:ilvl w:val="2"/>
          <w:numId w:val="1"/>
        </w:numPr>
        <w:rPr/>
      </w:pPr>
      <w:bookmarkStart w:id="12" w:name="__RefHeading___Toc5766793_3224264995"/>
      <w:bookmarkStart w:id="13" w:name="_Toc5"/>
      <w:bookmarkEnd w:id="12"/>
      <w:r>
        <w:rPr>
          <w:rtl w:val="true"/>
        </w:rPr>
        <w:t>تعاریف الاستصحاب</w:t>
      </w:r>
      <w:r>
        <w:rPr>
          <w:rtl w:val="true"/>
        </w:rPr>
        <w:t>:</w:t>
      </w:r>
      <w:bookmarkEnd w:id="13"/>
    </w:p>
    <w:p>
      <w:pPr>
        <w:pStyle w:val="Heading4"/>
        <w:numPr>
          <w:ilvl w:val="3"/>
          <w:numId w:val="1"/>
        </w:numPr>
        <w:rPr/>
      </w:pPr>
      <w:bookmarkStart w:id="14" w:name="__RefHeading___Toc5766795_3224264995"/>
      <w:bookmarkStart w:id="15" w:name="_Toc6"/>
      <w:bookmarkEnd w:id="14"/>
      <w:r>
        <w:rPr>
          <w:rtl w:val="true"/>
        </w:rPr>
        <w:t>الاستصحاب لغة و اصطلاحا</w:t>
      </w:r>
      <w:bookmarkEnd w:id="15"/>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الشیء مصاحبا </w:t>
      </w:r>
      <w:r>
        <w:rPr>
          <w:rStyle w:val="FootnoteAnchor"/>
          <w:rtl w:val="true"/>
        </w:rPr>
        <w:footnoteReference w:id="3"/>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أجزاء ما لا یؤکل لحمه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الاصولیّین عرّف بتعاریف،أسدّها و أخصرها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المراد بالإبقاء الحکم بالبقاء،و دخل الوصف فی الموضوع مشعر بعلّیته للحکم،فعلّة الإبقاء هو أنّه </w:t>
      </w:r>
      <w:r>
        <w:rPr>
          <w:rStyle w:val="FootnoteAnchor"/>
          <w:rtl w:val="true"/>
        </w:rPr>
        <w:footnoteReference w:id="5"/>
      </w:r>
      <w:r>
        <w:rPr>
          <w:rFonts w:ascii="IRNazanin" w:hAnsi="IRNazanin" w:eastAsia="IRNazanin"/>
          <w:color w:val="111111"/>
          <w:sz w:val="28"/>
          <w:sz w:val="28"/>
          <w:szCs w:val="28"/>
          <w:rtl w:val="true"/>
          <w:lang w:bidi="fa-IR"/>
        </w:rPr>
        <w:t>کان،فیخرج إبقاء الحکم لأجل وجود علّته أو دلیله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 یرجع تعریفه فی الزبدة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الزمان الثانی تعویلا علی ثبوته فی الزمان الأوّل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،بل نسبه شارح </w:t>
      </w:r>
      <w:bookmarkStart w:id="16" w:name="pg12985_124858"/>
    </w:p>
    <w:p>
      <w:pPr>
        <w:pStyle w:val="BookText"/>
        <w:rPr/>
      </w:pPr>
      <w:bookmarkEnd w:id="16"/>
      <w:r>
        <w:rPr>
          <w:rFonts w:ascii="IRNazanin" w:hAnsi="IRNazanin" w:eastAsia="IRNazanin"/>
          <w:color w:val="111111"/>
          <w:sz w:val="28"/>
          <w:sz w:val="28"/>
          <w:szCs w:val="28"/>
          <w:rtl w:val="true"/>
          <w:lang w:bidi="fa-IR"/>
        </w:rPr>
        <w:t>الدروس إلی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القوم ذکروا أنّ الاستصحاب إثبات حکم فی زمان لوجوده فی زمان سابق علیه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5766797_3224264995"/>
      <w:bookmarkStart w:id="18" w:name="_Toc7"/>
      <w:bookmarkEnd w:id="17"/>
      <w:r>
        <w:rPr>
          <w:rtl w:val="true"/>
        </w:rPr>
        <w:t>تعریف صاحب القوانین و المناقشة فیه</w:t>
      </w:r>
      <w:r>
        <w:rPr>
          <w:rtl w:val="true"/>
        </w:rPr>
        <w:t>:</w:t>
      </w:r>
      <w:bookmarkEnd w:id="18"/>
    </w:p>
    <w:p>
      <w:pPr>
        <w:pStyle w:val="Heading5"/>
        <w:numPr>
          <w:ilvl w:val="4"/>
          <w:numId w:val="1"/>
        </w:numPr>
        <w:rPr/>
      </w:pPr>
      <w:bookmarkStart w:id="19" w:name="__RefHeading___Toc5766799_3224264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أزیف التعاریف تعریفه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حکم أو وصف یقینیّ الحصول فی الآن السابق مشکوک البقاء فی الآن اللاحق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إذ لا یخفی أنّ کون حکم أو وصف کذلک،هو محقّق مورد الاستصحاب و محلّه، 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غایة المأمول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استصحاب الحال،محلّه أن یثبت حکم فی وقت،ثمّ یجیء وقت آخر،و لا یقوم دلیل علی انتفاء ذلک الحکم،فهل یحکم ببقائه علی ما کان،و هو الاستصحاب؟ </w:t>
      </w:r>
      <w:r>
        <w:rPr>
          <w:rStyle w:val="FootnoteAnchor"/>
          <w:rtl w:val="true"/>
        </w:rPr>
        <w:footnoteReference w:id="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1" w:name="__RefHeading___Toc5766801_3224264995"/>
      <w:bookmarkStart w:id="22" w:name="_Toc9"/>
      <w:bookmarkEnd w:id="21"/>
      <w:r>
        <w:rPr>
          <w:rtl w:val="true"/>
        </w:rPr>
        <w:t>توجیه تعریف القوانین</w:t>
      </w:r>
      <w:r>
        <w:rPr>
          <w:rtl w:val="true"/>
        </w:rPr>
        <w:t>:</w:t>
      </w:r>
      <w:bookmarkEnd w:id="22"/>
    </w:p>
    <w:p>
      <w:pPr>
        <w:pStyle w:val="Heading6"/>
        <w:numPr>
          <w:ilvl w:val="5"/>
          <w:numId w:val="1"/>
        </w:numPr>
        <w:rPr/>
      </w:pPr>
      <w:bookmarkStart w:id="23" w:name="__RefHeading___Toc5766803_3224264995"/>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و یمکن توجیه التعریف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المحدود هو الاستصحاب المعدود من الأدلّة،و لیس الدلیل إلاّ ما أفاد العلم أو الظنّ بالحکم، و المفید للظنّ بوجود الحکم فی الآن اللاحق لیس إلاّ کونه یقینیّ الحصول فی الآن السابق،مشکوک البقاء فی الآن اللاحق؛فلا مناص عن تعریف الاستصحاب المعدود من الأمارات إلاّ </w:t>
      </w:r>
      <w:r>
        <w:rPr>
          <w:rStyle w:val="FootnoteAnchor"/>
          <w:rtl w:val="true"/>
        </w:rPr>
        <w:footnoteReference w:id="11"/>
      </w:r>
      <w:r>
        <w:rPr>
          <w:rFonts w:ascii="Amiri" w:hAnsi="Amiri" w:eastAsia="Amiri" w:cs="Amiri"/>
          <w:color w:val="111111"/>
          <w:sz w:val="28"/>
          <w:sz w:val="28"/>
          <w:szCs w:val="28"/>
          <w:rtl w:val="true"/>
          <w:lang w:bidi="ar-SA"/>
        </w:rPr>
        <w:t>بما ذکره قدّس سرّه</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5766805_3224264995"/>
      <w:bookmarkStart w:id="26" w:name="_Toc11"/>
      <w:bookmarkEnd w:id="25"/>
      <w:r>
        <w:rPr>
          <w:rtl w:val="true"/>
        </w:rPr>
        <w:t>عدم تمامیة التوجیه المذکور</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صرّح به هو قدّس سرّه فی أوّل کتابه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7" w:name="pg12985_124859"/>
    </w:p>
    <w:p>
      <w:pPr>
        <w:pStyle w:val="BookText"/>
        <w:rPr/>
      </w:pPr>
      <w:bookmarkEnd w:id="27"/>
      <w:r>
        <w:rPr>
          <w:rFonts w:ascii="IRNazanin" w:hAnsi="IRNazanin" w:eastAsia="IRNazanin"/>
          <w:color w:val="111111"/>
          <w:sz w:val="28"/>
          <w:sz w:val="28"/>
          <w:szCs w:val="28"/>
          <w:rtl w:val="true"/>
          <w:lang w:bidi="fa-IR"/>
        </w:rPr>
        <w:t xml:space="preserve">إن اخذ من العقل کان داخلا فی دلیل العقل </w:t>
      </w:r>
      <w:r>
        <w:rPr>
          <w:rStyle w:val="FootnoteAnchor"/>
          <w:rtl w:val="true"/>
        </w:rPr>
        <w:footnoteReference w:id="13"/>
      </w:r>
      <w:r>
        <w:rPr>
          <w:rFonts w:ascii="IRNazanin" w:hAnsi="IRNazanin" w:eastAsia="IRNazanin"/>
          <w:color w:val="111111"/>
          <w:sz w:val="28"/>
          <w:sz w:val="28"/>
          <w:szCs w:val="28"/>
          <w:rtl w:val="true"/>
          <w:lang w:bidi="fa-IR"/>
        </w:rPr>
        <w:t xml:space="preserve">،و إن اخذ من الأخبار فیدخل فی السنّة،و علی کلّ تقدیر،فلا یستقیم تعریفه بما ذکره؛ لأنّ دلیل العقل هو حکم عقلیّ یتوصّل به إلی حکم شرعیّ،و لیس هنا إلاّ حکم العقل ببقاء ما کان علی ما کان </w:t>
      </w:r>
      <w:r>
        <w:rPr>
          <w:rStyle w:val="FootnoteAnchor"/>
          <w:rtl w:val="true"/>
        </w:rPr>
        <w:footnoteReference w:id="14"/>
      </w:r>
      <w:r>
        <w:rPr>
          <w:rFonts w:ascii="IRNazanin" w:hAnsi="IRNazanin" w:eastAsia="IRNazanin"/>
          <w:color w:val="111111"/>
          <w:sz w:val="28"/>
          <w:sz w:val="28"/>
          <w:szCs w:val="28"/>
          <w:rtl w:val="true"/>
          <w:lang w:bidi="fa-IR"/>
        </w:rPr>
        <w:t xml:space="preserve">،و المأخوذ من السنّة لیس إلاّ وجوب الحکم ببقاء ما کان علی ما کان،فکون الشیء معلوما سابقا مشکوکا فیه لاحقا </w:t>
      </w:r>
      <w:r>
        <w:rPr>
          <w:rStyle w:val="FootnoteAnchor"/>
          <w:rtl w:val="true"/>
        </w:rPr>
        <w:footnoteReference w:id="15"/>
      </w:r>
      <w:r>
        <w:rPr>
          <w:rFonts w:ascii="IRNazanin" w:hAnsi="IRNazanin" w:eastAsia="IRNazanin"/>
          <w:color w:val="111111"/>
          <w:sz w:val="28"/>
          <w:sz w:val="28"/>
          <w:szCs w:val="28"/>
          <w:rtl w:val="true"/>
          <w:lang w:bidi="fa-IR"/>
        </w:rPr>
        <w:t>لا ینطبق علی الاستصحاب بأحد الوجهین</w:t>
      </w:r>
      <w:r>
        <w:rPr>
          <w:rFonts w:eastAsia="IRNazanin" w:cs="IRNazanin"/>
          <w:color w:val="111111"/>
          <w:sz w:val="28"/>
          <w:szCs w:val="28"/>
          <w:rtl w:val="true"/>
          <w:lang w:bidi="fa-IR"/>
        </w:rPr>
        <w:t>.</w:t>
      </w:r>
    </w:p>
    <w:p>
      <w:pPr>
        <w:pStyle w:val="Heading4"/>
        <w:numPr>
          <w:ilvl w:val="3"/>
          <w:numId w:val="1"/>
        </w:numPr>
        <w:rPr/>
      </w:pPr>
      <w:bookmarkStart w:id="28" w:name="__RefHeading___Toc5766807_3224264995"/>
      <w:bookmarkStart w:id="29" w:name="_Toc12"/>
      <w:bookmarkEnd w:id="28"/>
      <w:r>
        <w:rPr>
          <w:rtl w:val="true"/>
        </w:rPr>
        <w:t>تعریف شارح المختصر</w:t>
      </w:r>
      <w:r>
        <w:rPr>
          <w:rtl w:val="true"/>
        </w:rPr>
        <w:t>:</w:t>
      </w:r>
      <w:bookmarkEnd w:id="29"/>
    </w:p>
    <w:p>
      <w:pPr>
        <w:pStyle w:val="BookText"/>
        <w:rPr/>
      </w:pPr>
      <w:r>
        <w:rPr>
          <w:rFonts w:ascii="IRNazanin" w:hAnsi="IRNazanin" w:eastAsia="IRNazanin"/>
          <w:color w:val="111111"/>
          <w:sz w:val="28"/>
          <w:sz w:val="28"/>
          <w:szCs w:val="28"/>
          <w:rtl w:val="true"/>
          <w:lang w:bidi="fa-IR"/>
        </w:rPr>
        <w:t>نعم ذکر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استصحاب الحال أنّ الحکم الفلانی قد کان و لم یظنّ عدمه،و کلّ ما کان کذلک فهو مظنون البقاء</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الحدّ هو خصوص الصغری انطبق علی التعریف المذکور، و إن جعل خصوص الکبری انطبق علی تعاریف </w:t>
      </w:r>
      <w:r>
        <w:rPr>
          <w:rStyle w:val="FootnoteAnchor"/>
          <w:rtl w:val="true"/>
        </w:rPr>
        <w:footnoteReference w:id="17"/>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Heading4"/>
        <w:numPr>
          <w:ilvl w:val="3"/>
          <w:numId w:val="1"/>
        </w:numPr>
        <w:rPr/>
      </w:pPr>
      <w:bookmarkStart w:id="30" w:name="__RefHeading___Toc5766809_3224264995"/>
      <w:bookmarkStart w:id="31" w:name="_Toc13"/>
      <w:bookmarkEnd w:id="30"/>
      <w:r>
        <w:rPr>
          <w:rtl w:val="true"/>
        </w:rPr>
        <w:t>تعریف صاحب الوافیة</w:t>
      </w:r>
      <w:r>
        <w:rPr>
          <w:rtl w:val="true"/>
        </w:rPr>
        <w:t>:</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صاحب الوافیة استظهر منه </w:t>
      </w:r>
      <w:r>
        <w:rPr>
          <w:rStyle w:val="FootnoteAnchor"/>
          <w:rtl w:val="true"/>
        </w:rPr>
        <w:footnoteReference w:id="18"/>
      </w:r>
      <w:r>
        <w:rPr>
          <w:rFonts w:ascii="IRNazanin" w:hAnsi="IRNazanin" w:eastAsia="IRNazanin"/>
          <w:color w:val="111111"/>
          <w:sz w:val="28"/>
          <w:sz w:val="28"/>
          <w:szCs w:val="28"/>
          <w:rtl w:val="true"/>
          <w:lang w:bidi="fa-IR"/>
        </w:rPr>
        <w:t>کون التعریف مجموع المقدّمتین، فوافقه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هو التمسّک بثبوت ما ثبت فی وقت أو حال علی بقائه فیما بعد ذلک الوقت أو فی غیر تلک الحال،فیقال</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الفلانی قد کان و لم یعلم عدمه،و کلّ ما کان کذلک فهو باق </w:t>
      </w:r>
      <w:r>
        <w:rPr>
          <w:rStyle w:val="FootnoteAnchor"/>
          <w:rtl w:val="true"/>
        </w:rPr>
        <w:footnoteReference w:id="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مهمّة فی ذلک</w:t>
      </w:r>
      <w:r>
        <w:rPr>
          <w:rFonts w:eastAsia="IRNazanin" w:cs="IRNazanin"/>
          <w:color w:val="111111"/>
          <w:sz w:val="28"/>
          <w:szCs w:val="28"/>
          <w:rtl w:val="true"/>
          <w:lang w:bidi="fa-IR"/>
        </w:rPr>
        <w:t xml:space="preserve">. </w:t>
      </w:r>
      <w:bookmarkStart w:id="32" w:name="pg12985_124861"/>
    </w:p>
    <w:p>
      <w:pPr>
        <w:pStyle w:val="Heading3"/>
        <w:numPr>
          <w:ilvl w:val="2"/>
          <w:numId w:val="1"/>
        </w:numPr>
        <w:rPr/>
      </w:pPr>
      <w:bookmarkStart w:id="33" w:name="__RefHeading___Toc5766811_3224264995"/>
      <w:bookmarkStart w:id="34" w:name="_Toc14"/>
      <w:bookmarkEnd w:id="32"/>
      <w:bookmarkEnd w:id="33"/>
      <w:r>
        <w:rPr>
          <w:rtl w:val="true"/>
        </w:rPr>
        <w:t>بقی الکلام فی امور</w:t>
      </w:r>
      <w:r>
        <w:rPr>
          <w:rtl w:val="true"/>
        </w:rPr>
        <w:t>:</w:t>
      </w:r>
      <w:bookmarkEnd w:id="34"/>
    </w:p>
    <w:p>
      <w:pPr>
        <w:pStyle w:val="Heading4"/>
        <w:numPr>
          <w:ilvl w:val="3"/>
          <w:numId w:val="1"/>
        </w:numPr>
        <w:rPr/>
      </w:pPr>
      <w:bookmarkStart w:id="35" w:name="__RefHeading___Toc5766813_3224264995"/>
      <w:bookmarkStart w:id="36" w:name="_Toc15"/>
      <w:bookmarkEnd w:id="35"/>
      <w:r>
        <w:rPr>
          <w:rtl w:val="true"/>
        </w:rPr>
        <w:t xml:space="preserve">الأمر  الأوّل </w:t>
      </w:r>
      <w:r>
        <w:rPr>
          <w:rtl w:val="true"/>
        </w:rPr>
        <w:t>:</w:t>
      </w:r>
      <w:r>
        <w:rPr>
          <w:rtl w:val="true"/>
        </w:rPr>
        <w:t>هل الاستصحاب أصل عملیّ أو أمارة ظنّیة؟</w:t>
      </w:r>
      <w:bookmarkEnd w:id="36"/>
    </w:p>
    <w:p>
      <w:pPr>
        <w:pStyle w:val="Heading5"/>
        <w:numPr>
          <w:ilvl w:val="4"/>
          <w:numId w:val="1"/>
        </w:numPr>
        <w:rPr/>
      </w:pPr>
      <w:bookmarkStart w:id="37" w:name="__RefHeading___Toc5766815_3224264995"/>
      <w:bookmarkStart w:id="38" w:name="_Toc16"/>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أنّ عدّ الاستصحاب من الأحکام الظاهریّة الثابتة للشیء بوصف کونه مشکوک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أصل البراءة و قاعدة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استفادته من الأخبار،و أمّا بناء علی کونه من أحکام العقل فهو دلیل ظنّیّ اجتهادیّ،نظیر القیاس و الاستقراء،علی القول بهما</w:t>
      </w:r>
      <w:r>
        <w:rPr>
          <w:rFonts w:eastAsia="IRNazanin" w:cs="IRNazanin"/>
          <w:color w:val="111111"/>
          <w:sz w:val="28"/>
          <w:szCs w:val="28"/>
          <w:rtl w:val="true"/>
          <w:lang w:bidi="fa-IR"/>
        </w:rPr>
        <w:t>.</w:t>
      </w:r>
    </w:p>
    <w:p>
      <w:pPr>
        <w:pStyle w:val="Heading5"/>
        <w:numPr>
          <w:ilvl w:val="4"/>
          <w:numId w:val="1"/>
        </w:numPr>
        <w:rPr/>
      </w:pPr>
      <w:bookmarkStart w:id="39" w:name="__RefHeading___Toc5766817_3224264995"/>
      <w:bookmarkStart w:id="40" w:name="_Toc17"/>
      <w:bookmarkEnd w:id="39"/>
      <w:r>
        <w:rPr>
          <w:rtl w:val="true"/>
        </w:rPr>
        <w:t>المختار کونه من الاصول العملیّة</w:t>
      </w:r>
      <w:r>
        <w:rPr>
          <w:rtl w:val="true"/>
        </w:rPr>
        <w:t>:</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المختار عندنا هو الأوّل،ذکرناه فی الاصول العملیّة المقرّرة للموضوعات بوصف کونها مشکوکة الحکم،لکن ظاهر کلمات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20"/>
      </w:r>
      <w:r>
        <w:rPr>
          <w:rFonts w:ascii="Amiri" w:hAnsi="Amiri" w:eastAsia="Amiri" w:cs="Amiri"/>
          <w:color w:val="111111"/>
          <w:sz w:val="28"/>
          <w:sz w:val="28"/>
          <w:szCs w:val="28"/>
          <w:rtl w:val="true"/>
          <w:lang w:bidi="ar-SA"/>
        </w:rPr>
        <w:t xml:space="preserve">و السیّدین </w:t>
      </w:r>
      <w:r>
        <w:rPr>
          <w:rStyle w:val="FootnoteAnchor"/>
          <w:rtl w:val="true"/>
        </w:rPr>
        <w:footnoteReference w:id="21"/>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2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3"/>
      </w:r>
      <w:r>
        <w:rPr>
          <w:rFonts w:ascii="IRNazanin" w:hAnsi="IRNazanin" w:eastAsia="IRNazanin"/>
          <w:color w:val="111111"/>
          <w:sz w:val="28"/>
          <w:sz w:val="28"/>
          <w:szCs w:val="28"/>
          <w:rtl w:val="true"/>
          <w:lang w:bidi="fa-IR"/>
        </w:rPr>
        <w:t xml:space="preserve">و صاحب المعالم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کونه حکما عقلیّا؛و لذا لم یتمسّک أحد </w:t>
      </w:r>
      <w:r>
        <w:rPr>
          <w:rStyle w:val="FootnoteAnchor"/>
          <w:rtl w:val="true"/>
        </w:rPr>
        <w:footnoteReference w:id="25"/>
      </w:r>
      <w:r>
        <w:rPr>
          <w:rFonts w:ascii="IRNazanin" w:hAnsi="IRNazanin" w:eastAsia="IRNazanin"/>
          <w:color w:val="111111"/>
          <w:sz w:val="28"/>
          <w:sz w:val="28"/>
          <w:szCs w:val="28"/>
          <w:rtl w:val="true"/>
          <w:lang w:bidi="fa-IR"/>
        </w:rPr>
        <w:t>هؤلاء فیه بخبر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فی العدّة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 للقائل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الشیطان ینفخ </w:t>
      </w:r>
      <w:r>
        <w:rPr>
          <w:rStyle w:val="FootnoteAnchor"/>
          <w:rtl w:val="true"/>
        </w:rPr>
        <w:footnoteReference w:id="27"/>
      </w:r>
      <w:r>
        <w:rPr>
          <w:rFonts w:ascii="IRNazanin" w:hAnsi="IRNazanin" w:eastAsia="IRNazanin"/>
          <w:color w:val="111111"/>
          <w:sz w:val="28"/>
          <w:sz w:val="28"/>
          <w:szCs w:val="28"/>
          <w:rtl w:val="true"/>
          <w:lang w:bidi="fa-IR"/>
        </w:rPr>
        <w:t>بین ألیتی المصلّی فلا ینصرفنّ أحدکم إلاّ بعد أن یسمع صوتا أو یجد ریحا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 أنّه انتصر بهذا الخبر الضعیف المختصّ بمورد خاصّ، و لم یتمسّک بالأخبار الصحیحة العامّة المعدودة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العلوم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تمسّک بهذه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الشیخ البهائی قدّس سرّه، فیما حکی عنه فی العقد الطهماسبی </w:t>
      </w:r>
      <w:r>
        <w:rPr>
          <w:rStyle w:val="FootnoteAnchor"/>
          <w:rtl w:val="true"/>
        </w:rPr>
        <w:footnoteReference w:id="30"/>
      </w:r>
      <w:r>
        <w:rPr>
          <w:rFonts w:ascii="IRNazanin" w:hAnsi="IRNazanin" w:eastAsia="IRNazanin"/>
          <w:color w:val="111111"/>
          <w:sz w:val="28"/>
          <w:sz w:val="28"/>
          <w:szCs w:val="28"/>
          <w:rtl w:val="true"/>
          <w:lang w:bidi="fa-IR"/>
        </w:rPr>
        <w:t xml:space="preserve">،و تبعه صاحب الذخیرة </w:t>
      </w:r>
      <w:r>
        <w:rPr>
          <w:rStyle w:val="FootnoteAnchor"/>
          <w:rtl w:val="true"/>
        </w:rPr>
        <w:footnoteReference w:id="31"/>
      </w:r>
      <w:r>
        <w:rPr>
          <w:rFonts w:ascii="IRNazanin" w:hAnsi="IRNazanin" w:eastAsia="IRNazanin"/>
          <w:color w:val="111111"/>
          <w:sz w:val="28"/>
          <w:sz w:val="28"/>
          <w:szCs w:val="28"/>
          <w:rtl w:val="true"/>
          <w:lang w:bidi="fa-IR"/>
        </w:rPr>
        <w:t xml:space="preserve">و شارح الدروس </w:t>
      </w:r>
      <w:r>
        <w:rPr>
          <w:rStyle w:val="FootnoteAnchor"/>
          <w:rtl w:val="true"/>
        </w:rPr>
        <w:footnoteReference w:id="32"/>
      </w:r>
      <w:r>
        <w:rPr>
          <w:rFonts w:ascii="IRNazanin" w:hAnsi="IRNazanin" w:eastAsia="IRNazanin"/>
          <w:color w:val="111111"/>
          <w:sz w:val="28"/>
          <w:sz w:val="28"/>
          <w:szCs w:val="28"/>
          <w:rtl w:val="true"/>
          <w:lang w:bidi="fa-IR"/>
        </w:rPr>
        <w:t xml:space="preserve">،و شاع بین من تأخّر عنهم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نعم،ربما یظهر من الحلّی فی السرائر </w:t>
      </w:r>
      <w:r>
        <w:rPr>
          <w:rStyle w:val="FootnoteAnchor"/>
          <w:rtl w:val="true"/>
        </w:rPr>
        <w:footnoteReference w:id="34"/>
      </w:r>
      <w:r>
        <w:rPr>
          <w:rFonts w:ascii="IRNazanin" w:hAnsi="IRNazanin" w:eastAsia="IRNazanin"/>
          <w:color w:val="111111"/>
          <w:sz w:val="28"/>
          <w:sz w:val="28"/>
          <w:szCs w:val="28"/>
          <w:rtl w:val="true"/>
          <w:lang w:bidi="fa-IR"/>
        </w:rPr>
        <w:t>الاعتماد علی هذه الأخبار؛ حیث عبّر عن استصحاب نجاسة الماء المتغیّر بعد زوال تغیّره من قبل نفسه،ب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إلاّ بالیقین</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العبارة،الظاهر </w:t>
      </w:r>
      <w:r>
        <w:rPr>
          <w:rStyle w:val="FootnoteAnchor"/>
          <w:rtl w:val="true"/>
        </w:rPr>
        <w:footnoteReference w:id="36"/>
      </w:r>
      <w:r>
        <w:rPr>
          <w:rFonts w:ascii="Amiri" w:hAnsi="Amiri" w:eastAsia="Amiri" w:cs="Amiri"/>
          <w:color w:val="111111"/>
          <w:sz w:val="28"/>
          <w:sz w:val="28"/>
          <w:szCs w:val="28"/>
          <w:rtl w:val="true"/>
          <w:lang w:bidi="ar-SA"/>
        </w:rPr>
        <w:t>أنّها مأخوذة من الأخبار</w:t>
      </w:r>
      <w:r>
        <w:rPr>
          <w:rFonts w:eastAsia="Amiri" w:cs="Amiri" w:ascii="Amiri" w:hAnsi="Amiri"/>
          <w:color w:val="111111"/>
          <w:sz w:val="28"/>
          <w:szCs w:val="28"/>
          <w:rtl w:val="true"/>
          <w:lang w:bidi="ar-SA"/>
        </w:rPr>
        <w:t xml:space="preserve">. </w:t>
      </w:r>
      <w:bookmarkStart w:id="41" w:name="pg12985_124864"/>
    </w:p>
    <w:p>
      <w:pPr>
        <w:pStyle w:val="Heading4"/>
        <w:numPr>
          <w:ilvl w:val="3"/>
          <w:numId w:val="1"/>
        </w:numPr>
        <w:rPr/>
      </w:pPr>
      <w:bookmarkStart w:id="42" w:name="__RefHeading___Toc5766819_3224264995"/>
      <w:bookmarkStart w:id="43" w:name="_Toc18"/>
      <w:bookmarkEnd w:id="41"/>
      <w:bookmarkEnd w:id="42"/>
      <w:r>
        <w:rPr>
          <w:rtl w:val="true"/>
        </w:rPr>
        <w:t xml:space="preserve">الأمر  الثانی </w:t>
      </w:r>
      <w:r>
        <w:rPr>
          <w:rtl w:val="true"/>
        </w:rPr>
        <w:t>:</w:t>
      </w:r>
      <w:r>
        <w:rPr>
          <w:rtl w:val="true"/>
        </w:rPr>
        <w:t>الوجه فی عدّ الاستصحاب من الأدلّة العقلیّة</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اعتباره من باب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العقلیّة،کما فعله غیر واحد منهم؛باعتبار أنّه حکم عقلیّ یتوصّل به إلی حکم شرعیّ بواسطة خطاب الشارع،فنقول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الشرعی الفلانی ثبت سابقا و لم یعلم ارتفاعه،و کلّ ما کان کذلک فهو باق،فالصغری شرعیّة،و الکبری عقلیّة ظنّیة،فهو و القیاس و الاستحسان و الاستقراء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المفاهیم و الاستلزامات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العقلیّات الغیر المستقلّة</w:t>
      </w:r>
      <w:r>
        <w:rPr>
          <w:rFonts w:eastAsia="IRNazanin" w:cs="IRNazanin"/>
          <w:color w:val="111111"/>
          <w:sz w:val="28"/>
          <w:szCs w:val="28"/>
          <w:rtl w:val="true"/>
          <w:lang w:bidi="fa-IR"/>
        </w:rPr>
        <w:t xml:space="preserve">. </w:t>
      </w:r>
      <w:bookmarkStart w:id="44" w:name="pg12985_124865"/>
    </w:p>
    <w:p>
      <w:pPr>
        <w:pStyle w:val="Heading4"/>
        <w:numPr>
          <w:ilvl w:val="3"/>
          <w:numId w:val="1"/>
        </w:numPr>
        <w:rPr/>
      </w:pPr>
      <w:bookmarkStart w:id="45" w:name="__RefHeading___Toc5766821_3224264995"/>
      <w:bookmarkStart w:id="46" w:name="_Toc19"/>
      <w:bookmarkEnd w:id="44"/>
      <w:bookmarkEnd w:id="45"/>
      <w:r>
        <w:rPr>
          <w:rtl w:val="true"/>
        </w:rPr>
        <w:t xml:space="preserve">الأمر  الثالث </w:t>
      </w:r>
      <w:r>
        <w:rPr>
          <w:rtl w:val="true"/>
        </w:rPr>
        <w:t>:</w:t>
      </w:r>
      <w:r>
        <w:rPr>
          <w:rtl w:val="true"/>
        </w:rPr>
        <w:t>هل الاستصحاب مسألة اصولیّة أو فقهیّة؟</w:t>
      </w:r>
      <w:bookmarkEnd w:id="46"/>
    </w:p>
    <w:p>
      <w:pPr>
        <w:pStyle w:val="Heading5"/>
        <w:numPr>
          <w:ilvl w:val="4"/>
          <w:numId w:val="1"/>
        </w:numPr>
        <w:rPr/>
      </w:pPr>
      <w:bookmarkStart w:id="47" w:name="__RefHeading___Toc5766823_3224264995"/>
      <w:bookmarkStart w:id="48" w:name="_Toc20"/>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أنّ مسألة الاستصحاب علی القول بکونه من الأحکام العقلیّة مسألة اصولیّة یبحث فیها عن کون الشیء دلیلا علی الحکم الشرعیّ، نظیر حجّیة القیاس و الاستقراء</w:t>
      </w:r>
      <w:r>
        <w:rPr>
          <w:rFonts w:eastAsia="IRNazanin" w:cs="IRNazanin"/>
          <w:color w:val="111111"/>
          <w:sz w:val="28"/>
          <w:szCs w:val="28"/>
          <w:rtl w:val="true"/>
          <w:lang w:bidi="fa-IR"/>
        </w:rPr>
        <w:t>.</w:t>
      </w:r>
    </w:p>
    <w:p>
      <w:pPr>
        <w:pStyle w:val="Heading5"/>
        <w:numPr>
          <w:ilvl w:val="4"/>
          <w:numId w:val="1"/>
        </w:numPr>
        <w:rPr/>
      </w:pPr>
      <w:bookmarkStart w:id="49" w:name="__RefHeading___Toc5766825_3224264995"/>
      <w:bookmarkStart w:id="50" w:name="_Toc21"/>
      <w:bookmarkEnd w:id="49"/>
      <w:r>
        <w:rPr>
          <w:rtl w:val="true"/>
        </w:rPr>
        <w:t>بناء علی کونه حکما عقلیا فهو مسألة اصولیّة</w:t>
      </w:r>
      <w:r>
        <w:rPr>
          <w:rtl w:val="true"/>
        </w:rPr>
        <w:t>:</w:t>
      </w:r>
      <w:bookmarkEnd w:id="50"/>
    </w:p>
    <w:p>
      <w:pPr>
        <w:pStyle w:val="BookText"/>
        <w:rPr/>
      </w:pPr>
      <w:r>
        <w:rPr>
          <w:rFonts w:ascii="IRNazanin" w:hAnsi="IRNazanin" w:eastAsia="IRNazanin"/>
          <w:color w:val="111111"/>
          <w:sz w:val="28"/>
          <w:sz w:val="28"/>
          <w:szCs w:val="28"/>
          <w:rtl w:val="true"/>
          <w:lang w:bidi="fa-IR"/>
        </w:rPr>
        <w:t>نعم،یشکل ذلک بما ذکره المحقّق القمّی قدّس سرّه فی القوانین و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مسائل الاصول ما یبحث فیها عن حال الدلیل بعد الفراغ عن کونه دلیلا،لا عن دلیلیّة الدلیل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ذکره قدّس سرّه،فیکون مسألة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کمسائل حجّیة الأدلّة الظنّیة،کظاهر الکتاب و خبر الواحد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المبادئ التصدیقیّة للمسائل الاصولیّة،و حیث لم تتبیّن فی علم آخر احتیج إلی بیانها فی نفس العلم،کأکثر المبادئ التصوّریّة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بعضهم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موضوع الاصول </w:t>
      </w:r>
      <w:r>
        <w:rPr>
          <w:rStyle w:val="FootnoteAnchor"/>
          <w:rtl w:val="true"/>
        </w:rPr>
        <w:footnoteReference w:id="40"/>
      </w:r>
      <w:r>
        <w:rPr>
          <w:rFonts w:ascii="IRNazanin" w:hAnsi="IRNazanin" w:eastAsia="IRNazanin"/>
          <w:color w:val="111111"/>
          <w:sz w:val="28"/>
          <w:sz w:val="28"/>
          <w:szCs w:val="28"/>
          <w:rtl w:val="true"/>
          <w:lang w:bidi="fa-IR"/>
        </w:rPr>
        <w:t xml:space="preserve">ذوات الأدلّة من حیث </w:t>
      </w:r>
      <w:bookmarkStart w:id="51" w:name="pg12985_124866"/>
    </w:p>
    <w:p>
      <w:pPr>
        <w:pStyle w:val="BookText"/>
        <w:rPr/>
      </w:pPr>
      <w:bookmarkEnd w:id="51"/>
      <w:r>
        <w:rPr>
          <w:rFonts w:ascii="IRNazanin" w:hAnsi="IRNazanin" w:eastAsia="IRNazanin"/>
          <w:color w:val="111111"/>
          <w:sz w:val="28"/>
          <w:sz w:val="28"/>
          <w:szCs w:val="28"/>
          <w:rtl w:val="true"/>
          <w:lang w:bidi="fa-IR"/>
        </w:rPr>
        <w:t>یبحث عن دلیلیّتها أو عمّا یعرض لها بعد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موافق لتعریف الاصول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الفرعیّة من أدلّتها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5766827_3224264995"/>
      <w:bookmarkStart w:id="53" w:name="_Toc22"/>
      <w:bookmarkEnd w:id="52"/>
      <w:r>
        <w:rPr>
          <w:rtl w:val="true"/>
        </w:rPr>
        <w:t>بناء علی کونه من الاصول العملیّة ففی کونه من المسائل الاصولیّة غموض</w:t>
      </w:r>
      <w:r>
        <w:rPr>
          <w:rtl w:val="true"/>
        </w:rPr>
        <w:t>:</w:t>
      </w:r>
      <w:bookmarkEnd w:id="53"/>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
      </w:r>
      <w:r>
        <w:rPr>
          <w:rFonts w:ascii="IRNazanin" w:hAnsi="IRNazanin" w:eastAsia="IRNazanin"/>
          <w:color w:val="111111"/>
          <w:sz w:val="28"/>
          <w:sz w:val="28"/>
          <w:szCs w:val="28"/>
          <w:rtl w:val="true"/>
          <w:lang w:bidi="fa-IR"/>
        </w:rPr>
        <w:t xml:space="preserve">أمّا علی القول بکونه من الاصول العملیّة،ففی کونه من المسائل الاصولیّة غموض؛من حیث إنّ </w:t>
      </w:r>
      <w:r>
        <w:rPr>
          <w:rStyle w:val="FootnoteAnchor"/>
          <w:rtl w:val="true"/>
        </w:rPr>
        <w:footnoteReference w:id="43"/>
      </w:r>
      <w:r>
        <w:rPr>
          <w:rFonts w:ascii="IRNazanin" w:hAnsi="IRNazanin" w:eastAsia="IRNazanin"/>
          <w:color w:val="111111"/>
          <w:sz w:val="28"/>
          <w:sz w:val="28"/>
          <w:szCs w:val="28"/>
          <w:rtl w:val="true"/>
          <w:lang w:bidi="fa-IR"/>
        </w:rPr>
        <w:t>الاستصحاب حینئذ قاعدة مستفادة من السنّة،و لیس التکلّم فیه تکلّما فی أحوال السنّة،بل هو نظیر سائر القواعد المستفادة من الکتاب و السنّة،و المسألة الاصولیّة هی التی بمعونتها یستنبط هذه القاعدة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المسائل الباحثة عن أحوال طریق الخبر و عن أحوال الألفاظ الواقعة فیه،فهذه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الفرعیّة المتعلّقة بعمل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نعم،تندرج تحت هذه القاعدة مسألة اصولیّة یجری فیها الاستصحاب،کما تندرج المسألة الاصولیّة أحیانا تحت أدلّة نفی الحرج </w:t>
      </w:r>
      <w:r>
        <w:rPr>
          <w:rStyle w:val="FootnoteAnchor"/>
          <w:rtl w:val="true"/>
        </w:rPr>
        <w:footnoteReference w:id="44"/>
      </w:r>
      <w:r>
        <w:rPr>
          <w:rFonts w:ascii="IRNazanin" w:hAnsi="IRNazanin" w:eastAsia="IRNazanin"/>
          <w:color w:val="111111"/>
          <w:sz w:val="28"/>
          <w:sz w:val="28"/>
          <w:szCs w:val="28"/>
          <w:rtl w:val="true"/>
          <w:lang w:bidi="fa-IR"/>
        </w:rPr>
        <w:t>، کما ینفی وجوب الفحص عن المعارض حتّی یقطع بعدمه بنفی الحرج</w:t>
      </w:r>
      <w:r>
        <w:rPr>
          <w:rFonts w:eastAsia="IRNazanin" w:cs="IRNazanin"/>
          <w:color w:val="111111"/>
          <w:sz w:val="28"/>
          <w:szCs w:val="28"/>
          <w:rtl w:val="true"/>
          <w:lang w:bidi="fa-IR"/>
        </w:rPr>
        <w:t>.</w:t>
      </w:r>
    </w:p>
    <w:p>
      <w:pPr>
        <w:pStyle w:val="Heading5"/>
        <w:numPr>
          <w:ilvl w:val="4"/>
          <w:numId w:val="1"/>
        </w:numPr>
        <w:rPr/>
      </w:pPr>
      <w:bookmarkStart w:id="54" w:name="__RefHeading___Toc5766829_3224264995"/>
      <w:bookmarkStart w:id="55" w:name="_Toc23"/>
      <w:bookmarkEnd w:id="54"/>
      <w:r>
        <w:rPr>
          <w:rtl w:val="true"/>
        </w:rPr>
        <w:t>الإشکال فی کون الاستصحاب من المسائل الفرعیة</w:t>
      </w:r>
      <w:r>
        <w:rPr>
          <w:rtl w:val="true"/>
        </w:rPr>
        <w:t>:</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نعم،یشکل کون الاستصحاب من المسائل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إجراءها فی موردها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الشکّ فی بقاء الحکم الشرعی السابق، کنجاسة الماء المتغیّر بعد زوال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بالمجتهد و لیس وظیفة </w:t>
      </w:r>
      <w:bookmarkStart w:id="56" w:name="pg12985_124867"/>
    </w:p>
    <w:p>
      <w:pPr>
        <w:pStyle w:val="BookText"/>
        <w:rPr/>
      </w:pPr>
      <w:bookmarkEnd w:id="56"/>
      <w:r>
        <w:rPr>
          <w:rFonts w:ascii="Amiri" w:hAnsi="Amiri" w:eastAsia="Amiri" w:cs="Amiri"/>
          <w:color w:val="111111"/>
          <w:sz w:val="28"/>
          <w:sz w:val="28"/>
          <w:szCs w:val="28"/>
          <w:rtl w:val="true"/>
          <w:lang w:bidi="ar-SA"/>
        </w:rPr>
        <w:t xml:space="preserve">للمقلّد </w:t>
      </w:r>
      <w:r>
        <w:rPr>
          <w:rStyle w:val="FootnoteAnchor"/>
          <w:rtl w:val="true"/>
        </w:rPr>
        <w:footnoteReference w:id="46"/>
      </w:r>
      <w:r>
        <w:rPr>
          <w:rFonts w:ascii="IRNazanin" w:hAnsi="IRNazanin" w:eastAsia="IRNazanin"/>
          <w:color w:val="111111"/>
          <w:sz w:val="28"/>
          <w:sz w:val="28"/>
          <w:szCs w:val="28"/>
          <w:rtl w:val="true"/>
          <w:lang w:bidi="fa-IR"/>
        </w:rPr>
        <w:t>،فهی ممّا یحتاج إلیه المجتهد فقط و لا ینفع للمقلّد،و هذا من خواصّ المسألة الاصولیّة؛فإنّ المسائل الاصولیّة لمّا مهّدت للاجتهاد و استنباط الأحکام من الأدلّة اختصّ التکلّم فیها بالمستنبط،و لا حظّ لغیره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اختصاص هذه المسألة بالمجتهد؛لأجل أنّ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الحکم الشرعیّ و عدم قیام الدلیل الاجتهادی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یتشخّص إلاّ للمجتهد،و إلاّ فمضمونه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طبق الحالة السابقة و ترتیب آثارها،مشترک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المسائل الاصولیّة کذلک؛لأنّ وجوب العمل بخبر الواحد و ترتیب آثار الصدق علیه لیس مختصّا بالمجتهد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نعم،تشخیص مجری خبر الواحد و تعیین مدلوله و تحصیل شروط العمل به مختصّ بالمجتهد؛لتمکّنه من ذلک و عجز المقلّد عنه،فکأنّ المجتهد نائب عن المقلّد </w:t>
      </w:r>
      <w:r>
        <w:rPr>
          <w:rStyle w:val="FootnoteAnchor"/>
          <w:rtl w:val="true"/>
        </w:rPr>
        <w:footnoteReference w:id="47"/>
      </w:r>
      <w:r>
        <w:rPr>
          <w:rFonts w:ascii="IRNazanin" w:hAnsi="IRNazanin" w:eastAsia="IRNazanin"/>
          <w:color w:val="111111"/>
          <w:sz w:val="28"/>
          <w:sz w:val="28"/>
          <w:szCs w:val="28"/>
          <w:rtl w:val="true"/>
          <w:lang w:bidi="fa-IR"/>
        </w:rPr>
        <w:t>فی تحصیل مقدّمات العمل بالأدلّة الاجتهادیّة و تشخیص مجاری الاصول العملیّة،و إلاّ فحکم اللّه الشرعیّ فی الاصول و الفروع مشترک بین المجتهد و المقلّد</w:t>
      </w:r>
      <w:r>
        <w:rPr>
          <w:rFonts w:eastAsia="IRNazanin" w:cs="IRNazanin"/>
          <w:color w:val="111111"/>
          <w:sz w:val="28"/>
          <w:szCs w:val="28"/>
          <w:rtl w:val="true"/>
          <w:lang w:bidi="fa-IR"/>
        </w:rPr>
        <w:t>.</w:t>
      </w:r>
    </w:p>
    <w:p>
      <w:pPr>
        <w:pStyle w:val="Heading5"/>
        <w:numPr>
          <w:ilvl w:val="4"/>
          <w:numId w:val="1"/>
        </w:numPr>
        <w:rPr/>
      </w:pPr>
      <w:bookmarkStart w:id="57" w:name="__RefHeading___Toc5766831_3224264995"/>
      <w:bookmarkStart w:id="58" w:name="_Toc24"/>
      <w:bookmarkEnd w:id="57"/>
      <w:r>
        <w:rPr>
          <w:rtl w:val="true"/>
        </w:rPr>
        <w:t>کلام السید بحر العلوم فیما یرتبط بالمقام</w:t>
      </w:r>
      <w:r>
        <w:rPr>
          <w:rtl w:val="true"/>
        </w:rPr>
        <w:t>:</w:t>
      </w:r>
      <w:bookmarkEnd w:id="58"/>
    </w:p>
    <w:p>
      <w:pPr>
        <w:pStyle w:val="Heading6"/>
        <w:numPr>
          <w:ilvl w:val="5"/>
          <w:numId w:val="1"/>
        </w:numPr>
        <w:rPr/>
      </w:pPr>
      <w:bookmarkStart w:id="59" w:name="__RefHeading___Toc5766833_3224264995"/>
      <w:bookmarkStart w:id="60" w:name="_Toc25"/>
      <w:bookmarkEnd w:id="59"/>
      <w:r>
        <w:rPr>
          <w:rtl w:val="true"/>
        </w:rPr>
        <w:t>اشارة</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قد جعل بعض السادة الفحول </w:t>
      </w:r>
      <w:r>
        <w:rPr>
          <w:rStyle w:val="FootnoteAnchor"/>
          <w:rtl w:val="true"/>
        </w:rPr>
        <w:footnoteReference w:id="48"/>
      </w:r>
      <w:r>
        <w:rPr>
          <w:rFonts w:ascii="IRNazanin" w:hAnsi="IRNazanin" w:eastAsia="IRNazanin"/>
          <w:color w:val="111111"/>
          <w:sz w:val="28"/>
          <w:sz w:val="28"/>
          <w:szCs w:val="28"/>
          <w:rtl w:val="true"/>
          <w:lang w:bidi="fa-IR"/>
        </w:rPr>
        <w:t>الاستصحاب دلیلا علی الحکم فی مورده،و جعل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آیة النبأ بالنسبة إلی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bookmarkStart w:id="61" w:name="pg12985_124868"/>
    </w:p>
    <w:p>
      <w:pPr>
        <w:pStyle w:val="BookText"/>
        <w:rPr/>
      </w:pPr>
      <w:bookmarkEnd w:id="61"/>
      <w:r>
        <w:rPr>
          <w:rFonts w:ascii="IRNazanin" w:hAnsi="IRNazanin" w:eastAsia="IRNazanin"/>
          <w:color w:val="111111"/>
          <w:sz w:val="28"/>
          <w:sz w:val="28"/>
          <w:szCs w:val="28"/>
          <w:rtl w:val="true"/>
          <w:lang w:bidi="fa-IR"/>
        </w:rPr>
        <w:t>إنّ استصحاب الحکم المخالف للأصل فی شیء،دلیل شرعیّ رافع لحکم الأصل،و مخصّص لعمومات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فی آخر کلام له سیأتی نقله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عموم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أفراد الاستصحاب و جزئیّاته،إلاّ کعموم آیة النبأ بالقیاس إلی آحاد الأخبار المعتبرة </w:t>
      </w:r>
      <w:r>
        <w:rPr>
          <w:rStyle w:val="FootnoteAnchor"/>
          <w:rtl w:val="true"/>
        </w:rPr>
        <w:footnoteReference w:id="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2" w:name="__RefHeading___Toc5766835_3224264995"/>
      <w:bookmarkStart w:id="63" w:name="_Toc26"/>
      <w:bookmarkEnd w:id="62"/>
      <w:r>
        <w:rPr>
          <w:rtl w:val="true"/>
        </w:rPr>
        <w:t>المناقشة فیما أفاده بحر العلوم</w:t>
      </w:r>
      <w:r>
        <w:rPr>
          <w:rtl w:val="true"/>
        </w:rPr>
        <w:t>:</w:t>
      </w:r>
      <w:bookmarkEnd w:id="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الاستصحاب الجزئیّ فی المورد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نجاسة الماء المتغیّر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الحکم بثبوت النجاسة فی ذلک الماء النجس سابقا،و هل هذا إلاّ نفس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الدلیل علیه إلاّ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الاستصحاب و سائر القواعد المستفادة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الاستصحاب الجاری فی الشبهة الحکمیّة المثبت للحکم الظاهری الکلّی</w:t>
      </w:r>
      <w:r>
        <w:rPr>
          <w:rFonts w:eastAsia="IRNazanin" w:cs="IRNazanin"/>
          <w:color w:val="111111"/>
          <w:sz w:val="28"/>
          <w:szCs w:val="28"/>
          <w:rtl w:val="true"/>
          <w:lang w:bidi="fa-IR"/>
        </w:rPr>
        <w:t>.</w:t>
      </w:r>
    </w:p>
    <w:p>
      <w:pPr>
        <w:pStyle w:val="Heading5"/>
        <w:numPr>
          <w:ilvl w:val="4"/>
          <w:numId w:val="1"/>
        </w:numPr>
        <w:rPr/>
      </w:pPr>
      <w:bookmarkStart w:id="64" w:name="__RefHeading___Toc5766837_3224264995"/>
      <w:bookmarkStart w:id="65" w:name="_Toc27"/>
      <w:bookmarkEnd w:id="64"/>
      <w:r>
        <w:rPr>
          <w:rtl w:val="true"/>
        </w:rPr>
        <w:t>الاستصحاب الجاری فی الشبهة الموضوعیّة</w:t>
      </w:r>
      <w:r>
        <w:rPr>
          <w:rtl w:val="true"/>
        </w:rPr>
        <w:t>:</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الجاری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کعدالة زید و نجاسة ثوبه و فسق عمرو و طهارة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کونه حکما فرعیّا،سواء کان التکلّم فیه من باب الظنّ،أم کان من باب کونها قاعدة تعبّدیّة مستفادة من الأخبار؛لأنّ التکلّم فیه علی الأوّل،نظیر التکلّم فی اعتبار سائر الأمارات،ک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فی الشبهات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الثانی،من باب أصالة الطهارة و عدم الاعتناء بالشکّ بعد الفراغ،و نحو ذلک</w:t>
      </w:r>
      <w:r>
        <w:rPr>
          <w:rFonts w:eastAsia="IRNazanin" w:cs="IRNazanin"/>
          <w:color w:val="111111"/>
          <w:sz w:val="28"/>
          <w:szCs w:val="28"/>
          <w:rtl w:val="true"/>
          <w:lang w:bidi="fa-IR"/>
        </w:rPr>
        <w:t xml:space="preserve">. </w:t>
      </w:r>
      <w:bookmarkStart w:id="66" w:name="pg12985_124869"/>
    </w:p>
    <w:p>
      <w:pPr>
        <w:pStyle w:val="Heading4"/>
        <w:numPr>
          <w:ilvl w:val="3"/>
          <w:numId w:val="1"/>
        </w:numPr>
        <w:rPr/>
      </w:pPr>
      <w:bookmarkStart w:id="67" w:name="__RefHeading___Toc5766839_3224264995"/>
      <w:bookmarkStart w:id="68" w:name="_Toc28"/>
      <w:bookmarkEnd w:id="66"/>
      <w:bookmarkEnd w:id="67"/>
      <w:r>
        <w:rPr>
          <w:rtl w:val="true"/>
        </w:rPr>
        <w:t xml:space="preserve">الأمر  الرابع </w:t>
      </w:r>
      <w:r>
        <w:rPr>
          <w:rtl w:val="true"/>
        </w:rPr>
        <w:t>:</w:t>
      </w:r>
      <w:r>
        <w:rPr>
          <w:rtl w:val="true"/>
        </w:rPr>
        <w:t>مناط الاستصحاب بناء علی کونه من باب التعبّد</w:t>
      </w:r>
      <w:bookmarkEnd w:id="68"/>
    </w:p>
    <w:p>
      <w:pPr>
        <w:pStyle w:val="Heading5"/>
        <w:numPr>
          <w:ilvl w:val="4"/>
          <w:numId w:val="1"/>
        </w:numPr>
        <w:rPr/>
      </w:pPr>
      <w:bookmarkStart w:id="69" w:name="__RefHeading___Toc5766841_3224264995"/>
      <w:bookmarkStart w:id="70" w:name="_Toc29"/>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أنّ المناط فی اعتبار الاستصحاب علی القول بکونه من باب التعبّد الظاهری </w:t>
      </w:r>
      <w:r>
        <w:rPr>
          <w:rStyle w:val="FootnoteAnchor"/>
          <w:rtl w:val="true"/>
        </w:rPr>
        <w:footnoteReference w:id="52"/>
      </w:r>
      <w:r>
        <w:rPr>
          <w:rFonts w:ascii="Amiri" w:hAnsi="Amiri" w:eastAsia="Amiri" w:cs="Amiri"/>
          <w:color w:val="111111"/>
          <w:sz w:val="28"/>
          <w:sz w:val="28"/>
          <w:szCs w:val="28"/>
          <w:rtl w:val="true"/>
          <w:lang w:bidi="ar-SA"/>
        </w:rPr>
        <w:t>،هو مجرّد عدم العلم بزوال الحالة السابقة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766843_3224264995"/>
      <w:bookmarkStart w:id="72" w:name="_Toc30"/>
      <w:bookmarkEnd w:id="71"/>
      <w:r>
        <w:rPr>
          <w:rtl w:val="true"/>
        </w:rPr>
        <w:t>لیس المناط الظنّ الشخصی بناء علی کونه من باب الظنّ</w:t>
      </w:r>
      <w:r>
        <w:rPr>
          <w:rtl w:val="true"/>
        </w:rPr>
        <w:t>:</w:t>
      </w:r>
      <w:bookmarkEnd w:id="72"/>
    </w:p>
    <w:p>
      <w:pPr>
        <w:pStyle w:val="BookText"/>
        <w:rPr/>
      </w:pPr>
      <w:r>
        <w:rPr>
          <w:rFonts w:ascii="IRNazanin" w:hAnsi="IRNazanin" w:eastAsia="IRNazanin"/>
          <w:color w:val="111111"/>
          <w:sz w:val="28"/>
          <w:sz w:val="28"/>
          <w:szCs w:val="28"/>
          <w:rtl w:val="true"/>
          <w:lang w:bidi="fa-IR"/>
        </w:rPr>
        <w:t xml:space="preserve">و أمّا علی القول بکونه من باب الظنّ،فالمعهود من طریقة الفقهاء عدم اعتبار إفادة الظنّ فی خصوص المقام؛کما یعلم ذلک من حکمهم بمقتضیات الاصول کلّیة مع عدم اعتبارهم أن یکون العامل بها ظانّا ببقاء الحالة السابقة </w:t>
      </w:r>
      <w:r>
        <w:rPr>
          <w:rStyle w:val="FootnoteAnchor"/>
          <w:rtl w:val="true"/>
        </w:rPr>
        <w:footnoteReference w:id="53"/>
      </w:r>
      <w:r>
        <w:rPr>
          <w:rFonts w:ascii="IRNazanin" w:hAnsi="IRNazanin" w:eastAsia="IRNazanin"/>
          <w:color w:val="111111"/>
          <w:sz w:val="28"/>
          <w:sz w:val="28"/>
          <w:szCs w:val="28"/>
          <w:rtl w:val="true"/>
          <w:lang w:bidi="fa-IR"/>
        </w:rPr>
        <w:t xml:space="preserve">،و یظهر ذلک بأدنی تتبّع </w:t>
      </w:r>
      <w:r>
        <w:rPr>
          <w:rStyle w:val="FootnoteAnchor"/>
          <w:rtl w:val="true"/>
        </w:rPr>
        <w:footnoteReference w:id="54"/>
      </w:r>
      <w:r>
        <w:rPr>
          <w:rFonts w:ascii="IRNazanin" w:hAnsi="IRNazanin" w:eastAsia="IRNazanin"/>
          <w:color w:val="111111"/>
          <w:sz w:val="28"/>
          <w:sz w:val="28"/>
          <w:szCs w:val="28"/>
          <w:rtl w:val="true"/>
          <w:lang w:bidi="fa-IR"/>
        </w:rPr>
        <w:t>فی أحکام العبادات و المعاملات و المرافعات و السیاسات</w:t>
      </w:r>
      <w:r>
        <w:rPr>
          <w:rFonts w:eastAsia="IRNazanin" w:cs="IRNazanin"/>
          <w:color w:val="111111"/>
          <w:sz w:val="28"/>
          <w:szCs w:val="28"/>
          <w:rtl w:val="true"/>
          <w:lang w:bidi="fa-IR"/>
        </w:rPr>
        <w:t>.</w:t>
      </w:r>
    </w:p>
    <w:p>
      <w:pPr>
        <w:pStyle w:val="Heading5"/>
        <w:numPr>
          <w:ilvl w:val="4"/>
          <w:numId w:val="1"/>
        </w:numPr>
        <w:rPr/>
      </w:pPr>
      <w:bookmarkStart w:id="73" w:name="__RefHeading___Toc5766845_3224264995"/>
      <w:bookmarkStart w:id="74" w:name="_Toc31"/>
      <w:bookmarkEnd w:id="73"/>
      <w:r>
        <w:rPr>
          <w:rtl w:val="true"/>
        </w:rPr>
        <w:t>کلام الشیخ البهائی فی أن المناط الظن الشخصی</w:t>
      </w:r>
      <w:r>
        <w:rPr>
          <w:rtl w:val="true"/>
        </w:rPr>
        <w:t>:</w:t>
      </w:r>
      <w:bookmarkEnd w:id="74"/>
    </w:p>
    <w:p>
      <w:pPr>
        <w:pStyle w:val="BookText"/>
        <w:rPr/>
      </w:pPr>
      <w:r>
        <w:rPr>
          <w:rFonts w:ascii="IRNazanin" w:hAnsi="IRNazanin" w:eastAsia="IRNazanin"/>
          <w:color w:val="111111"/>
          <w:sz w:val="28"/>
          <w:sz w:val="28"/>
          <w:szCs w:val="28"/>
          <w:rtl w:val="true"/>
          <w:lang w:bidi="fa-IR"/>
        </w:rPr>
        <w:t>نعم،ذکر شیخنا البهائی قدّس سرّه فی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الشکّ فی الحدث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اعتبار الظنّ الشخصیّ،حیث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الظنّ الحاصل بالاستصحاب فی من تیقّن الطهارة و شکّ فی الحدث،لا یبقی علی نهج واحد،بل یضعف بطول المدّة شیئا </w:t>
      </w:r>
      <w:bookmarkStart w:id="75" w:name="pg12985_124870"/>
    </w:p>
    <w:p>
      <w:pPr>
        <w:pStyle w:val="BookText"/>
        <w:rPr/>
      </w:pPr>
      <w:bookmarkEnd w:id="75"/>
      <w:r>
        <w:rPr>
          <w:rFonts w:ascii="IRNazanin" w:hAnsi="IRNazanin" w:eastAsia="IRNazanin"/>
          <w:color w:val="111111"/>
          <w:sz w:val="28"/>
          <w:sz w:val="28"/>
          <w:szCs w:val="28"/>
          <w:rtl w:val="true"/>
          <w:lang w:bidi="fa-IR"/>
        </w:rPr>
        <w:t>فشیئا،بل قد یزول الرجحان و یتساوی الطرفان،بل ربما یصیر الراجح مرجوحا،کما إذا توضّأ عند الصبح و ذهل عن التحفّظ،ثمّ شکّ عند المغرب فی صدور الحدث منه،و لم یکن من عادته البقاء علی الطهارة إلی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المدار علی الظنّ،فما دام باقیا فالعمل علیه و إن ضعف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فی الخلد مقامه</w:t>
      </w:r>
      <w:r>
        <w:rPr>
          <w:rFonts w:eastAsia="IRNazanin" w:cs="IRNazanin"/>
          <w:color w:val="111111"/>
          <w:sz w:val="28"/>
          <w:szCs w:val="28"/>
          <w:rtl w:val="true"/>
          <w:lang w:bidi="fa-IR"/>
        </w:rPr>
        <w:t>.</w:t>
      </w:r>
    </w:p>
    <w:p>
      <w:pPr>
        <w:pStyle w:val="Heading5"/>
        <w:numPr>
          <w:ilvl w:val="4"/>
          <w:numId w:val="1"/>
        </w:numPr>
        <w:rPr/>
      </w:pPr>
      <w:bookmarkStart w:id="76" w:name="__RefHeading___Toc5766847_3224264995"/>
      <w:bookmarkStart w:id="77" w:name="_Toc32"/>
      <w:bookmarkEnd w:id="76"/>
      <w:r>
        <w:rPr>
          <w:rtl w:val="true"/>
        </w:rPr>
        <w:t>ظاهر شارح الدروس ارتضاؤه ذلک</w:t>
      </w:r>
      <w:r>
        <w:rPr>
          <w:rtl w:val="true"/>
        </w:rPr>
        <w:t>:</w:t>
      </w:r>
      <w:bookmarkEnd w:id="77"/>
    </w:p>
    <w:p>
      <w:pPr>
        <w:pStyle w:val="BookText"/>
        <w:rPr/>
      </w:pPr>
      <w:r>
        <w:rPr>
          <w:rFonts w:ascii="IRNazanin" w:hAnsi="IRNazanin" w:eastAsia="IRNazanin"/>
          <w:color w:val="111111"/>
          <w:sz w:val="28"/>
          <w:sz w:val="28"/>
          <w:szCs w:val="28"/>
          <w:rtl w:val="true"/>
          <w:lang w:bidi="fa-IR"/>
        </w:rPr>
        <w:t>و یظهر من شارح الدروس ارتضاؤه؛حیث قال بعد حکایة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إنّما یصحّ لو بنی المسألة علی أنّ ما تیقّن بحصوله فی وقت و لم یعلم أو یظنّ طروّ ما یزیله،یحصل الظنّ ببقائه، و الشکّ فی نقیضه لا یعارضه؛إذ الضعیف لا یعارض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لکن،هذا البناء ضعیف جدّا،بل بناؤها علی الروایات مؤیّدة بأصالة البراءة فی بعض الموارد،و هی تشمل الشکّ و الظنّ معا،فإخراج الظنّ منها </w:t>
      </w:r>
      <w:r>
        <w:rPr>
          <w:rStyle w:val="FootnoteAnchor"/>
          <w:rtl w:val="true"/>
        </w:rPr>
        <w:footnoteReference w:id="56"/>
      </w:r>
      <w:r>
        <w:rPr>
          <w:rFonts w:ascii="IRNazanin" w:hAnsi="IRNazanin" w:eastAsia="IRNazanin"/>
          <w:color w:val="111111"/>
          <w:sz w:val="28"/>
          <w:sz w:val="28"/>
          <w:szCs w:val="28"/>
          <w:rtl w:val="true"/>
          <w:lang w:bidi="fa-IR"/>
        </w:rPr>
        <w:t xml:space="preserve">ممّا لا وجه له أصلا </w:t>
      </w:r>
      <w:r>
        <w:rPr>
          <w:rStyle w:val="FootnoteAnchor"/>
          <w:rtl w:val="true"/>
        </w:rPr>
        <w:footnoteReference w:id="5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5"/>
        <w:numPr>
          <w:ilvl w:val="4"/>
          <w:numId w:val="1"/>
        </w:numPr>
        <w:rPr/>
      </w:pPr>
      <w:bookmarkStart w:id="78" w:name="__RefHeading___Toc5766849_3224264995"/>
      <w:bookmarkStart w:id="79" w:name="_Toc33"/>
      <w:bookmarkEnd w:id="78"/>
      <w:r>
        <w:rPr>
          <w:rtl w:val="true"/>
        </w:rPr>
        <w:t>استظهار ذلک من کلام الشهید قدّس سرّه فی الذکری</w:t>
      </w:r>
      <w:r>
        <w:rPr>
          <w:rtl w:val="true"/>
        </w:rPr>
        <w:t>:</w:t>
      </w:r>
      <w:bookmarkEnd w:id="79"/>
    </w:p>
    <w:p>
      <w:pPr>
        <w:pStyle w:val="BookText"/>
        <w:rPr/>
      </w:pPr>
      <w:r>
        <w:rPr>
          <w:rFonts w:ascii="IRNazanin" w:hAnsi="IRNazanin" w:eastAsia="IRNazanin"/>
          <w:color w:val="111111"/>
          <w:sz w:val="28"/>
          <w:sz w:val="28"/>
          <w:szCs w:val="28"/>
          <w:rtl w:val="true"/>
          <w:lang w:bidi="fa-IR"/>
        </w:rPr>
        <w:t>و یمکن استظهار ذلک من الشهید قدّس سرّه فی الذکری حیث ذکر أنّ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نعنی به اجتماع الیقین و الشکّ، بل المراد أنّ الیقین الذی کان فی الزمن الأوّل لا یخرج عن حکمه بالشکّ فی الزمان الثانی؛لأصالة بقاء ما کان،فیؤول إلی اجتماع الظنّ </w:t>
      </w:r>
    </w:p>
    <w:p>
      <w:pPr>
        <w:pStyle w:val="BookText"/>
        <w:rPr/>
      </w:pPr>
      <w:r>
        <w:rPr>
          <w:rFonts w:ascii="IRNazanin" w:hAnsi="IRNazanin" w:eastAsia="IRNazanin"/>
          <w:color w:val="111111"/>
          <w:sz w:val="28"/>
          <w:sz w:val="28"/>
          <w:szCs w:val="28"/>
          <w:rtl w:val="true"/>
          <w:lang w:bidi="fa-IR"/>
        </w:rPr>
        <w:t xml:space="preserve">و الشکّ فی الزمان الواحد،فیرجّح الظنّ علیه،کما هو مطّرد فی العبادات </w:t>
      </w:r>
      <w:r>
        <w:rPr>
          <w:rStyle w:val="FootnoteAnchor"/>
          <w:rtl w:val="true"/>
        </w:rPr>
        <w:footnoteReference w:id="5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من الشکّ مجرّد الاحتمال،بل ظاهر کلامه أنّ المناط فی اعتبار الاستصحاب من باب </w:t>
      </w:r>
      <w:r>
        <w:rPr>
          <w:rStyle w:val="FootnoteAnchor"/>
          <w:rtl w:val="true"/>
        </w:rPr>
        <w:footnoteReference w:id="59"/>
      </w:r>
      <w:r>
        <w:rPr>
          <w:rFonts w:ascii="IRNazanin" w:hAnsi="IRNazanin" w:eastAsia="IRNazanin"/>
          <w:color w:val="111111"/>
          <w:sz w:val="28"/>
          <w:sz w:val="28"/>
          <w:szCs w:val="28"/>
          <w:rtl w:val="true"/>
          <w:lang w:bidi="fa-IR"/>
        </w:rPr>
        <w:t>أخبار عدم نقض الیقین بالشکّ،هو الظنّ أیضا،فتأمّل</w:t>
      </w:r>
      <w:r>
        <w:rPr>
          <w:rFonts w:eastAsia="IRNazanin" w:cs="IRNazanin"/>
          <w:color w:val="111111"/>
          <w:sz w:val="28"/>
          <w:szCs w:val="28"/>
          <w:rtl w:val="true"/>
          <w:lang w:bidi="fa-IR"/>
        </w:rPr>
        <w:t xml:space="preserve">. </w:t>
      </w:r>
      <w:bookmarkStart w:id="80" w:name="pg12985_124872"/>
    </w:p>
    <w:p>
      <w:pPr>
        <w:pStyle w:val="Heading4"/>
        <w:numPr>
          <w:ilvl w:val="3"/>
          <w:numId w:val="1"/>
        </w:numPr>
        <w:rPr/>
      </w:pPr>
      <w:bookmarkStart w:id="81" w:name="__RefHeading___Toc5766851_3224264995"/>
      <w:bookmarkStart w:id="82" w:name="_Toc34"/>
      <w:bookmarkEnd w:id="80"/>
      <w:bookmarkEnd w:id="81"/>
      <w:r>
        <w:rPr>
          <w:rtl w:val="true"/>
        </w:rPr>
        <w:t>الأمر  الخامس</w:t>
      </w:r>
      <w:r>
        <w:rPr>
          <w:rtl w:val="true"/>
        </w:rPr>
        <w:t>:</w:t>
      </w:r>
      <w:r>
        <w:rPr>
          <w:rtl w:val="true"/>
        </w:rPr>
        <w:t>تقوّم الاستصحاب بأمرین</w:t>
      </w:r>
      <w:r>
        <w:rPr>
          <w:rtl w:val="true"/>
        </w:rPr>
        <w:t>:</w:t>
      </w:r>
      <w:r>
        <w:rPr>
          <w:rtl w:val="true"/>
        </w:rPr>
        <w:t>الیقین بالحدوث،و الشکّ فی البقاء</w:t>
      </w:r>
      <w:bookmarkEnd w:id="82"/>
    </w:p>
    <w:p>
      <w:pPr>
        <w:pStyle w:val="Heading5"/>
        <w:numPr>
          <w:ilvl w:val="4"/>
          <w:numId w:val="1"/>
        </w:numPr>
        <w:rPr/>
      </w:pPr>
      <w:bookmarkStart w:id="83" w:name="__RefHeading___Toc5766853_3224264995"/>
      <w:bookmarkStart w:id="84" w:name="_Toc35"/>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أنّ المستفاد من تعریفنا السابق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استناد الحکم بالبقاء إلی مجرّد الوجود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یتقوّم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الشیء فی زمان،سواء علم به فی زمان وجوده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بدّ من إحراز ذلک حین إرادة الحکم بالبقاء بالعلم أو الظنّ المعتبر،و أمّا مجرّد الاعتقاد بوجود شیء فی زمان مع زوال ذلک الاعتقاد فی زمان آخر،فلا یتحقّق معه الاستصحاب الاصطلاحی و إن توهّم بعضهم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عموم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فیه،کما سننبّه علیه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766855_3224264995"/>
      <w:bookmarkStart w:id="86" w:name="_Toc36"/>
      <w:bookmarkEnd w:id="85"/>
      <w:r>
        <w:rPr>
          <w:rtl w:val="true"/>
        </w:rPr>
        <w:t>الاستصحاب القهقری</w:t>
      </w:r>
      <w:r>
        <w:rPr>
          <w:rtl w:val="true"/>
        </w:rPr>
        <w:t>:</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وجوده فی زمان لاحق علیه؛فلو شکّ فی زمان سابق علیه فلا استصحاب،و قد یطلق علیه الاستصحاب القهقری مجازا</w:t>
      </w:r>
      <w:r>
        <w:rPr>
          <w:rFonts w:eastAsia="IRNazanin" w:cs="IRNazanin"/>
          <w:color w:val="111111"/>
          <w:sz w:val="28"/>
          <w:szCs w:val="28"/>
          <w:rtl w:val="true"/>
          <w:lang w:bidi="fa-IR"/>
        </w:rPr>
        <w:t xml:space="preserve">. </w:t>
      </w:r>
      <w:bookmarkStart w:id="87" w:name="pg12985_124873"/>
    </w:p>
    <w:p>
      <w:pPr>
        <w:pStyle w:val="Heading5"/>
        <w:numPr>
          <w:ilvl w:val="4"/>
          <w:numId w:val="1"/>
        </w:numPr>
        <w:rPr/>
      </w:pPr>
      <w:bookmarkStart w:id="88" w:name="__RefHeading___Toc5766857_3224264995"/>
      <w:bookmarkStart w:id="89" w:name="_Toc37"/>
      <w:bookmarkEnd w:id="87"/>
      <w:bookmarkEnd w:id="88"/>
      <w:r>
        <w:rPr>
          <w:rtl w:val="true"/>
        </w:rPr>
        <w:t>المعتبر هو الشکّ الفعلیّ</w:t>
      </w:r>
      <w:bookmarkEnd w:id="89"/>
    </w:p>
    <w:p>
      <w:pPr>
        <w:pStyle w:val="BookText"/>
        <w:rPr/>
      </w:pPr>
      <w:r>
        <w:rPr>
          <w:rFonts w:ascii="IRNazanin" w:hAnsi="IRNazanin" w:eastAsia="IRNazanin"/>
          <w:color w:val="111111"/>
          <w:sz w:val="28"/>
          <w:sz w:val="28"/>
          <w:szCs w:val="28"/>
          <w:rtl w:val="true"/>
          <w:lang w:bidi="fa-IR"/>
        </w:rPr>
        <w:t xml:space="preserve">ثمّ المعتبر هو الشکّ الفعلیّ الموجود حال الالتفات إلیه،أمّا لو لم یلتفت </w:t>
      </w:r>
      <w:r>
        <w:rPr>
          <w:rStyle w:val="FootnoteAnchor"/>
          <w:rtl w:val="true"/>
        </w:rPr>
        <w:footnoteReference w:id="64"/>
      </w:r>
      <w:r>
        <w:rPr>
          <w:rFonts w:ascii="IRNazanin" w:hAnsi="IRNazanin" w:eastAsia="IRNazanin"/>
          <w:color w:val="111111"/>
          <w:sz w:val="28"/>
          <w:sz w:val="28"/>
          <w:szCs w:val="28"/>
          <w:rtl w:val="true"/>
          <w:lang w:bidi="fa-IR"/>
        </w:rPr>
        <w:t>فلا استصحاب و إن فرض الشکّ فیه علی فرض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فالمتیقّن للحدث إذا التفت إلی حاله فی اللاحق فشکّ،جری الاستصحاب فی حقّه،فلو غفل عن ذلک و صلّی بطلت صلاته؛لسبق الأمر بالطهارة </w:t>
      </w:r>
      <w:r>
        <w:rPr>
          <w:rStyle w:val="FootnoteAnchor"/>
          <w:rtl w:val="true"/>
        </w:rPr>
        <w:footnoteReference w:id="65"/>
      </w:r>
      <w:r>
        <w:rPr>
          <w:rFonts w:ascii="IRNazanin" w:hAnsi="IRNazanin" w:eastAsia="IRNazanin"/>
          <w:color w:val="111111"/>
          <w:sz w:val="28"/>
          <w:sz w:val="28"/>
          <w:szCs w:val="28"/>
          <w:rtl w:val="true"/>
          <w:lang w:bidi="fa-IR"/>
        </w:rPr>
        <w:t xml:space="preserve">،و لا یجری فی حقّه حکم الشکّ فی الصحّة بعد الفراغ عن العمل؛لأنّ مجراه الشکّ الحادث بعد الفراغ،لا الموجود من قبل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67"/>
      </w:r>
      <w:r>
        <w:rPr>
          <w:rFonts w:ascii="IRNazanin" w:hAnsi="IRNazanin" w:eastAsia="IRNazanin"/>
          <w:color w:val="111111"/>
          <w:sz w:val="28"/>
          <w:sz w:val="28"/>
          <w:szCs w:val="28"/>
          <w:rtl w:val="true"/>
          <w:lang w:bidi="fa-IR"/>
        </w:rPr>
        <w:t>،لو غفل عن حاله بعد الیقین بالحدث و صلّی،ثمّ التفت و شکّ فی کونه محدثا حال الصلاة أو متطهّرا،جری فی حقّه قاعدة الشکّ بعد الفراغ؛لحدوث الشکّ بعد العمل و عدم وجوده قبله حتّی یوجب الأمر بالطهارة و النهی عن الدخول فیه بدونها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نعم،هذا الشکّ اللاحق یوجب الإعادة بحکم استصحاب عدم الطهارة،لو لا حکومة قاعدة الشکّ بعد الفراغ علیه،فافهم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0" w:name="pg12985_124874"/>
    </w:p>
    <w:p>
      <w:pPr>
        <w:pStyle w:val="Heading4"/>
        <w:numPr>
          <w:ilvl w:val="3"/>
          <w:numId w:val="1"/>
        </w:numPr>
        <w:rPr/>
      </w:pPr>
      <w:bookmarkStart w:id="91" w:name="__RefHeading___Toc5766859_3224264995"/>
      <w:bookmarkStart w:id="92" w:name="_Toc38"/>
      <w:bookmarkEnd w:id="90"/>
      <w:bookmarkEnd w:id="91"/>
      <w:r>
        <w:rPr>
          <w:rtl w:val="true"/>
        </w:rPr>
        <w:t>الأمر  السادس</w:t>
      </w:r>
      <w:r>
        <w:rPr>
          <w:rtl w:val="true"/>
        </w:rPr>
        <w:t>:</w:t>
      </w:r>
      <w:r>
        <w:rPr>
          <w:rtl w:val="true"/>
        </w:rPr>
        <w:t>تقسیم الاستصحاب من وجوه</w:t>
      </w:r>
      <w:r>
        <w:rPr>
          <w:rtl w:val="true"/>
        </w:rPr>
        <w:t>:</w:t>
      </w:r>
      <w:bookmarkEnd w:id="92"/>
    </w:p>
    <w:p>
      <w:pPr>
        <w:pStyle w:val="Heading5"/>
        <w:numPr>
          <w:ilvl w:val="4"/>
          <w:numId w:val="1"/>
        </w:numPr>
        <w:rPr/>
      </w:pPr>
      <w:bookmarkStart w:id="93" w:name="__RefHeading___Toc5766861_3224264995"/>
      <w:bookmarkStart w:id="94" w:name="_Toc39"/>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فی تقسیم الاستصحاب إلی أقسام؛لیعرف أنّ الخلاف فی مسألة الاستصحاب فی کلّها أو فی بعضها،فنقول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تقسیما باعتبار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باعتبار الدلیل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باعتبار الشکّ المأخوذ فیه</w:t>
      </w:r>
      <w:r>
        <w:rPr>
          <w:rFonts w:eastAsia="IRNazanin" w:cs="IRNazanin"/>
          <w:color w:val="111111"/>
          <w:sz w:val="28"/>
          <w:szCs w:val="28"/>
          <w:rtl w:val="true"/>
          <w:lang w:bidi="fa-IR"/>
        </w:rPr>
        <w:t>.</w:t>
      </w:r>
    </w:p>
    <w:p>
      <w:pPr>
        <w:pStyle w:val="Heading5"/>
        <w:numPr>
          <w:ilvl w:val="4"/>
          <w:numId w:val="1"/>
        </w:numPr>
        <w:rPr/>
      </w:pPr>
      <w:bookmarkStart w:id="95" w:name="__RefHeading___Toc5766863_3224264995"/>
      <w:bookmarkStart w:id="96" w:name="_Toc40"/>
      <w:bookmarkEnd w:id="95"/>
      <w:r>
        <w:rPr/>
        <w:t>1</w:t>
      </w:r>
      <w:r>
        <w:rPr>
          <w:rtl w:val="true"/>
        </w:rPr>
        <w:t>-</w:t>
      </w:r>
      <w:r>
        <w:rPr>
          <w:rtl w:val="true"/>
        </w:rPr>
        <w:t>تقسیم الاستصحاب باعتبار المستصحب</w:t>
      </w:r>
      <w:bookmarkEnd w:id="96"/>
    </w:p>
    <w:p>
      <w:pPr>
        <w:pStyle w:val="Heading6"/>
        <w:numPr>
          <w:ilvl w:val="5"/>
          <w:numId w:val="1"/>
        </w:numPr>
        <w:rPr/>
      </w:pPr>
      <w:bookmarkStart w:id="97" w:name="__RefHeading___Toc5766865_3224264995"/>
      <w:bookmarkStart w:id="98" w:name="_Toc41"/>
      <w:bookmarkEnd w:id="97"/>
      <w:r>
        <w:rPr>
          <w:rtl w:val="true"/>
        </w:rPr>
        <w:t>اشارة</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المستصحب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أمّا بالاعتبار الأوّل فمن وجوه</w:t>
      </w:r>
      <w:r>
        <w:rPr>
          <w:rFonts w:eastAsia="IRNazanin" w:cs="IRNazanin"/>
          <w:color w:val="111111"/>
          <w:sz w:val="28"/>
          <w:szCs w:val="28"/>
          <w:rtl w:val="true"/>
          <w:lang w:bidi="fa-IR"/>
        </w:rPr>
        <w:t>:</w:t>
      </w:r>
    </w:p>
    <w:p>
      <w:pPr>
        <w:pStyle w:val="Heading6"/>
        <w:numPr>
          <w:ilvl w:val="5"/>
          <w:numId w:val="1"/>
        </w:numPr>
        <w:rPr/>
      </w:pPr>
      <w:bookmarkStart w:id="99" w:name="__RefHeading___Toc5766867_3224264995"/>
      <w:bookmarkStart w:id="100" w:name="_Toc42"/>
      <w:bookmarkEnd w:id="99"/>
      <w:r>
        <w:rPr>
          <w:rtl w:val="true"/>
        </w:rPr>
        <w:t>الوجه الأوّل</w:t>
      </w:r>
      <w:r>
        <w:rPr>
          <w:rtl w:val="true"/>
        </w:rPr>
        <w:t>:</w:t>
      </w:r>
      <w:r>
        <w:rPr>
          <w:rtl w:val="true"/>
        </w:rPr>
        <w:t>المستصحب إمّا وجودیّ و إمّا عدمیّ</w:t>
      </w:r>
      <w:r>
        <w:rPr>
          <w:rtl w:val="true"/>
        </w:rPr>
        <w:t>:</w:t>
      </w:r>
      <w:bookmarkEnd w:id="10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 المستصحب قد یکون أمرا وجودیّا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کوجوب </w:t>
      </w:r>
      <w:r>
        <w:rPr>
          <w:rStyle w:val="FootnoteAnchor"/>
          <w:rtl w:val="true"/>
        </w:rPr>
        <w:footnoteReference w:id="70"/>
      </w:r>
      <w:r>
        <w:rPr>
          <w:rFonts w:ascii="IRNazanin" w:hAnsi="IRNazanin" w:eastAsia="IRNazanin"/>
          <w:color w:val="111111"/>
          <w:sz w:val="28"/>
          <w:sz w:val="28"/>
          <w:szCs w:val="28"/>
          <w:rtl w:val="true"/>
          <w:lang w:bidi="fa-IR"/>
        </w:rPr>
        <w:t xml:space="preserve">شیء </w:t>
      </w:r>
      <w:bookmarkStart w:id="101" w:name="pg12985_124875"/>
    </w:p>
    <w:p>
      <w:pPr>
        <w:pStyle w:val="BookText"/>
        <w:rPr/>
      </w:pPr>
      <w:bookmarkEnd w:id="101"/>
      <w:r>
        <w:rPr>
          <w:rFonts w:ascii="IRNazanin" w:hAnsi="IRNazanin" w:eastAsia="IRNazanin"/>
          <w:color w:val="111111"/>
          <w:sz w:val="28"/>
          <w:sz w:val="28"/>
          <w:szCs w:val="28"/>
          <w:rtl w:val="true"/>
          <w:lang w:bidi="fa-IR"/>
        </w:rPr>
        <w:t xml:space="preserve">أو طهارة شیء أو رطوبة ثوب </w:t>
      </w:r>
      <w:r>
        <w:rPr>
          <w:rStyle w:val="FootnoteAnchor"/>
          <w:rtl w:val="true"/>
        </w:rPr>
        <w:footnoteReference w:id="71"/>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اشتغال الذمّة بتکلیف شرعیّ،و یسمّی عند بعضهم </w:t>
      </w:r>
      <w:r>
        <w:rPr>
          <w:rStyle w:val="FootnoteAnchor"/>
          <w:rtl w:val="true"/>
        </w:rPr>
        <w:footnoteReference w:id="7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غیره،کعدم نقل اللفظ عن معناه،و عدم القرینة،و عدم موت زید و رطوبة الثوب و حدوث موجب الوضوء أو الغسل،و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کون الوجودیّ محلّ النزاع</w:t>
      </w:r>
      <w:r>
        <w:rPr>
          <w:rFonts w:eastAsia="IRNazanin" w:cs="IRNazanin"/>
          <w:color w:val="111111"/>
          <w:sz w:val="28"/>
          <w:szCs w:val="28"/>
          <w:rtl w:val="true"/>
          <w:lang w:bidi="fa-IR"/>
        </w:rPr>
        <w:t>.</w:t>
      </w:r>
    </w:p>
    <w:p>
      <w:pPr>
        <w:pStyle w:val="Heading6"/>
        <w:numPr>
          <w:ilvl w:val="5"/>
          <w:numId w:val="1"/>
        </w:numPr>
        <w:rPr/>
      </w:pPr>
      <w:bookmarkStart w:id="102" w:name="__RefHeading___Toc5766869_3224264995"/>
      <w:bookmarkStart w:id="103" w:name="_Toc43"/>
      <w:bookmarkEnd w:id="102"/>
      <w:r>
        <w:rPr>
          <w:rtl w:val="true"/>
        </w:rPr>
        <w:t>کلام شریف العلماء فی خروج العدمیّات عن محلّ النزاع</w:t>
      </w:r>
      <w:r>
        <w:rPr>
          <w:rtl w:val="true"/>
        </w:rPr>
        <w:t>:</w:t>
      </w:r>
      <w:bookmarkEnd w:id="103"/>
    </w:p>
    <w:p>
      <w:pPr>
        <w:pStyle w:val="BookText"/>
        <w:rPr/>
      </w:pPr>
      <w:r>
        <w:rPr>
          <w:rFonts w:ascii="IRNazanin" w:hAnsi="IRNazanin" w:eastAsia="IRNazanin"/>
          <w:color w:val="111111"/>
          <w:sz w:val="28"/>
          <w:sz w:val="28"/>
          <w:szCs w:val="28"/>
          <w:rtl w:val="true"/>
          <w:lang w:bidi="fa-IR"/>
        </w:rPr>
        <w:t xml:space="preserve">و أمّا العدمی،فقد مال الاستاذ </w:t>
      </w:r>
      <w:r>
        <w:rPr>
          <w:rStyle w:val="FootnoteAnchor"/>
          <w:rtl w:val="true"/>
        </w:rPr>
        <w:footnoteReference w:id="73"/>
      </w:r>
      <w:r>
        <w:rPr>
          <w:rFonts w:ascii="IRNazanin" w:hAnsi="IRNazanin" w:eastAsia="IRNazanin"/>
          <w:color w:val="111111"/>
          <w:sz w:val="28"/>
          <w:sz w:val="28"/>
          <w:szCs w:val="28"/>
          <w:rtl w:val="true"/>
          <w:lang w:bidi="fa-IR"/>
        </w:rPr>
        <w:t>قدّس سرّه إلی عدم الخلاف فیه،تبعا لما حکاه عن استاذه السیّد صاحب الریاض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الإجماع علی اعتباره فی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الإجماع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باستقرار سیرة العلماء علی التمسّک بالاصول العدمیّة،مثل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عدم القرینة و النقل و الاشتراک و غیر ذلک،و ببنائهم هذه المسألة علی کفایة العلّة المحدثة للإبقاء</w:t>
      </w:r>
      <w:r>
        <w:rPr>
          <w:rFonts w:eastAsia="IRNazanin" w:cs="IRNazanin"/>
          <w:color w:val="111111"/>
          <w:sz w:val="28"/>
          <w:szCs w:val="28"/>
          <w:rtl w:val="true"/>
          <w:lang w:bidi="fa-IR"/>
        </w:rPr>
        <w:t xml:space="preserve">. </w:t>
      </w:r>
      <w:bookmarkStart w:id="104" w:name="pg12985_124876"/>
    </w:p>
    <w:p>
      <w:pPr>
        <w:pStyle w:val="Heading6"/>
        <w:numPr>
          <w:ilvl w:val="5"/>
          <w:numId w:val="1"/>
        </w:numPr>
        <w:rPr/>
      </w:pPr>
      <w:bookmarkStart w:id="105" w:name="__RefHeading___Toc5766871_3224264995"/>
      <w:bookmarkStart w:id="106" w:name="_Toc44"/>
      <w:bookmarkEnd w:id="104"/>
      <w:bookmarkEnd w:id="105"/>
      <w:r>
        <w:rPr>
          <w:rtl w:val="true"/>
        </w:rPr>
        <w:t>المناقشة فیما أفاده شریف العلماء</w:t>
      </w:r>
      <w:r>
        <w:rPr>
          <w:rtl w:val="true"/>
        </w:rPr>
        <w:t>:</w:t>
      </w:r>
      <w:bookmarkEnd w:id="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استظهره قدّس سرّه لا یخلو عن تأمّل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دعوی الإجماع،فلا مسرح لها فی المقام مع ما سیمرّ بک من تصریحات کثیر </w:t>
      </w:r>
      <w:r>
        <w:rPr>
          <w:rStyle w:val="FootnoteAnchor"/>
          <w:rtl w:val="true"/>
        </w:rPr>
        <w:footnoteReference w:id="75"/>
      </w:r>
      <w:r>
        <w:rPr>
          <w:rFonts w:ascii="IRNazanin" w:hAnsi="IRNazanin" w:eastAsia="IRNazanin"/>
          <w:color w:val="111111"/>
          <w:sz w:val="28"/>
          <w:sz w:val="28"/>
          <w:szCs w:val="28"/>
          <w:rtl w:val="true"/>
          <w:lang w:bidi="fa-IR"/>
        </w:rPr>
        <w:t>بخلافها،و إن کان یشهد لها ظاهر التفتازانی فی شرح الشرح؛حیث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خلاف الحنفیّة المنکرین للاستصحاب إنّما هو فی الإثبات دون النفی الأصلیّ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5766873_3224264995"/>
      <w:bookmarkStart w:id="108" w:name="_Toc45"/>
      <w:bookmarkEnd w:id="107"/>
      <w:r>
        <w:rPr>
          <w:rtl w:val="true"/>
        </w:rPr>
        <w:t>قیام السیرة علی التمسّک بالاصول الوجودیّة و العدمیّة فی باب الألفاظ</w:t>
      </w:r>
      <w:bookmarkEnd w:id="108"/>
    </w:p>
    <w:p>
      <w:pPr>
        <w:pStyle w:val="BookText"/>
        <w:rPr/>
      </w:pPr>
      <w:r>
        <w:rPr>
          <w:rFonts w:ascii="IRNazanin" w:hAnsi="IRNazanin" w:eastAsia="IRNazanin"/>
          <w:color w:val="111111"/>
          <w:sz w:val="28"/>
          <w:sz w:val="28"/>
          <w:szCs w:val="28"/>
          <w:rtl w:val="true"/>
          <w:lang w:bidi="fa-IR"/>
        </w:rPr>
        <w:t>و أمّا سیرة العلماء،فقد استقرّت فی باب الألفاظ علی التمسّک بالاصول الوجودیّة و العدمیّة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البهبهانی فی رسالته الاستصحابیّة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القول بإنکار اعتبار الاستصحاب مطلقا عن بعض،و إثباته عن بعض، و التفصیل عن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Heading6"/>
        <w:numPr>
          <w:ilvl w:val="5"/>
          <w:numId w:val="1"/>
        </w:numPr>
        <w:rPr/>
      </w:pPr>
      <w:bookmarkStart w:id="109" w:name="__RefHeading___Toc5766875_3224264995"/>
      <w:bookmarkStart w:id="110" w:name="_Toc46"/>
      <w:bookmarkEnd w:id="109"/>
      <w:r>
        <w:rPr>
          <w:rtl w:val="true"/>
        </w:rPr>
        <w:t>کلام الوحید البهبهانی فی ذلک</w:t>
      </w:r>
      <w:r>
        <w:rPr>
          <w:rtl w:val="true"/>
        </w:rPr>
        <w:t>:</w:t>
      </w:r>
      <w:bookmarkEnd w:id="11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نجد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المنکر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یستدلّون بأصالة عدم النقل،فیقولون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حقیقة فی الوجوب عرفا، فکذا لغة؛لأصالة عدم النقل،و یستدلّون بأصالة بقاء المعنی اللغویّ، فینکرون الحقیقة الشرعیّة،إلی غیر ذلک،کما لا یخفی علی المتتبّع </w:t>
      </w:r>
      <w:r>
        <w:rPr>
          <w:rStyle w:val="FootnoteAnchor"/>
          <w:rtl w:val="true"/>
        </w:rPr>
        <w:footnoteReference w:id="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bookmarkStart w:id="111" w:name="pg12985_124877"/>
    </w:p>
    <w:p>
      <w:pPr>
        <w:pStyle w:val="BookText"/>
        <w:rPr/>
      </w:pPr>
      <w:bookmarkEnd w:id="111"/>
      <w:r>
        <w:rPr>
          <w:rFonts w:ascii="IRNazanin" w:hAnsi="IRNazanin" w:eastAsia="IRNazanin"/>
          <w:color w:val="111111"/>
          <w:sz w:val="28"/>
          <w:sz w:val="28"/>
          <w:szCs w:val="28"/>
          <w:rtl w:val="true"/>
          <w:lang w:bidi="fa-IR"/>
        </w:rPr>
        <w:t>و حینئذ،فلا شهادة فی السیرة الجاریة فی باب الألفاظ علی خروج العدمیّات</w:t>
      </w:r>
      <w:r>
        <w:rPr>
          <w:rFonts w:eastAsia="IRNazanin" w:cs="IRNazanin"/>
          <w:color w:val="111111"/>
          <w:sz w:val="28"/>
          <w:szCs w:val="28"/>
          <w:rtl w:val="true"/>
          <w:lang w:bidi="fa-IR"/>
        </w:rPr>
        <w:t>.</w:t>
      </w:r>
    </w:p>
    <w:p>
      <w:pPr>
        <w:pStyle w:val="Heading6"/>
        <w:numPr>
          <w:ilvl w:val="5"/>
          <w:numId w:val="1"/>
        </w:numPr>
        <w:rPr/>
      </w:pPr>
      <w:bookmarkStart w:id="112" w:name="__RefHeading___Toc5766877_3224264995"/>
      <w:bookmarkStart w:id="113" w:name="_Toc47"/>
      <w:bookmarkEnd w:id="112"/>
      <w:r>
        <w:rPr>
          <w:rtl w:val="true"/>
        </w:rPr>
        <w:t>ما یظهر منه الاختصاص بالوجودیّات و مناقشته</w:t>
      </w:r>
      <w:r>
        <w:rPr>
          <w:rtl w:val="true"/>
        </w:rPr>
        <w:t>:</w:t>
      </w:r>
      <w:bookmarkEnd w:id="113"/>
    </w:p>
    <w:p>
      <w:pPr>
        <w:pStyle w:val="BookText"/>
        <w:rPr/>
      </w:pPr>
      <w:r>
        <w:rPr>
          <w:rFonts w:ascii="IRNazanin" w:hAnsi="IRNazanin" w:eastAsia="IRNazanin"/>
          <w:color w:val="111111"/>
          <w:sz w:val="28"/>
          <w:sz w:val="28"/>
          <w:szCs w:val="28"/>
          <w:rtl w:val="true"/>
          <w:lang w:bidi="fa-IR"/>
        </w:rPr>
        <w:t>و أمّا استدلالهم علی إثبات الاستصحاب باستغناء الباقی عن المؤثّر الظاهر الاختصاص بالوجودیّ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أنّه معارض باختصاص بعض أدلّتهم الآتی بالعدمی </w:t>
      </w:r>
      <w:r>
        <w:rPr>
          <w:rStyle w:val="FootnoteAnchor"/>
          <w:rtl w:val="true"/>
        </w:rPr>
        <w:footnoteReference w:id="78"/>
      </w:r>
      <w:r>
        <w:rPr>
          <w:rFonts w:ascii="IRNazanin" w:hAnsi="IRNazanin" w:eastAsia="IRNazanin"/>
          <w:color w:val="111111"/>
          <w:sz w:val="28"/>
          <w:sz w:val="28"/>
          <w:szCs w:val="28"/>
          <w:rtl w:val="true"/>
          <w:lang w:bidi="fa-IR"/>
        </w:rPr>
        <w:t>،و بأنّه یقتضی أن یکون النزاع مختصّا بالشکّ من حیث المقتضی لا من حیث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توجیهه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الأصلیّ هنا لمّا کان هو التکلّم فی الاستصحاب الذی هو من أدلّة الأحکام الشرعیّة،اکتفوا بذکر ما یثبت الاستصحاب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یکون الغرض تتمیم المطلب فی العدمیّ بالإجماع المرکّب،بل الأولویّة؛لأنّ الموجود إذا لم یحتج فی بقائه إلی المؤثّر فالمعدوم کذلک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نعم،ظاهر عنوانهم للمسألة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تعریفهم له، ظاهر </w:t>
      </w:r>
      <w:r>
        <w:rPr>
          <w:rStyle w:val="FootnoteAnchor"/>
          <w:rtl w:val="true"/>
        </w:rPr>
        <w:footnoteReference w:id="80"/>
      </w:r>
      <w:r>
        <w:rPr>
          <w:rFonts w:ascii="IRNazanin" w:hAnsi="IRNazanin" w:eastAsia="IRNazanin"/>
          <w:color w:val="111111"/>
          <w:sz w:val="28"/>
          <w:sz w:val="28"/>
          <w:szCs w:val="28"/>
          <w:rtl w:val="true"/>
          <w:lang w:bidi="fa-IR"/>
        </w:rPr>
        <w:t>الاختصاص بالوجودیّ،إلاّ أنّ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الاستصحاب الذی هو من الأدلّة الشرعیّة للأحکام؛و لذا عنونه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عدم جواز الاستشهاد </w:t>
      </w:r>
      <w:r>
        <w:rPr>
          <w:rStyle w:val="FootnoteAnchor"/>
          <w:rtl w:val="true"/>
        </w:rPr>
        <w:footnoteReference w:id="81"/>
      </w:r>
      <w:r>
        <w:rPr>
          <w:rFonts w:ascii="IRNazanin" w:hAnsi="IRNazanin" w:eastAsia="IRNazanin"/>
          <w:color w:val="111111"/>
          <w:sz w:val="28"/>
          <w:sz w:val="28"/>
          <w:szCs w:val="28"/>
          <w:rtl w:val="true"/>
          <w:lang w:bidi="fa-IR"/>
        </w:rPr>
        <w:t xml:space="preserve">علی اختصاص محلّ النزاع بظهور </w:t>
      </w:r>
      <w:r>
        <w:rPr>
          <w:rStyle w:val="FootnoteAnchor"/>
          <w:rtl w:val="true"/>
        </w:rPr>
        <w:footnoteReference w:id="82"/>
      </w:r>
      <w:r>
        <w:rPr>
          <w:rFonts w:ascii="IRNazanin" w:hAnsi="IRNazanin" w:eastAsia="IRNazanin"/>
          <w:color w:val="111111"/>
          <w:sz w:val="28"/>
          <w:sz w:val="28"/>
          <w:szCs w:val="28"/>
          <w:rtl w:val="true"/>
          <w:lang w:bidi="fa-IR"/>
        </w:rPr>
        <w:t>قولهم فی عنوان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114" w:name="pg12985_124878"/>
    </w:p>
    <w:p>
      <w:pPr>
        <w:pStyle w:val="BookText"/>
        <w:rPr/>
      </w:pPr>
      <w:bookmarkEnd w:id="114"/>
      <w:r>
        <w:rPr>
          <w:rFonts w:ascii="IRNazanin" w:hAnsi="IRNazanin" w:eastAsia="IRNazanin"/>
          <w:color w:val="111111"/>
          <w:sz w:val="28"/>
          <w:sz w:val="28"/>
          <w:szCs w:val="28"/>
          <w:rtl w:val="true"/>
          <w:lang w:bidi="fa-IR"/>
        </w:rPr>
        <w:t>الوجودیّ؛و إلاّ لدلّ تقیید کثیر منهم العنوان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اختصاص النزاع بغیر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یظهر منه دخول العدمیّات فی محلّ الخلاف الوحید البهبهانی فیما تقدّم منه </w:t>
      </w:r>
      <w:r>
        <w:rPr>
          <w:rStyle w:val="FootnoteAnchor"/>
          <w:rtl w:val="true"/>
        </w:rPr>
        <w:footnoteReference w:id="83"/>
      </w:r>
      <w:r>
        <w:rPr>
          <w:rFonts w:ascii="IRNazanin" w:hAnsi="IRNazanin" w:eastAsia="IRNazanin"/>
          <w:color w:val="111111"/>
          <w:sz w:val="28"/>
          <w:sz w:val="28"/>
          <w:szCs w:val="28"/>
          <w:rtl w:val="true"/>
          <w:lang w:bidi="fa-IR"/>
        </w:rPr>
        <w:t xml:space="preserve">،بل لعلّه صریح فی ذلک بملاحظة ما ذکره قبل ذلک فی تقسیم الاستصحاب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أصرح من ذلک فی عموم محلّ النزاع،استدلال النافین فی کتب الخاصّة </w:t>
      </w:r>
      <w:r>
        <w:rPr>
          <w:rStyle w:val="FootnoteAnchor"/>
          <w:rtl w:val="true"/>
        </w:rPr>
        <w:footnoteReference w:id="85"/>
      </w:r>
      <w:r>
        <w:rPr>
          <w:rFonts w:ascii="Amiri" w:hAnsi="Amiri" w:eastAsia="Amiri" w:cs="Amiri"/>
          <w:color w:val="111111"/>
          <w:sz w:val="28"/>
          <w:sz w:val="28"/>
          <w:szCs w:val="28"/>
          <w:rtl w:val="true"/>
          <w:lang w:bidi="ar-SA"/>
        </w:rPr>
        <w:t xml:space="preserve">و العامّة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کان الاستصحاب معتبرا لزم ترجیح بیّنة النافی؛لاعتضاده </w:t>
      </w:r>
      <w:r>
        <w:rPr>
          <w:rStyle w:val="FootnoteAnchor"/>
          <w:rtl w:val="true"/>
        </w:rPr>
        <w:footnoteReference w:id="87"/>
      </w:r>
      <w:r>
        <w:rPr>
          <w:rFonts w:ascii="IRNazanin" w:hAnsi="IRNazanin" w:eastAsia="IRNazanin"/>
          <w:color w:val="111111"/>
          <w:sz w:val="28"/>
          <w:sz w:val="28"/>
          <w:szCs w:val="28"/>
          <w:rtl w:val="true"/>
          <w:lang w:bidi="fa-IR"/>
        </w:rPr>
        <w:t>بالاستصحاب،و استدلال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لو لم یعتبر الاستصحاب لا نسدّ باب استنباط الأحکام من الأدلّة؛ لتطرّق احتمالات فیها لا تندفع إلاّ بالاستصحاب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أنکر الاستصحاب فی العدمیّات صاحب المدارک؛حیث أنکر اعتبار استصحاب عدم التذکیة الذی تمسّک به الأکثر لنجاسة الجلد المطروح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5766879_3224264995"/>
      <w:bookmarkStart w:id="116" w:name="_Toc48"/>
      <w:bookmarkEnd w:id="115"/>
      <w:r>
        <w:rPr>
          <w:rtl w:val="true"/>
        </w:rPr>
        <w:t>التتبّع یشهد بعدم خروج العدمیّات عن محلّ النزاع</w:t>
      </w:r>
      <w:r>
        <w:rPr>
          <w:rtl w:val="true"/>
        </w:rPr>
        <w:t>:</w:t>
      </w:r>
      <w:bookmarkEnd w:id="11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التتبّع یشهد بأنّ العدمیّات لیست خارجة </w:t>
      </w:r>
      <w:bookmarkStart w:id="117" w:name="pg12985_124879"/>
    </w:p>
    <w:p>
      <w:pPr>
        <w:pStyle w:val="BookText"/>
        <w:rPr/>
      </w:pPr>
      <w:bookmarkEnd w:id="117"/>
      <w:r>
        <w:rPr>
          <w:rFonts w:ascii="IRNazanin" w:hAnsi="IRNazanin" w:eastAsia="IRNazanin"/>
          <w:color w:val="111111"/>
          <w:sz w:val="28"/>
          <w:sz w:val="28"/>
          <w:szCs w:val="28"/>
          <w:rtl w:val="true"/>
          <w:lang w:bidi="fa-IR"/>
        </w:rPr>
        <w:t>عن محلّ النزاع،بل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أدلّة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بالتفصیل بین العدمیّ و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الاستصحاب من باب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بین العلماء لا یخلو من إشکال،فضلا عن اتّفاق النافین علیه؛إذ ما من استصحاب وجودیّ إلاّ و یمکن معه فرض استصحاب عدمیّ یلزم من الظنّ به الظنّ بذلک المستصحب الوجودیّ، فیسقط فائدة نفی اعتبار الاستصحابات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انتظر لتمام الکلام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یشهد بعدم الاتّفاق فی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اختلافهم فی أنّ النافی یحتاج إلی دلیل أم لا؟فلاحظ ذلک العنوان </w:t>
      </w:r>
      <w:r>
        <w:rPr>
          <w:rStyle w:val="FootnoteAnchor"/>
          <w:rtl w:val="true"/>
        </w:rPr>
        <w:footnoteReference w:id="91"/>
      </w:r>
      <w:r>
        <w:rPr>
          <w:rFonts w:ascii="IRNazanin" w:hAnsi="IRNazanin" w:eastAsia="IRNazanin"/>
          <w:color w:val="111111"/>
          <w:sz w:val="28"/>
          <w:sz w:val="28"/>
          <w:szCs w:val="28"/>
          <w:rtl w:val="true"/>
          <w:lang w:bidi="fa-IR"/>
        </w:rPr>
        <w:t>تجده شاهد صدق علی ما ادّعیناه</w:t>
      </w:r>
      <w:r>
        <w:rPr>
          <w:rFonts w:eastAsia="IRNazanin" w:cs="IRNazanin"/>
          <w:color w:val="111111"/>
          <w:sz w:val="28"/>
          <w:szCs w:val="28"/>
          <w:rtl w:val="true"/>
          <w:lang w:bidi="fa-IR"/>
        </w:rPr>
        <w:t>.</w:t>
      </w:r>
    </w:p>
    <w:p>
      <w:pPr>
        <w:pStyle w:val="Heading6"/>
        <w:numPr>
          <w:ilvl w:val="5"/>
          <w:numId w:val="1"/>
        </w:numPr>
        <w:rPr/>
      </w:pPr>
      <w:bookmarkStart w:id="118" w:name="__RefHeading___Toc5766881_3224264995"/>
      <w:bookmarkStart w:id="119" w:name="_Toc49"/>
      <w:bookmarkEnd w:id="118"/>
      <w:r>
        <w:rPr>
          <w:rtl w:val="true"/>
        </w:rPr>
        <w:t>ظاهر جماعة خروج بعض العدمیّات عن محلّ النزاع</w:t>
      </w:r>
      <w:r>
        <w:rPr>
          <w:rtl w:val="true"/>
        </w:rPr>
        <w:t>:</w:t>
      </w:r>
      <w:bookmarkEnd w:id="119"/>
    </w:p>
    <w:p>
      <w:pPr>
        <w:pStyle w:val="BookText"/>
        <w:rPr/>
      </w:pPr>
      <w:r>
        <w:rPr>
          <w:rFonts w:ascii="IRNazanin" w:hAnsi="IRNazanin" w:eastAsia="IRNazanin"/>
          <w:color w:val="111111"/>
          <w:sz w:val="28"/>
          <w:sz w:val="28"/>
          <w:szCs w:val="28"/>
          <w:rtl w:val="true"/>
          <w:lang w:bidi="fa-IR"/>
        </w:rPr>
        <w:t>نعم،ربما یظهر من بعضهم خروج بعض الأقسام من العدمیّات من محلّ النزاع،کاستصحاب النفی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المصرّح به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w:t>
      </w:r>
      <w:r>
        <w:rPr>
          <w:rStyle w:val="FootnoteAnchor"/>
          <w:rtl w:val="true"/>
        </w:rPr>
        <w:footnoteReference w:id="92"/>
      </w:r>
      <w:r>
        <w:rPr>
          <w:rFonts w:ascii="Amiri" w:hAnsi="Amiri" w:eastAsia="Amiri" w:cs="Amiri"/>
          <w:color w:val="111111"/>
          <w:sz w:val="28"/>
          <w:sz w:val="28"/>
          <w:szCs w:val="28"/>
          <w:rtl w:val="true"/>
          <w:lang w:bidi="ar-SA"/>
        </w:rPr>
        <w:t xml:space="preserve">و العلاّمة </w:t>
      </w:r>
      <w:r>
        <w:rPr>
          <w:rStyle w:val="FootnoteAnchor"/>
          <w:rtl w:val="true"/>
        </w:rPr>
        <w:footnoteReference w:id="93"/>
      </w:r>
      <w:r>
        <w:rPr>
          <w:rFonts w:ascii="IRNazanin" w:hAnsi="IRNazanin" w:eastAsia="IRNazanin"/>
          <w:color w:val="111111"/>
          <w:sz w:val="28"/>
          <w:sz w:val="28"/>
          <w:szCs w:val="28"/>
          <w:rtl w:val="true"/>
          <w:lang w:bidi="fa-IR"/>
        </w:rPr>
        <w:t xml:space="preserve">و الفاضل الجواد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الإطباق علی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کاستصحاب عدم النسخ؛فإنّ المصرّح به فی کلام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کالمحدّث الأسترابادی و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الخلاف فیه،بل مال الأوّل إلی کونه من ضروریات الدین </w:t>
      </w:r>
      <w:r>
        <w:rPr>
          <w:rStyle w:val="FootnoteAnchor"/>
          <w:rtl w:val="true"/>
        </w:rPr>
        <w:footnoteReference w:id="95"/>
      </w:r>
      <w:r>
        <w:rPr>
          <w:rFonts w:ascii="IRNazanin" w:hAnsi="IRNazanin" w:eastAsia="IRNazanin"/>
          <w:color w:val="111111"/>
          <w:sz w:val="28"/>
          <w:sz w:val="28"/>
          <w:szCs w:val="28"/>
          <w:rtl w:val="true"/>
          <w:lang w:bidi="fa-IR"/>
        </w:rPr>
        <w:t xml:space="preserve">،و ألحق </w:t>
      </w:r>
      <w:bookmarkStart w:id="120" w:name="pg12985_124880"/>
    </w:p>
    <w:p>
      <w:pPr>
        <w:pStyle w:val="BookText"/>
        <w:rPr/>
      </w:pPr>
      <w:bookmarkEnd w:id="120"/>
      <w:r>
        <w:rPr>
          <w:rFonts w:ascii="IRNazanin" w:hAnsi="IRNazanin" w:eastAsia="IRNazanin"/>
          <w:color w:val="111111"/>
          <w:sz w:val="28"/>
          <w:sz w:val="28"/>
          <w:szCs w:val="28"/>
          <w:rtl w:val="true"/>
          <w:lang w:bidi="fa-IR"/>
        </w:rPr>
        <w:t xml:space="preserve">الثانی بذلک استصحاب عدم المخصّص و المقیّد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التعویل فی تحقّق شیء فی الزمان الثانی علی تحقّقه فی الزمان السابق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فیه،من غیر فرق بین الوجودیّ و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یتحقّق فی بعض الموارد قاعدة اخری توجب الأخذ بمقتضی الحالة السابقة،ک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التکلیف من غیر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الدلیل الدالّ علی الحکم فی استمراره أو عمومه أو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ذلک،و هذا لا ربط له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لم نجد فی أصحابنا من فرّق بین الوجودیّ و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حکی شارح الشرح </w:t>
      </w:r>
      <w:r>
        <w:rPr>
          <w:rStyle w:val="FootnoteAnchor"/>
          <w:rtl w:val="true"/>
        </w:rPr>
        <w:footnoteReference w:id="97"/>
      </w:r>
      <w:r>
        <w:rPr>
          <w:rFonts w:ascii="IRNazanin" w:hAnsi="IRNazanin" w:eastAsia="IRNazanin"/>
          <w:color w:val="111111"/>
          <w:sz w:val="28"/>
          <w:sz w:val="28"/>
          <w:szCs w:val="28"/>
          <w:rtl w:val="true"/>
          <w:lang w:bidi="fa-IR"/>
        </w:rPr>
        <w:t>هذا التفصیل عن الحنفیّة</w:t>
      </w:r>
      <w:r>
        <w:rPr>
          <w:rFonts w:eastAsia="IRNazanin" w:cs="IRNazanin"/>
          <w:color w:val="111111"/>
          <w:sz w:val="28"/>
          <w:szCs w:val="28"/>
          <w:rtl w:val="true"/>
          <w:lang w:bidi="fa-IR"/>
        </w:rPr>
        <w:t>.</w:t>
      </w:r>
    </w:p>
    <w:p>
      <w:pPr>
        <w:pStyle w:val="Heading6"/>
        <w:numPr>
          <w:ilvl w:val="5"/>
          <w:numId w:val="1"/>
        </w:numPr>
        <w:rPr/>
      </w:pPr>
      <w:bookmarkStart w:id="121" w:name="__RefHeading___Toc5766883_3224264995"/>
      <w:bookmarkStart w:id="122" w:name="_Toc50"/>
      <w:bookmarkEnd w:id="121"/>
      <w:r>
        <w:rPr>
          <w:rtl w:val="true"/>
        </w:rPr>
        <w:t>الوجه الثانی</w:t>
      </w:r>
      <w:r>
        <w:rPr>
          <w:rtl w:val="true"/>
        </w:rPr>
        <w:t xml:space="preserve">: </w:t>
      </w:r>
      <w:r>
        <w:rPr>
          <w:rtl w:val="true"/>
        </w:rPr>
        <w:t>المستصحب إمّا حکم شرعیّ و إمّا من الامور الخارجیّة</w:t>
      </w:r>
      <w:r>
        <w:rPr>
          <w:rtl w:val="true"/>
        </w:rPr>
        <w:t>:</w:t>
      </w:r>
      <w:bookmarkEnd w:id="122"/>
    </w:p>
    <w:p>
      <w:pPr>
        <w:pStyle w:val="BookText"/>
        <w:rPr/>
      </w:pPr>
      <w:r>
        <w:rPr>
          <w:rFonts w:ascii="IRNazanin" w:hAnsi="IRNazanin" w:eastAsia="IRNazanin"/>
          <w:color w:val="111111"/>
          <w:sz w:val="28"/>
          <w:sz w:val="28"/>
          <w:szCs w:val="28"/>
          <w:rtl w:val="true"/>
          <w:lang w:bidi="fa-IR"/>
        </w:rPr>
        <w:t>أنّ المستصحب قد یکون حکما شرعیّا،کالطهارة المستصحبة بعد خروج المذی،و النجاسة المستصحبة بعد زوال تغیّر المتغیّر بنفسه،و قد یکون غیره،کاستصحاب الکرّیة،و الرطوبة،و الوضع الأوّل عند الشکّ فی حدوث النقل أو فی تأریخه</w:t>
      </w:r>
      <w:r>
        <w:rPr>
          <w:rFonts w:eastAsia="IRNazanin" w:cs="IRNazanin"/>
          <w:color w:val="111111"/>
          <w:sz w:val="28"/>
          <w:szCs w:val="28"/>
          <w:rtl w:val="true"/>
          <w:lang w:bidi="fa-IR"/>
        </w:rPr>
        <w:t>.</w:t>
      </w:r>
    </w:p>
    <w:p>
      <w:pPr>
        <w:pStyle w:val="Heading6"/>
        <w:numPr>
          <w:ilvl w:val="5"/>
          <w:numId w:val="1"/>
        </w:numPr>
        <w:rPr/>
      </w:pPr>
      <w:bookmarkStart w:id="123" w:name="__RefHeading___Toc5766885_3224264995"/>
      <w:bookmarkStart w:id="124" w:name="_Toc51"/>
      <w:bookmarkEnd w:id="123"/>
      <w:r>
        <w:rPr>
          <w:rtl w:val="true"/>
        </w:rPr>
        <w:t>وقوع الخلاف فی کلیهما</w:t>
      </w:r>
      <w:r>
        <w:rPr>
          <w:rtl w:val="true"/>
        </w:rPr>
        <w:t>:</w:t>
      </w:r>
      <w:bookmarkEnd w:id="124"/>
    </w:p>
    <w:p>
      <w:pPr>
        <w:pStyle w:val="BookText"/>
        <w:rPr/>
      </w:pPr>
      <w:r>
        <w:rPr>
          <w:rFonts w:ascii="IRNazanin" w:hAnsi="IRNazanin" w:eastAsia="IRNazanin"/>
          <w:color w:val="111111"/>
          <w:sz w:val="28"/>
          <w:sz w:val="28"/>
          <w:szCs w:val="28"/>
          <w:rtl w:val="true"/>
          <w:lang w:bidi="fa-IR"/>
        </w:rPr>
        <w:t>و الظاهر بل صریح جماعة وقوع الخلاف فی کلا القسمین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نعم،نسب إلی بعض التفصیل بینهما بإنکار الأوّل و الاعتراف </w:t>
      </w:r>
      <w:bookmarkStart w:id="125" w:name="pg12985_124881"/>
    </w:p>
    <w:p>
      <w:pPr>
        <w:pStyle w:val="BookText"/>
        <w:rPr/>
      </w:pPr>
      <w:bookmarkEnd w:id="125"/>
      <w:r>
        <w:rPr>
          <w:rFonts w:ascii="IRNazanin" w:hAnsi="IRNazanin" w:eastAsia="IRNazanin"/>
          <w:color w:val="111111"/>
          <w:sz w:val="28"/>
          <w:sz w:val="28"/>
          <w:szCs w:val="28"/>
          <w:rtl w:val="true"/>
          <w:lang w:bidi="fa-IR"/>
        </w:rPr>
        <w:t xml:space="preserve">بالثانی،و نسب إلی آخر العکس،حکاهما الفاضل القمّی فی القوانین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نظر،یظهر بتوضیح المراد من الحکم الشرعی و غیره،</w:t>
      </w:r>
    </w:p>
    <w:p>
      <w:pPr>
        <w:pStyle w:val="Heading6"/>
        <w:numPr>
          <w:ilvl w:val="5"/>
          <w:numId w:val="1"/>
        </w:numPr>
        <w:rPr/>
      </w:pPr>
      <w:bookmarkStart w:id="126" w:name="__RefHeading___Toc5766887_3224264995"/>
      <w:bookmarkStart w:id="127" w:name="_Toc52"/>
      <w:bookmarkEnd w:id="126"/>
      <w:r>
        <w:rPr>
          <w:rtl w:val="true"/>
        </w:rPr>
        <w:t>للحکم الشرعی إطلاقان</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الکلّی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الحکم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یراد به تارة الحکم الکلّی الذی من شأنه أن یؤخذ من الشارع،کطهارة من خرج منه المذی أو نجاسة ما زال تغیّره بنفسه،و اخری یراد به ما یعمّ الحکم الجزئی الخاصّ فی الموضوع الخاصّ،کطهارة هذا الثوب و نجاسته؛فإنّ الحکم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ملاقاته للنجس أو ملاقاته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وظیفة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نعم،وظیفته إثبات الطهارة کلّیة </w:t>
      </w:r>
      <w:r>
        <w:rPr>
          <w:rStyle w:val="FootnoteAnchor"/>
          <w:rtl w:val="true"/>
        </w:rPr>
        <w:footnoteReference w:id="99"/>
      </w:r>
      <w:r>
        <w:rPr>
          <w:rFonts w:ascii="IRNazanin" w:hAnsi="IRNazanin" w:eastAsia="IRNazanin"/>
          <w:color w:val="111111"/>
          <w:sz w:val="28"/>
          <w:sz w:val="28"/>
          <w:szCs w:val="28"/>
          <w:rtl w:val="true"/>
          <w:lang w:bidi="fa-IR"/>
        </w:rPr>
        <w:t>لکلّ شیء شکّ فی ملاقاته للنجس و عدمها</w:t>
      </w:r>
      <w:r>
        <w:rPr>
          <w:rFonts w:eastAsia="IRNazanin" w:cs="IRNazanin"/>
          <w:color w:val="111111"/>
          <w:sz w:val="28"/>
          <w:szCs w:val="28"/>
          <w:rtl w:val="true"/>
          <w:lang w:bidi="fa-IR"/>
        </w:rPr>
        <w:t>.</w:t>
      </w:r>
    </w:p>
    <w:p>
      <w:pPr>
        <w:pStyle w:val="Heading6"/>
        <w:numPr>
          <w:ilvl w:val="5"/>
          <w:numId w:val="1"/>
        </w:numPr>
        <w:rPr/>
      </w:pPr>
      <w:bookmarkStart w:id="128" w:name="__RefHeading___Toc5766889_3224264995"/>
      <w:bookmarkStart w:id="129" w:name="_Toc53"/>
      <w:bookmarkEnd w:id="128"/>
      <w:r>
        <w:rPr>
          <w:rtl w:val="true"/>
        </w:rPr>
        <w:t>إنکار الأخباریین جریان الاستصحاب فی الحکم بالإطلاق الأوّل</w:t>
      </w:r>
      <w:bookmarkEnd w:id="129"/>
    </w:p>
    <w:p>
      <w:pPr>
        <w:pStyle w:val="BookText"/>
        <w:rPr/>
      </w:pPr>
      <w:r>
        <w:rPr>
          <w:rFonts w:ascii="IRNazanin" w:hAnsi="IRNazanin" w:eastAsia="IRNazanin"/>
          <w:color w:val="111111"/>
          <w:sz w:val="28"/>
          <w:sz w:val="28"/>
          <w:szCs w:val="28"/>
          <w:rtl w:val="true"/>
          <w:lang w:bidi="fa-IR"/>
        </w:rPr>
        <w:t xml:space="preserve">و علی الإطلاق الأوّل جری الأخباریّون؛حیث أنکروا اعتبار الاستصحاب فی نفس أحکام اللّه تعالی،و جعله الأسترابادی من أغلاط من تأخّر عن المفید،مع اعترافه باعتبار الاستصحاب فی مثل طهارة الثوب و نجاسته </w:t>
      </w:r>
      <w:r>
        <w:rPr>
          <w:rStyle w:val="FootnoteAnchor"/>
          <w:rtl w:val="true"/>
        </w:rPr>
        <w:footnoteReference w:id="100"/>
      </w:r>
      <w:r>
        <w:rPr>
          <w:rFonts w:ascii="IRNazanin" w:hAnsi="IRNazanin" w:eastAsia="IRNazanin"/>
          <w:color w:val="111111"/>
          <w:sz w:val="28"/>
          <w:sz w:val="28"/>
          <w:szCs w:val="28"/>
          <w:rtl w:val="true"/>
          <w:lang w:bidi="fa-IR"/>
        </w:rPr>
        <w:t xml:space="preserve">و غیرهما ممّا شکّ فیه من الأحکام الجزئیّة لأجل الاشتباه فی الامور الخارجیّة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أخبار الاستصحاب لا تدلّ علی اعتباره فی نفس الحکم الشرعیّ،و إنّما تدلّ علی اعتباره فی موضوعاته و متعلّقاته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0" w:name="pg12985_124882"/>
    </w:p>
    <w:p>
      <w:pPr>
        <w:pStyle w:val="BookText"/>
        <w:rPr/>
      </w:pPr>
      <w:bookmarkEnd w:id="130"/>
      <w:r>
        <w:rPr>
          <w:rFonts w:ascii="IRNazanin" w:hAnsi="IRNazanin" w:eastAsia="IRNazanin"/>
          <w:color w:val="111111"/>
          <w:sz w:val="28"/>
          <w:sz w:val="28"/>
          <w:szCs w:val="28"/>
          <w:rtl w:val="true"/>
          <w:lang w:bidi="fa-IR"/>
        </w:rPr>
        <w:t>و الأصل فی ذلک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فی الحکم الکلّی لا مرجع فیها إلاّ الاحتیاط دون البراءة أو الاستصحاب؛فإنّهما عندهم مختصّان بالشبهة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الإطلاق الثانی جری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الخوانساری فی مسألة الاستنجاء بالأحجار</w:t>
      </w:r>
      <w:r>
        <w:rPr>
          <w:rFonts w:eastAsia="IRNazanin" w:cs="IRNazanin"/>
          <w:color w:val="111111"/>
          <w:sz w:val="28"/>
          <w:szCs w:val="28"/>
          <w:rtl w:val="true"/>
          <w:lang w:bidi="fa-IR"/>
        </w:rPr>
        <w:t>:</w:t>
      </w:r>
    </w:p>
    <w:p>
      <w:pPr>
        <w:pStyle w:val="Heading6"/>
        <w:numPr>
          <w:ilvl w:val="5"/>
          <w:numId w:val="1"/>
        </w:numPr>
        <w:rPr/>
      </w:pPr>
      <w:bookmarkStart w:id="131" w:name="__RefHeading___Toc5766891_3224264995"/>
      <w:bookmarkStart w:id="132" w:name="_Toc54"/>
      <w:bookmarkEnd w:id="131"/>
      <w:r>
        <w:rPr>
          <w:rtl w:val="true"/>
        </w:rPr>
        <w:t>تقسیم المحقق الخوانساری الاستصحاب فی الحکم بالاطلاق الثانی</w:t>
      </w:r>
      <w:bookmarkEnd w:id="132"/>
    </w:p>
    <w:p>
      <w:pPr>
        <w:pStyle w:val="BookText"/>
        <w:rPr/>
      </w:pPr>
      <w:r>
        <w:rPr>
          <w:rFonts w:ascii="IRNazanin" w:hAnsi="IRNazanin" w:eastAsia="IRNazanin"/>
          <w:color w:val="111111"/>
          <w:sz w:val="28"/>
          <w:sz w:val="28"/>
          <w:szCs w:val="28"/>
          <w:rtl w:val="true"/>
          <w:lang w:bidi="fa-IR"/>
        </w:rPr>
        <w:t>و ینقسم الاستصحاب إلی قسمین،باعتبار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الحکم المأخوذ فیه إلی شرعی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للأوّل بنجاسة الثوب أو البدن، و للثانی برطوبته،ثمّ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بعضهم إلی حجّیته بقسمیه،و بعضهم إلی حجّیة القسم الأوّل فقط </w:t>
      </w:r>
      <w:r>
        <w:rPr>
          <w:rStyle w:val="FootnoteAnchor"/>
          <w:rtl w:val="true"/>
        </w:rPr>
        <w:footnoteReference w:id="1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ذکرناه،ظهر </w:t>
      </w:r>
      <w:r>
        <w:rPr>
          <w:rStyle w:val="FootnoteAnchor"/>
          <w:rtl w:val="true"/>
        </w:rPr>
        <w:footnoteReference w:id="105"/>
      </w:r>
      <w:r>
        <w:rPr>
          <w:rFonts w:ascii="IRNazanin" w:hAnsi="IRNazanin" w:eastAsia="IRNazanin"/>
          <w:color w:val="111111"/>
          <w:sz w:val="28"/>
          <w:sz w:val="28"/>
          <w:szCs w:val="28"/>
          <w:rtl w:val="true"/>
          <w:lang w:bidi="fa-IR"/>
        </w:rPr>
        <w:t>أنّ عدّ القول بالتفصیل بین الأحکام الشرعیّة و الامور الخارجیّة قولین متعاکسین لیس علی ما ینبغی؛لأنّ المراد بالحکم الشرعیّ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هو الحکم الکلّی الذی أنکره الأخباریّون فلیس هنا من یقول باعتبار الاستصحاب فیه و نفیه فی غیره؛فإنّ ما حکاه المحقّق الخوانساری </w:t>
      </w:r>
      <w:r>
        <w:rPr>
          <w:rStyle w:val="FootnoteAnchor"/>
          <w:rtl w:val="true"/>
        </w:rPr>
        <w:footnoteReference w:id="106"/>
      </w:r>
      <w:r>
        <w:rPr>
          <w:rFonts w:ascii="IRNazanin" w:hAnsi="IRNazanin" w:eastAsia="IRNazanin"/>
          <w:color w:val="111111"/>
          <w:sz w:val="28"/>
          <w:sz w:val="28"/>
          <w:szCs w:val="28"/>
          <w:rtl w:val="true"/>
          <w:lang w:bidi="fa-IR"/>
        </w:rPr>
        <w:t xml:space="preserve">و استظهره السبزواری </w:t>
      </w:r>
      <w:r>
        <w:rPr>
          <w:rStyle w:val="FootnoteAnchor"/>
          <w:rtl w:val="true"/>
        </w:rPr>
        <w:footnoteReference w:id="107"/>
      </w:r>
      <w:r>
        <w:rPr>
          <w:rFonts w:ascii="IRNazanin" w:hAnsi="IRNazanin" w:eastAsia="IRNazanin"/>
          <w:color w:val="111111"/>
          <w:sz w:val="28"/>
          <w:sz w:val="28"/>
          <w:szCs w:val="28"/>
          <w:rtl w:val="true"/>
          <w:lang w:bidi="fa-IR"/>
        </w:rPr>
        <w:t>هو اعتباره فی الحکم الشرعی بالإطلاق الثانی الذی هو أعمّ من الأوّل</w:t>
      </w:r>
      <w:r>
        <w:rPr>
          <w:rFonts w:eastAsia="IRNazanin" w:cs="IRNazanin"/>
          <w:color w:val="111111"/>
          <w:sz w:val="28"/>
          <w:szCs w:val="28"/>
          <w:rtl w:val="true"/>
          <w:lang w:bidi="fa-IR"/>
        </w:rPr>
        <w:t xml:space="preserve">. </w:t>
      </w:r>
      <w:bookmarkStart w:id="133" w:name="pg12985_124883"/>
    </w:p>
    <w:p>
      <w:pPr>
        <w:pStyle w:val="BookText"/>
        <w:rPr/>
      </w:pPr>
      <w:bookmarkEnd w:id="133"/>
      <w:r>
        <w:rPr>
          <w:rFonts w:ascii="IRNazanin" w:hAnsi="IRNazanin" w:eastAsia="IRNazanin"/>
          <w:color w:val="111111"/>
          <w:sz w:val="28"/>
          <w:sz w:val="28"/>
          <w:szCs w:val="28"/>
          <w:rtl w:val="true"/>
          <w:lang w:bidi="fa-IR"/>
        </w:rPr>
        <w:t>و إن ارید بالحکم الشرعیّ الإطلاق الثانی الأعمّ،فلم یقل أحد باعتباره فی غیر الحکم الشرعیّ و عدمه فی الحکم الشرعیّ؛لأنّ الأخباریّین لا ینکرون الاستصحاب فی الأحکام الجزئیّة</w:t>
      </w:r>
      <w:r>
        <w:rPr>
          <w:rFonts w:eastAsia="IRNazanin" w:cs="IRNazanin"/>
          <w:color w:val="111111"/>
          <w:sz w:val="28"/>
          <w:szCs w:val="28"/>
          <w:rtl w:val="true"/>
          <w:lang w:bidi="fa-IR"/>
        </w:rPr>
        <w:t>.</w:t>
      </w:r>
    </w:p>
    <w:p>
      <w:pPr>
        <w:pStyle w:val="Heading6"/>
        <w:numPr>
          <w:ilvl w:val="5"/>
          <w:numId w:val="1"/>
        </w:numPr>
        <w:rPr/>
      </w:pPr>
      <w:bookmarkStart w:id="134" w:name="__RefHeading___Toc5766893_3224264995"/>
      <w:bookmarkStart w:id="135" w:name="_Toc55"/>
      <w:bookmarkEnd w:id="134"/>
      <w:r>
        <w:rPr>
          <w:rtl w:val="true"/>
        </w:rPr>
        <w:t>الأقوی فی حجّیة الاستصحاب من حیث هذا التقسیم</w:t>
      </w:r>
      <w:bookmarkEnd w:id="135"/>
    </w:p>
    <w:p>
      <w:pPr>
        <w:pStyle w:val="BookText"/>
        <w:rPr/>
      </w:pPr>
      <w:r>
        <w:rPr>
          <w:rFonts w:ascii="IRNazanin" w:hAnsi="IRNazanin" w:eastAsia="IRNazanin"/>
          <w:color w:val="111111"/>
          <w:sz w:val="28"/>
          <w:sz w:val="28"/>
          <w:szCs w:val="28"/>
          <w:rtl w:val="true"/>
          <w:lang w:bidi="fa-IR"/>
        </w:rPr>
        <w:t>ثمّ إنّ المحصّل من القول بالتفصیل بین القسمین المذکورین فی هذا التقسیم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الاستصحاب فی الحکم الشرعیّ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کان کنجاسة الثوب،أو کلّیا کنجاسة الماء المتغیّر بعد زوال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ممّا حکاه المحقّق الخوانساری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اعتباره فی ما عدا الحکم الشرعیّ الکلّی و إن کان حکما جزئیا،و هو الذی حکاه فی الرسالة الاستصحابیّة عن الأخباریّین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اعتباره فی الحکم الجزئیّ دون الکلّی و دون الامور الخارجیّة،و هو الذی ربما یستظهر ممّا حکاه السیّد شارح الوافیة عن المحقّق الخوانساری فی حاشیة له علی قول الشهید قدّس سرّه فی تحریم استعمال الماء النجس و المشتبه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5766895_3224264995"/>
      <w:bookmarkStart w:id="137" w:name="_Toc56"/>
      <w:bookmarkEnd w:id="136"/>
      <w:r>
        <w:rPr>
          <w:rtl w:val="true"/>
        </w:rPr>
        <w:t>الوجه الثالث</w:t>
      </w:r>
      <w:r>
        <w:rPr>
          <w:rtl w:val="true"/>
        </w:rPr>
        <w:t xml:space="preserve">: </w:t>
      </w:r>
      <w:r>
        <w:rPr>
          <w:rtl w:val="true"/>
        </w:rPr>
        <w:t>المستصحب إمّا حکم تکلیفی و إمّا حکم وضعی</w:t>
      </w:r>
      <w:r>
        <w:rPr>
          <w:rtl w:val="true"/>
        </w:rPr>
        <w:t>:</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حیث إنّ المستصحب قد یکون حکما تکلیفیّا،و قد یکون </w:t>
      </w:r>
      <w:bookmarkStart w:id="138" w:name="pg12985_124884"/>
    </w:p>
    <w:p>
      <w:pPr>
        <w:pStyle w:val="BookText"/>
        <w:rPr/>
      </w:pPr>
      <w:bookmarkEnd w:id="138"/>
      <w:r>
        <w:rPr>
          <w:rFonts w:ascii="Amiri" w:hAnsi="Amiri" w:eastAsia="Amiri" w:cs="Amiri"/>
          <w:color w:val="111111"/>
          <w:sz w:val="28"/>
          <w:sz w:val="28"/>
          <w:szCs w:val="28"/>
          <w:rtl w:val="true"/>
          <w:lang w:bidi="ar-SA"/>
        </w:rPr>
        <w:t xml:space="preserve">وضعیّا شرعیّا </w:t>
      </w:r>
      <w:r>
        <w:rPr>
          <w:rStyle w:val="FootnoteAnchor"/>
          <w:rtl w:val="true"/>
        </w:rPr>
        <w:footnoteReference w:id="111"/>
      </w:r>
      <w:r>
        <w:rPr>
          <w:rFonts w:ascii="IRNazanin" w:hAnsi="IRNazanin" w:eastAsia="IRNazanin"/>
          <w:color w:val="111111"/>
          <w:sz w:val="28"/>
          <w:sz w:val="28"/>
          <w:szCs w:val="28"/>
          <w:rtl w:val="true"/>
          <w:lang w:bidi="fa-IR"/>
        </w:rPr>
        <w:t>کالأسباب و الشروط و الموانع</w:t>
      </w:r>
      <w:r>
        <w:rPr>
          <w:rFonts w:eastAsia="IRNazanin" w:cs="IRNazanin"/>
          <w:color w:val="111111"/>
          <w:sz w:val="28"/>
          <w:szCs w:val="28"/>
          <w:rtl w:val="true"/>
          <w:lang w:bidi="fa-IR"/>
        </w:rPr>
        <w:t>.</w:t>
      </w:r>
    </w:p>
    <w:p>
      <w:pPr>
        <w:pStyle w:val="Heading6"/>
        <w:numPr>
          <w:ilvl w:val="5"/>
          <w:numId w:val="1"/>
        </w:numPr>
        <w:rPr/>
      </w:pPr>
      <w:bookmarkStart w:id="139" w:name="__RefHeading___Toc5766897_3224264995"/>
      <w:bookmarkStart w:id="140" w:name="_Toc57"/>
      <w:bookmarkEnd w:id="139"/>
      <w:r>
        <w:rPr>
          <w:rtl w:val="true"/>
        </w:rPr>
        <w:t>القول بالتفصیل بین التکلیفی و غیره</w:t>
      </w:r>
      <w:r>
        <w:rPr>
          <w:rtl w:val="true"/>
        </w:rPr>
        <w:t>:</w:t>
      </w:r>
      <w:bookmarkEnd w:id="140"/>
    </w:p>
    <w:p>
      <w:pPr>
        <w:pStyle w:val="BookText"/>
        <w:rPr/>
      </w:pPr>
      <w:r>
        <w:rPr>
          <w:rFonts w:ascii="IRNazanin" w:hAnsi="IRNazanin" w:eastAsia="IRNazanin"/>
          <w:color w:val="111111"/>
          <w:sz w:val="28"/>
          <w:sz w:val="28"/>
          <w:szCs w:val="28"/>
          <w:rtl w:val="true"/>
          <w:lang w:bidi="fa-IR"/>
        </w:rPr>
        <w:t xml:space="preserve">و قد وقع الخلاف من هذه الجهة،ففصّل صاحب الوافیة بین التکلیفیّ و غیره،بالإنکار فی الأوّل دون الثانی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ندرج هذا التقسیم فی التقسیم الثانی مع أنّه تقسیم لأحد قسمیه؛لأنّ ظاهر کلام المفصّل المذکور و إن کان هو التفصیل بین الحکم التکلیفیّ و الوضعیّ،إلاّ أنّ آخر کلامه ظاهر فی إجراء الاستصحاب فی نفس الأسباب و الشروط و الموانع،دون السببیّة و الشرطیّة و المانعیّة، و سیتّضح ذلک عند نقل عبارته عند التعرّض لأدلّة الأقوال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1" w:name="pg12985_124885"/>
    </w:p>
    <w:p>
      <w:pPr>
        <w:pStyle w:val="Heading5"/>
        <w:numPr>
          <w:ilvl w:val="4"/>
          <w:numId w:val="1"/>
        </w:numPr>
        <w:rPr/>
      </w:pPr>
      <w:bookmarkStart w:id="142" w:name="__RefHeading___Toc5766899_3224264995"/>
      <w:bookmarkStart w:id="143" w:name="_Toc58"/>
      <w:bookmarkEnd w:id="141"/>
      <w:bookmarkEnd w:id="142"/>
      <w:r>
        <w:rPr/>
        <w:t>2</w:t>
      </w:r>
      <w:r>
        <w:rPr>
          <w:rtl w:val="true"/>
        </w:rPr>
        <w:t>-</w:t>
      </w:r>
      <w:r>
        <w:rPr>
          <w:rtl w:val="true"/>
        </w:rPr>
        <w:t>تقسیم الاستصحاب باعتبار دلیل المستصحب</w:t>
      </w:r>
      <w:bookmarkEnd w:id="143"/>
    </w:p>
    <w:p>
      <w:pPr>
        <w:pStyle w:val="Heading6"/>
        <w:numPr>
          <w:ilvl w:val="5"/>
          <w:numId w:val="1"/>
        </w:numPr>
        <w:rPr/>
      </w:pPr>
      <w:bookmarkStart w:id="144" w:name="__RefHeading___Toc5766901_3224264995"/>
      <w:bookmarkStart w:id="145" w:name="_Toc59"/>
      <w:bookmarkEnd w:id="144"/>
      <w:r>
        <w:rPr>
          <w:rtl w:val="true"/>
        </w:rPr>
        <w:t>اشارة</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دلیل المستصحب</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أمّا بالاعتبار الثانی،فمن وجوه أیضا</w:t>
      </w:r>
      <w:r>
        <w:rPr>
          <w:rFonts w:eastAsia="IRNazanin" w:cs="IRNazanin"/>
          <w:color w:val="111111"/>
          <w:sz w:val="28"/>
          <w:szCs w:val="28"/>
          <w:rtl w:val="true"/>
          <w:lang w:bidi="fa-IR"/>
        </w:rPr>
        <w:t>:</w:t>
      </w:r>
    </w:p>
    <w:p>
      <w:pPr>
        <w:pStyle w:val="Heading6"/>
        <w:numPr>
          <w:ilvl w:val="5"/>
          <w:numId w:val="1"/>
        </w:numPr>
        <w:rPr/>
      </w:pPr>
      <w:bookmarkStart w:id="146" w:name="__RefHeading___Toc5766903_3224264995"/>
      <w:bookmarkStart w:id="147" w:name="_Toc60"/>
      <w:bookmarkEnd w:id="146"/>
      <w:r>
        <w:rPr>
          <w:rtl w:val="true"/>
        </w:rPr>
        <w:t>أحدها</w:t>
      </w:r>
      <w:r>
        <w:rPr>
          <w:rtl w:val="true"/>
        </w:rPr>
        <w:t xml:space="preserve">: </w:t>
      </w:r>
      <w:r>
        <w:rPr>
          <w:rtl w:val="true"/>
        </w:rPr>
        <w:t>دلیل المستصحب إمّا الإجماع و إمّا غیره</w:t>
      </w:r>
      <w:r>
        <w:rPr>
          <w:rtl w:val="true"/>
        </w:rPr>
        <w:t>:</w:t>
      </w:r>
      <w:bookmarkEnd w:id="147"/>
    </w:p>
    <w:p>
      <w:pPr>
        <w:pStyle w:val="BookText"/>
        <w:rPr/>
      </w:pPr>
      <w:r>
        <w:rPr>
          <w:rFonts w:ascii="IRNazanin" w:hAnsi="IRNazanin" w:eastAsia="IRNazanin"/>
          <w:color w:val="111111"/>
          <w:sz w:val="28"/>
          <w:sz w:val="28"/>
          <w:szCs w:val="28"/>
          <w:rtl w:val="true"/>
          <w:lang w:bidi="fa-IR"/>
        </w:rPr>
        <w:t>من حیث إنّ الدلیل المثبت للمستصحب إمّا أن یکون هو الإجماع،و إمّا أن یکون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فصّل بین هذین القسمین الغزالی، فأنکر الاستصحاب فی الأوّل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یظهر من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حکی عنه فی 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النزاع فی الاستصحاب منحصر فی استصحاب حال الإجماع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ذلک عند نقل أدلّة الأقوال إن شاء اللّه</w:t>
      </w:r>
      <w:r>
        <w:rPr>
          <w:rFonts w:eastAsia="IRNazanin" w:cs="IRNazanin"/>
          <w:color w:val="111111"/>
          <w:sz w:val="28"/>
          <w:szCs w:val="28"/>
          <w:rtl w:val="true"/>
          <w:lang w:bidi="fa-IR"/>
        </w:rPr>
        <w:t>.</w:t>
      </w:r>
    </w:p>
    <w:p>
      <w:pPr>
        <w:pStyle w:val="Heading6"/>
        <w:numPr>
          <w:ilvl w:val="5"/>
          <w:numId w:val="1"/>
        </w:numPr>
        <w:rPr/>
      </w:pPr>
      <w:bookmarkStart w:id="148" w:name="__RefHeading___Toc5766905_3224264995"/>
      <w:bookmarkStart w:id="149" w:name="_Toc61"/>
      <w:bookmarkEnd w:id="148"/>
      <w:r>
        <w:rPr>
          <w:rtl w:val="true"/>
        </w:rPr>
        <w:t>الوجه  الثانی</w:t>
      </w:r>
      <w:r>
        <w:rPr>
          <w:rtl w:val="true"/>
        </w:rPr>
        <w:t xml:space="preserve">: </w:t>
      </w:r>
      <w:r>
        <w:rPr>
          <w:rtl w:val="true"/>
        </w:rPr>
        <w:t>المستصحب إمّا یثبت بالدلیل العقلی و إمّا بالدلیل الشرعی</w:t>
      </w:r>
      <w:bookmarkEnd w:id="1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إنّه قد یثبت بالدلیل الشرعیّ،و قد یثبت بالدلیل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من فصّل بینهما،إلاّ أنّ فی تحقّق الاستصحاب مع ثبوت الحکم بالدلیل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العقلیّ المتوصّل به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تأمّلا؛نظرا إلی أنّ الأحکام العقلیّة کلّها مبیّنة مفصّلة من حیث مناط الحکم </w:t>
      </w:r>
      <w:r>
        <w:rPr>
          <w:rStyle w:val="FootnoteAnchor"/>
          <w:rtl w:val="true"/>
        </w:rPr>
        <w:footnoteReference w:id="117"/>
      </w:r>
      <w:r>
        <w:rPr>
          <w:rFonts w:ascii="IRNazanin" w:hAnsi="IRNazanin" w:eastAsia="IRNazanin"/>
          <w:color w:val="111111"/>
          <w:sz w:val="28"/>
          <w:sz w:val="28"/>
          <w:szCs w:val="28"/>
          <w:rtl w:val="true"/>
          <w:lang w:bidi="fa-IR"/>
        </w:rPr>
        <w:t xml:space="preserve">،و الشکّ فی بقاء المستصحب و عدمه لا بدّ و أن </w:t>
      </w:r>
      <w:bookmarkStart w:id="150" w:name="pg12985_124886"/>
    </w:p>
    <w:p>
      <w:pPr>
        <w:pStyle w:val="BookText"/>
        <w:rPr/>
      </w:pPr>
      <w:bookmarkEnd w:id="150"/>
      <w:r>
        <w:rPr>
          <w:rFonts w:ascii="IRNazanin" w:hAnsi="IRNazanin" w:eastAsia="IRNazanin"/>
          <w:color w:val="111111"/>
          <w:sz w:val="28"/>
          <w:sz w:val="28"/>
          <w:szCs w:val="28"/>
          <w:rtl w:val="true"/>
          <w:lang w:bidi="fa-IR"/>
        </w:rPr>
        <w:t>یرجع إلی الشکّ فی موضوع الحکم؛لأنّ الجهات المقتضیة للحکم العقلیّ بالحسن و القبح کلّها راجعة إلی قیود فعل المکلّف،الذی هو الموضوع</w:t>
      </w:r>
      <w:r>
        <w:rPr>
          <w:rFonts w:eastAsia="IRNazanin" w:cs="IRNazanin"/>
          <w:color w:val="111111"/>
          <w:sz w:val="28"/>
          <w:szCs w:val="28"/>
          <w:rtl w:val="true"/>
          <w:lang w:bidi="fa-IR"/>
        </w:rPr>
        <w:t>.</w:t>
      </w:r>
    </w:p>
    <w:p>
      <w:pPr>
        <w:pStyle w:val="Heading6"/>
        <w:numPr>
          <w:ilvl w:val="5"/>
          <w:numId w:val="1"/>
        </w:numPr>
        <w:rPr/>
      </w:pPr>
      <w:bookmarkStart w:id="151" w:name="__RefHeading___Toc5766907_3224264995"/>
      <w:bookmarkStart w:id="152" w:name="_Toc62"/>
      <w:bookmarkEnd w:id="151"/>
      <w:r>
        <w:rPr>
          <w:rtl w:val="true"/>
        </w:rPr>
        <w:t>الإشکال فی الاستصحاب مع ثبوت الحکم بالدلیل العقلی</w:t>
      </w:r>
      <w:bookmarkEnd w:id="152"/>
    </w:p>
    <w:p>
      <w:pPr>
        <w:pStyle w:val="BookText"/>
        <w:rPr/>
      </w:pPr>
      <w:r>
        <w:rPr>
          <w:rFonts w:ascii="IRNazanin" w:hAnsi="IRNazanin" w:eastAsia="IRNazanin"/>
          <w:color w:val="111111"/>
          <w:sz w:val="28"/>
          <w:sz w:val="28"/>
          <w:szCs w:val="28"/>
          <w:rtl w:val="true"/>
          <w:lang w:bidi="fa-IR"/>
        </w:rPr>
        <w:t xml:space="preserve">فالشکّ فی حکم العقل حتّی لأجل وجود الرافع لا یکون إلاّ للشکّ فی موضوعه،و الموضوع لا بدّ أن یکون محرزا معلوم البقاء فی الاستصحاب، کما سیجیء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ذکرنا،بین أن یکون الشکّ من جهة الشکّ فی وجود الرافع،و بین أن یکون لأجل الشکّ فی استعداد الحکم؛لأنّ ارتفاع الحکم العقلیّ لا یکون إلاّ بارتفاع موضوعه،فیرجع الأمر بالأخرة إلی تبدّل العنوان؛أ لا تری أنّ العقل إذا حکم بقبح الصدق الضارّ،فحکمه یرجع إلی أنّ الضارّ من حیث إنّه ضارّ حرام،و معلوم أنّ هذه القضیّة غیر قابلة للاستصحاب عند الشکّ فی الضرر مع العلم بتحقّقه سابقا؛لأنّ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دائمیّ لا یحتمل ارتفاعه أبدا،و لا ینفع فی إثبات القبح عند الشکّ فی بقاء الضرر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الصدق کان قبیحا سابقا فیستصحب قبحه؛لأنّ الموضوع فی حکم العقل بالقبح لیس هذا الصدق،بل عنوان المضرّ،و الحکم له مقطوع البقاء،و هذا بخلاف الأحکام الشرعیّة؛فإنّه قد یحکم الشارع علی الصدق بکونه حراما،و لا یعلم أنّ المناط الحقیقیّ </w:t>
      </w:r>
      <w:r>
        <w:rPr>
          <w:rStyle w:val="FootnoteAnchor"/>
          <w:rtl w:val="true"/>
        </w:rPr>
        <w:footnoteReference w:id="119"/>
      </w:r>
      <w:r>
        <w:rPr>
          <w:rFonts w:ascii="IRNazanin" w:hAnsi="IRNazanin" w:eastAsia="IRNazanin"/>
          <w:color w:val="111111"/>
          <w:sz w:val="28"/>
          <w:sz w:val="28"/>
          <w:szCs w:val="28"/>
          <w:rtl w:val="true"/>
          <w:lang w:bidi="fa-IR"/>
        </w:rPr>
        <w:t>فیه باق فی زمان الشکّ أو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من جهة جهل المناط أو من جهة الجهل ببقائه مع معرفته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الحکم الشرعیّ</w:t>
      </w:r>
      <w:r>
        <w:rPr>
          <w:rFonts w:eastAsia="IRNazanin" w:cs="IRNazanin"/>
          <w:color w:val="111111"/>
          <w:sz w:val="28"/>
          <w:szCs w:val="28"/>
          <w:rtl w:val="true"/>
          <w:lang w:bidi="fa-IR"/>
        </w:rPr>
        <w:t xml:space="preserve">. </w:t>
      </w:r>
      <w:bookmarkStart w:id="153" w:name="pg12985_124887"/>
    </w:p>
    <w:p>
      <w:pPr>
        <w:pStyle w:val="BookText"/>
        <w:rPr/>
      </w:pPr>
      <w:bookmarkEnd w:id="153"/>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الأحکام الشرعیّة تابعة للأحکام العقلیّة،فما هو مناط الحکم و موضوعه فی الحکم العقلیّ بقبح هذا الصدق فهو المناط و الموضوع فی حکم الشرع بحرمته؛إذ المفروض بقاعدة التطابق،أنّ موضوع الحرمة و مناطها هو بعینه موضوع القبح و مناطه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مسلّم،لکنّه مانع عن الفرق بین الحکم الشرعیّ و العقلیّ من حیث الظنّ بالبقاء فی الآن اللاحق،لا من حیث جریان أخبار الاستصحاب و عدمه؛فإنّه تابع لتحقّق موضوع المستصحب و معروضه بحکم العرف،فإذا حکم الشارع بحرمة شیء فی زمان،و شکّ فی الزمان الثانی،و لم یعلم أنّ المناط الحقیقی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المناط و الموضوع </w:t>
      </w:r>
      <w:r>
        <w:rPr>
          <w:rStyle w:val="FootnoteAnchor"/>
          <w:rtl w:val="true"/>
        </w:rPr>
        <w:footnoteReference w:id="121"/>
      </w:r>
      <w:r>
        <w:rPr>
          <w:rFonts w:ascii="IRNazanin" w:hAnsi="IRNazanin" w:eastAsia="IRNazanin"/>
          <w:color w:val="111111"/>
          <w:sz w:val="28"/>
          <w:sz w:val="28"/>
          <w:szCs w:val="28"/>
          <w:rtl w:val="true"/>
          <w:lang w:bidi="fa-IR"/>
        </w:rPr>
        <w:t>فی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هنا أم لا،فیصدق هنا أنّ الحکم الشرعیّ الثابت لما هو الموضوع له فی الأدلّة الشرعیّة کان موجودا سابقا و شکّ فی بقائه،و یجری فیه أخبار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علم مناط هذا الحکم و موضوعه </w:t>
      </w:r>
      <w:r>
        <w:rPr>
          <w:rStyle w:val="FootnoteAnchor"/>
          <w:rtl w:val="true"/>
        </w:rPr>
        <w:footnoteReference w:id="122"/>
      </w:r>
      <w:r>
        <w:rPr>
          <w:rFonts w:ascii="IRNazanin" w:hAnsi="IRNazanin" w:eastAsia="IRNazanin"/>
          <w:color w:val="111111"/>
          <w:sz w:val="28"/>
          <w:sz w:val="28"/>
          <w:szCs w:val="28"/>
          <w:rtl w:val="true"/>
          <w:lang w:bidi="fa-IR"/>
        </w:rPr>
        <w:t>المعلّق علیه فی حکم العقل لم یجر الاستصحاب؛لما ذکرنا من عدم إحراز الموضوع</w:t>
      </w:r>
      <w:r>
        <w:rPr>
          <w:rFonts w:eastAsia="IRNazanin" w:cs="IRNazanin"/>
          <w:color w:val="111111"/>
          <w:sz w:val="28"/>
          <w:szCs w:val="28"/>
          <w:rtl w:val="true"/>
          <w:lang w:bidi="fa-IR"/>
        </w:rPr>
        <w:t>.</w:t>
      </w:r>
    </w:p>
    <w:p>
      <w:pPr>
        <w:pStyle w:val="Heading6"/>
        <w:numPr>
          <w:ilvl w:val="5"/>
          <w:numId w:val="1"/>
        </w:numPr>
        <w:rPr/>
      </w:pPr>
      <w:bookmarkStart w:id="154" w:name="__RefHeading___Toc5766909_3224264995"/>
      <w:bookmarkStart w:id="155" w:name="_Toc63"/>
      <w:bookmarkEnd w:id="154"/>
      <w:r>
        <w:rPr>
          <w:rtl w:val="true"/>
        </w:rPr>
        <w:t>عدم جریان الاستصحاب فی الأحکام العقلیّة و لا فی الأحکام الشرعیّة المستندة إلیها</w:t>
      </w:r>
      <w:bookmarkEnd w:id="1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الاستصحاب لا یجری فی الأحکام العقلیّة، و لا فی الأحکام الشرعیّة المستندة إلیها،سواء کانت وجودیّة أم عدمیّة، إذا کان العدم مستندا إلی القضیّة العقلیّة،کعدم وجوب الصلاة مع السورة علی ناسیها،فإنّه لا یجوز استصحابه بعد الالتفات،کما صدر </w:t>
      </w:r>
      <w:bookmarkStart w:id="156" w:name="pg12985_124888"/>
    </w:p>
    <w:p>
      <w:pPr>
        <w:pStyle w:val="BookText"/>
        <w:rPr/>
      </w:pPr>
      <w:bookmarkEnd w:id="156"/>
      <w:r>
        <w:rPr>
          <w:rFonts w:ascii="IRNazanin" w:hAnsi="IRNazanin" w:eastAsia="IRNazanin"/>
          <w:color w:val="111111"/>
          <w:sz w:val="28"/>
          <w:sz w:val="28"/>
          <w:szCs w:val="28"/>
          <w:rtl w:val="true"/>
          <w:lang w:bidi="fa-IR"/>
        </w:rPr>
        <w:t xml:space="preserve">من بعض </w:t>
      </w:r>
      <w:r>
        <w:rPr>
          <w:rStyle w:val="FootnoteAnchor"/>
          <w:rtl w:val="true"/>
        </w:rPr>
        <w:footnoteReference w:id="123"/>
      </w:r>
      <w:r>
        <w:rPr>
          <w:rFonts w:ascii="IRNazanin" w:hAnsi="IRNazanin" w:eastAsia="IRNazanin"/>
          <w:color w:val="111111"/>
          <w:sz w:val="28"/>
          <w:sz w:val="28"/>
          <w:szCs w:val="28"/>
          <w:rtl w:val="true"/>
          <w:lang w:bidi="fa-IR"/>
        </w:rPr>
        <w:t>من مال إلی الحکم بالإجزاء فی هذه الصورة و أمثالها من موارد الأعذار العقلیّة الرافعة للتکلیف مع قیام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العدم مستندا إلی القضیّة العقلیّة،بل کان لعدم المقتضی و إن کان القضیّة العقلیّة موجودة أیضا،فلا بأس باستصحاب العدم المطلق بعد ارتفاع القضیّة العقلیّة</w:t>
      </w:r>
      <w:r>
        <w:rPr>
          <w:rFonts w:eastAsia="IRNazanin" w:cs="IRNazanin"/>
          <w:color w:val="111111"/>
          <w:sz w:val="28"/>
          <w:szCs w:val="28"/>
          <w:rtl w:val="true"/>
          <w:lang w:bidi="fa-IR"/>
        </w:rPr>
        <w:t>.</w:t>
      </w:r>
    </w:p>
    <w:p>
      <w:pPr>
        <w:pStyle w:val="Heading6"/>
        <w:numPr>
          <w:ilvl w:val="5"/>
          <w:numId w:val="1"/>
        </w:numPr>
        <w:rPr/>
      </w:pPr>
      <w:bookmarkStart w:id="157" w:name="__RefHeading___Toc5766911_3224264995"/>
      <w:bookmarkStart w:id="158" w:name="_Toc64"/>
      <w:bookmarkEnd w:id="157"/>
      <w:r>
        <w:rPr>
          <w:rtl w:val="true"/>
        </w:rPr>
        <w:t>استصحاب حال العقل لا یستند إلی القضیّة العقلیّة</w:t>
      </w:r>
      <w:r>
        <w:rPr>
          <w:rtl w:val="true"/>
        </w:rPr>
        <w:t>:</w:t>
      </w:r>
      <w:bookmarkEnd w:id="158"/>
    </w:p>
    <w:p>
      <w:pPr>
        <w:pStyle w:val="BookText"/>
        <w:rPr/>
      </w:pPr>
      <w:r>
        <w:rPr>
          <w:rFonts w:ascii="IRNazanin" w:hAnsi="IRNazanin" w:eastAsia="IRNazanin"/>
          <w:color w:val="111111"/>
          <w:sz w:val="28"/>
          <w:sz w:val="28"/>
          <w:szCs w:val="28"/>
          <w:rtl w:val="true"/>
          <w:lang w:bidi="fa-IR"/>
        </w:rPr>
        <w:t>و من هذا الباب استصحاب حال العقل،المراد به فی اصطلاحهم استصحاب البراءة و النفی،فالمراد استصحاب الحال التی یحکم العقل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الحال المستندة إلی العقل،حتّی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تقدّم هو عدم جواز استصحاب عدم التکلیف عند ارتفاع القضیّة العقلیّة،و هی قبح تکلیف غیر الممیّز أو المعدوم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أنّه لا وجه للاعتراض </w:t>
      </w:r>
      <w:r>
        <w:rPr>
          <w:rStyle w:val="FootnoteAnchor"/>
          <w:rtl w:val="true"/>
        </w:rPr>
        <w:footnoteReference w:id="124"/>
      </w:r>
      <w:r>
        <w:rPr>
          <w:rFonts w:ascii="IRNazanin" w:hAnsi="IRNazanin" w:eastAsia="IRNazanin"/>
          <w:color w:val="111111"/>
          <w:sz w:val="28"/>
          <w:sz w:val="28"/>
          <w:szCs w:val="28"/>
          <w:rtl w:val="true"/>
          <w:lang w:bidi="fa-IR"/>
        </w:rPr>
        <w:t>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تخصیص استصحاب حال العقل باستصحاب النفی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الثابت بالعقل قد یکون </w:t>
      </w:r>
      <w:r>
        <w:rPr>
          <w:rStyle w:val="FootnoteAnchor"/>
          <w:rtl w:val="true"/>
        </w:rPr>
        <w:footnoteReference w:id="125"/>
      </w:r>
      <w:r>
        <w:rPr>
          <w:rFonts w:ascii="IRNazanin" w:hAnsi="IRNazanin" w:eastAsia="IRNazanin"/>
          <w:color w:val="111111"/>
          <w:sz w:val="28"/>
          <w:sz w:val="28"/>
          <w:szCs w:val="28"/>
          <w:rtl w:val="true"/>
          <w:lang w:bidi="fa-IR"/>
        </w:rPr>
        <w:t>عدمیّا و قد یکون وجودیّا،فلا وجه للتخصیص؛ و ذلک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الحال المستند إلی العقل المنوط بالقضیّة العقلیّة لا یجری فیه </w:t>
      </w:r>
      <w:r>
        <w:rPr>
          <w:rStyle w:val="FootnoteAnchor"/>
          <w:rtl w:val="true"/>
        </w:rPr>
        <w:footnoteReference w:id="126"/>
      </w:r>
      <w:r>
        <w:rPr>
          <w:rFonts w:ascii="IRNazanin" w:hAnsi="IRNazanin" w:eastAsia="IRNazanin"/>
          <w:color w:val="111111"/>
          <w:sz w:val="28"/>
          <w:sz w:val="28"/>
          <w:szCs w:val="28"/>
          <w:rtl w:val="true"/>
          <w:lang w:bidi="fa-IR"/>
        </w:rPr>
        <w:t>الاستصحاب وجودیّا کان أو عدمیّا،و ما ذکره من الأمثلة یظهر الحال فیها ممّا تقدّم</w:t>
      </w:r>
      <w:r>
        <w:rPr>
          <w:rFonts w:eastAsia="IRNazanin" w:cs="IRNazanin"/>
          <w:color w:val="111111"/>
          <w:sz w:val="28"/>
          <w:szCs w:val="28"/>
          <w:rtl w:val="true"/>
          <w:lang w:bidi="fa-IR"/>
        </w:rPr>
        <w:t xml:space="preserve">. </w:t>
      </w:r>
      <w:bookmarkStart w:id="159" w:name="pg12985_124889"/>
    </w:p>
    <w:p>
      <w:pPr>
        <w:pStyle w:val="Heading6"/>
        <w:numPr>
          <w:ilvl w:val="5"/>
          <w:numId w:val="1"/>
        </w:numPr>
        <w:rPr/>
      </w:pPr>
      <w:bookmarkStart w:id="160" w:name="__RefHeading___Toc5766913_3224264995"/>
      <w:bookmarkStart w:id="161" w:name="_Toc65"/>
      <w:bookmarkEnd w:id="159"/>
      <w:bookmarkEnd w:id="160"/>
      <w:r>
        <w:rPr>
          <w:rtl w:val="true"/>
        </w:rPr>
        <w:t>الوجه  الثالث</w:t>
      </w:r>
      <w:r>
        <w:rPr>
          <w:rtl w:val="true"/>
        </w:rPr>
        <w:t xml:space="preserve">: </w:t>
      </w:r>
      <w:r>
        <w:rPr>
          <w:rtl w:val="true"/>
        </w:rPr>
        <w:t>دلیل المستصحب قد یدلّ علی الاستمرار و قد لا یدلّ</w:t>
      </w:r>
      <w:bookmarkEnd w:id="161"/>
    </w:p>
    <w:p>
      <w:pPr>
        <w:pStyle w:val="BookText"/>
        <w:rPr/>
      </w:pPr>
      <w:r>
        <w:rPr>
          <w:rFonts w:ascii="IRNazanin" w:hAnsi="IRNazanin" w:eastAsia="IRNazanin"/>
          <w:color w:val="111111"/>
          <w:sz w:val="28"/>
          <w:sz w:val="28"/>
          <w:szCs w:val="28"/>
          <w:rtl w:val="true"/>
          <w:lang w:bidi="fa-IR"/>
        </w:rPr>
        <w:t>أنّ دلیل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یدلّ علی استمرار الحکم إلی حصول رافع أو غایة،و إمّا أن لا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فصّل بین هذین القسمین المحقّق فی المعارج،و المحقّق الخوانساری فی شرح الدروس،فأنکرا الحجّیة فی الثانی و اعترفا بها فی الأوّل،مطلقا کما یظهر من المعارج </w:t>
      </w:r>
      <w:r>
        <w:rPr>
          <w:rStyle w:val="FootnoteAnchor"/>
          <w:rtl w:val="true"/>
        </w:rPr>
        <w:footnoteReference w:id="127"/>
      </w:r>
      <w:r>
        <w:rPr>
          <w:rFonts w:ascii="IRNazanin" w:hAnsi="IRNazanin" w:eastAsia="IRNazanin"/>
          <w:color w:val="111111"/>
          <w:sz w:val="28"/>
          <w:sz w:val="28"/>
          <w:szCs w:val="28"/>
          <w:rtl w:val="true"/>
          <w:lang w:bidi="fa-IR"/>
        </w:rPr>
        <w:t xml:space="preserve">، أو بشرط کون الشکّ فی وجود الغایة کما یأتی من شارح الدروس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تخیّل بعضهم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لصاحب المعالم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المحقّق قدّس سرّه موافق للمنکرین؛لأنّ محلّ النزاع ما لم یکن الدلیل مقتضیا للحکم فی الآن اللاحق لو لا الشکّ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غیر بعید بالنظر إلی کلام السیّد </w:t>
      </w:r>
      <w:r>
        <w:rPr>
          <w:rStyle w:val="FootnoteAnchor"/>
          <w:rtl w:val="true"/>
        </w:rPr>
        <w:footnoteReference w:id="131"/>
      </w:r>
      <w:r>
        <w:rPr>
          <w:rFonts w:ascii="IRNazanin" w:hAnsi="IRNazanin" w:eastAsia="IRNazanin"/>
          <w:color w:val="111111"/>
          <w:sz w:val="28"/>
          <w:sz w:val="28"/>
          <w:szCs w:val="28"/>
          <w:rtl w:val="true"/>
          <w:lang w:bidi="fa-IR"/>
        </w:rPr>
        <w:t xml:space="preserve">و الشیخ </w:t>
      </w:r>
      <w:r>
        <w:rPr>
          <w:rStyle w:val="FootnoteAnchor"/>
          <w:rtl w:val="true"/>
        </w:rPr>
        <w:footnoteReference w:id="132"/>
      </w:r>
      <w:r>
        <w:rPr>
          <w:rFonts w:ascii="Amiri" w:hAnsi="Amiri" w:eastAsia="Amiri" w:cs="Amiri"/>
          <w:color w:val="111111"/>
          <w:sz w:val="28"/>
          <w:sz w:val="28"/>
          <w:szCs w:val="28"/>
          <w:rtl w:val="true"/>
          <w:lang w:bidi="ar-SA"/>
        </w:rPr>
        <w:t xml:space="preserve">و ابن زهرة </w:t>
      </w:r>
      <w:r>
        <w:rPr>
          <w:rStyle w:val="FootnoteAnchor"/>
          <w:rtl w:val="true"/>
        </w:rPr>
        <w:footnoteReference w:id="133"/>
      </w:r>
      <w:r>
        <w:rPr>
          <w:rFonts w:ascii="IRNazanin" w:hAnsi="IRNazanin" w:eastAsia="IRNazanin"/>
          <w:color w:val="111111"/>
          <w:sz w:val="28"/>
          <w:sz w:val="28"/>
          <w:szCs w:val="28"/>
          <w:rtl w:val="true"/>
          <w:lang w:bidi="fa-IR"/>
        </w:rPr>
        <w:t>و غیرهم؛حیث إنّ المفروض فی کلامهم هو کون دلیل الحکم فی الزمان الأوّل قضیّة مهملة ساکتة عن حکم الزمان الثانی و لو مع فرض عدم الرافع</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یقتضیه التدبّر فی بعض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السیّد </w:t>
      </w:r>
      <w:r>
        <w:rPr>
          <w:rStyle w:val="FootnoteAnchor"/>
          <w:rtl w:val="true"/>
        </w:rPr>
        <w:footnoteReference w:id="134"/>
      </w:r>
      <w:r>
        <w:rPr>
          <w:rFonts w:ascii="IRNazanin" w:hAnsi="IRNazanin" w:eastAsia="IRNazanin"/>
          <w:color w:val="111111"/>
          <w:sz w:val="28"/>
          <w:sz w:val="28"/>
          <w:szCs w:val="28"/>
          <w:rtl w:val="true"/>
          <w:lang w:bidi="fa-IR"/>
        </w:rPr>
        <w:t>لاستصحاب البلد المبنیّ علی ساحل البحر مع کون الشکّ فیه نظیر الشکّ فی وجود الرافع للحکم الشرعیّ،و غیر ذلک ممّا یظهر للمتأمّل، و یقتضیه الجمع بین کلماتهم و بین ما یظهر من بعض استدلال المثبتین و النافین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عموم النزاع لما ذکره المحقّق،فما ذکره فی المعارج </w:t>
      </w:r>
      <w:r>
        <w:rPr>
          <w:rStyle w:val="FootnoteAnchor"/>
          <w:rtl w:val="true"/>
        </w:rPr>
        <w:footnoteReference w:id="135"/>
      </w:r>
      <w:r>
        <w:rPr>
          <w:rFonts w:ascii="IRNazanin" w:hAnsi="IRNazanin" w:eastAsia="IRNazanin"/>
          <w:color w:val="111111"/>
          <w:sz w:val="28"/>
          <w:sz w:val="28"/>
          <w:szCs w:val="28"/>
          <w:rtl w:val="true"/>
          <w:lang w:bidi="fa-IR"/>
        </w:rPr>
        <w:t>أخیرا لیس رجوعا عمّا ذکره أوّلا،بل لعلّه بیان لمورد تلک الأدلّة التی ذکرها لاعتبار الاستصحاب،و أنّها لا تقتضی اعتبارا أزید من مورد یکون الدلیل فیه مقتضیا للحکم مطلقا و یشکّ فی رافعه</w:t>
      </w:r>
      <w:r>
        <w:rPr>
          <w:rFonts w:eastAsia="IRNazanin" w:cs="IRNazanin"/>
          <w:color w:val="111111"/>
          <w:sz w:val="28"/>
          <w:szCs w:val="28"/>
          <w:rtl w:val="true"/>
          <w:lang w:bidi="fa-IR"/>
        </w:rPr>
        <w:t xml:space="preserve">. </w:t>
      </w:r>
      <w:bookmarkStart w:id="162" w:name="pg12985_124891"/>
    </w:p>
    <w:p>
      <w:pPr>
        <w:pStyle w:val="Heading5"/>
        <w:numPr>
          <w:ilvl w:val="4"/>
          <w:numId w:val="1"/>
        </w:numPr>
        <w:rPr/>
      </w:pPr>
      <w:bookmarkStart w:id="163" w:name="__RefHeading___Toc5766915_3224264995"/>
      <w:bookmarkStart w:id="164" w:name="_Toc66"/>
      <w:bookmarkEnd w:id="162"/>
      <w:bookmarkEnd w:id="163"/>
      <w:r>
        <w:rPr/>
        <w:t>3</w:t>
      </w:r>
      <w:r>
        <w:rPr>
          <w:rtl w:val="true"/>
        </w:rPr>
        <w:t>-</w:t>
      </w:r>
      <w:r>
        <w:rPr>
          <w:rtl w:val="true"/>
        </w:rPr>
        <w:t>تقسیم الاستصحاب باعتبار الشکّ المأخوذ فیه</w:t>
      </w:r>
      <w:bookmarkEnd w:id="164"/>
    </w:p>
    <w:p>
      <w:pPr>
        <w:pStyle w:val="Heading6"/>
        <w:numPr>
          <w:ilvl w:val="5"/>
          <w:numId w:val="1"/>
        </w:numPr>
        <w:rPr/>
      </w:pPr>
      <w:bookmarkStart w:id="165" w:name="__RefHeading___Toc5766917_3224264995"/>
      <w:bookmarkStart w:id="166" w:name="_Toc67"/>
      <w:bookmarkEnd w:id="165"/>
      <w:r>
        <w:rPr>
          <w:rtl w:val="true"/>
        </w:rPr>
        <w:t>اشارة</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الشکّ المأخوذ فیه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أمّا باعتبار الشکّ فی البقاء،فمن وجوه أیضا</w:t>
      </w:r>
      <w:r>
        <w:rPr>
          <w:rFonts w:eastAsia="IRNazanin" w:cs="IRNazanin"/>
          <w:color w:val="111111"/>
          <w:sz w:val="28"/>
          <w:szCs w:val="28"/>
          <w:rtl w:val="true"/>
          <w:lang w:bidi="fa-IR"/>
        </w:rPr>
        <w:t>:</w:t>
      </w:r>
    </w:p>
    <w:p>
      <w:pPr>
        <w:pStyle w:val="Heading6"/>
        <w:numPr>
          <w:ilvl w:val="5"/>
          <w:numId w:val="1"/>
        </w:numPr>
        <w:rPr/>
      </w:pPr>
      <w:bookmarkStart w:id="167" w:name="__RefHeading___Toc5766919_3224264995"/>
      <w:bookmarkStart w:id="168" w:name="_Toc68"/>
      <w:bookmarkEnd w:id="167"/>
      <w:r>
        <w:rPr>
          <w:rtl w:val="true"/>
        </w:rPr>
        <w:t>أحدها</w:t>
      </w:r>
      <w:r>
        <w:rPr>
          <w:rtl w:val="true"/>
        </w:rPr>
        <w:t xml:space="preserve">: </w:t>
      </w:r>
      <w:r>
        <w:rPr>
          <w:rtl w:val="true"/>
        </w:rPr>
        <w:t>منشأ الشکّ إمّا اشتباه الأمر الخارجی و إمّا اشتباه الحکم الشرعی</w:t>
      </w:r>
      <w:bookmarkEnd w:id="168"/>
    </w:p>
    <w:p>
      <w:pPr>
        <w:pStyle w:val="BookText"/>
        <w:rPr/>
      </w:pPr>
      <w:r>
        <w:rPr>
          <w:rFonts w:ascii="IRNazanin" w:hAnsi="IRNazanin" w:eastAsia="IRNazanin"/>
          <w:color w:val="111111"/>
          <w:sz w:val="28"/>
          <w:sz w:val="28"/>
          <w:szCs w:val="28"/>
          <w:rtl w:val="true"/>
          <w:lang w:bidi="fa-IR"/>
        </w:rPr>
        <w:t>من جهة أنّ الشکّ قد ینشأ من اشتباه الأمر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حدوث البول،أو کون الحادث بولا أو وذیا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بالشبهة فی الموضوع،سواء کان المستصحب حکما شرعیّا جزئیّا کالطهارة فی المثالین،أم موضوعا کالرطوبة و الکرّیّة و نقل اللفظ عن معناه الأصلی،و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ینشأ من اشتباه الحکم الشرعیّ الصادر من الشارع،کالشکّ فی بقاء نجاسة المتغیّر بعد زوال تغیّره،و طهارة المکلّف بعد حدوث المذی منه،و نحو ذلک</w:t>
      </w:r>
      <w:r>
        <w:rPr>
          <w:rFonts w:eastAsia="IRNazanin" w:cs="IRNazanin"/>
          <w:color w:val="111111"/>
          <w:sz w:val="28"/>
          <w:szCs w:val="28"/>
          <w:rtl w:val="true"/>
          <w:lang w:bidi="fa-IR"/>
        </w:rPr>
        <w:t>.</w:t>
      </w:r>
    </w:p>
    <w:p>
      <w:pPr>
        <w:pStyle w:val="Heading6"/>
        <w:numPr>
          <w:ilvl w:val="5"/>
          <w:numId w:val="1"/>
        </w:numPr>
        <w:rPr/>
      </w:pPr>
      <w:bookmarkStart w:id="169" w:name="__RefHeading___Toc5766921_3224264995"/>
      <w:bookmarkStart w:id="170" w:name="_Toc69"/>
      <w:bookmarkEnd w:id="169"/>
      <w:r>
        <w:rPr>
          <w:rtl w:val="true"/>
        </w:rPr>
        <w:t>دخول القسمین فی محلّ النزاع</w:t>
      </w:r>
      <w:r>
        <w:rPr>
          <w:rtl w:val="true"/>
        </w:rPr>
        <w:t>:</w:t>
      </w:r>
      <w:bookmarkEnd w:id="170"/>
    </w:p>
    <w:p>
      <w:pPr>
        <w:pStyle w:val="BookText"/>
        <w:rPr/>
      </w:pPr>
      <w:r>
        <w:rPr>
          <w:rFonts w:ascii="IRNazanin" w:hAnsi="IRNazanin" w:eastAsia="IRNazanin"/>
          <w:color w:val="111111"/>
          <w:sz w:val="28"/>
          <w:sz w:val="28"/>
          <w:szCs w:val="28"/>
          <w:rtl w:val="true"/>
          <w:lang w:bidi="fa-IR"/>
        </w:rPr>
        <w:t>و الظاهر دخول القسمین فی محلّ النزاع،کما یظهر من کلام المنکرین؛حیث ینکرون استصحاب حیاة زید بعد غیبته عن النظر، و البلد المبنیّ علی ساحل البحر،و من کلام المثبتین حیث یستدلّون یتوقّف نظام معاش الناس و معادهم علی الاستصحاب</w:t>
      </w:r>
      <w:r>
        <w:rPr>
          <w:rFonts w:eastAsia="IRNazanin" w:cs="IRNazanin"/>
          <w:color w:val="111111"/>
          <w:sz w:val="28"/>
          <w:szCs w:val="28"/>
          <w:rtl w:val="true"/>
          <w:lang w:bidi="fa-IR"/>
        </w:rPr>
        <w:t>.</w:t>
      </w:r>
    </w:p>
    <w:p>
      <w:pPr>
        <w:pStyle w:val="Heading6"/>
        <w:numPr>
          <w:ilvl w:val="5"/>
          <w:numId w:val="1"/>
        </w:numPr>
        <w:rPr/>
      </w:pPr>
      <w:bookmarkStart w:id="171" w:name="__RefHeading___Toc5766923_3224264995"/>
      <w:bookmarkStart w:id="172" w:name="_Toc70"/>
      <w:bookmarkEnd w:id="171"/>
      <w:r>
        <w:rPr>
          <w:rtl w:val="true"/>
        </w:rPr>
        <w:t>المحکی عن الأخباریین اختصاص النزاع بالشبهة الحکمیّة</w:t>
      </w:r>
      <w:r>
        <w:rPr>
          <w:rtl w:val="true"/>
        </w:rPr>
        <w:t>:</w:t>
      </w:r>
      <w:bookmarkEnd w:id="1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عن الأخباریّین اختصاص الخلاف بالثانی،و هو الذی صرّح به المحدّث البحرانی </w:t>
      </w:r>
      <w:r>
        <w:rPr>
          <w:rStyle w:val="FootnoteAnchor"/>
          <w:rtl w:val="true"/>
        </w:rPr>
        <w:footnoteReference w:id="137"/>
      </w:r>
      <w:r>
        <w:rPr>
          <w:rFonts w:ascii="IRNazanin" w:hAnsi="IRNazanin" w:eastAsia="IRNazanin"/>
          <w:color w:val="111111"/>
          <w:sz w:val="28"/>
          <w:sz w:val="28"/>
          <w:szCs w:val="28"/>
          <w:rtl w:val="true"/>
          <w:lang w:bidi="fa-IR"/>
        </w:rPr>
        <w:t xml:space="preserve">،و یظهر من کلام المحدّث الأسترابادی، </w:t>
      </w:r>
      <w:bookmarkStart w:id="173" w:name="pg12985_124892"/>
    </w:p>
    <w:p>
      <w:pPr>
        <w:pStyle w:val="BookText"/>
        <w:rPr/>
      </w:pPr>
      <w:bookmarkEnd w:id="173"/>
      <w:r>
        <w:rPr>
          <w:rFonts w:ascii="IRNazanin" w:hAnsi="IRNazanin" w:eastAsia="IRNazanin"/>
          <w:color w:val="111111"/>
          <w:sz w:val="28"/>
          <w:sz w:val="28"/>
          <w:szCs w:val="28"/>
          <w:rtl w:val="true"/>
          <w:lang w:bidi="fa-IR"/>
        </w:rPr>
        <w:t>حیث قال فی فوائده</w:t>
      </w:r>
      <w:r>
        <w:rPr>
          <w:rFonts w:eastAsia="IRNazanin" w:cs="IRNazanin"/>
          <w:color w:val="111111"/>
          <w:sz w:val="28"/>
          <w:szCs w:val="28"/>
          <w:rtl w:val="true"/>
          <w:lang w:bidi="fa-IR"/>
        </w:rPr>
        <w:t>:</w:t>
      </w:r>
    </w:p>
    <w:p>
      <w:pPr>
        <w:pStyle w:val="Heading6"/>
        <w:numPr>
          <w:ilvl w:val="5"/>
          <w:numId w:val="1"/>
        </w:numPr>
        <w:rPr/>
      </w:pPr>
      <w:bookmarkStart w:id="174" w:name="__RefHeading___Toc5766925_3224264995"/>
      <w:bookmarkStart w:id="175" w:name="_Toc71"/>
      <w:bookmarkEnd w:id="174"/>
      <w:r>
        <w:rPr>
          <w:rtl w:val="true"/>
        </w:rPr>
        <w:t>کلام المحدّث الأسترابادی فی الفوائد المدنیة</w:t>
      </w:r>
      <w:r>
        <w:rPr>
          <w:rtl w:val="true"/>
        </w:rPr>
        <w:t>:</w:t>
      </w:r>
      <w:bookmarkEnd w:id="175"/>
    </w:p>
    <w:p>
      <w:pPr>
        <w:pStyle w:val="BookText"/>
        <w:rPr/>
      </w:pPr>
      <w:r>
        <w:rPr>
          <w:rFonts w:ascii="IRNazanin" w:hAnsi="IRNazanin" w:eastAsia="IRNazanin"/>
          <w:color w:val="111111"/>
          <w:sz w:val="28"/>
          <w:sz w:val="28"/>
          <w:szCs w:val="28"/>
          <w:rtl w:val="true"/>
          <w:lang w:bidi="fa-IR"/>
        </w:rPr>
        <w:t>اعلم أنّ للاستصحاب صورتین معتبرتین باتّفاق الامّة،بل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اعتبارهما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و غیرهم کانوا یستصحبون ما جاء به نبیّنا صلی اللّه علیه و آله و سلّم إلی أن یجیء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نستصحب کلّ أمر من الامور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الرجل مالک أرض،و کونه زوج امرأة،و کونه عبد رجل،و کونه علی وضوء،و کون الثوب طاهرا أو نجسا،و کون اللیل أو النهار باقیا، و کون ذمّة الإنسان مشغولة بصلاة أو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یقطع بوجود شیء جعله الشارع سببا لنقض تلک الامور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ذلک الشیء قد یکون شهادة العدلین،و قد یکون قول الحجّام المسلم أو من فی حکمه،و قد یکون قول القصّار أو من فی حکمه،و قد یکون بیع ما یحتاج إلی الذبح و الغسل فی سوق المسلمین،و أشباه ذلک من الامور الحسّیة </w:t>
      </w:r>
      <w:r>
        <w:rPr>
          <w:rStyle w:val="FootnoteAnchor"/>
          <w:rtl w:val="true"/>
        </w:rPr>
        <w:footnoteReference w:id="1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تمثیله باستصحاب اللیل و النهار لاحتمل أن یکون معقد إجماعه الشکّ من حیث المانع وجودا أو منعا،إلاّ أنّ الجامع بین جمیع أمثلة الصورة الثانیة لیس إلاّ الشبهة الموضوعیّة،فکأنّه استثنی من محلّ الخلاف صورة واحدة من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 فی النسخ</w:t>
      </w:r>
      <w:r>
        <w:rPr>
          <w:rFonts w:eastAsia="IRNazanin" w:cs="IRNazanin"/>
          <w:color w:val="111111"/>
          <w:sz w:val="28"/>
          <w:szCs w:val="28"/>
          <w:rtl w:val="true"/>
          <w:lang w:bidi="fa-IR"/>
        </w:rPr>
        <w:t xml:space="preserve">- </w:t>
      </w:r>
      <w:bookmarkStart w:id="176" w:name="pg12985_124893"/>
    </w:p>
    <w:p>
      <w:pPr>
        <w:pStyle w:val="BookText"/>
        <w:rPr/>
      </w:pPr>
      <w:bookmarkEnd w:id="176"/>
      <w:r>
        <w:rPr>
          <w:rFonts w:ascii="IRNazanin" w:hAnsi="IRNazanin" w:eastAsia="IRNazanin"/>
          <w:color w:val="111111"/>
          <w:sz w:val="28"/>
          <w:sz w:val="28"/>
          <w:szCs w:val="28"/>
          <w:rtl w:val="true"/>
          <w:lang w:bidi="fa-IR"/>
        </w:rPr>
        <w:t>و جمیع صور الشبهة الموضوعیّة</w:t>
      </w:r>
      <w:r>
        <w:rPr>
          <w:rFonts w:eastAsia="IRNazanin" w:cs="IRNazanin"/>
          <w:color w:val="111111"/>
          <w:sz w:val="28"/>
          <w:szCs w:val="28"/>
          <w:rtl w:val="true"/>
          <w:lang w:bidi="fa-IR"/>
        </w:rPr>
        <w:t>.</w:t>
      </w:r>
    </w:p>
    <w:p>
      <w:pPr>
        <w:pStyle w:val="Heading6"/>
        <w:numPr>
          <w:ilvl w:val="5"/>
          <w:numId w:val="1"/>
        </w:numPr>
        <w:rPr/>
      </w:pPr>
      <w:bookmarkStart w:id="177" w:name="__RefHeading___Toc5766927_3224264995"/>
      <w:bookmarkStart w:id="178" w:name="_Toc72"/>
      <w:bookmarkEnd w:id="177"/>
      <w:r>
        <w:rPr>
          <w:rtl w:val="true"/>
        </w:rPr>
        <w:t>کلامه فی الفوائد المکیة</w:t>
      </w:r>
      <w:r>
        <w:rPr>
          <w:rtl w:val="true"/>
        </w:rPr>
        <w:t>:</w:t>
      </w:r>
      <w:bookmarkEnd w:id="178"/>
    </w:p>
    <w:p>
      <w:pPr>
        <w:pStyle w:val="BookText"/>
        <w:rPr/>
      </w:pPr>
      <w:r>
        <w:rPr>
          <w:rFonts w:ascii="IRNazanin" w:hAnsi="IRNazanin" w:eastAsia="IRNazanin"/>
          <w:color w:val="111111"/>
          <w:sz w:val="28"/>
          <w:sz w:val="28"/>
          <w:szCs w:val="28"/>
          <w:rtl w:val="true"/>
          <w:lang w:bidi="fa-IR"/>
        </w:rPr>
        <w:t xml:space="preserve">و أصرح من العبارة المذکورة فی اختصاص محلّ الخلاف بالشبهة الحکمیّة،ما حکی عنه فی الفوائد </w:t>
      </w:r>
      <w:r>
        <w:rPr>
          <w:rStyle w:val="FootnoteAnchor"/>
          <w:rtl w:val="true"/>
        </w:rPr>
        <w:footnoteReference w:id="14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صور الاستصحاب المختلف فیه راجعة إلی أنّه إذا ثبت حکم بخطاب شرعیّ فی موضوع فی حال من حالاته نجریه فی ذلک الموضوع عند زوال الحالة القدیمة و حدوث نقیضها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أنّه إذا تبدّل قید موضوع المسألة بنقیض ذلک القید اختلف موضوع المسألتین،فالذی سمّوه استصحابا راجع فی الحقیقة إلی إسراء حکم لموضوع إلی موضوع آخر متّحد معه بالذات مختلف بالقید و الصفات </w:t>
      </w:r>
      <w:r>
        <w:rPr>
          <w:rStyle w:val="FootnoteAnchor"/>
          <w:rtl w:val="true"/>
        </w:rPr>
        <w:footnoteReference w:id="1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9" w:name="__RefHeading___Toc5766929_3224264995"/>
      <w:bookmarkStart w:id="180" w:name="_Toc73"/>
      <w:bookmarkEnd w:id="179"/>
      <w:r>
        <w:rPr>
          <w:rtl w:val="true"/>
        </w:rPr>
        <w:t>الوجه  الثانی</w:t>
      </w:r>
      <w:r>
        <w:rPr>
          <w:rtl w:val="true"/>
        </w:rPr>
        <w:t xml:space="preserve">: </w:t>
      </w:r>
      <w:r>
        <w:rPr>
          <w:rtl w:val="true"/>
        </w:rPr>
        <w:t>الشکّ فی البقاء قد یکون مع تساوی الطرفین و قد یکون مع رجحان البقاء أو الارتفاع</w:t>
      </w:r>
      <w:bookmarkEnd w:id="180"/>
    </w:p>
    <w:p>
      <w:pPr>
        <w:pStyle w:val="BookText"/>
        <w:rPr/>
      </w:pPr>
      <w:r>
        <w:rPr>
          <w:rFonts w:ascii="IRNazanin" w:hAnsi="IRNazanin" w:eastAsia="IRNazanin"/>
          <w:color w:val="111111"/>
          <w:sz w:val="28"/>
          <w:sz w:val="28"/>
          <w:szCs w:val="28"/>
          <w:rtl w:val="true"/>
          <w:lang w:bidi="fa-IR"/>
        </w:rPr>
        <w:t>من حیث إنّ الشکّ بالمعنی الأعمّ الذی هو المأخوذ فی تعریف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مع تساوی الطرفین،و قد یکون مع رجحان البقاء،أو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دخول الأوّلین فی محلّ النزاع،و أمّا الثالث فقد یتراءی من بعض کلماتهم عدم وقوع الخلاف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استصحاب الحال أنّ الحکم الفلانی قد </w:t>
      </w:r>
      <w:bookmarkStart w:id="181" w:name="pg12985_124894"/>
    </w:p>
    <w:p>
      <w:pPr>
        <w:pStyle w:val="BookText"/>
        <w:rPr/>
      </w:pPr>
      <w:bookmarkEnd w:id="181"/>
      <w:r>
        <w:rPr>
          <w:rFonts w:ascii="IRNazanin" w:hAnsi="IRNazanin" w:eastAsia="IRNazanin"/>
          <w:color w:val="111111"/>
          <w:sz w:val="28"/>
          <w:sz w:val="28"/>
          <w:szCs w:val="28"/>
          <w:rtl w:val="true"/>
          <w:lang w:bidi="fa-IR"/>
        </w:rPr>
        <w:t xml:space="preserve">کان و لم یظنّ عدمه،و کلّ ما کان کذلک فهو مظنون البقاء،و قد اختلف فی صحّة الاستدلال به لإفادته الظنّ،و عدمها لعدم إفادته </w:t>
      </w:r>
      <w:r>
        <w:rPr>
          <w:rStyle w:val="FootnoteAnchor"/>
          <w:rtl w:val="true"/>
        </w:rPr>
        <w:footnoteReference w:id="1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82" w:name="__RefHeading___Toc5766931_3224264995"/>
      <w:bookmarkStart w:id="183" w:name="_Toc74"/>
      <w:bookmarkEnd w:id="182"/>
      <w:r>
        <w:rPr>
          <w:rtl w:val="true"/>
        </w:rPr>
        <w:t>محلّ الخلاف فی هذه الصور</w:t>
      </w:r>
      <w:r>
        <w:rPr>
          <w:rtl w:val="true"/>
        </w:rPr>
        <w:t>:</w:t>
      </w:r>
      <w:bookmarkEnd w:id="183"/>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الخلاف إن کان فی اعتبار الاستصحاب من باب التعبّد و الطریق الظاهریّ،عمّ صورة الظنّ الغیر المعتبر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باب الظنّ الشخصیّ،کما یظهر من کلمات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کشیخنا البهائیّ فی الحبل المتین </w:t>
      </w:r>
      <w:r>
        <w:rPr>
          <w:rStyle w:val="FootnoteAnchor"/>
          <w:rtl w:val="true"/>
        </w:rPr>
        <w:footnoteReference w:id="143"/>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محلّ الخلاف فی غیر صورة الظنّ بالخلاف؛إذ مع وجوده لا یعقل ظنّ البقاء،و إن کان من باب إفادة نوعه الظنّ لو خلّی و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عرض لبعض أفراده ما یسقطه عن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الخلاف صورة الظنّ بالخلاف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یحمل کلام العضدیّ علی إرادة أنّ الاستصحاب من شأنه بالنوع أن یفید الظنّ عند فرض عدم الظنّ بالخلاف،و سیجیء زیادة توضیح لذلک </w:t>
      </w:r>
      <w:r>
        <w:rPr>
          <w:rStyle w:val="FootnoteAnchor"/>
          <w:rtl w:val="true"/>
        </w:rPr>
        <w:footnoteReference w:id="14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5766933_3224264995"/>
      <w:bookmarkStart w:id="185" w:name="_Toc75"/>
      <w:bookmarkEnd w:id="184"/>
      <w:r>
        <w:rPr>
          <w:rtl w:val="true"/>
        </w:rPr>
        <w:t>الثالث</w:t>
      </w:r>
      <w:r>
        <w:rPr>
          <w:rtl w:val="true"/>
        </w:rPr>
        <w:t xml:space="preserve">: </w:t>
      </w:r>
      <w:r>
        <w:rPr>
          <w:rtl w:val="true"/>
        </w:rPr>
        <w:t>الشکّ إمّا فی المقتضی و إمّا فی الرافع</w:t>
      </w:r>
      <w:bookmarkEnd w:id="185"/>
    </w:p>
    <w:p>
      <w:pPr>
        <w:pStyle w:val="BookText"/>
        <w:rPr/>
      </w:pPr>
      <w:r>
        <w:rPr>
          <w:rFonts w:ascii="IRNazanin" w:hAnsi="IRNazanin" w:eastAsia="IRNazanin"/>
          <w:color w:val="111111"/>
          <w:sz w:val="28"/>
          <w:sz w:val="28"/>
          <w:szCs w:val="28"/>
          <w:rtl w:val="true"/>
          <w:lang w:bidi="fa-IR"/>
        </w:rPr>
        <w:t>من حیث إنّ الشکّ فی بقاء المستصحب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من جهة المقتضی،و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من حیث استعداده </w:t>
      </w:r>
      <w:bookmarkStart w:id="186" w:name="pg12985_124895"/>
    </w:p>
    <w:p>
      <w:pPr>
        <w:pStyle w:val="BookText"/>
        <w:rPr/>
      </w:pPr>
      <w:bookmarkEnd w:id="186"/>
      <w:r>
        <w:rPr>
          <w:rFonts w:ascii="IRNazanin" w:hAnsi="IRNazanin" w:eastAsia="IRNazanin"/>
          <w:color w:val="111111"/>
          <w:sz w:val="28"/>
          <w:sz w:val="28"/>
          <w:szCs w:val="28"/>
          <w:rtl w:val="true"/>
          <w:lang w:bidi="fa-IR"/>
        </w:rPr>
        <w:t>و قابلیّته فی ذاته للبقاء،کالشکّ فی بقاء اللیل و النهار و خیار الغبن بعد الزمان الأوّل</w:t>
      </w:r>
      <w:r>
        <w:rPr>
          <w:rFonts w:eastAsia="IRNazanin" w:cs="IRNazanin"/>
          <w:color w:val="111111"/>
          <w:sz w:val="28"/>
          <w:szCs w:val="28"/>
          <w:rtl w:val="true"/>
          <w:lang w:bidi="fa-IR"/>
        </w:rPr>
        <w:t>.</w:t>
      </w:r>
    </w:p>
    <w:p>
      <w:pPr>
        <w:pStyle w:val="Heading6"/>
        <w:numPr>
          <w:ilvl w:val="5"/>
          <w:numId w:val="1"/>
        </w:numPr>
        <w:rPr/>
      </w:pPr>
      <w:bookmarkStart w:id="187" w:name="__RefHeading___Toc5766935_3224264995"/>
      <w:bookmarkStart w:id="188" w:name="_Toc76"/>
      <w:bookmarkEnd w:id="187"/>
      <w:r>
        <w:rPr>
          <w:rtl w:val="true"/>
        </w:rPr>
        <w:t>أقسام الشکّ من جهة الرافع</w:t>
      </w:r>
      <w:r>
        <w:rPr>
          <w:rtl w:val="true"/>
        </w:rPr>
        <w:t>:</w:t>
      </w:r>
      <w:bookmarkEnd w:id="188"/>
    </w:p>
    <w:p>
      <w:pPr>
        <w:pStyle w:val="BookText"/>
        <w:rPr/>
      </w:pPr>
      <w:r>
        <w:rPr>
          <w:rFonts w:ascii="IRNazanin" w:hAnsi="IRNazanin" w:eastAsia="IRNazanin"/>
          <w:color w:val="111111"/>
          <w:sz w:val="28"/>
          <w:sz w:val="28"/>
          <w:szCs w:val="28"/>
          <w:rtl w:val="true"/>
          <w:lang w:bidi="fa-IR"/>
        </w:rPr>
        <w:t>و قد یکون من جهة طروّ الرافع مع القطع باستعداده للبقاء،و هذا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الشکّ إمّا فی وجود الرافع،کالشکّ فی حدوث البول، و إمّا أن یکون فی رافعیّة الموجود؛إمّا لعدم تعیّن المستصحب و تردّده بین ما یکون الموجود رافعا </w:t>
      </w:r>
      <w:r>
        <w:rPr>
          <w:rStyle w:val="FootnoteAnchor"/>
          <w:rtl w:val="true"/>
        </w:rPr>
        <w:footnoteReference w:id="146"/>
      </w:r>
      <w:r>
        <w:rPr>
          <w:rFonts w:ascii="IRNazanin" w:hAnsi="IRNazanin" w:eastAsia="IRNazanin"/>
          <w:color w:val="111111"/>
          <w:sz w:val="28"/>
          <w:sz w:val="28"/>
          <w:szCs w:val="28"/>
          <w:rtl w:val="true"/>
          <w:lang w:bidi="fa-IR"/>
        </w:rPr>
        <w:t>و بین ما لا یکون،کفعل الظهر المشکوک کونه رافعا لشغل الذمّة بالصلاة المکلّف بها قبل العصر یوم الجمعة من جهة تردّده بین الظهر و الجمعة،و إمّا للجهل بصفة الموجود من کونه رافعا کالمذی،أو مصداقا لرافع معلوم المفهوم کالرطوبة المردّدة بین البول و الودی،أو مجهول المفهوم</w:t>
      </w:r>
      <w:r>
        <w:rPr>
          <w:rFonts w:eastAsia="IRNazanin" w:cs="IRNazanin"/>
          <w:color w:val="111111"/>
          <w:sz w:val="28"/>
          <w:szCs w:val="28"/>
          <w:rtl w:val="true"/>
          <w:lang w:bidi="fa-IR"/>
        </w:rPr>
        <w:t>.</w:t>
      </w:r>
    </w:p>
    <w:p>
      <w:pPr>
        <w:pStyle w:val="Heading6"/>
        <w:numPr>
          <w:ilvl w:val="5"/>
          <w:numId w:val="1"/>
        </w:numPr>
        <w:rPr/>
      </w:pPr>
      <w:bookmarkStart w:id="189" w:name="__RefHeading___Toc5766937_3224264995"/>
      <w:bookmarkStart w:id="190" w:name="_Toc77"/>
      <w:bookmarkEnd w:id="189"/>
      <w:r>
        <w:rPr>
          <w:rtl w:val="true"/>
        </w:rPr>
        <w:t>محل الخلاف من هذه الأقسام</w:t>
      </w:r>
      <w:r>
        <w:rPr>
          <w:rtl w:val="true"/>
        </w:rPr>
        <w:t>:</w:t>
      </w:r>
      <w:bookmarkEnd w:id="190"/>
    </w:p>
    <w:p>
      <w:pPr>
        <w:pStyle w:val="BookText"/>
        <w:rPr/>
      </w:pPr>
      <w:r>
        <w:rPr>
          <w:rFonts w:ascii="IRNazanin" w:hAnsi="IRNazanin" w:eastAsia="IRNazanin"/>
          <w:color w:val="111111"/>
          <w:sz w:val="28"/>
          <w:sz w:val="28"/>
          <w:szCs w:val="28"/>
          <w:rtl w:val="true"/>
          <w:lang w:bidi="fa-IR"/>
        </w:rPr>
        <w:t>و لا إشکال فی کون ما عدا الشکّ فی وجود الرافع محلا للخلاف، و إن کان ظاهر استدلال بعض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المقتضی للحکم الأوّل موجود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آخره،یوهم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هو فالظاهر أیضا وقوع الخلاف فیه؛کما یظهر من إنکار السیّد قدّس سرّه للاستصحاب فی البلد المبنیّ علی ساحل البحر،و زید الغائب عن النظر </w:t>
      </w:r>
      <w:r>
        <w:rPr>
          <w:rStyle w:val="FootnoteAnchor"/>
          <w:rtl w:val="true"/>
        </w:rPr>
        <w:footnoteReference w:id="148"/>
      </w:r>
      <w:r>
        <w:rPr>
          <w:rFonts w:ascii="IRNazanin" w:hAnsi="IRNazanin" w:eastAsia="IRNazanin"/>
          <w:color w:val="111111"/>
          <w:sz w:val="28"/>
          <w:sz w:val="28"/>
          <w:szCs w:val="28"/>
          <w:rtl w:val="true"/>
          <w:lang w:bidi="fa-IR"/>
        </w:rPr>
        <w:t>،و أنّ الاستصحاب لو کان حجّة لکان بیّنة النافی أولی؛ لاعتضادها بالاستصحاب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کان،فقد یفصّل بین کون الشکّ من جهة المقتضی و بین </w:t>
      </w:r>
    </w:p>
    <w:p>
      <w:pPr>
        <w:pStyle w:val="BookText"/>
        <w:rPr/>
      </w:pPr>
      <w:r>
        <w:rPr>
          <w:rFonts w:ascii="IRNazanin" w:hAnsi="IRNazanin" w:eastAsia="IRNazanin"/>
          <w:color w:val="111111"/>
          <w:sz w:val="28"/>
          <w:sz w:val="28"/>
          <w:szCs w:val="28"/>
          <w:rtl w:val="true"/>
          <w:lang w:bidi="fa-IR"/>
        </w:rPr>
        <w:t>کونه من جهة الرافع،فینکر الاستصحاب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فی الرافع بین الشکّ فی وجوده و الشکّ فی رافعیّته، فینکر الثانی مطلقا،أو إذا لم یکن الشکّ فی المصداق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حضرنی من کلمات الأصحاب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منها فی بادئ النظر أحد عشر قولا</w:t>
      </w:r>
      <w:r>
        <w:rPr>
          <w:rFonts w:eastAsia="IRNazanin" w:cs="IRNazanin"/>
          <w:color w:val="111111"/>
          <w:sz w:val="28"/>
          <w:szCs w:val="28"/>
          <w:rtl w:val="true"/>
          <w:lang w:bidi="fa-IR"/>
        </w:rPr>
        <w:t xml:space="preserve">: </w:t>
      </w:r>
      <w:bookmarkStart w:id="191" w:name="pg12985_124897"/>
    </w:p>
    <w:p>
      <w:pPr>
        <w:pStyle w:val="Heading3"/>
        <w:numPr>
          <w:ilvl w:val="2"/>
          <w:numId w:val="1"/>
        </w:numPr>
        <w:rPr/>
      </w:pPr>
      <w:bookmarkStart w:id="192" w:name="__RefHeading___Toc5766939_3224264995"/>
      <w:bookmarkStart w:id="193" w:name="_Toc78"/>
      <w:bookmarkEnd w:id="191"/>
      <w:bookmarkEnd w:id="192"/>
      <w:r>
        <w:rPr>
          <w:rtl w:val="true"/>
        </w:rPr>
        <w:t>الأقوال فی حجّیة الاستصحاب</w:t>
      </w:r>
      <w:bookmarkEnd w:id="193"/>
    </w:p>
    <w:p>
      <w:pPr>
        <w:pStyle w:val="Heading4"/>
        <w:numPr>
          <w:ilvl w:val="3"/>
          <w:numId w:val="1"/>
        </w:numPr>
        <w:rPr/>
      </w:pPr>
      <w:bookmarkStart w:id="194" w:name="__RefHeading___Toc5766941_3224264995"/>
      <w:bookmarkStart w:id="195" w:name="_Toc79"/>
      <w:bookmarkEnd w:id="194"/>
      <w:r>
        <w:rPr>
          <w:rtl w:val="true"/>
        </w:rPr>
        <w:t>اشارة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حجّیة الاستصحاب</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العدمیّ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الامور الخارجیّة و بین الحکم الشرعیّ مطلقا،</w:t>
      </w:r>
    </w:p>
    <w:p>
      <w:pPr>
        <w:pStyle w:val="BookText"/>
        <w:rPr/>
      </w:pPr>
      <w:r>
        <w:rPr>
          <w:rFonts w:ascii="IRNazanin" w:hAnsi="IRNazanin" w:eastAsia="IRNazanin"/>
          <w:color w:val="111111"/>
          <w:sz w:val="28"/>
          <w:sz w:val="28"/>
          <w:szCs w:val="28"/>
          <w:rtl w:val="true"/>
          <w:lang w:bidi="fa-IR"/>
        </w:rPr>
        <w:t>فلا یعتبر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الحکم الشرعیّ الکلّی و غیره</w:t>
      </w:r>
    </w:p>
    <w:p>
      <w:pPr>
        <w:pStyle w:val="BookText"/>
        <w:rPr/>
      </w:pPr>
      <w:r>
        <w:rPr>
          <w:rFonts w:ascii="IRNazanin" w:hAnsi="IRNazanin" w:eastAsia="IRNazanin"/>
          <w:color w:val="111111"/>
          <w:sz w:val="28"/>
          <w:sz w:val="28"/>
          <w:szCs w:val="28"/>
          <w:rtl w:val="true"/>
          <w:lang w:bidi="fa-IR"/>
        </w:rPr>
        <w:t>،فلا یعتبر فی الأوّل إلاّ فی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الحکم الجزئی و غیره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یعتبر فی غیر الأوّل،و هذا هو الذی تقدّم أنّه ربما یستظهر من کلام المحقّق الخوانساری فی حاشیة شرح </w:t>
      </w:r>
      <w:r>
        <w:rPr>
          <w:rStyle w:val="FootnoteAnchor"/>
          <w:rtl w:val="true"/>
        </w:rPr>
        <w:footnoteReference w:id="150"/>
      </w:r>
      <w:r>
        <w:rPr>
          <w:rFonts w:ascii="IRNazanin" w:hAnsi="IRNazanin" w:eastAsia="IRNazanin"/>
          <w:color w:val="111111"/>
          <w:sz w:val="28"/>
          <w:sz w:val="28"/>
          <w:szCs w:val="28"/>
          <w:rtl w:val="true"/>
          <w:lang w:bidi="fa-IR"/>
        </w:rPr>
        <w:t xml:space="preserve">الدروس </w:t>
      </w:r>
      <w:r>
        <w:rPr>
          <w:rStyle w:val="FootnoteAnchor"/>
          <w:rtl w:val="true"/>
        </w:rPr>
        <w:footnoteReference w:id="151"/>
      </w:r>
      <w:r>
        <w:rPr>
          <w:rFonts w:ascii="IRNazanin" w:hAnsi="IRNazanin" w:eastAsia="IRNazanin"/>
          <w:color w:val="111111"/>
          <w:sz w:val="28"/>
          <w:sz w:val="28"/>
          <w:szCs w:val="28"/>
          <w:rtl w:val="true"/>
          <w:lang w:bidi="fa-IR"/>
        </w:rPr>
        <w:t xml:space="preserve">،علی ما حکاه السیّد فی </w:t>
      </w:r>
    </w:p>
    <w:p>
      <w:pPr>
        <w:pStyle w:val="BookText"/>
        <w:rPr/>
      </w:pPr>
      <w:r>
        <w:rPr>
          <w:rFonts w:ascii="IRNazanin" w:hAnsi="IRNazanin" w:eastAsia="IRNazanin"/>
          <w:color w:val="111111"/>
          <w:sz w:val="28"/>
          <w:sz w:val="28"/>
          <w:szCs w:val="28"/>
          <w:rtl w:val="true"/>
          <w:lang w:bidi="fa-IR"/>
        </w:rPr>
        <w:t xml:space="preserve">شرح الوافیة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الأحکام الوضعیّة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الأسباب و الشروط و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الأحکام التکلیفیّة التابعة لها،و بین غیرها من الأحکام الشرعیّة،فیجری فی الأوّل دون الثانی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ثبت بالإجماع و غیره</w:t>
      </w:r>
    </w:p>
    <w:p>
      <w:pPr>
        <w:pStyle w:val="BookText"/>
        <w:rPr/>
      </w:pPr>
      <w:r>
        <w:rPr>
          <w:rFonts w:ascii="IRNazanin" w:hAnsi="IRNazanin" w:eastAsia="IRNazanin"/>
          <w:color w:val="111111"/>
          <w:sz w:val="28"/>
          <w:sz w:val="28"/>
          <w:szCs w:val="28"/>
          <w:rtl w:val="true"/>
          <w:lang w:bidi="fa-IR"/>
        </w:rPr>
        <w:t>،فلا یعتبر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کون المستصحب ممّا ثبت بدلیله أو من الخارج</w:t>
      </w:r>
    </w:p>
    <w:p>
      <w:pPr>
        <w:pStyle w:val="BookText"/>
        <w:rPr/>
      </w:pPr>
      <w:r>
        <w:rPr>
          <w:rFonts w:ascii="IRNazanin" w:hAnsi="IRNazanin" w:eastAsia="IRNazanin"/>
          <w:color w:val="111111"/>
          <w:sz w:val="28"/>
          <w:sz w:val="28"/>
          <w:szCs w:val="28"/>
          <w:rtl w:val="true"/>
          <w:lang w:bidi="fa-IR"/>
        </w:rPr>
        <w:t xml:space="preserve">استمراره فشکّ فی الغایة الرافعة له،و بین غیره،فیعتبر فی الأوّل دون الثانی،کما هو ظاهر المعارج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التفصیل مع اختصاص الشکّ بوجود الغایة</w:t>
      </w:r>
    </w:p>
    <w:p>
      <w:pPr>
        <w:pStyle w:val="BookText"/>
        <w:rPr/>
      </w:pPr>
      <w:r>
        <w:rPr>
          <w:rFonts w:ascii="IRNazanin" w:hAnsi="IRNazanin" w:eastAsia="IRNazanin"/>
          <w:color w:val="111111"/>
          <w:sz w:val="28"/>
          <w:sz w:val="28"/>
          <w:szCs w:val="28"/>
          <w:rtl w:val="true"/>
          <w:lang w:bidi="fa-IR"/>
        </w:rPr>
        <w:t xml:space="preserve">،کما هو الظاهر من المحقّق السبزواری فیما سیجیء من کلامه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الشکّ فی مصداق الغایة من جهة الاشتباه</w:t>
      </w:r>
    </w:p>
    <w:p>
      <w:pPr>
        <w:pStyle w:val="BookText"/>
        <w:rPr/>
      </w:pPr>
      <w:r>
        <w:rPr>
          <w:rFonts w:ascii="IRNazanin" w:hAnsi="IRNazanin" w:eastAsia="IRNazanin"/>
          <w:color w:val="111111"/>
          <w:sz w:val="28"/>
          <w:sz w:val="28"/>
          <w:szCs w:val="28"/>
          <w:rtl w:val="true"/>
          <w:lang w:bidi="fa-IR"/>
        </w:rPr>
        <w:t xml:space="preserve">المصداقیّ دون المفهومیّ،کما هو ظاهر ما سیجیء من المحقّق الخوانساری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بنی علی ملاحظة ظواهر کلمات من تعرّض لهذه المسألة </w:t>
      </w:r>
      <w:bookmarkStart w:id="196" w:name="pg12985_124899"/>
    </w:p>
    <w:p>
      <w:pPr>
        <w:pStyle w:val="BookText"/>
        <w:rPr/>
      </w:pPr>
      <w:bookmarkEnd w:id="196"/>
      <w:r>
        <w:rPr>
          <w:rFonts w:ascii="IRNazanin" w:hAnsi="IRNazanin" w:eastAsia="IRNazanin"/>
          <w:color w:val="111111"/>
          <w:sz w:val="28"/>
          <w:sz w:val="28"/>
          <w:szCs w:val="28"/>
          <w:rtl w:val="true"/>
          <w:lang w:bidi="fa-IR"/>
        </w:rPr>
        <w:t xml:space="preserve">فی الاصول و الفروع،لزادت الأقوال علی العدد المذکور بکثیر </w:t>
      </w:r>
      <w:r>
        <w:rPr>
          <w:rStyle w:val="FootnoteAnchor"/>
          <w:rtl w:val="true"/>
        </w:rPr>
        <w:footnoteReference w:id="157"/>
      </w:r>
      <w:r>
        <w:rPr>
          <w:rFonts w:ascii="IRNazanin" w:hAnsi="IRNazanin" w:eastAsia="IRNazanin"/>
          <w:color w:val="111111"/>
          <w:sz w:val="28"/>
          <w:sz w:val="28"/>
          <w:szCs w:val="28"/>
          <w:rtl w:val="true"/>
          <w:lang w:bidi="fa-IR"/>
        </w:rPr>
        <w:t>،بل یحصل لعالم واحد قولان أو أزید فی المسألة،إلاّ أنّ صرف الوقت فی هذا ممّا لا ینبغی</w:t>
      </w:r>
      <w:r>
        <w:rPr>
          <w:rFonts w:eastAsia="IRNazanin" w:cs="IRNazanin"/>
          <w:color w:val="111111"/>
          <w:sz w:val="28"/>
          <w:szCs w:val="28"/>
          <w:rtl w:val="true"/>
          <w:lang w:bidi="fa-IR"/>
        </w:rPr>
        <w:t>.</w:t>
      </w:r>
    </w:p>
    <w:p>
      <w:pPr>
        <w:pStyle w:val="Heading3"/>
        <w:numPr>
          <w:ilvl w:val="2"/>
          <w:numId w:val="1"/>
        </w:numPr>
        <w:rPr/>
      </w:pPr>
      <w:bookmarkStart w:id="197" w:name="__RefHeading___Toc5766943_3224264995"/>
      <w:bookmarkStart w:id="198" w:name="_Toc80"/>
      <w:bookmarkEnd w:id="197"/>
      <w:r>
        <w:rPr>
          <w:rtl w:val="true"/>
        </w:rPr>
        <w:t>أقوی الأقوال فی الاستصحاب</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الأقوال فی الاستصحاب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القول التاسع،و هو الذی اختاره المحقّق،فإنّ المحکیّ عنه فی المعارج </w:t>
      </w:r>
      <w:r>
        <w:rPr>
          <w:rStyle w:val="FootnoteAnchor"/>
          <w:rtl w:val="true"/>
        </w:rPr>
        <w:footnoteReference w:id="15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حکم فی وقت،ثمّ جاء وقت آخر و لم یقم دلیل علی انتفاء ذلک الحکم،هل یحکم ببقائه ما لم یقم دلالة علی نفیه؟أم یفتقر الحکم فی الوقت الثانی إلی دلالة؟</w:t>
      </w:r>
    </w:p>
    <w:p>
      <w:pPr>
        <w:pStyle w:val="Heading3"/>
        <w:numPr>
          <w:ilvl w:val="2"/>
          <w:numId w:val="1"/>
        </w:numPr>
        <w:rPr/>
      </w:pPr>
      <w:bookmarkStart w:id="199" w:name="__RefHeading___Toc5766945_3224264995"/>
      <w:bookmarkStart w:id="200" w:name="_Toc81"/>
      <w:bookmarkEnd w:id="199"/>
      <w:r>
        <w:rPr>
          <w:rtl w:val="true"/>
        </w:rPr>
        <w:t>کلام المحقق فی المعارج</w:t>
      </w:r>
      <w:r>
        <w:rPr>
          <w:rtl w:val="true"/>
        </w:rPr>
        <w:t>:</w:t>
      </w:r>
      <w:bookmarkEnd w:id="2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یحکم ببقائه </w:t>
      </w:r>
      <w:r>
        <w:rPr>
          <w:rStyle w:val="FootnoteAnchor"/>
          <w:rtl w:val="true"/>
        </w:rPr>
        <w:footnoteReference w:id="160"/>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یحکم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مثّل بالمتیمّم الواجد للماء فی أثناء الصلاة،ثمّ احتجّ للحجّیة بوجوه،منها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للحکم الأوّل موجود،ثمّ ذکر أدلّة المانعین و 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فی دلیل ذلک الحکم،فإن کان یقتضیه مطلقا وجب الحکم باستمرار الحکم،ک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حلّ الوطء مطلقا،فإذا وقع الخلاف فی الألفاظ التی یقع بها الطلاق،فالمستدلّ علی أنّ الطلاق لا یقع بها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الوطء ثابت قبل النطق بهذه الألفاظ،فکذا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صحیحا؛لأنّ المقتضی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اقتضاه مطلقا،و لا یعلم أنّ الألفاظ المذکورة رافعة لذلک الاقتضاء،فیثبت الحکم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المقتضی هو العقد،و لم یثبت أنّه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اقتضی حلّ الوطء لا مقیّدا بوقت،فیلزم دوام الحلّ؛نظرا إلی وقوع المقتضی،لا إلی دوامه،فیجب أن یثبت الحلّ حتّی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الخصم یعنی بالاستصحاب ما أشرنا إلیه فلیس هذا عملا بغیر دلیل،و إن کان یعنی أمرا آخر وراء هذا فنحن مضربون عنه </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صاحب المعالم اختیاره؛حیث جعل هذا القول من المحقّق نفیا لحجّیة الاستصحاب </w:t>
      </w:r>
      <w:r>
        <w:rPr>
          <w:rStyle w:val="FootnoteAnchor"/>
          <w:rtl w:val="true"/>
        </w:rPr>
        <w:footnoteReference w:id="163"/>
      </w:r>
      <w:r>
        <w:rPr>
          <w:rFonts w:ascii="IRNazanin" w:hAnsi="IRNazanin" w:eastAsia="IRNazanin"/>
          <w:color w:val="111111"/>
          <w:sz w:val="28"/>
          <w:sz w:val="28"/>
          <w:szCs w:val="28"/>
          <w:rtl w:val="true"/>
          <w:lang w:bidi="fa-IR"/>
        </w:rPr>
        <w:t>،فیظهر أنّ الاستصحاب المختلف فیه غیره</w:t>
      </w:r>
      <w:r>
        <w:rPr>
          <w:rFonts w:eastAsia="IRNazanin" w:cs="IRNazanin"/>
          <w:color w:val="111111"/>
          <w:sz w:val="28"/>
          <w:szCs w:val="28"/>
          <w:rtl w:val="true"/>
          <w:lang w:bidi="fa-IR"/>
        </w:rPr>
        <w:t xml:space="preserve">. </w:t>
      </w:r>
      <w:bookmarkStart w:id="201" w:name="pg12985_124901"/>
    </w:p>
    <w:p>
      <w:pPr>
        <w:pStyle w:val="Heading3"/>
        <w:numPr>
          <w:ilvl w:val="2"/>
          <w:numId w:val="1"/>
        </w:numPr>
        <w:rPr/>
      </w:pPr>
      <w:bookmarkStart w:id="202" w:name="__RefHeading___Toc5766947_3224264995"/>
      <w:bookmarkStart w:id="203" w:name="_Toc82"/>
      <w:bookmarkEnd w:id="201"/>
      <w:bookmarkEnd w:id="202"/>
      <w:r>
        <w:rPr>
          <w:rtl w:val="true"/>
        </w:rPr>
        <w:t>الاستدلال علی القول المختار</w:t>
      </w:r>
      <w:bookmarkEnd w:id="203"/>
    </w:p>
    <w:p>
      <w:pPr>
        <w:pStyle w:val="Heading4"/>
        <w:numPr>
          <w:ilvl w:val="3"/>
          <w:numId w:val="1"/>
        </w:numPr>
        <w:rPr/>
      </w:pPr>
      <w:bookmarkStart w:id="204" w:name="__RefHeading___Toc5766949_3224264995"/>
      <w:bookmarkStart w:id="205" w:name="_Toc83"/>
      <w:bookmarkEnd w:id="204"/>
      <w:r>
        <w:rPr>
          <w:rtl w:val="true"/>
        </w:rPr>
        <w:t>اشارة</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القول المختار</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لنا علی ذلک وجوه</w:t>
      </w:r>
      <w:r>
        <w:rPr>
          <w:rFonts w:eastAsia="IRNazanin" w:cs="IRNazanin"/>
          <w:color w:val="111111"/>
          <w:sz w:val="28"/>
          <w:szCs w:val="28"/>
          <w:rtl w:val="true"/>
          <w:lang w:bidi="fa-IR"/>
        </w:rPr>
        <w:t>:</w:t>
      </w:r>
    </w:p>
    <w:p>
      <w:pPr>
        <w:pStyle w:val="Heading4"/>
        <w:numPr>
          <w:ilvl w:val="3"/>
          <w:numId w:val="1"/>
        </w:numPr>
        <w:rPr/>
      </w:pPr>
      <w:bookmarkStart w:id="206" w:name="__RefHeading___Toc5766951_3224264995"/>
      <w:bookmarkStart w:id="207" w:name="_Toc84"/>
      <w:bookmarkEnd w:id="206"/>
      <w:r>
        <w:rPr>
          <w:rtl w:val="true"/>
        </w:rPr>
        <w:t>الوجه  الأوّل</w:t>
      </w:r>
      <w:r>
        <w:rPr>
          <w:rtl w:val="true"/>
        </w:rPr>
        <w:t>:</w:t>
      </w:r>
      <w:r>
        <w:rPr>
          <w:rtl w:val="true"/>
        </w:rPr>
        <w:t>ظهور کلمات جماعة فی الاتّفاق علیه</w:t>
      </w:r>
      <w:r>
        <w:rPr>
          <w:rtl w:val="true"/>
        </w:rPr>
        <w:t>.</w:t>
      </w:r>
      <w:bookmarkEnd w:id="20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المبادئ،حیث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حجّة؛لإجماع الفقهاء علی أنّه متی حصل حکم،ثمّ وقع الشکّ فی أنّه طرأ ما یزیله أم لا؟وجب الحکم ببقائه علی ما کان أوّلا،و لو لا القول بأنّ الاستصحاب حجّة،لکان ترجیحا لأحد طرفی الممکن من غیر مرجّح </w:t>
      </w:r>
      <w:r>
        <w:rPr>
          <w:rStyle w:val="FootnoteAnchor"/>
          <w:rtl w:val="true"/>
        </w:rPr>
        <w:footnoteReference w:id="1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و إن کان الاستدلال به علی حجّیة مطلق الاستصحاب، بناء علی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الوجه فی الإجماع علی الاستصحاب مع الشکّ فی طروّ المزیل،هو اعتبار الحالة السابقة مطلقا،لکنّه ممنوع؛ لعدم الملازمة،کما سیجیء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ما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الفقهاء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کثرة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اتّفقوا علی أنّا متی تیقّنا حصول شیء و شککنا فی حدوث المزیل له أخذنا بالمتیقّن،و هو عین الاستصحاب؛لأنّهم رجّحوا بقاء الباقی علی حدوث الحادث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08" w:name="pg12985_124902"/>
    </w:p>
    <w:p>
      <w:pPr>
        <w:pStyle w:val="BookText"/>
        <w:rPr/>
      </w:pPr>
      <w:bookmarkEnd w:id="20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صاحب المعالم </w:t>
      </w:r>
      <w:r>
        <w:rPr>
          <w:rStyle w:val="FootnoteAnchor"/>
          <w:rtl w:val="true"/>
        </w:rPr>
        <w:footnoteReference w:id="168"/>
      </w:r>
      <w:r>
        <w:rPr>
          <w:rFonts w:ascii="IRNazanin" w:hAnsi="IRNazanin" w:eastAsia="IRNazanin"/>
          <w:color w:val="111111"/>
          <w:sz w:val="28"/>
          <w:sz w:val="28"/>
          <w:szCs w:val="28"/>
          <w:rtl w:val="true"/>
          <w:lang w:bidi="fa-IR"/>
        </w:rPr>
        <w:t xml:space="preserve">و الفاضل الجواد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ذکره المحقّق أخیرا فی المعارج </w:t>
      </w:r>
      <w:r>
        <w:rPr>
          <w:rStyle w:val="FootnoteAnchor"/>
          <w:rtl w:val="true"/>
        </w:rPr>
        <w:footnoteReference w:id="170"/>
      </w:r>
      <w:r>
        <w:rPr>
          <w:rFonts w:ascii="IRNazanin" w:hAnsi="IRNazanin" w:eastAsia="IRNazanin"/>
          <w:color w:val="111111"/>
          <w:sz w:val="28"/>
          <w:sz w:val="28"/>
          <w:szCs w:val="28"/>
          <w:rtl w:val="true"/>
          <w:lang w:bidi="fa-IR"/>
        </w:rPr>
        <w:t xml:space="preserve">راجع إلی قول السیّد المرتضی المنکر للاستصحاب </w:t>
      </w:r>
      <w:r>
        <w:rPr>
          <w:rStyle w:val="FootnoteAnchor"/>
          <w:rtl w:val="true"/>
        </w:rPr>
        <w:footnoteReference w:id="171"/>
      </w:r>
      <w:r>
        <w:rPr>
          <w:rFonts w:ascii="IRNazanin" w:hAnsi="IRNazanin" w:eastAsia="IRNazanin"/>
          <w:color w:val="111111"/>
          <w:sz w:val="28"/>
          <w:sz w:val="28"/>
          <w:szCs w:val="28"/>
          <w:rtl w:val="true"/>
          <w:lang w:bidi="fa-IR"/>
        </w:rPr>
        <w:t>فإنّ هذه شهادة منهما علی خروج ما ذکره المحقّق عن مورد النزاع و کونه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 صحّة هذه الشهادة نظرا؛ لأنّ ما مثّل فی المعارج من الشکّ فی الرافعیّة من </w:t>
      </w:r>
      <w:r>
        <w:rPr>
          <w:rStyle w:val="FootnoteAnchor"/>
          <w:rtl w:val="true"/>
        </w:rPr>
        <w:footnoteReference w:id="172"/>
      </w:r>
      <w:r>
        <w:rPr>
          <w:rFonts w:ascii="IRNazanin" w:hAnsi="IRNazanin" w:eastAsia="IRNazanin"/>
          <w:color w:val="111111"/>
          <w:sz w:val="28"/>
          <w:sz w:val="28"/>
          <w:szCs w:val="28"/>
          <w:rtl w:val="true"/>
          <w:lang w:bidi="fa-IR"/>
        </w:rPr>
        <w:t xml:space="preserve">مثال النکاح </w:t>
      </w:r>
      <w:r>
        <w:rPr>
          <w:rStyle w:val="FootnoteAnchor"/>
          <w:rtl w:val="true"/>
        </w:rPr>
        <w:footnoteReference w:id="173"/>
      </w:r>
      <w:r>
        <w:rPr>
          <w:rFonts w:ascii="IRNazanin" w:hAnsi="IRNazanin" w:eastAsia="IRNazanin"/>
          <w:color w:val="111111"/>
          <w:sz w:val="28"/>
          <w:sz w:val="28"/>
          <w:szCs w:val="28"/>
          <w:rtl w:val="true"/>
          <w:lang w:bidi="fa-IR"/>
        </w:rPr>
        <w:t xml:space="preserve">هو بعینه ما أنکره الغزالی و مثّل له بالخارج من غیر السبیلین </w:t>
      </w:r>
      <w:r>
        <w:rPr>
          <w:rStyle w:val="FootnoteAnchor"/>
          <w:rtl w:val="true"/>
        </w:rPr>
        <w:footnoteReference w:id="174"/>
      </w:r>
      <w:r>
        <w:rPr>
          <w:rFonts w:ascii="IRNazanin" w:hAnsi="IRNazanin" w:eastAsia="IRNazanin"/>
          <w:color w:val="111111"/>
          <w:sz w:val="28"/>
          <w:sz w:val="28"/>
          <w:szCs w:val="28"/>
          <w:rtl w:val="true"/>
          <w:lang w:bidi="fa-IR"/>
        </w:rPr>
        <w:t xml:space="preserve">فإنّ الطهارة کالنکاح فی أنّ سببها مقتض لتحقّقه </w:t>
      </w:r>
      <w:r>
        <w:rPr>
          <w:rStyle w:val="FootnoteAnchor"/>
          <w:rtl w:val="true"/>
        </w:rPr>
        <w:footnoteReference w:id="175"/>
      </w:r>
      <w:r>
        <w:rPr>
          <w:rFonts w:ascii="IRNazanin" w:hAnsi="IRNazanin" w:eastAsia="IRNazanin"/>
          <w:color w:val="111111"/>
          <w:sz w:val="28"/>
          <w:sz w:val="28"/>
          <w:szCs w:val="28"/>
          <w:rtl w:val="true"/>
          <w:lang w:bidi="fa-IR"/>
        </w:rPr>
        <w:t>دائما إلی أن یثبت الرافع</w:t>
      </w:r>
      <w:r>
        <w:rPr>
          <w:rFonts w:eastAsia="IRNazanin" w:cs="IRNazanin"/>
          <w:color w:val="111111"/>
          <w:sz w:val="28"/>
          <w:szCs w:val="28"/>
          <w:rtl w:val="true"/>
          <w:lang w:bidi="fa-IR"/>
        </w:rPr>
        <w:t>.</w:t>
      </w:r>
    </w:p>
    <w:p>
      <w:pPr>
        <w:pStyle w:val="Heading4"/>
        <w:numPr>
          <w:ilvl w:val="3"/>
          <w:numId w:val="1"/>
        </w:numPr>
        <w:rPr/>
      </w:pPr>
      <w:bookmarkStart w:id="209" w:name="__RefHeading___Toc5766953_3224264995"/>
      <w:bookmarkStart w:id="210" w:name="_Toc85"/>
      <w:bookmarkEnd w:id="209"/>
      <w:r>
        <w:rPr>
          <w:rtl w:val="true"/>
        </w:rPr>
        <w:t>الوجه  الثانی</w:t>
      </w:r>
      <w:r>
        <w:rPr>
          <w:rtl w:val="true"/>
        </w:rPr>
        <w:t xml:space="preserve">: </w:t>
      </w:r>
      <w:r>
        <w:rPr>
          <w:rtl w:val="true"/>
        </w:rPr>
        <w:t>الاستقراء</w:t>
      </w:r>
      <w:r>
        <w:rPr>
          <w:rtl w:val="true"/>
        </w:rPr>
        <w:t>:</w:t>
      </w:r>
      <w:bookmarkEnd w:id="2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تتبّعنا موارد الشکّ فی بقاء الحکم السابق المشکوک من جهة الرافع،فلم نجد من أوّل الفقه إلی آخره موردا إلاّ و حکم الشارع فیه بالبقاء،إلاّ مع أمارة توجب الظنّ بالخلاف،کالحکم بنجاسة الخارج قبل الاستبراء؛فإنّ الحکم بها لیس لعدم اعتبار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لوجب الحکم بالطهارة لقاعدة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لغلبة بقاء جزء من البول </w:t>
      </w:r>
      <w:bookmarkStart w:id="211" w:name="pg12985_124903"/>
    </w:p>
    <w:p>
      <w:pPr>
        <w:pStyle w:val="BookText"/>
        <w:rPr/>
      </w:pPr>
      <w:bookmarkEnd w:id="211"/>
      <w:r>
        <w:rPr>
          <w:rFonts w:ascii="IRNazanin" w:hAnsi="IRNazanin" w:eastAsia="IRNazanin"/>
          <w:color w:val="111111"/>
          <w:sz w:val="28"/>
          <w:sz w:val="28"/>
          <w:szCs w:val="28"/>
          <w:rtl w:val="true"/>
          <w:lang w:bidi="fa-IR"/>
        </w:rPr>
        <w:t>أو المنیّ فی المخرج،فرجّح هذا الظاهر علی الأصل،کما فی غسالة الحمّام عند بعض،و البناء علی الصحّة المستندة إلی ظهور فعل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الاستقراء یکاد یفید القطع،و هو أولی من الاستقراء الذی ذکر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البهبهانی </w:t>
      </w:r>
      <w:r>
        <w:rPr>
          <w:rStyle w:val="FootnoteAnchor"/>
          <w:rtl w:val="true"/>
        </w:rPr>
        <w:footnoteReference w:id="176"/>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المستند فی حجّیة شهادة العدلین علی الإطلاق</w:t>
      </w:r>
      <w:r>
        <w:rPr>
          <w:rFonts w:eastAsia="IRNazanin" w:cs="IRNazanin"/>
          <w:color w:val="111111"/>
          <w:sz w:val="28"/>
          <w:szCs w:val="28"/>
          <w:rtl w:val="true"/>
          <w:lang w:bidi="fa-IR"/>
        </w:rPr>
        <w:t>.</w:t>
      </w:r>
    </w:p>
    <w:p>
      <w:pPr>
        <w:pStyle w:val="Heading4"/>
        <w:numPr>
          <w:ilvl w:val="3"/>
          <w:numId w:val="1"/>
        </w:numPr>
        <w:rPr/>
      </w:pPr>
      <w:bookmarkStart w:id="212" w:name="__RefHeading___Toc5766955_3224264995"/>
      <w:bookmarkStart w:id="213" w:name="_Toc86"/>
      <w:bookmarkEnd w:id="212"/>
      <w:r>
        <w:rPr>
          <w:rtl w:val="true"/>
        </w:rPr>
        <w:t>الوجه  الثالث</w:t>
      </w:r>
      <w:r>
        <w:rPr>
          <w:rtl w:val="true"/>
        </w:rPr>
        <w:t>:</w:t>
      </w:r>
      <w:r>
        <w:rPr>
          <w:rtl w:val="true"/>
        </w:rPr>
        <w:t>الأخبار المستفیضة</w:t>
      </w:r>
      <w:bookmarkEnd w:id="213"/>
    </w:p>
    <w:p>
      <w:pPr>
        <w:pStyle w:val="Heading5"/>
        <w:numPr>
          <w:ilvl w:val="4"/>
          <w:numId w:val="1"/>
        </w:numPr>
        <w:rPr/>
      </w:pPr>
      <w:bookmarkStart w:id="214" w:name="__RefHeading___Toc5766957_3224264995"/>
      <w:bookmarkStart w:id="215" w:name="_Toc87"/>
      <w:bookmarkEnd w:id="214"/>
      <w:r>
        <w:rPr/>
        <w:t>1</w:t>
      </w:r>
      <w:r>
        <w:rPr>
          <w:rtl w:val="true"/>
        </w:rPr>
        <w:t>-</w:t>
      </w:r>
      <w:r>
        <w:rPr>
          <w:rtl w:val="true"/>
        </w:rPr>
        <w:t>صحیحة زرارة الاولی</w:t>
      </w:r>
      <w:r>
        <w:rPr>
          <w:rtl w:val="true"/>
        </w:rPr>
        <w:t>:</w:t>
      </w:r>
      <w:bookmarkEnd w:id="215"/>
    </w:p>
    <w:p>
      <w:pPr>
        <w:pStyle w:val="Heading6"/>
        <w:numPr>
          <w:ilvl w:val="5"/>
          <w:numId w:val="1"/>
        </w:numPr>
        <w:rPr/>
      </w:pPr>
      <w:bookmarkStart w:id="216" w:name="__RefHeading___Toc5766959_3224264995"/>
      <w:bookmarkStart w:id="217" w:name="_Toc88"/>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یضرّها الإضمار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ینام و هو علی وضوء،أ توجب الخفقة و الخفقتان علیه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زرارة،قد تنام العین و لا ینام القلب و الاذن،فإذا نامت العین و الاذن </w:t>
      </w:r>
      <w:r>
        <w:rPr>
          <w:rStyle w:val="FootnoteAnchor"/>
          <w:rtl w:val="true"/>
        </w:rPr>
        <w:footnoteReference w:id="178"/>
      </w:r>
      <w:r>
        <w:rPr>
          <w:rFonts w:ascii="IRNazanin" w:hAnsi="IRNazanin" w:eastAsia="IRNazanin"/>
          <w:color w:val="111111"/>
          <w:sz w:val="28"/>
          <w:sz w:val="28"/>
          <w:szCs w:val="28"/>
          <w:rtl w:val="true"/>
          <w:lang w:bidi="fa-IR"/>
        </w:rPr>
        <w:t>فقد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حرّک إلی </w:t>
      </w:r>
      <w:r>
        <w:rPr>
          <w:rStyle w:val="FootnoteAnchor"/>
          <w:rtl w:val="true"/>
        </w:rPr>
        <w:footnoteReference w:id="179"/>
      </w:r>
      <w:r>
        <w:rPr>
          <w:rFonts w:ascii="IRNazanin" w:hAnsi="IRNazanin" w:eastAsia="IRNazanin"/>
          <w:color w:val="111111"/>
          <w:sz w:val="28"/>
          <w:sz w:val="28"/>
          <w:szCs w:val="28"/>
          <w:rtl w:val="true"/>
          <w:lang w:bidi="fa-IR"/>
        </w:rPr>
        <w:t>جنبه شیء،و هو لا یعلم؟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یجیء من ذلک أمر بیّن، و إلاّ فإنّه علی یقین من وضوئه،و لا ینقض الیقین أبدا بالشکّ،و لکن ینقضه بیقین آخر</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18" w:name="pg12985_124904"/>
    </w:p>
    <w:p>
      <w:pPr>
        <w:pStyle w:val="Heading6"/>
        <w:numPr>
          <w:ilvl w:val="5"/>
          <w:numId w:val="1"/>
        </w:numPr>
        <w:rPr/>
      </w:pPr>
      <w:bookmarkStart w:id="219" w:name="__RefHeading___Toc5766961_3224264995"/>
      <w:bookmarkStart w:id="220" w:name="_Toc89"/>
      <w:bookmarkEnd w:id="218"/>
      <w:bookmarkEnd w:id="219"/>
      <w:r>
        <w:rPr>
          <w:rtl w:val="true"/>
        </w:rPr>
        <w:t>تقریر الاستدلال</w:t>
      </w:r>
      <w:r>
        <w:rPr>
          <w:rtl w:val="true"/>
        </w:rPr>
        <w:t>:</w:t>
      </w:r>
      <w:bookmarkEnd w:id="220"/>
    </w:p>
    <w:p>
      <w:pPr>
        <w:pStyle w:val="BookText"/>
        <w:rPr/>
      </w:pPr>
      <w:r>
        <w:rPr>
          <w:rFonts w:ascii="Amiri" w:hAnsi="Amiri" w:eastAsia="Amiri" w:cs="Amiri"/>
          <w:color w:val="111111"/>
          <w:sz w:val="28"/>
          <w:sz w:val="28"/>
          <w:szCs w:val="28"/>
          <w:rtl w:val="true"/>
          <w:lang w:bidi="ar-SA"/>
        </w:rPr>
        <w:t>و تقریر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 الشرط فی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علی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محذوف،قامت العلّة مقامه لدلالتها علیه،و جعلها نفس الجزاء یحتاج إلی تکلّف،و إقامة العلّة مقام الجزاء لا تحصی کثرة فی القرآن و غیره،مثل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Style w:val="FootnoteAnchor"/>
          <w:rtl w:val="true"/>
        </w:rPr>
        <w:footnoteReference w:id="181"/>
      </w:r>
      <w:r>
        <w:rPr>
          <w:rFonts w:ascii="Amiri" w:hAnsi="Amiri" w:eastAsia="Amiri" w:cs="Amiri"/>
          <w:color w:val="111111"/>
          <w:sz w:val="28"/>
          <w:sz w:val="28"/>
          <w:szCs w:val="28"/>
          <w:rtl w:val="true"/>
          <w:lang w:bidi="ar-SA"/>
        </w:rPr>
        <w:t xml:space="preserve">،و إِنْ تَکْفُرُوا فَإِنَّ اللّٰهَ غَنِیٌّ عَنْکُمْ </w:t>
      </w:r>
      <w:r>
        <w:rPr>
          <w:rStyle w:val="FootnoteAnchor"/>
          <w:rtl w:val="true"/>
        </w:rPr>
        <w:footnoteReference w:id="182"/>
      </w:r>
      <w:r>
        <w:rPr>
          <w:rFonts w:ascii="Amiri" w:hAnsi="Amiri" w:eastAsia="Amiri" w:cs="Amiri"/>
          <w:color w:val="111111"/>
          <w:sz w:val="28"/>
          <w:sz w:val="28"/>
          <w:szCs w:val="28"/>
          <w:rtl w:val="true"/>
          <w:lang w:bidi="ar-SA"/>
        </w:rPr>
        <w:t xml:space="preserve">،و مَنْ کَفَرَ فَإِنَّ رَبِّی غَنِیٌّ کَرِیمٌ </w:t>
      </w:r>
      <w:r>
        <w:rPr>
          <w:rStyle w:val="FootnoteAnchor"/>
          <w:rtl w:val="true"/>
        </w:rPr>
        <w:footnoteReference w:id="183"/>
      </w:r>
      <w:r>
        <w:rPr>
          <w:rFonts w:ascii="Amiri" w:hAnsi="Amiri" w:eastAsia="Amiri" w:cs="Amiri"/>
          <w:color w:val="111111"/>
          <w:sz w:val="28"/>
          <w:sz w:val="28"/>
          <w:szCs w:val="28"/>
          <w:rtl w:val="true"/>
          <w:lang w:bidi="ar-SA"/>
        </w:rPr>
        <w:t xml:space="preserve">،و مَنْ کَفَرَ فَإِنَّ اللّٰهَ غَنِیٌّ عَنِ الْعٰالَمِینَ </w:t>
      </w:r>
      <w:r>
        <w:rPr>
          <w:rStyle w:val="FootnoteAnchor"/>
          <w:rtl w:val="true"/>
        </w:rPr>
        <w:footnoteReference w:id="184"/>
      </w:r>
      <w:r>
        <w:rPr>
          <w:rFonts w:ascii="Amiri" w:hAnsi="Amiri" w:eastAsia="Amiri" w:cs="Amiri"/>
          <w:color w:val="111111"/>
          <w:sz w:val="28"/>
          <w:sz w:val="28"/>
          <w:szCs w:val="28"/>
          <w:rtl w:val="true"/>
          <w:lang w:bidi="ar-SA"/>
        </w:rPr>
        <w:t xml:space="preserve">،و فَإِنْ یَکْفُرْ بِهٰا هٰؤُلاٰءِ فَقَدْ وَکَّلْنٰا بِهٰا قَوْماً لَیْسُوا بِهٰا بِکٰافِرِینَ </w:t>
      </w:r>
      <w:r>
        <w:rPr>
          <w:rStyle w:val="FootnoteAnchor"/>
          <w:rtl w:val="true"/>
        </w:rPr>
        <w:footnoteReference w:id="185"/>
      </w:r>
      <w:r>
        <w:rPr>
          <w:rFonts w:ascii="Amiri" w:hAnsi="Amiri" w:eastAsia="Amiri" w:cs="Amiri"/>
          <w:color w:val="111111"/>
          <w:sz w:val="28"/>
          <w:sz w:val="28"/>
          <w:szCs w:val="28"/>
          <w:rtl w:val="true"/>
          <w:lang w:bidi="ar-SA"/>
        </w:rPr>
        <w:t xml:space="preserve">،و إِنْ یَسْرِقْ فَقَدْ سَرَقَ أَخٌ لَهُ مِنْ قَبْلُ </w:t>
      </w:r>
      <w:r>
        <w:rPr>
          <w:rStyle w:val="FootnoteAnchor"/>
          <w:rtl w:val="true"/>
        </w:rPr>
        <w:footnoteReference w:id="186"/>
      </w:r>
      <w:r>
        <w:rPr>
          <w:rFonts w:ascii="Amiri" w:hAnsi="Amiri" w:eastAsia="Amiri" w:cs="Amiri"/>
          <w:color w:val="111111"/>
          <w:sz w:val="28"/>
          <w:sz w:val="28"/>
          <w:szCs w:val="28"/>
          <w:rtl w:val="true"/>
          <w:lang w:bidi="ar-SA"/>
        </w:rPr>
        <w:t xml:space="preserve">،و إِنْ یُکَذِّبُوکَ فَقَدْ کُذِّبَتْ </w:t>
      </w:r>
      <w:r>
        <w:rPr>
          <w:rStyle w:val="FootnoteAnchor"/>
          <w:rtl w:val="true"/>
        </w:rPr>
        <w:footnoteReference w:id="18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6"/>
        <w:numPr>
          <w:ilvl w:val="5"/>
          <w:numId w:val="1"/>
        </w:numPr>
        <w:rPr/>
      </w:pPr>
      <w:bookmarkStart w:id="221" w:name="__RefHeading___Toc5766963_3224264995"/>
      <w:bookmarkStart w:id="222" w:name="_Toc90"/>
      <w:bookmarkEnd w:id="221"/>
      <w:r>
        <w:rPr>
          <w:rtl w:val="true"/>
        </w:rPr>
        <w:t>معنی الروایة</w:t>
      </w:r>
      <w:r>
        <w:rPr>
          <w:rtl w:val="true"/>
        </w:rPr>
        <w:t>:</w:t>
      </w:r>
      <w:bookmarkEnd w:id="222"/>
    </w:p>
    <w:p>
      <w:pPr>
        <w:pStyle w:val="BookText"/>
        <w:rPr/>
      </w:pPr>
      <w:r>
        <w:rPr>
          <w:rFonts w:ascii="IRNazanin" w:hAnsi="IRNazanin" w:eastAsia="IRNazanin"/>
          <w:color w:val="111111"/>
          <w:sz w:val="28"/>
          <w:sz w:val="28"/>
          <w:szCs w:val="28"/>
          <w:rtl w:val="true"/>
          <w:lang w:bidi="fa-IR"/>
        </w:rPr>
        <w:t>فمعنی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 فلا یجب علیه الوضوء؛ لأنّه علی یقین من وضوئه فی السابق،و بعد إهمال تقیید الیقین بالوضوء و جعل العلّة نفس الیقین،یکون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کبری کلّیة للصغری المزبورة</w:t>
      </w:r>
      <w:r>
        <w:rPr>
          <w:rFonts w:eastAsia="IRNazanin" w:cs="IRNazanin"/>
          <w:color w:val="111111"/>
          <w:sz w:val="28"/>
          <w:szCs w:val="28"/>
          <w:rtl w:val="true"/>
          <w:lang w:bidi="fa-IR"/>
        </w:rPr>
        <w:t>.</w:t>
      </w:r>
    </w:p>
    <w:p>
      <w:pPr>
        <w:pStyle w:val="Heading6"/>
        <w:numPr>
          <w:ilvl w:val="5"/>
          <w:numId w:val="1"/>
        </w:numPr>
        <w:rPr/>
      </w:pPr>
      <w:bookmarkStart w:id="223" w:name="__RefHeading___Toc5766965_3224264995"/>
      <w:bookmarkStart w:id="224" w:name="_Toc91"/>
      <w:bookmarkEnd w:id="223"/>
      <w:r>
        <w:rPr>
          <w:rtl w:val="true"/>
        </w:rPr>
        <w:t>کون اللام فی</w:t>
      </w:r>
      <w:r>
        <w:rPr>
          <w:rtl w:val="true"/>
        </w:rPr>
        <w:t>«</w:t>
      </w:r>
      <w:r>
        <w:rPr>
          <w:rtl w:val="true"/>
        </w:rPr>
        <w:t>الیقین</w:t>
      </w:r>
      <w:r>
        <w:rPr>
          <w:rtl w:val="true"/>
        </w:rPr>
        <w:t>»</w:t>
      </w:r>
      <w:r>
        <w:rPr>
          <w:rtl w:val="true"/>
        </w:rPr>
        <w:t>للجنس</w:t>
      </w:r>
      <w:r>
        <w:rPr>
          <w:rtl w:val="true"/>
        </w:rPr>
        <w:t>:</w:t>
      </w:r>
      <w:bookmarkEnd w:id="2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مبنی الاستدلال علی کون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إذ لو کانت للعهد لکانت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المنضمّة إلی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ینقض </w:t>
      </w:r>
    </w:p>
    <w:p>
      <w:pPr>
        <w:pStyle w:val="BookText"/>
        <w:rPr/>
      </w:pPr>
      <w:r>
        <w:rPr>
          <w:rFonts w:ascii="IRNazanin" w:hAnsi="IRNazanin" w:eastAsia="IRNazanin"/>
          <w:color w:val="111111"/>
          <w:sz w:val="28"/>
          <w:sz w:val="28"/>
          <w:szCs w:val="28"/>
          <w:rtl w:val="true"/>
          <w:lang w:bidi="fa-IR"/>
        </w:rPr>
        <w:t>الیقین بالوضوء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قاعدة کلیّة فی باب الوضوء،و أنّه لا ینقض إلاّ بالیقین بالحدث،و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ظاهرا فی الجنس، إلاّ أنّ سبق یقین الوضوء ربما یوهن الظهور المذکور،بحیث لو فرض إرادة خصوص یقین الوضوء لم یکن بعیدا عن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لا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قائمة مقام الجزاء،بل یکون الجزاء مستفادا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یستیقن النوم فهو مستیقن لوضوئه السابق،و یثبت علی مقتضی یقینه و لا ینقضه؛فیخرج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 بمنزلة الکبری،فیصیر عموم الیقین و إرادة الجنس منه أوهن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مع ذلک لا یخلو عن ظهور،خصوصا بضمیمة الأخبار الأخر الآتیة المتضمّنة لعدم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 إرادة العموم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النفی الوارد علی العموم لا یدلّ علی السلب الکلّی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مستفاد من الجنس فی حیّز النفی؛فالعموم بملاحظة النفی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حیّزه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آخذ کلّ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اللام لاستغراق الأفراد کان </w:t>
      </w:r>
      <w:r>
        <w:rPr>
          <w:rStyle w:val="FootnoteAnchor"/>
          <w:rtl w:val="true"/>
        </w:rPr>
        <w:footnoteReference w:id="189"/>
      </w:r>
      <w:r>
        <w:rPr>
          <w:rFonts w:ascii="IRNazanin" w:hAnsi="IRNazanin" w:eastAsia="IRNazanin"/>
          <w:color w:val="111111"/>
          <w:sz w:val="28"/>
          <w:sz w:val="28"/>
          <w:szCs w:val="28"/>
          <w:rtl w:val="true"/>
          <w:lang w:bidi="fa-IR"/>
        </w:rPr>
        <w:t xml:space="preserve">الظاهر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w:t>
      </w:r>
      <w:bookmarkStart w:id="225" w:name="pg12985_124906"/>
    </w:p>
    <w:p>
      <w:pPr>
        <w:pStyle w:val="BookText"/>
        <w:rPr/>
      </w:pPr>
      <w:bookmarkEnd w:id="225"/>
      <w:r>
        <w:rPr>
          <w:rFonts w:ascii="IRNazanin" w:hAnsi="IRNazanin" w:eastAsia="IRNazanin"/>
          <w:color w:val="111111"/>
          <w:sz w:val="28"/>
          <w:sz w:val="28"/>
          <w:szCs w:val="28"/>
          <w:rtl w:val="true"/>
          <w:lang w:bidi="fa-IR"/>
        </w:rPr>
        <w:t>المقام و التعلیل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191"/>
      </w:r>
      <w:r>
        <w:rPr>
          <w:rFonts w:ascii="IRNazanin" w:hAnsi="IRNazanin" w:eastAsia="IRNazanin"/>
          <w:color w:val="111111"/>
          <w:sz w:val="28"/>
          <w:sz w:val="28"/>
          <w:szCs w:val="28"/>
          <w:rtl w:val="true"/>
          <w:lang w:bidi="fa-IR"/>
        </w:rPr>
        <w:t>إرادة عموم النفی،لا نفی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 الاستدلال بالصحیحة بما لا یخفی جوابه علی الفطن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المهمّ فی هذا الاستدلال إثبات إرادة الجنس من الیقین</w:t>
      </w:r>
      <w:r>
        <w:rPr>
          <w:rFonts w:eastAsia="IRNazanin" w:cs="IRNazanin"/>
          <w:color w:val="111111"/>
          <w:sz w:val="28"/>
          <w:szCs w:val="28"/>
          <w:rtl w:val="true"/>
          <w:lang w:bidi="fa-IR"/>
        </w:rPr>
        <w:t>.</w:t>
      </w:r>
    </w:p>
    <w:p>
      <w:pPr>
        <w:pStyle w:val="Heading5"/>
        <w:numPr>
          <w:ilvl w:val="4"/>
          <w:numId w:val="1"/>
        </w:numPr>
        <w:rPr/>
      </w:pPr>
      <w:bookmarkStart w:id="226" w:name="__RefHeading___Toc5766967_3224264995"/>
      <w:bookmarkStart w:id="227" w:name="_Toc92"/>
      <w:bookmarkEnd w:id="226"/>
      <w:r>
        <w:rPr/>
        <w:t>2</w:t>
      </w:r>
      <w:r>
        <w:rPr>
          <w:rtl w:val="true"/>
        </w:rPr>
        <w:t>-</w:t>
      </w:r>
      <w:r>
        <w:rPr>
          <w:rtl w:val="true"/>
        </w:rPr>
        <w:t>صحیحة زرارة الثانیة</w:t>
      </w:r>
      <w:r>
        <w:rPr>
          <w:rtl w:val="true"/>
        </w:rPr>
        <w:t>:</w:t>
      </w:r>
      <w:bookmarkEnd w:id="227"/>
    </w:p>
    <w:p>
      <w:pPr>
        <w:pStyle w:val="Heading6"/>
        <w:numPr>
          <w:ilvl w:val="5"/>
          <w:numId w:val="1"/>
        </w:numPr>
        <w:rPr/>
      </w:pPr>
      <w:bookmarkStart w:id="228" w:name="__RefHeading___Toc5766969_3224264995"/>
      <w:bookmarkStart w:id="229" w:name="_Toc9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اخری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المنی،فعلّمت أثره إلی أن اصیب له الماء،فأصبت،فحضرت الصلاة،و نسیت أنّ بثوبی شیئا و صلّیت،ثمّ إنّی ذکرت بعد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أکن رأیت موضعه،و علمت أنّه قد أصابه،فطلبته و لم أقدر علیه،فلمّا صلّیت وجدته؟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أصابه و لم أتیقّن ذلک،فنظرت فلم أر شیئا فصلّیت،فرأیت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فشککت،و لیس ینبغی لک أن تنقض الیقین بالشکّ أبدا</w:t>
      </w:r>
      <w:r>
        <w:rPr>
          <w:rFonts w:eastAsia="IRNazanin" w:cs="IRNazanin"/>
          <w:color w:val="111111"/>
          <w:sz w:val="28"/>
          <w:szCs w:val="28"/>
          <w:rtl w:val="true"/>
          <w:lang w:bidi="fa-IR"/>
        </w:rPr>
        <w:t xml:space="preserve">. </w:t>
      </w:r>
      <w:bookmarkStart w:id="230" w:name="pg12985_124907"/>
    </w:p>
    <w:p>
      <w:pPr>
        <w:pStyle w:val="BookText"/>
        <w:rPr/>
      </w:pPr>
      <w:bookmarkEnd w:id="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أصابه،و لم أدر أین هو فأغسله؟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شیء،أن انظر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لکنّک إنّما ترید أن تذهب بالشکّ </w:t>
      </w:r>
      <w:r>
        <w:rPr>
          <w:rStyle w:val="FootnoteAnchor"/>
          <w:rtl w:val="true"/>
        </w:rPr>
        <w:footnoteReference w:id="194"/>
      </w:r>
      <w:r>
        <w:rPr>
          <w:rFonts w:ascii="IRNazanin" w:hAnsi="IRNazanin" w:eastAsia="IRNazanin"/>
          <w:color w:val="111111"/>
          <w:sz w:val="28"/>
          <w:sz w:val="28"/>
          <w:szCs w:val="28"/>
          <w:rtl w:val="true"/>
          <w:lang w:bidi="fa-IR"/>
        </w:rPr>
        <w:t>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فی ثوبی و أنا فی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 و إن لم تشکّ ثمّ رأیته رطبا قطعت الصلاة و غسلته ثمّ بنیت علی الصلاة؛لأنّک لا تدری،لعلّه شیء اوقع علیک؛فلیس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الصحیحة الاولی </w:t>
      </w:r>
      <w:r>
        <w:rPr>
          <w:rStyle w:val="FootnoteAnchor"/>
          <w:rtl w:val="true"/>
        </w:rPr>
        <w:footnoteReference w:id="196"/>
      </w:r>
      <w:r>
        <w:rPr>
          <w:rFonts w:ascii="IRNazanin" w:hAnsi="IRNazanin" w:eastAsia="IRNazanin"/>
          <w:color w:val="111111"/>
          <w:sz w:val="28"/>
          <w:sz w:val="28"/>
          <w:szCs w:val="28"/>
          <w:rtl w:val="true"/>
          <w:lang w:bidi="fa-IR"/>
        </w:rPr>
        <w:t>،و إرادة الجنس من الیقین لعلّه أظهر هنا</w:t>
      </w:r>
      <w:r>
        <w:rPr>
          <w:rFonts w:eastAsia="IRNazanin" w:cs="IRNazanin"/>
          <w:color w:val="111111"/>
          <w:sz w:val="28"/>
          <w:szCs w:val="28"/>
          <w:rtl w:val="true"/>
          <w:lang w:bidi="fa-IR"/>
        </w:rPr>
        <w:t>.</w:t>
      </w:r>
    </w:p>
    <w:p>
      <w:pPr>
        <w:pStyle w:val="Heading6"/>
        <w:numPr>
          <w:ilvl w:val="5"/>
          <w:numId w:val="1"/>
        </w:numPr>
        <w:rPr/>
      </w:pPr>
      <w:bookmarkStart w:id="231" w:name="__RefHeading___Toc5766971_3224264995"/>
      <w:bookmarkStart w:id="232" w:name="_Toc94"/>
      <w:bookmarkEnd w:id="231"/>
      <w:r>
        <w:rPr>
          <w:rtl w:val="true"/>
        </w:rPr>
        <w:t>فقه الحدیث و مورد الاستدلال</w:t>
      </w:r>
      <w:r>
        <w:rPr>
          <w:rtl w:val="true"/>
        </w:rPr>
        <w:t>:</w:t>
      </w:r>
      <w:bookmarkEnd w:id="2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فقه الحدیث،فبیانه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الاستدلال یحتمل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مورد السؤال فیه أن رأی بعد الصلاة نجاسة یعلم أنّها هی التی خفیت علیه قبل الصلاة،و حینئذ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بالطهارة قبل ظنّ الإصابة،و الشکّ حین إرادة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لکن،عدم نقض ذلک الیقین بذلک الشکّ إنّما یصلح علّة لمشروعیّة الدخول فی العبادة المشروطة بالطهارة مع الشکّ فیها،و أنّ الامتناع عن الدخول فیها نقض لآثار تلک الطهارة المتیقّنة،لا لعدم وجوب الإعادة علی من تیقّن أنّه صلّی فی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w:t>
      </w:r>
      <w:r>
        <w:rPr>
          <w:rStyle w:val="FootnoteAnchor"/>
          <w:rtl w:val="true"/>
        </w:rPr>
        <w:footnoteReference w:id="197"/>
      </w:r>
      <w:r>
        <w:rPr>
          <w:rFonts w:ascii="IRNazanin" w:hAnsi="IRNazanin" w:eastAsia="IRNazanin"/>
          <w:color w:val="111111"/>
          <w:sz w:val="28"/>
          <w:sz w:val="28"/>
          <w:szCs w:val="28"/>
          <w:rtl w:val="true"/>
          <w:lang w:bidi="fa-IR"/>
        </w:rPr>
        <w:t xml:space="preserve">به السیّد الشارح للوافیة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الإعادة لیست نقضا لأثر الطهارة المتیقّنة بالشکّ،بل هو نقض بالیقین؛بناء علی أنّ من آثار حصول الیقین بنجاسة الثوب حین الصلاة و لو بعدها وجوب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یتخیّل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التعلیل لعدم الإعادة؛بملاحظة </w:t>
      </w:r>
      <w:r>
        <w:rPr>
          <w:rStyle w:val="FootnoteAnchor"/>
          <w:rtl w:val="true"/>
        </w:rPr>
        <w:footnoteReference w:id="200"/>
      </w:r>
      <w:r>
        <w:rPr>
          <w:rFonts w:ascii="IRNazanin" w:hAnsi="IRNazanin" w:eastAsia="IRNazanin"/>
          <w:color w:val="111111"/>
          <w:sz w:val="28"/>
          <w:sz w:val="28"/>
          <w:szCs w:val="28"/>
          <w:rtl w:val="true"/>
          <w:lang w:bidi="fa-IR"/>
        </w:rPr>
        <w:t>اقتضاء امتثال الأمر الظاهری للإجزاء،فیکون الصحیحة من حیث تعلیلها دلیلا علی تلک القاعدة و کاشفة عنها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لیس ینبغی لک الإعادة لکونه نقضا،کما أنّ ظاهر </w:t>
      </w:r>
      <w:r>
        <w:rPr>
          <w:rStyle w:val="FootnoteAnchor"/>
          <w:rtl w:val="true"/>
        </w:rPr>
        <w:footnoteReference w:id="201"/>
      </w:r>
      <w:r>
        <w:rPr>
          <w:rFonts w:ascii="IRNazanin" w:hAnsi="IRNazanin" w:eastAsia="IRNazanin"/>
          <w:color w:val="111111"/>
          <w:sz w:val="28"/>
          <w:sz w:val="28"/>
          <w:szCs w:val="28"/>
          <w:rtl w:val="true"/>
          <w:lang w:bidi="fa-IR"/>
        </w:rPr>
        <w:t xml:space="preserve">قوله علیه السّلام فی الصحیحة الاولی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إیجاب إعادة الوضوء،فافهم؛فإنّه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آثار الطهارة السابقة إجزاء الصلاة معها </w:t>
      </w:r>
      <w:r>
        <w:rPr>
          <w:rStyle w:val="FootnoteAnchor"/>
          <w:rtl w:val="true"/>
        </w:rPr>
        <w:footnoteReference w:id="203"/>
      </w:r>
      <w:r>
        <w:rPr>
          <w:rFonts w:ascii="Amiri" w:hAnsi="Amiri" w:eastAsia="Amiri" w:cs="Amiri"/>
          <w:color w:val="111111"/>
          <w:sz w:val="28"/>
          <w:sz w:val="28"/>
          <w:szCs w:val="28"/>
          <w:rtl w:val="true"/>
          <w:lang w:bidi="ar-SA"/>
        </w:rPr>
        <w:t xml:space="preserve">و عدم وجوب الإعادة لها،فوجوب الإعادة نقض لآثار الطهارة السابقة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الصحّة الواقعیّة و عدم الإعادة للصلاة مع الطهارة المتحقّقة سابقا،من الآثار العقلیّة الغیر المجعولة للطهارة المتحقّقة؛لعدم معقولیّة عدم الإجزاء فیها،مع أنّه یوجب الفرق بین وقوع تمام الصلاة مع النجاسة فلا یعید و بین وقوع بعضها معها فیعید،کما هو ظاهر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تعید إذا شککت فی موضع منه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شارح الوافیة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علم الإصابة و شکّ فی موضعها و لم یغسلها نسیانا،و هو مخالف لظاهر الکلام و ظاهر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مورد السؤال رؤیة النجاسة بعد الصلاة مع احتمال وقوعها بعدها،فالمراد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ینبغی أن تنقض </w:t>
      </w:r>
      <w:r>
        <w:rPr>
          <w:rStyle w:val="FootnoteAnchor"/>
          <w:rtl w:val="true"/>
        </w:rPr>
        <w:footnoteReference w:id="206"/>
      </w:r>
      <w:r>
        <w:rPr>
          <w:rFonts w:ascii="IRNazanin" w:hAnsi="IRNazanin" w:eastAsia="IRNazanin"/>
          <w:color w:val="111111"/>
          <w:sz w:val="28"/>
          <w:sz w:val="28"/>
          <w:szCs w:val="28"/>
          <w:rtl w:val="true"/>
          <w:lang w:bidi="fa-IR"/>
        </w:rPr>
        <w:t>یقین الطهارة بمجرّد احتمال وجود النجاسة حال الصلاة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سالم عمّا یرد علی الأوّل،إلاّ أنّه خلاف ظاهر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نعم،مورد قوله علیه السّلام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233" w:name="pg12985_124910"/>
    </w:p>
    <w:p>
      <w:pPr>
        <w:pStyle w:val="BookText"/>
        <w:rPr/>
      </w:pPr>
      <w:bookmarkEnd w:id="233"/>
      <w:r>
        <w:rPr>
          <w:rFonts w:ascii="IRNazanin" w:hAnsi="IRNazanin" w:eastAsia="IRNazanin"/>
          <w:color w:val="111111"/>
          <w:sz w:val="28"/>
          <w:sz w:val="28"/>
          <w:szCs w:val="28"/>
          <w:rtl w:val="true"/>
          <w:lang w:bidi="fa-IR"/>
        </w:rPr>
        <w:t>الشکّ فی وقوعه أوّل الصلاة أو حین الرؤیة،و یکون المراد من قطع الصلاة الاشتغال عنها بغسل الثوب مع عدم تخلّل المنافی،لا إبطالها ثمّ البناء علیها الذی هو خلاف الإجماع،لکن تفریع عدم نقض الیقین علی احتمال تأخّر الوقوع یأبی عن حمل اللام علی الجنس،فافهم</w:t>
      </w:r>
      <w:r>
        <w:rPr>
          <w:rFonts w:eastAsia="IRNazanin" w:cs="IRNazanin"/>
          <w:color w:val="111111"/>
          <w:sz w:val="28"/>
          <w:szCs w:val="28"/>
          <w:rtl w:val="true"/>
          <w:lang w:bidi="fa-IR"/>
        </w:rPr>
        <w:t>.</w:t>
      </w:r>
    </w:p>
    <w:p>
      <w:pPr>
        <w:pStyle w:val="Heading5"/>
        <w:numPr>
          <w:ilvl w:val="4"/>
          <w:numId w:val="1"/>
        </w:numPr>
        <w:rPr/>
      </w:pPr>
      <w:bookmarkStart w:id="234" w:name="__RefHeading___Toc5766973_3224264995"/>
      <w:bookmarkStart w:id="235" w:name="_Toc95"/>
      <w:bookmarkEnd w:id="234"/>
      <w:r>
        <w:rPr/>
        <w:t>3</w:t>
      </w:r>
      <w:r>
        <w:rPr>
          <w:rtl w:val="true"/>
        </w:rPr>
        <w:t>-</w:t>
      </w:r>
      <w:r>
        <w:rPr>
          <w:rtl w:val="true"/>
        </w:rPr>
        <w:t>صحیحة زرارة الثالثة</w:t>
      </w:r>
      <w:r>
        <w:rPr>
          <w:rtl w:val="true"/>
        </w:rPr>
        <w:t>:</w:t>
      </w:r>
      <w:bookmarkEnd w:id="235"/>
    </w:p>
    <w:p>
      <w:pPr>
        <w:pStyle w:val="Heading6"/>
        <w:numPr>
          <w:ilvl w:val="5"/>
          <w:numId w:val="1"/>
        </w:numPr>
        <w:rPr/>
      </w:pPr>
      <w:bookmarkStart w:id="236" w:name="__RefHeading___Toc5766975_3224264995"/>
      <w:bookmarkStart w:id="237" w:name="_Toc96"/>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ثالثة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فی أربع و قد أحرز الثلاث،قام فأضاف إلیها اخری،و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بالشکّ،و لا یدخل الشکّ فی الیقین،و لا یخلط أحدهما بالآخر،و لکنّه ینقض الشکّ بالیقین،و یتمّ علی الیقین،فیبنی علیه، 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تمسّک بها فی الوافیة </w:t>
      </w:r>
      <w:r>
        <w:rPr>
          <w:rStyle w:val="FootnoteAnchor"/>
          <w:rtl w:val="true"/>
        </w:rPr>
        <w:footnoteReference w:id="208"/>
      </w:r>
      <w:r>
        <w:rPr>
          <w:rFonts w:ascii="IRNazanin" w:hAnsi="IRNazanin" w:eastAsia="IRNazanin"/>
          <w:color w:val="111111"/>
          <w:sz w:val="28"/>
          <w:sz w:val="28"/>
          <w:szCs w:val="28"/>
          <w:rtl w:val="true"/>
          <w:lang w:bidi="fa-IR"/>
        </w:rPr>
        <w:t xml:space="preserve">،و قرّره الشارح </w:t>
      </w:r>
      <w:r>
        <w:rPr>
          <w:rStyle w:val="FootnoteAnchor"/>
          <w:rtl w:val="true"/>
        </w:rPr>
        <w:footnoteReference w:id="209"/>
      </w:r>
      <w:r>
        <w:rPr>
          <w:rFonts w:ascii="Amiri" w:hAnsi="Amiri" w:eastAsia="Amiri" w:cs="Amiri"/>
          <w:color w:val="111111"/>
          <w:sz w:val="28"/>
          <w:sz w:val="28"/>
          <w:szCs w:val="28"/>
          <w:rtl w:val="true"/>
          <w:lang w:bidi="ar-SA"/>
        </w:rPr>
        <w:t xml:space="preserve">،و تبعه جماعة ممّن تأخّر 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5766977_3224264995"/>
      <w:bookmarkStart w:id="239" w:name="_Toc97"/>
      <w:bookmarkEnd w:id="238"/>
      <w:r>
        <w:rPr>
          <w:rtl w:val="true"/>
        </w:rPr>
        <w:t>التأمّل فی الاستدلال بهذه الصحیحة</w:t>
      </w:r>
      <w:r>
        <w:rPr>
          <w:rtl w:val="true"/>
        </w:rPr>
        <w:t>:</w:t>
      </w:r>
      <w:bookmarkEnd w:id="2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للرکعة الرابعة من دون تسلیم فی الرکعة المردّدة بین الثالثة و الرابعة </w:t>
      </w:r>
      <w:r>
        <w:rPr>
          <w:rStyle w:val="FootnoteAnchor"/>
          <w:rtl w:val="true"/>
        </w:rPr>
        <w:footnoteReference w:id="211"/>
      </w:r>
      <w:r>
        <w:rPr>
          <w:rFonts w:ascii="IRNazanin" w:hAnsi="IRNazanin" w:eastAsia="IRNazanin"/>
          <w:color w:val="111111"/>
          <w:sz w:val="28"/>
          <w:sz w:val="28"/>
          <w:szCs w:val="28"/>
          <w:rtl w:val="true"/>
          <w:lang w:bidi="fa-IR"/>
        </w:rPr>
        <w:t>،حتّی یکون حاصل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البناء علی الأقلّ، </w:t>
      </w:r>
      <w:bookmarkStart w:id="240" w:name="pg12985_124911"/>
    </w:p>
    <w:p>
      <w:pPr>
        <w:pStyle w:val="BookText"/>
        <w:rPr/>
      </w:pPr>
      <w:bookmarkEnd w:id="240"/>
      <w:r>
        <w:rPr>
          <w:rFonts w:ascii="IRNazanin" w:hAnsi="IRNazanin" w:eastAsia="IRNazanin"/>
          <w:color w:val="111111"/>
          <w:sz w:val="28"/>
          <w:sz w:val="28"/>
          <w:szCs w:val="28"/>
          <w:rtl w:val="true"/>
          <w:lang w:bidi="fa-IR"/>
        </w:rPr>
        <w:t>فهو مخالف للمذهب،و موافق لقول العامّة،و مخالف لظاهر الفقرة الاولی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یرکع </w:t>
      </w:r>
      <w:r>
        <w:rPr>
          <w:rStyle w:val="FootnoteAnchor"/>
          <w:rtl w:val="true"/>
        </w:rPr>
        <w:footnoteReference w:id="212"/>
      </w:r>
      <w:r>
        <w:rPr>
          <w:rFonts w:ascii="IRNazanin" w:hAnsi="IRNazanin" w:eastAsia="IRNazanin"/>
          <w:color w:val="111111"/>
          <w:sz w:val="28"/>
          <w:sz w:val="28"/>
          <w:szCs w:val="28"/>
          <w:rtl w:val="true"/>
          <w:lang w:bidi="fa-IR"/>
        </w:rPr>
        <w:t>رکعتین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تعیین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رکعتین منفصلتین،أعنی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الاحتیاط،فتعیّن أن یکون المراد به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فی الرکعة المردّدة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رکعة مستقلّة،کما هو مذهب الإمامیّة</w:t>
      </w:r>
      <w:r>
        <w:rPr>
          <w:rFonts w:eastAsia="IRNazanin" w:cs="IRNazanin"/>
          <w:color w:val="111111"/>
          <w:sz w:val="28"/>
          <w:szCs w:val="28"/>
          <w:rtl w:val="true"/>
          <w:lang w:bidi="fa-IR"/>
        </w:rPr>
        <w:t>.</w:t>
      </w:r>
    </w:p>
    <w:p>
      <w:pPr>
        <w:pStyle w:val="Heading6"/>
        <w:numPr>
          <w:ilvl w:val="5"/>
          <w:numId w:val="1"/>
        </w:numPr>
        <w:rPr/>
      </w:pPr>
      <w:bookmarkStart w:id="241" w:name="__RefHeading___Toc5766979_3224264995"/>
      <w:bookmarkStart w:id="242" w:name="_Toc98"/>
      <w:bookmarkEnd w:id="241"/>
      <w:r>
        <w:rPr>
          <w:rtl w:val="true"/>
        </w:rPr>
        <w:t>المراد من</w:t>
      </w:r>
      <w:r>
        <w:rPr>
          <w:rtl w:val="true"/>
        </w:rPr>
        <w:t>«</w:t>
      </w:r>
      <w:r>
        <w:rPr>
          <w:rtl w:val="true"/>
        </w:rPr>
        <w:t>الیقین</w:t>
      </w:r>
      <w:r>
        <w:rPr>
          <w:rtl w:val="true"/>
        </w:rPr>
        <w:t>»</w:t>
      </w:r>
      <w:r>
        <w:rPr>
          <w:rtl w:val="true"/>
        </w:rPr>
        <w:t>فی هذه الصحیحة</w:t>
      </w:r>
      <w:r>
        <w:rPr>
          <w:rtl w:val="true"/>
        </w:rPr>
        <w:t>:</w:t>
      </w:r>
      <w:bookmarkEnd w:id="242"/>
    </w:p>
    <w:p>
      <w:pPr>
        <w:pStyle w:val="BookText"/>
        <w:rPr/>
      </w:pPr>
      <w:r>
        <w:rPr>
          <w:rFonts w:ascii="IRNazanin" w:hAnsi="IRNazanin" w:eastAsia="IRNazanin"/>
          <w:color w:val="111111"/>
          <w:sz w:val="28"/>
          <w:sz w:val="28"/>
          <w:szCs w:val="28"/>
          <w:rtl w:val="true"/>
          <w:lang w:bidi="fa-IR"/>
        </w:rPr>
        <w:t>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الموثّقة الآتیة </w:t>
      </w:r>
      <w:r>
        <w:rPr>
          <w:rStyle w:val="FootnoteAnchor"/>
          <w:rtl w:val="true"/>
        </w:rPr>
        <w:footnoteReference w:id="213"/>
      </w:r>
      <w:r>
        <w:rPr>
          <w:rFonts w:ascii="IRNazanin" w:hAnsi="IRNazanin" w:eastAsia="IRNazanin"/>
          <w:color w:val="111111"/>
          <w:sz w:val="28"/>
          <w:sz w:val="28"/>
          <w:szCs w:val="28"/>
          <w:rtl w:val="true"/>
          <w:lang w:bidi="fa-IR"/>
        </w:rPr>
        <w:t xml:space="preserve">، علی ما صرّح به السیّد المرتضی رحمه اللّه </w:t>
      </w:r>
      <w:r>
        <w:rPr>
          <w:rStyle w:val="FootnoteAnchor"/>
          <w:rtl w:val="true"/>
        </w:rPr>
        <w:footnoteReference w:id="214"/>
      </w:r>
      <w:r>
        <w:rPr>
          <w:rFonts w:ascii="IRNazanin" w:hAnsi="IRNazanin" w:eastAsia="IRNazanin"/>
          <w:color w:val="111111"/>
          <w:sz w:val="28"/>
          <w:sz w:val="28"/>
          <w:szCs w:val="28"/>
          <w:rtl w:val="true"/>
          <w:lang w:bidi="fa-IR"/>
        </w:rPr>
        <w:t>،و استفید من قوله علیه السّلام فی أخبار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قد نقصت فکذا،و إن کنت قد أتممت فکذا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بالبراءة،فیکون المراد وجوب الاحتیاط و تحصیل الیقین بالبراءة،بالبناء علی الأکثر و فعل صلاة مستقلّة قابلة لتدارک ما یحتمل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من الأخبار هذا النحو من العمل،منها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الموثّقة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5766981_3224264995"/>
      <w:bookmarkStart w:id="244" w:name="_Toc99"/>
      <w:bookmarkEnd w:id="243"/>
      <w:r>
        <w:rPr>
          <w:rtl w:val="true"/>
        </w:rPr>
        <w:t>المراد من</w:t>
      </w:r>
      <w:r>
        <w:rPr>
          <w:rtl w:val="true"/>
        </w:rPr>
        <w:t>«</w:t>
      </w:r>
      <w:r>
        <w:rPr>
          <w:rtl w:val="true"/>
        </w:rPr>
        <w:t>البناء علی الیقین</w:t>
      </w:r>
      <w:r>
        <w:rPr>
          <w:rtl w:val="true"/>
        </w:rPr>
        <w:t>»</w:t>
      </w:r>
      <w:r>
        <w:rPr>
          <w:rtl w:val="true"/>
        </w:rPr>
        <w:t>فی الأخبار</w:t>
      </w:r>
      <w:r>
        <w:rPr>
          <w:rtl w:val="true"/>
        </w:rPr>
        <w:t>:</w:t>
      </w:r>
      <w:bookmarkEnd w:id="244"/>
    </w:p>
    <w:p>
      <w:pPr>
        <w:pStyle w:val="BookText"/>
        <w:rPr/>
      </w:pPr>
      <w:r>
        <w:rPr>
          <w:rFonts w:ascii="IRNazanin" w:hAnsi="IRNazanin" w:eastAsia="IRNazanin"/>
          <w:color w:val="111111"/>
          <w:sz w:val="28"/>
          <w:sz w:val="28"/>
          <w:szCs w:val="28"/>
          <w:rtl w:val="true"/>
          <w:lang w:bidi="fa-IR"/>
        </w:rPr>
        <w:t>فهذه الأخبار الآمرة بالبناء علی الیقین و عدم نقضه،یراد منها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البناء علی ما هو المتیقّن من العدد،و التسلیم علیه،مع جبره بصلاة </w:t>
      </w:r>
    </w:p>
    <w:p>
      <w:pPr>
        <w:pStyle w:val="BookText"/>
        <w:rPr/>
      </w:pPr>
      <w:r>
        <w:rPr>
          <w:rFonts w:ascii="IRNazanin" w:hAnsi="IRNazanin" w:eastAsia="IRNazanin"/>
          <w:color w:val="111111"/>
          <w:sz w:val="28"/>
          <w:sz w:val="28"/>
          <w:szCs w:val="28"/>
          <w:rtl w:val="true"/>
          <w:lang w:bidi="fa-IR"/>
        </w:rPr>
        <w:t xml:space="preserve">الاحتیاط؛و لهذا ذکر فی غیر واحد من الأخبار ما یدلّ علی أنّ هذا </w:t>
      </w:r>
      <w:r>
        <w:rPr>
          <w:rStyle w:val="FootnoteAnchor"/>
          <w:rtl w:val="true"/>
        </w:rPr>
        <w:footnoteReference w:id="217"/>
      </w:r>
      <w:r>
        <w:rPr>
          <w:rFonts w:ascii="IRNazanin" w:hAnsi="IRNazanin" w:eastAsia="IRNazanin"/>
          <w:color w:val="111111"/>
          <w:sz w:val="28"/>
          <w:sz w:val="28"/>
          <w:szCs w:val="28"/>
          <w:rtl w:val="true"/>
          <w:lang w:bidi="fa-IR"/>
        </w:rPr>
        <w:t>العمل محرز للواقع،مثل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اعلّمک شیئا إذا صنعته </w:t>
      </w:r>
      <w:r>
        <w:rPr>
          <w:rStyle w:val="FootnoteAnchor"/>
          <w:rtl w:val="true"/>
        </w:rPr>
        <w:footnoteReference w:id="218"/>
      </w:r>
      <w:r>
        <w:rPr>
          <w:rFonts w:ascii="IRNazanin" w:hAnsi="IRNazanin" w:eastAsia="IRNazanin"/>
          <w:color w:val="111111"/>
          <w:sz w:val="28"/>
          <w:sz w:val="28"/>
          <w:szCs w:val="28"/>
          <w:rtl w:val="true"/>
          <w:lang w:bidi="fa-IR"/>
        </w:rPr>
        <w:t>،ثمّ ذکرت أنّک نقصت أو أتممت،لم یکن علیک شیء؟</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تصدّی جماعة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أنّ هذا العمل هو الأخذ بالیقین و الاحتیاط،دون ما یقوله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البناء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مبالغة الإمام علیه السّلام فی هذه الصحیحة بتکرار عدم الاعتناء بالشکّ،و تسمیة ذلک فی غیرها </w:t>
      </w:r>
      <w:r>
        <w:rPr>
          <w:rStyle w:val="FootnoteAnchor"/>
          <w:rtl w:val="true"/>
        </w:rPr>
        <w:footnoteReference w:id="221"/>
      </w:r>
      <w:r>
        <w:rPr>
          <w:rFonts w:ascii="IRNazanin" w:hAnsi="IRNazanin" w:eastAsia="IRNazanin"/>
          <w:color w:val="111111"/>
          <w:sz w:val="28"/>
          <w:sz w:val="28"/>
          <w:szCs w:val="28"/>
          <w:rtl w:val="true"/>
          <w:lang w:bidi="fa-IR"/>
        </w:rPr>
        <w:t>بالبناء علی الیقین و الاحتیاط،یشعر بکونه فی مقابل العامّة الزاعمین بکون مقتضی البناء علی الیقین هو البناء علی الأقلّ و ضمّ الرکعة المشکوکة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ظهور الصحیحة فی البناء علی الأقلّ المطابق للاستصحاب،کان هناک صوارف عن هذا الظاهر،مثل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تعیّن حملها حینئذ علی التقیّة،و هو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ارتکاب الحمل علی التقیّة فی مورد الروایة،و حمل القاعدة المستشهد بها لهذا الحکم المخالف للواقع علی بیان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التقیّة فی إجراء القاعدة فی المورد لا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اخری للظاهر و إن کان ممکنا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المعنی مخالف لظاهر صدر الروایة الآبی عن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العلماء لم یفهموا منها إلاّ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یوهن إرادة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w:t>
      </w:r>
      <w:r>
        <w:rPr>
          <w:rStyle w:val="FootnoteAnchor"/>
          <w:rtl w:val="true"/>
        </w:rPr>
        <w:footnoteReference w:id="222"/>
      </w:r>
      <w:r>
        <w:rPr>
          <w:rFonts w:ascii="IRNazanin" w:hAnsi="IRNazanin" w:eastAsia="IRNazanin"/>
          <w:color w:val="111111"/>
          <w:sz w:val="28"/>
          <w:sz w:val="28"/>
          <w:szCs w:val="28"/>
          <w:rtl w:val="true"/>
          <w:lang w:bidi="fa-IR"/>
        </w:rPr>
        <w:t>کون المراد من عدم نقض الیقین بالشکّ عدم جواز البناء علی وقوع المشکوک بمجرّد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الاقتصار علی الرکعة المردّدة بین الثالثة و الرابعة،و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الرکعة المشکوک فیها المبنیّ علی عدم وقوعها لا یضمّها إلی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r>
        <w:rPr>
          <w:rStyle w:val="FootnoteAnchor"/>
          <w:rtl w:val="true"/>
        </w:rPr>
        <w:footnoteReference w:id="223"/>
      </w:r>
      <w:r>
        <w:rPr>
          <w:rFonts w:ascii="IRNazanin" w:hAnsi="IRNazanin" w:eastAsia="IRNazanin"/>
          <w:color w:val="111111"/>
          <w:sz w:val="28"/>
          <w:sz w:val="28"/>
          <w:szCs w:val="28"/>
          <w:rtl w:val="true"/>
          <w:lang w:bidi="fa-IR"/>
        </w:rPr>
        <w:t>القدر المتیقّن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یأتی بها مستقلّة علی ما هو مذهب الخاصّة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المخالفة لظاهر </w:t>
      </w:r>
      <w:r>
        <w:rPr>
          <w:rStyle w:val="FootnoteAnchor"/>
          <w:rtl w:val="true"/>
        </w:rPr>
        <w:footnoteReference w:id="224"/>
      </w:r>
      <w:r>
        <w:rPr>
          <w:rFonts w:ascii="IRNazanin" w:hAnsi="IRNazanin" w:eastAsia="IRNazanin"/>
          <w:color w:val="111111"/>
          <w:sz w:val="28"/>
          <w:sz w:val="28"/>
          <w:szCs w:val="28"/>
          <w:rtl w:val="true"/>
          <w:lang w:bidi="fa-IR"/>
        </w:rPr>
        <w:t>الفقرات الستّ أو السبع ما لا یخفی علی المتأمّل؛فإنّ مقتضی التدبّر فی الخبر أحد معنیین</w:t>
      </w:r>
      <w:r>
        <w:rPr>
          <w:rFonts w:eastAsia="IRNazanin" w:cs="IRNazanin"/>
          <w:color w:val="111111"/>
          <w:sz w:val="28"/>
          <w:szCs w:val="28"/>
          <w:rtl w:val="true"/>
          <w:lang w:bidi="fa-IR"/>
        </w:rPr>
        <w:t xml:space="preserve">: </w:t>
      </w:r>
      <w:bookmarkStart w:id="245" w:name="pg12985_124914"/>
    </w:p>
    <w:p>
      <w:pPr>
        <w:pStyle w:val="BookText"/>
        <w:rPr/>
      </w:pPr>
      <w:bookmarkEnd w:id="245"/>
      <w:r>
        <w:rPr>
          <w:rFonts w:ascii="IRNazanin" w:hAnsi="IRNazanin" w:eastAsia="IRNazanin"/>
          <w:color w:val="111111"/>
          <w:sz w:val="28"/>
          <w:sz w:val="28"/>
          <w:szCs w:val="28"/>
          <w:rtl w:val="true"/>
          <w:lang w:bidi="fa-IR"/>
        </w:rPr>
        <w:t>إمّا الحمل علی التقیّة،و قد عرفت مخالفته للاصول و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حمله علی وجوب تحصیل الیقین بعدد الرکعات علی الوجه الأحوط،و هذا الوجه و إن کان بعیدا فی نفسه،لکنّه منحصر بعد عدم إمکان الحمل علی ما یطابق الاستصحاب،و لا أقلّ من مساواته لما ذکره هذا القائل،فیسقط الاستدلال بالصحیحة،خصوصا علی مثل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هذا دعوی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حملها علی وجوب تحصیل الیقین فی الصلاة بالعمل علی الأکثر،و العمل علی الاحتیاط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فتوی الخاصّة و صریح أخبارهم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إرادة العموم من القاعدة لهذا و للعمل علی الیقین السابق فی الموارد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سیظهر اندفاعها بما سیجیء فی الأخبار الآتیة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الجمع بین هذین المعنیین فی المراد من العمل علی الیقین و عدم نقضه</w:t>
      </w:r>
      <w:r>
        <w:rPr>
          <w:rFonts w:eastAsia="IRNazanin" w:cs="IRNazanin"/>
          <w:color w:val="111111"/>
          <w:sz w:val="28"/>
          <w:szCs w:val="28"/>
          <w:rtl w:val="true"/>
          <w:lang w:bidi="fa-IR"/>
        </w:rPr>
        <w:t>.</w:t>
      </w:r>
    </w:p>
    <w:p>
      <w:pPr>
        <w:pStyle w:val="Heading5"/>
        <w:numPr>
          <w:ilvl w:val="4"/>
          <w:numId w:val="1"/>
        </w:numPr>
        <w:rPr/>
      </w:pPr>
      <w:bookmarkStart w:id="246" w:name="__RefHeading___Toc5766983_3224264995"/>
      <w:bookmarkStart w:id="247" w:name="_Toc100"/>
      <w:bookmarkEnd w:id="246"/>
      <w:r>
        <w:rPr/>
        <w:t>4</w:t>
      </w:r>
      <w:r>
        <w:rPr>
          <w:rtl w:val="true"/>
        </w:rPr>
        <w:t>-</w:t>
      </w:r>
      <w:r>
        <w:rPr>
          <w:rtl w:val="true"/>
        </w:rPr>
        <w:t>الاستدلال بموثّقة إسحاق بن عمّار و الإشکال فیه</w:t>
      </w:r>
      <w:r>
        <w:rPr>
          <w:rtl w:val="true"/>
        </w:rPr>
        <w:t>:</w:t>
      </w:r>
      <w:bookmarkEnd w:id="2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عدم صحّة الاستدلال </w:t>
      </w:r>
      <w:r>
        <w:rPr>
          <w:rStyle w:val="FootnoteAnchor"/>
          <w:rtl w:val="true"/>
        </w:rPr>
        <w:footnoteReference w:id="227"/>
      </w:r>
      <w:r>
        <w:rPr>
          <w:rFonts w:ascii="Amiri" w:hAnsi="Amiri" w:eastAsia="Amiri" w:cs="Amiri"/>
          <w:color w:val="111111"/>
          <w:sz w:val="28"/>
          <w:sz w:val="28"/>
          <w:szCs w:val="28"/>
          <w:rtl w:val="true"/>
          <w:lang w:bidi="ar-SA"/>
        </w:rPr>
        <w:t xml:space="preserve">بموثّقة عمّار </w:t>
      </w:r>
      <w:r>
        <w:rPr>
          <w:rStyle w:val="FootnoteAnchor"/>
          <w:rtl w:val="true"/>
        </w:rPr>
        <w:footnoteReference w:id="228"/>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جعل البناء علی الأقلّ أصلا ینافی ما جعله الشارع أصلا فی غیر واحد من الأخبار،مثل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لک السهو کلّه فی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شککت فابن علی الأکثر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قوله علیه السّلام 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اعلّمک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الحمل علی التقیّة،و إمّا ما ذکره بعض </w:t>
      </w:r>
      <w:r>
        <w:rPr>
          <w:rStyle w:val="FootnoteAnchor"/>
          <w:rtl w:val="true"/>
        </w:rPr>
        <w:footnoteReference w:id="232"/>
      </w:r>
      <w:r>
        <w:rPr>
          <w:rFonts w:ascii="IRNazanin" w:hAnsi="IRNazanin" w:eastAsia="IRNazanin"/>
          <w:color w:val="111111"/>
          <w:sz w:val="28"/>
          <w:sz w:val="28"/>
          <w:szCs w:val="28"/>
          <w:rtl w:val="true"/>
          <w:lang w:bidi="fa-IR"/>
        </w:rPr>
        <w:t xml:space="preserve">الأصحاب </w:t>
      </w:r>
      <w:r>
        <w:rPr>
          <w:rStyle w:val="FootnoteAnchor"/>
          <w:rtl w:val="true"/>
        </w:rPr>
        <w:footnoteReference w:id="233"/>
      </w:r>
      <w:r>
        <w:rPr>
          <w:rFonts w:ascii="IRNazanin" w:hAnsi="IRNazanin" w:eastAsia="IRNazanin"/>
          <w:color w:val="111111"/>
          <w:sz w:val="28"/>
          <w:sz w:val="28"/>
          <w:szCs w:val="28"/>
          <w:rtl w:val="true"/>
          <w:lang w:bidi="fa-IR"/>
        </w:rPr>
        <w:t>فی 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البناء علی الأکثر،ثمّ الاحتیاط بفعل ما ینفع </w:t>
      </w:r>
      <w:r>
        <w:rPr>
          <w:rStyle w:val="FootnoteAnchor"/>
          <w:rtl w:val="true"/>
        </w:rPr>
        <w:footnoteReference w:id="234"/>
      </w:r>
      <w:r>
        <w:rPr>
          <w:rFonts w:ascii="IRNazanin" w:hAnsi="IRNazanin" w:eastAsia="IRNazanin"/>
          <w:color w:val="111111"/>
          <w:sz w:val="28"/>
          <w:sz w:val="28"/>
          <w:szCs w:val="28"/>
          <w:rtl w:val="true"/>
          <w:lang w:bidi="fa-IR"/>
        </w:rPr>
        <w:t>لأجل الصلاة علی تقدیر الحاجة،و لا یضرّ بها علی تقدیر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بعدم الدلیل علی اختصاص الموثّقة بشکوک الصلاة،فضلا عن الشکّ فی رکعاتها،فهو أصل کلّی خرج منه الشکّ فی عدد الرکعات،و هو غیر قادح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الدلالة علی إرادة الیقین السابق علی الشکّ، </w:t>
      </w:r>
      <w:bookmarkStart w:id="248" w:name="pg12985_124916"/>
    </w:p>
    <w:p>
      <w:pPr>
        <w:pStyle w:val="BookText"/>
        <w:rPr/>
      </w:pPr>
      <w:bookmarkEnd w:id="248"/>
      <w:r>
        <w:rPr>
          <w:rFonts w:ascii="IRNazanin" w:hAnsi="IRNazanin" w:eastAsia="IRNazanin"/>
          <w:color w:val="111111"/>
          <w:sz w:val="28"/>
          <w:sz w:val="28"/>
          <w:szCs w:val="28"/>
          <w:rtl w:val="true"/>
          <w:lang w:bidi="fa-IR"/>
        </w:rPr>
        <w:t xml:space="preserve">و لا المتیقّن السابق علی المشکوک اللاحق،فهی أضعف دلالة من الروایة الآتیة الصریحة فی الیقین السابق؛لاحتمالها لإرادة إیجاب العمل بالاحتیاط،فافهم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5766985_3224264995"/>
      <w:bookmarkStart w:id="250" w:name="_Toc101"/>
      <w:bookmarkEnd w:id="249"/>
      <w:r>
        <w:rPr/>
        <w:t>5</w:t>
      </w:r>
      <w:r>
        <w:rPr>
          <w:rtl w:val="true"/>
        </w:rPr>
        <w:t>-</w:t>
      </w:r>
      <w:r>
        <w:rPr>
          <w:rtl w:val="true"/>
        </w:rPr>
        <w:t>الاستدلال بروایة الخصال و روایة اخری</w:t>
      </w:r>
      <w:r>
        <w:rPr>
          <w:rtl w:val="true"/>
        </w:rPr>
        <w:t>:</w:t>
      </w:r>
      <w:bookmarkEnd w:id="250"/>
    </w:p>
    <w:p>
      <w:pPr>
        <w:pStyle w:val="Heading6"/>
        <w:numPr>
          <w:ilvl w:val="5"/>
          <w:numId w:val="1"/>
        </w:numPr>
        <w:rPr/>
      </w:pPr>
      <w:bookmarkStart w:id="251" w:name="__RefHeading___Toc5766987_3224264995"/>
      <w:bookmarkStart w:id="252" w:name="_Toc102"/>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الخصال بسنده عن محمّد بن مسلم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یقینه؛فإنّ الشکّ لا ینقض الیقین</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فأصابه شکّ فلیمض علی یقینه؛فإنّ الیقین لا یدفع بالشکّ</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سلک الأخبار التی یستفاد منها القواعد الکلّیة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5766989_3224264995"/>
      <w:bookmarkStart w:id="254" w:name="_Toc103"/>
      <w:bookmarkEnd w:id="253"/>
      <w:r>
        <w:rPr>
          <w:rtl w:val="true"/>
        </w:rPr>
        <w:t>المناقشة فی الاستدلال بهاتین الروایتین</w:t>
      </w:r>
      <w:r>
        <w:rPr>
          <w:rtl w:val="true"/>
        </w:rPr>
        <w:t>:</w:t>
      </w:r>
      <w:bookmarkEnd w:id="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الشکّ و الیقین لا یجتمعان حتّی ینقض أحدهما الآخر،بل لا بدّ من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فی زمان نفس الوصفین،کأن یقطع یوم الجمعة بعدالة زید فی زمان،ثمّ یشکّ یوم السبت فی عدالته فی ذلک الزمان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فی زمان متعلّقهما و إن اتّحد زمانهما،کأن یقطع یوم السبت بعدالة زید یوم الجمعة،و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هذا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بعدالته </w:t>
      </w:r>
      <w:r>
        <w:rPr>
          <w:rStyle w:val="FootnoteAnchor"/>
          <w:rtl w:val="true"/>
        </w:rPr>
        <w:footnoteReference w:id="239"/>
      </w:r>
      <w:r>
        <w:rPr>
          <w:rFonts w:ascii="IRNazanin" w:hAnsi="IRNazanin" w:eastAsia="IRNazanin"/>
          <w:color w:val="111111"/>
          <w:sz w:val="28"/>
          <w:sz w:val="28"/>
          <w:szCs w:val="28"/>
          <w:rtl w:val="true"/>
          <w:lang w:bidi="fa-IR"/>
        </w:rPr>
        <w:t xml:space="preserve">فی یوم </w:t>
      </w:r>
    </w:p>
    <w:p>
      <w:pPr>
        <w:pStyle w:val="BookText"/>
        <w:rPr/>
      </w:pPr>
      <w:r>
        <w:rPr>
          <w:rFonts w:ascii="IRNazanin" w:hAnsi="IRNazanin" w:eastAsia="IRNazanin"/>
          <w:color w:val="111111"/>
          <w:sz w:val="28"/>
          <w:sz w:val="28"/>
          <w:szCs w:val="28"/>
          <w:rtl w:val="true"/>
          <w:lang w:bidi="fa-IR"/>
        </w:rPr>
        <w:t xml:space="preserve">السبت،و هذا هو الاستصحاب،و لیس منوطا بتعدّد زمان الشکّ 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تأخّر الأوّل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صریح الروایة اختلاف زمان الوصفین،و ظاهرها اتّحاد زمان متعلّقهما؛تعیّن حملها علی القاعدة الاولی،و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العبرة بطروّ الشکّ فی شیء بعد الیقین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حینئذ محمول علی حقیقته؛لأنّه رفع الید عن نفس الآثار التی رتّبها سابقا علی المتیقّن،بخلاف الاستصحاب؛فإنّ المراد بنقض الیقین فیه رفع الید عن ترتیب الآثار فی غیر زمان الیقین، و هذا لیس نقضا للیقین السابق،إلاّ إذا اخذ متعلّقه مجرّدا عن التقیید بالزمان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تأمّل فی الروایة،و أغمض عن ذکر بعض </w:t>
      </w:r>
      <w:r>
        <w:rPr>
          <w:rStyle w:val="FootnoteAnchor"/>
          <w:rtl w:val="true"/>
        </w:rPr>
        <w:footnoteReference w:id="240"/>
      </w:r>
      <w:r>
        <w:rPr>
          <w:rFonts w:ascii="IRNazanin" w:hAnsi="IRNazanin" w:eastAsia="IRNazanin"/>
          <w:color w:val="111111"/>
          <w:sz w:val="28"/>
          <w:sz w:val="28"/>
          <w:szCs w:val="28"/>
          <w:rtl w:val="true"/>
          <w:lang w:bidi="fa-IR"/>
        </w:rPr>
        <w:t xml:space="preserve">لها فی أدلّة الاستصحاب،جزم بما </w:t>
      </w:r>
      <w:r>
        <w:rPr>
          <w:rStyle w:val="FootnoteAnchor"/>
          <w:rtl w:val="true"/>
        </w:rPr>
        <w:footnoteReference w:id="241"/>
      </w:r>
      <w:r>
        <w:rPr>
          <w:rFonts w:ascii="IRNazanin" w:hAnsi="IRNazanin" w:eastAsia="IRNazanin"/>
          <w:color w:val="111111"/>
          <w:sz w:val="28"/>
          <w:sz w:val="28"/>
          <w:szCs w:val="28"/>
          <w:rtl w:val="true"/>
          <w:lang w:bidi="fa-IR"/>
        </w:rPr>
        <w:t>ذکرناه فی معنی الروایة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أنّ هذه القاعدة بإطلاقها مخالفة للإجماع،أمکن تقییدها بعدم نقض الیقین السابق بالنسبة إلی الأعمال التی رتّبها حال الیقین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کالاقتداء بذلک الشخص فی مثال العدالة،أو العمل بفتواه أو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تقیید الحکم بصورة عدم التذکّر لمستند القطع السابق، و إخراج صورة تذکّره و التفطّن لفساده و عدم قابلیّته لإفادة القطع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55" w:name="pg12985_124918"/>
    </w:p>
    <w:p>
      <w:pPr>
        <w:pStyle w:val="Heading6"/>
        <w:numPr>
          <w:ilvl w:val="5"/>
          <w:numId w:val="1"/>
        </w:numPr>
        <w:rPr/>
      </w:pPr>
      <w:bookmarkStart w:id="256" w:name="__RefHeading___Toc5766991_3224264995"/>
      <w:bookmarkStart w:id="257" w:name="_Toc104"/>
      <w:bookmarkEnd w:id="255"/>
      <w:bookmarkEnd w:id="256"/>
      <w:r>
        <w:rPr>
          <w:rtl w:val="true"/>
        </w:rPr>
        <w:t>إمکان دفع المناقشة المذکورة</w:t>
      </w:r>
      <w:r>
        <w:rPr>
          <w:rtl w:val="true"/>
        </w:rPr>
        <w:t>:</w:t>
      </w:r>
      <w:bookmarkEnd w:id="257"/>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کون الزمان الماضی فی الروایة ظرفا للیقین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تجرید متعلّق الیقین عن التقیید بالزمان؛فإنّ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متیقّنا أمس بعدالة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فی إرادة أصل العدالة،لا العدالة المقیّدة </w:t>
      </w:r>
      <w:r>
        <w:rPr>
          <w:rStyle w:val="FootnoteAnchor"/>
          <w:rtl w:val="true"/>
        </w:rPr>
        <w:footnoteReference w:id="243"/>
      </w:r>
      <w:r>
        <w:rPr>
          <w:rFonts w:ascii="IRNazanin" w:hAnsi="IRNazanin" w:eastAsia="IRNazanin"/>
          <w:color w:val="111111"/>
          <w:sz w:val="28"/>
          <w:sz w:val="28"/>
          <w:szCs w:val="28"/>
          <w:rtl w:val="true"/>
          <w:lang w:bidi="fa-IR"/>
        </w:rPr>
        <w:t xml:space="preserve">بالزمان الماضی،و إن کان ظرفه </w:t>
      </w:r>
      <w:r>
        <w:rPr>
          <w:rStyle w:val="FootnoteAnchor"/>
          <w:rtl w:val="true"/>
        </w:rPr>
        <w:footnoteReference w:id="244"/>
      </w:r>
      <w:r>
        <w:rPr>
          <w:rFonts w:ascii="IRNazanin" w:hAnsi="IRNazanin" w:eastAsia="IRNazanin"/>
          <w:color w:val="111111"/>
          <w:sz w:val="28"/>
          <w:sz w:val="28"/>
          <w:szCs w:val="28"/>
          <w:rtl w:val="true"/>
          <w:lang w:bidi="fa-IR"/>
        </w:rPr>
        <w:t xml:space="preserve">فی الواقع ظرف الیقین،لکن لم یلاحظه علی وجه التقیید،فیکون الشکّ فیما بعد هذا الزمان،متعلّقا بنفس ذلک المتیقّن مجرّدا عن ذلک التقیید،ظاهرا فی تحقّق أصل العدالة فی زمان الشکّ،فینطبق علی الاستصحاب، فافهم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فالإنصاف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بملاحظة </w:t>
      </w:r>
      <w:r>
        <w:rPr>
          <w:rStyle w:val="FootnoteAnchor"/>
          <w:rtl w:val="true"/>
        </w:rPr>
        <w:footnoteReference w:id="247"/>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Style w:val="FootnoteAnchor"/>
          <w:rtl w:val="true"/>
        </w:rPr>
        <w:footnoteReference w:id="249"/>
      </w:r>
      <w:r>
        <w:rPr>
          <w:rFonts w:ascii="IRNazanin" w:hAnsi="IRNazanin" w:eastAsia="IRNazanin"/>
          <w:color w:val="111111"/>
          <w:sz w:val="28"/>
          <w:sz w:val="28"/>
          <w:szCs w:val="28"/>
          <w:rtl w:val="true"/>
          <w:lang w:bidi="fa-IR"/>
        </w:rPr>
        <w:t>بملاحظة ما سبق فی الصحاح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ظاهره مساوقته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الاستصحاب </w:t>
      </w:r>
      <w:r>
        <w:rPr>
          <w:rStyle w:val="FootnoteAnchor"/>
          <w:rtl w:val="true"/>
        </w:rPr>
        <w:footnoteReference w:id="250"/>
      </w:r>
      <w:r>
        <w:rPr>
          <w:rFonts w:ascii="IRNazanin" w:hAnsi="IRNazanin" w:eastAsia="IRNazanin"/>
          <w:color w:val="111111"/>
          <w:sz w:val="28"/>
          <w:sz w:val="28"/>
          <w:szCs w:val="28"/>
          <w:rtl w:val="true"/>
          <w:lang w:bidi="fa-IR"/>
        </w:rPr>
        <w:t xml:space="preserve">،و یبعد حملها علی المعنی الذی </w:t>
      </w:r>
      <w:r>
        <w:rPr>
          <w:rStyle w:val="FootnoteAnchor"/>
          <w:rtl w:val="true"/>
        </w:rPr>
        <w:footnoteReference w:id="251"/>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 xml:space="preserve">. </w:t>
      </w:r>
      <w:bookmarkStart w:id="258" w:name="pg12985_124919"/>
    </w:p>
    <w:p>
      <w:pPr>
        <w:pStyle w:val="BookText"/>
        <w:rPr/>
      </w:pPr>
      <w:bookmarkEnd w:id="258"/>
      <w:r>
        <w:rPr>
          <w:rFonts w:ascii="IRNazanin" w:hAnsi="IRNazanin" w:eastAsia="IRNazanin"/>
          <w:color w:val="111111"/>
          <w:sz w:val="28"/>
          <w:sz w:val="28"/>
          <w:szCs w:val="28"/>
          <w:rtl w:val="true"/>
          <w:lang w:bidi="fa-IR"/>
        </w:rPr>
        <w:t xml:space="preserve">هذا </w:t>
      </w:r>
      <w:r>
        <w:rPr>
          <w:rStyle w:val="FootnoteAnchor"/>
          <w:rtl w:val="true"/>
        </w:rPr>
        <w:footnoteReference w:id="252"/>
      </w:r>
      <w:r>
        <w:rPr>
          <w:rFonts w:ascii="IRNazanin" w:hAnsi="IRNazanin" w:eastAsia="IRNazanin"/>
          <w:color w:val="111111"/>
          <w:sz w:val="28"/>
          <w:sz w:val="28"/>
          <w:szCs w:val="28"/>
          <w:rtl w:val="true"/>
          <w:lang w:bidi="fa-IR"/>
        </w:rPr>
        <w:t>،لکن سند الروایة ضعیف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؛لتضعیف العلاّمة له فی الخلاصة </w:t>
      </w:r>
      <w:r>
        <w:rPr>
          <w:rStyle w:val="FootnoteAnchor"/>
          <w:rtl w:val="true"/>
        </w:rPr>
        <w:footnoteReference w:id="253"/>
      </w:r>
      <w:r>
        <w:rPr>
          <w:rFonts w:ascii="IRNazanin" w:hAnsi="IRNazanin" w:eastAsia="IRNazanin"/>
          <w:color w:val="111111"/>
          <w:sz w:val="28"/>
          <w:sz w:val="28"/>
          <w:szCs w:val="28"/>
          <w:rtl w:val="true"/>
          <w:lang w:bidi="fa-IR"/>
        </w:rPr>
        <w:t xml:space="preserve">،و إن ضعّف ذلک بعض </w:t>
      </w:r>
      <w:r>
        <w:rPr>
          <w:rStyle w:val="FootnoteAnchor"/>
          <w:rtl w:val="true"/>
        </w:rPr>
        <w:footnoteReference w:id="254"/>
      </w:r>
      <w:r>
        <w:rPr>
          <w:rFonts w:ascii="IRNazanin" w:hAnsi="IRNazanin" w:eastAsia="IRNazanin"/>
          <w:color w:val="111111"/>
          <w:sz w:val="28"/>
          <w:sz w:val="28"/>
          <w:szCs w:val="28"/>
          <w:rtl w:val="true"/>
          <w:lang w:bidi="fa-IR"/>
        </w:rPr>
        <w:t>باستناده إلی تضعیف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عدم قدحه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59" w:name="__RefHeading___Toc5766993_3224264995"/>
      <w:bookmarkStart w:id="260" w:name="_Toc105"/>
      <w:bookmarkEnd w:id="259"/>
      <w:r>
        <w:rPr/>
        <w:t>6</w:t>
      </w:r>
      <w:r>
        <w:rPr>
          <w:rtl w:val="true"/>
        </w:rPr>
        <w:t>-</w:t>
      </w:r>
      <w:r>
        <w:rPr>
          <w:rtl w:val="true"/>
        </w:rPr>
        <w:t>مکاتبة علی بن محمّد القاسانی</w:t>
      </w:r>
      <w:r>
        <w:rPr>
          <w:rtl w:val="true"/>
        </w:rPr>
        <w:t>:</w:t>
      </w:r>
      <w:bookmarkEnd w:id="260"/>
    </w:p>
    <w:p>
      <w:pPr>
        <w:pStyle w:val="Heading6"/>
        <w:numPr>
          <w:ilvl w:val="5"/>
          <w:numId w:val="1"/>
        </w:numPr>
        <w:rPr/>
      </w:pPr>
      <w:bookmarkStart w:id="261" w:name="__RefHeading___Toc5766995_3224264995"/>
      <w:bookmarkStart w:id="262" w:name="_Toc106"/>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علی بن محمد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بالمدینة</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عن الیوم الذی یشکّ فیه من رمضان،هل یصام أم لا؟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افطر للرؤیة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5766997_3224264995"/>
      <w:bookmarkStart w:id="264" w:name="_Toc107"/>
      <w:bookmarkEnd w:id="263"/>
      <w:r>
        <w:rPr>
          <w:rtl w:val="true"/>
        </w:rPr>
        <w:t>تقریب الاستدلال</w:t>
      </w:r>
      <w:r>
        <w:rPr>
          <w:rtl w:val="true"/>
        </w:rPr>
        <w:t>:</w:t>
      </w:r>
      <w:bookmarkEnd w:id="264"/>
    </w:p>
    <w:p>
      <w:pPr>
        <w:pStyle w:val="BookText"/>
        <w:rPr/>
      </w:pPr>
      <w:r>
        <w:rPr>
          <w:rFonts w:ascii="IRNazanin" w:hAnsi="IRNazanin" w:eastAsia="IRNazanin"/>
          <w:color w:val="111111"/>
          <w:sz w:val="28"/>
          <w:sz w:val="28"/>
          <w:szCs w:val="28"/>
          <w:rtl w:val="true"/>
          <w:lang w:bidi="fa-IR"/>
        </w:rPr>
        <w:t>فإنّ تفریع تحدید کلّ من الصوم و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هلالی 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إلاّ بإرادة عدم جعل الیقین السابق مدخولا بالشکّ،أی مزاحما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أظهر ما فی هذا الباب من أخبار الاستصحاب،إلاّ أنّ سندها غیر سلیم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وقفت علیه من الأخبار المستدلّ بها للاستصحاب، و قد عرفت عدم ظهور الصحیح منها </w:t>
      </w:r>
      <w:r>
        <w:rPr>
          <w:rStyle w:val="FootnoteAnchor"/>
          <w:rtl w:val="true"/>
        </w:rPr>
        <w:footnoteReference w:id="257"/>
      </w:r>
      <w:r>
        <w:rPr>
          <w:rFonts w:ascii="Amiri" w:hAnsi="Amiri" w:eastAsia="Amiri" w:cs="Amiri"/>
          <w:color w:val="111111"/>
          <w:sz w:val="28"/>
          <w:sz w:val="28"/>
          <w:szCs w:val="28"/>
          <w:rtl w:val="true"/>
          <w:lang w:bidi="ar-SA"/>
        </w:rPr>
        <w:t xml:space="preserve">،و عدم صحّة الظاهر منها </w:t>
      </w:r>
      <w:r>
        <w:rPr>
          <w:rStyle w:val="FootnoteAnchor"/>
          <w:rtl w:val="true"/>
        </w:rPr>
        <w:footnoteReference w:id="258"/>
      </w:r>
      <w:r>
        <w:rPr>
          <w:rFonts w:ascii="IRNazanin" w:hAnsi="IRNazanin" w:eastAsia="IRNazanin"/>
          <w:color w:val="111111"/>
          <w:sz w:val="28"/>
          <w:sz w:val="28"/>
          <w:szCs w:val="28"/>
          <w:rtl w:val="true"/>
          <w:lang w:bidi="fa-IR"/>
        </w:rPr>
        <w:t>فلعلّ الاستدلال بالمجموع باعتبار التجابر و التعاضد</w:t>
      </w:r>
      <w:r>
        <w:rPr>
          <w:rFonts w:eastAsia="IRNazanin" w:cs="IRNazanin"/>
          <w:color w:val="111111"/>
          <w:sz w:val="28"/>
          <w:szCs w:val="28"/>
          <w:rtl w:val="true"/>
          <w:lang w:bidi="fa-IR"/>
        </w:rPr>
        <w:t xml:space="preserve">. </w:t>
      </w:r>
      <w:bookmarkStart w:id="265" w:name="pg12985_124920"/>
    </w:p>
    <w:p>
      <w:pPr>
        <w:pStyle w:val="Heading4"/>
        <w:numPr>
          <w:ilvl w:val="3"/>
          <w:numId w:val="1"/>
        </w:numPr>
        <w:rPr/>
      </w:pPr>
      <w:bookmarkStart w:id="266" w:name="__RefHeading___Toc5766999_3224264995"/>
      <w:bookmarkStart w:id="267" w:name="_Toc108"/>
      <w:bookmarkEnd w:id="265"/>
      <w:bookmarkEnd w:id="266"/>
      <w:r>
        <w:rPr>
          <w:rtl w:val="true"/>
        </w:rPr>
        <w:t>تأیید المختار بالأخبار الخاصّة</w:t>
      </w:r>
      <w:r>
        <w:rPr>
          <w:rtl w:val="true"/>
        </w:rPr>
        <w:t>:</w:t>
      </w:r>
      <w:bookmarkEnd w:id="267"/>
    </w:p>
    <w:p>
      <w:pPr>
        <w:pStyle w:val="Heading5"/>
        <w:numPr>
          <w:ilvl w:val="4"/>
          <w:numId w:val="1"/>
        </w:numPr>
        <w:rPr/>
      </w:pPr>
      <w:bookmarkStart w:id="268" w:name="__RefHeading___Toc5767001_3224264995"/>
      <w:bookmarkStart w:id="269" w:name="_Toc109"/>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و ربما یؤیّد ذلک بالأخبار الواردة فی الموارد الخاصّة</w:t>
      </w:r>
      <w:r>
        <w:rPr>
          <w:rFonts w:eastAsia="IRNazanin" w:cs="IRNazanin"/>
          <w:color w:val="111111"/>
          <w:sz w:val="28"/>
          <w:szCs w:val="28"/>
          <w:rtl w:val="true"/>
          <w:lang w:bidi="fa-IR"/>
        </w:rPr>
        <w:t>:</w:t>
      </w:r>
    </w:p>
    <w:p>
      <w:pPr>
        <w:pStyle w:val="Heading5"/>
        <w:numPr>
          <w:ilvl w:val="4"/>
          <w:numId w:val="1"/>
        </w:numPr>
        <w:rPr/>
      </w:pPr>
      <w:bookmarkStart w:id="270" w:name="__RefHeading___Toc5767003_3224264995"/>
      <w:bookmarkStart w:id="271" w:name="_Toc110"/>
      <w:bookmarkEnd w:id="270"/>
      <w:r>
        <w:rPr/>
        <w:t>1</w:t>
      </w:r>
      <w:r>
        <w:rPr>
          <w:rtl w:val="true"/>
        </w:rPr>
        <w:t>-</w:t>
      </w:r>
      <w:r>
        <w:rPr>
          <w:rtl w:val="true"/>
        </w:rPr>
        <w:t>روایة عبد اللّه بن سنان</w:t>
      </w:r>
      <w:r>
        <w:rPr>
          <w:rtl w:val="true"/>
        </w:rPr>
        <w:t>:</w:t>
      </w:r>
      <w:bookmarkEnd w:id="271"/>
    </w:p>
    <w:p>
      <w:pPr>
        <w:pStyle w:val="Heading6"/>
        <w:numPr>
          <w:ilvl w:val="5"/>
          <w:numId w:val="1"/>
        </w:numPr>
        <w:rPr/>
      </w:pPr>
      <w:bookmarkStart w:id="272" w:name="__RefHeading___Toc5767005_3224264995"/>
      <w:bookmarkStart w:id="273" w:name="_Toc111"/>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فیمن یعیر ثوبه الذمّیّ، و هو یعلم أنّه یشرب الخمر و یأکل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أن أغسله؟فقال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لا؛لأنّک أعرته إیّاه و هو طاهر،و لم تستیقن أنّه نجّسه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5767007_3224264995"/>
      <w:bookmarkStart w:id="275" w:name="_Toc112"/>
      <w:bookmarkEnd w:id="274"/>
      <w:r>
        <w:rPr>
          <w:rtl w:val="true"/>
        </w:rPr>
        <w:t>تقریب الاستدلال</w:t>
      </w:r>
      <w:r>
        <w:rPr>
          <w:rtl w:val="true"/>
        </w:rPr>
        <w:t>:</w:t>
      </w:r>
      <w:bookmarkEnd w:id="275"/>
    </w:p>
    <w:p>
      <w:pPr>
        <w:pStyle w:val="BookText"/>
        <w:rPr/>
      </w:pPr>
      <w:r>
        <w:rPr>
          <w:rFonts w:ascii="IRNazanin" w:hAnsi="IRNazanin" w:eastAsia="IRNazanin"/>
          <w:color w:val="111111"/>
          <w:sz w:val="28"/>
          <w:sz w:val="28"/>
          <w:szCs w:val="28"/>
          <w:rtl w:val="true"/>
          <w:lang w:bidi="fa-IR"/>
        </w:rPr>
        <w:t>و فیها دلالة واضحة علی أنّ وجه البناء علی الطهارة و عدم وجوب غسله،هو سبق طهارته و عدم العلم بارتفاعها،و لو کان المستند قاعدة الطهارة لم یکن معنی لتعلیل الحکم بسبق الطهارة؛إذ الحکم فی القاعدة مستند إلی نفس عدم العلم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نعم،الروایة مختصّة باستصحاب الطهارة دون غیرها،و لا یبعد عدم القول بالفصل بینها و بین غیرها ممّا یشکّ فی ارتفاعها بالرافع</w:t>
      </w:r>
      <w:r>
        <w:rPr>
          <w:rFonts w:eastAsia="IRNazanin" w:cs="IRNazanin"/>
          <w:color w:val="111111"/>
          <w:sz w:val="28"/>
          <w:szCs w:val="28"/>
          <w:rtl w:val="true"/>
          <w:lang w:bidi="fa-IR"/>
        </w:rPr>
        <w:t>.</w:t>
      </w:r>
    </w:p>
    <w:p>
      <w:pPr>
        <w:pStyle w:val="Heading5"/>
        <w:numPr>
          <w:ilvl w:val="4"/>
          <w:numId w:val="1"/>
        </w:numPr>
        <w:rPr/>
      </w:pPr>
      <w:bookmarkStart w:id="276" w:name="__RefHeading___Toc5767009_3224264995"/>
      <w:bookmarkStart w:id="277" w:name="_Toc113"/>
      <w:bookmarkEnd w:id="276"/>
      <w:r>
        <w:rPr/>
        <w:t>2</w:t>
      </w:r>
      <w:r>
        <w:rPr>
          <w:rtl w:val="true"/>
        </w:rPr>
        <w:t>-</w:t>
      </w:r>
      <w:r>
        <w:rPr>
          <w:rtl w:val="true"/>
        </w:rPr>
        <w:t>موثّقة عمّار</w:t>
      </w:r>
      <w:r>
        <w:rPr>
          <w:rtl w:val="true"/>
        </w:rPr>
        <w:t>:</w:t>
      </w:r>
      <w:bookmarkEnd w:id="277"/>
    </w:p>
    <w:p>
      <w:pPr>
        <w:pStyle w:val="Heading6"/>
        <w:numPr>
          <w:ilvl w:val="5"/>
          <w:numId w:val="1"/>
        </w:numPr>
        <w:rPr/>
      </w:pPr>
      <w:bookmarkStart w:id="278" w:name="__RefHeading___Toc5767011_3224264995"/>
      <w:bookmarkStart w:id="279" w:name="_Toc114"/>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 فی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أنّه مسوق لبیان استمرار طهارة کلّ شیء إلی أن یعلم حدوث قذارته،لا ثبوتها له ظاهرا و استمرار هذا الثبوت إلی أن یعلم عدمها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 بالقذارة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الأوّل،غایة للطهارة رافعة لاستمرارها،فکلّ شیء محکوم ظاهرا باستمرار طهارته إلی حصول </w:t>
      </w:r>
      <w:bookmarkStart w:id="280" w:name="pg12985_124921"/>
    </w:p>
    <w:p>
      <w:pPr>
        <w:pStyle w:val="BookText"/>
        <w:rPr/>
      </w:pPr>
      <w:bookmarkEnd w:id="280"/>
      <w:r>
        <w:rPr>
          <w:rFonts w:ascii="IRNazanin" w:hAnsi="IRNazanin" w:eastAsia="IRNazanin"/>
          <w:color w:val="111111"/>
          <w:sz w:val="28"/>
          <w:sz w:val="28"/>
          <w:szCs w:val="28"/>
          <w:rtl w:val="true"/>
          <w:lang w:bidi="fa-IR"/>
        </w:rPr>
        <w:t>العلم بالقذارة،فغایة الحکم غیر مذکورة و لا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الثانی،غایة للحکم بثبوتها،و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 بعدم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 للحکم،فکلّ شیء یستمرّ الحکم بطهارته إلی کذا،فإذا حصلت الغایة انقطع الحکم بطهارته،لا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المغیّاة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إخبارا عن الواقع و کانت الغایة قیدا للمحمول،کما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طاهر إلی أن یلاقی نجسا،أم کانت ظاهریّة مغیّاة بالعلم بعدم المحمول،کما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یقصد المتکلّم مجرّد ثبوت المحمول للموضوع ظاهرا أو واقعا، من غیر ملاحظة کونه مسبوقا بثبوته له،و قد یقصد المتکلّم به مجرّد الاستمرار،لا أصل الثبوت،بحیث یکون أصل الثبوت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أعمّ من الثانی من حیث المورد</w:t>
      </w:r>
      <w:r>
        <w:rPr>
          <w:rFonts w:eastAsia="IRNazanin" w:cs="IRNazanin"/>
          <w:color w:val="111111"/>
          <w:sz w:val="28"/>
          <w:szCs w:val="28"/>
          <w:rtl w:val="true"/>
          <w:lang w:bidi="fa-IR"/>
        </w:rPr>
        <w:t>.</w:t>
      </w:r>
    </w:p>
    <w:p>
      <w:pPr>
        <w:pStyle w:val="Heading6"/>
        <w:numPr>
          <w:ilvl w:val="5"/>
          <w:numId w:val="1"/>
        </w:numPr>
        <w:rPr/>
      </w:pPr>
      <w:bookmarkStart w:id="281" w:name="__RefHeading___Toc5767013_3224264995"/>
      <w:bookmarkStart w:id="282" w:name="_Toc115"/>
      <w:bookmarkEnd w:id="281"/>
      <w:r>
        <w:rPr>
          <w:rtl w:val="true"/>
        </w:rPr>
        <w:t>معنی الموثّقة إمّا الاستصحاب أو قاعدة الطهارة</w:t>
      </w:r>
      <w:r>
        <w:rPr>
          <w:rtl w:val="true"/>
        </w:rPr>
        <w:t>:</w:t>
      </w:r>
      <w:bookmarkEnd w:id="282"/>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خصوص المعنی الثانی،و هو القصد إلی بیان الاستمرار بعد الفراغ عن ثبوت أصل الطهارة،فیکون دلیلا علی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خصوص المعنی الأوّل الأعمّ منه،و حینئذ لم یکن فیه دلالة علی استصحاب الطهارة و إن شمل مورده؛لأنّ </w:t>
      </w:r>
      <w:r>
        <w:rPr>
          <w:rStyle w:val="FootnoteAnchor"/>
          <w:rtl w:val="true"/>
        </w:rPr>
        <w:footnoteReference w:id="261"/>
      </w:r>
      <w:r>
        <w:rPr>
          <w:rFonts w:ascii="IRNazanin" w:hAnsi="IRNazanin" w:eastAsia="IRNazanin"/>
          <w:color w:val="111111"/>
          <w:sz w:val="28"/>
          <w:sz w:val="28"/>
          <w:szCs w:val="28"/>
          <w:rtl w:val="true"/>
          <w:lang w:bidi="fa-IR"/>
        </w:rPr>
        <w:t xml:space="preserve">الحکم فیما علم طهارته و لم یعلم طروّ القذارة له لیس من حیث سبق طهارته،بل باعتبار مجرّد کونه مشکوک الطهارة،فالروایة تفید قاعدة الطهارة حتّی فی مسبوق الطهارة،لا استصحابها،بل تجری فی مسبوق النجاسة علی أقوی </w:t>
      </w:r>
      <w:bookmarkStart w:id="283" w:name="pg12985_124922"/>
    </w:p>
    <w:p>
      <w:pPr>
        <w:pStyle w:val="BookText"/>
        <w:rPr/>
      </w:pPr>
      <w:bookmarkEnd w:id="283"/>
      <w:r>
        <w:rPr>
          <w:rFonts w:ascii="IRNazanin" w:hAnsi="IRNazanin" w:eastAsia="IRNazanin"/>
          <w:color w:val="111111"/>
          <w:sz w:val="28"/>
          <w:sz w:val="28"/>
          <w:szCs w:val="28"/>
          <w:rtl w:val="true"/>
          <w:lang w:bidi="fa-IR"/>
        </w:rPr>
        <w:t>الوجهین الآتیین فی باب معارضة الاستصحاب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مفاد الروایة،بین الموضوع الخارجی الذی یشکّ فی طهارته من حیث الشبهة فی حکم نوعه،و بین الموضوع الخارجی المشکوک طهارته من حیث اشتباه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ذکره صاحب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امتناع إرادة المعانی الثلاثة من الروایة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الطهارة فی الشبهة الحکمیّة،و فی الشبهة الموضوعیّة،و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عن إرادة الجامع بین الأوّلین،أعنی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الطهارة فی الشبهة الحکمیّة و الموضوعیّة</w:t>
      </w:r>
      <w:r>
        <w:rPr>
          <w:rFonts w:eastAsia="IRNazanin" w:cs="IRNazanin"/>
          <w:color w:val="111111"/>
          <w:sz w:val="28"/>
          <w:szCs w:val="28"/>
          <w:rtl w:val="true"/>
          <w:lang w:bidi="fa-IR"/>
        </w:rPr>
        <w:t>.</w:t>
      </w:r>
    </w:p>
    <w:p>
      <w:pPr>
        <w:pStyle w:val="Heading6"/>
        <w:numPr>
          <w:ilvl w:val="5"/>
          <w:numId w:val="1"/>
        </w:numPr>
        <w:rPr/>
      </w:pPr>
      <w:bookmarkStart w:id="284" w:name="__RefHeading___Toc5767015_3224264995"/>
      <w:bookmarkStart w:id="285" w:name="_Toc116"/>
      <w:bookmarkEnd w:id="284"/>
      <w:r>
        <w:rPr>
          <w:rtl w:val="true"/>
        </w:rPr>
        <w:t>عدم إمکان إرادة القاعدة و الاستصحاب معا من الموثّقة</w:t>
      </w:r>
      <w:r>
        <w:rPr>
          <w:rtl w:val="true"/>
        </w:rPr>
        <w:t>:</w:t>
      </w:r>
      <w:bookmarkEnd w:id="285"/>
    </w:p>
    <w:p>
      <w:pPr>
        <w:pStyle w:val="BookText"/>
        <w:rPr/>
      </w:pPr>
      <w:r>
        <w:rPr>
          <w:rFonts w:ascii="IRNazanin" w:hAnsi="IRNazanin" w:eastAsia="IRNazanin"/>
          <w:color w:val="111111"/>
          <w:sz w:val="28"/>
          <w:sz w:val="28"/>
          <w:szCs w:val="28"/>
          <w:rtl w:val="true"/>
          <w:lang w:bidi="fa-IR"/>
        </w:rPr>
        <w:t xml:space="preserve">نعم،إرادة القاعدة و الاستصحاب معا یوجب استعمال اللفظ فی معنیین؛لما عرفت </w:t>
      </w:r>
      <w:r>
        <w:rPr>
          <w:rStyle w:val="FootnoteAnchor"/>
          <w:rtl w:val="true"/>
        </w:rPr>
        <w:footnoteReference w:id="263"/>
      </w:r>
      <w:r>
        <w:rPr>
          <w:rFonts w:ascii="IRNazanin" w:hAnsi="IRNazanin" w:eastAsia="IRNazanin"/>
          <w:color w:val="111111"/>
          <w:sz w:val="28"/>
          <w:sz w:val="28"/>
          <w:szCs w:val="28"/>
          <w:rtl w:val="true"/>
          <w:lang w:bidi="fa-IR"/>
        </w:rPr>
        <w:t>أنّ المقصود فی القاعدة مجرّد إثبات الطهارة فی المشکوک،و فی الاستصحاب خصوص إبقائها فی معلوم الطهارة سابقا، و الجامع بینهما غیر موجود،فیلزم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بینهما ظاهر،نظیر الفرق بین قاعدة البراءة و استصحابها،و لا جامع بینهما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خفی ذلک علی بعض المعاصرین </w:t>
      </w:r>
      <w:r>
        <w:rPr>
          <w:rStyle w:val="FootnoteAnchor"/>
          <w:rtl w:val="true"/>
        </w:rPr>
        <w:footnoteReference w:id="265"/>
      </w:r>
      <w:r>
        <w:rPr>
          <w:rFonts w:ascii="IRNazanin" w:hAnsi="IRNazanin" w:eastAsia="IRNazanin"/>
          <w:color w:val="111111"/>
          <w:sz w:val="28"/>
          <w:sz w:val="28"/>
          <w:szCs w:val="28"/>
          <w:rtl w:val="true"/>
          <w:lang w:bidi="fa-IR"/>
        </w:rPr>
        <w:t>،فزعم جواز إرادة القاعدة و الاستصحاب معا،و أنکر ذلک علی صاحب القوانین فقال</w:t>
      </w:r>
      <w:r>
        <w:rPr>
          <w:rFonts w:eastAsia="IRNazanin" w:cs="IRNazanin"/>
          <w:color w:val="111111"/>
          <w:sz w:val="28"/>
          <w:szCs w:val="28"/>
          <w:rtl w:val="true"/>
          <w:lang w:bidi="fa-IR"/>
        </w:rPr>
        <w:t xml:space="preserve">: </w:t>
      </w:r>
      <w:bookmarkStart w:id="286" w:name="pg12985_124923"/>
    </w:p>
    <w:p>
      <w:pPr>
        <w:pStyle w:val="Heading6"/>
        <w:numPr>
          <w:ilvl w:val="5"/>
          <w:numId w:val="1"/>
        </w:numPr>
        <w:rPr/>
      </w:pPr>
      <w:bookmarkStart w:id="287" w:name="__RefHeading___Toc5767017_3224264995"/>
      <w:bookmarkStart w:id="288" w:name="_Toc117"/>
      <w:bookmarkEnd w:id="286"/>
      <w:bookmarkEnd w:id="287"/>
      <w:r>
        <w:rPr>
          <w:rtl w:val="true"/>
        </w:rPr>
        <w:t>کلام صاحب الفصول فی جواز إرادة کلیهما منها</w:t>
      </w:r>
      <w:r>
        <w:rPr>
          <w:rtl w:val="true"/>
        </w:rPr>
        <w:t>:</w:t>
      </w:r>
      <w:bookmarkEnd w:id="288"/>
    </w:p>
    <w:p>
      <w:pPr>
        <w:pStyle w:val="BookText"/>
        <w:rPr/>
      </w:pPr>
      <w:r>
        <w:rPr>
          <w:rFonts w:ascii="IRNazanin" w:hAnsi="IRNazanin" w:eastAsia="IRNazanin"/>
          <w:color w:val="111111"/>
          <w:sz w:val="28"/>
          <w:sz w:val="28"/>
          <w:szCs w:val="28"/>
          <w:rtl w:val="true"/>
          <w:lang w:bidi="fa-IR"/>
        </w:rPr>
        <w:t>إنّ الروایة تدلّ علی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الأوّلی للأشیاء ظاهرا هی الطهارة مع عدم العلم بالنجاسة،و هذا لا تعلّق له بمسألة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الحکم مستمرّ إلی زمن العلم بالنجاسة،و هذا من موارد الاستصحاب و جزئیّاته </w:t>
      </w:r>
      <w:r>
        <w:rPr>
          <w:rStyle w:val="FootnoteAnchor"/>
          <w:rtl w:val="true"/>
        </w:rPr>
        <w:footnoteReference w:id="2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89" w:name="__RefHeading___Toc5767019_3224264995"/>
      <w:bookmarkStart w:id="290" w:name="_Toc118"/>
      <w:bookmarkEnd w:id="289"/>
      <w:r>
        <w:rPr>
          <w:rtl w:val="true"/>
        </w:rPr>
        <w:t>المناقشة فیما أفاده صاحب الفصول</w:t>
      </w:r>
      <w:r>
        <w:rPr>
          <w:rtl w:val="true"/>
        </w:rPr>
        <w:t>:</w:t>
      </w:r>
      <w:bookmarkEnd w:id="2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ما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مستمرّ إلی زمن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الحکم المستفاد من الأصل الأوّلی،فلیس استمراره ظاهرا و لا واقعا مغیّا بزمان العلم بالنجاسة،بل هو مستمرّ إلی زمن نسخ هذا الحکم فی الشریعة،مع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من توابع الحکم الأوّل الذی هو الموضوع للحکم الثانی،فمن أین یصیر الثانی مغیّا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کون شیء فی استعمال واحد غایة لحکم و لحکم آخر یکون الحکم الأوّل المغیّا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الحکم الواقعیّ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الطهارة إذا ثبتت واقعا فی زمان،فهو مستمرّ فی الظاهر إلی زمن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الکلام مسوقا لبیان الاستمرار الظاهریّ فیما علم ثبوت الطهارة له واقعا فی زمان،فأین هذا من بیان قاعدة الطهارة من حیث هی للشیء المشکوک من حیث هو مشکوک؟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الاشتباه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ملاحظة عموم القاعدة لمورد الاستصحاب،فیتخیّل أنّ الروایة تدلّ علی الاستصحاب،و قد عرفت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1" w:name="pg12985_124924"/>
    </w:p>
    <w:p>
      <w:pPr>
        <w:pStyle w:val="BookText"/>
        <w:rPr/>
      </w:pPr>
      <w:bookmarkEnd w:id="291"/>
      <w:r>
        <w:rPr>
          <w:rFonts w:ascii="IRNazanin" w:hAnsi="IRNazanin" w:eastAsia="IRNazanin"/>
          <w:color w:val="111111"/>
          <w:sz w:val="28"/>
          <w:sz w:val="28"/>
          <w:szCs w:val="28"/>
          <w:rtl w:val="true"/>
          <w:lang w:bidi="fa-IR"/>
        </w:rPr>
        <w:t xml:space="preserve">أنّ دلالة الروایة علی طهارة مستصحب الطهارة غیر دلالتها علی اعتبار استصحاب الطهارة،و إلاّ فقد أشرنا </w:t>
      </w:r>
      <w:r>
        <w:rPr>
          <w:rStyle w:val="FootnoteAnchor"/>
          <w:rtl w:val="true"/>
        </w:rPr>
        <w:footnoteReference w:id="268"/>
      </w:r>
      <w:r>
        <w:rPr>
          <w:rFonts w:ascii="IRNazanin" w:hAnsi="IRNazanin" w:eastAsia="IRNazanin"/>
          <w:color w:val="111111"/>
          <w:sz w:val="28"/>
          <w:sz w:val="28"/>
          <w:szCs w:val="28"/>
          <w:rtl w:val="true"/>
          <w:lang w:bidi="fa-IR"/>
        </w:rPr>
        <w:t>إلی أنّ القاعدة تشمل مستصحب النجاسة أیضا،کما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صنعه صاحب الوافیة؛حیث ذکر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مشتبه الحکم أو الموضوع فی هذا المقام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هذا،کان ینبغی ذکر أدلّة أصالة البراءة؛لأنّها أیضا متصادقة مع الاستصحاب من حیث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للقواعد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الحلّ،و الطهارة،و إن تصادقت مواردها</w:t>
      </w:r>
      <w:r>
        <w:rPr>
          <w:rFonts w:eastAsia="IRNazanin" w:cs="IRNazanin"/>
          <w:color w:val="111111"/>
          <w:sz w:val="28"/>
          <w:szCs w:val="28"/>
          <w:rtl w:val="true"/>
          <w:lang w:bidi="fa-IR"/>
        </w:rPr>
        <w:t>.</w:t>
      </w:r>
    </w:p>
    <w:p>
      <w:pPr>
        <w:pStyle w:val="Heading6"/>
        <w:numPr>
          <w:ilvl w:val="5"/>
          <w:numId w:val="1"/>
        </w:numPr>
        <w:rPr/>
      </w:pPr>
      <w:bookmarkStart w:id="292" w:name="__RefHeading___Toc5767021_3224264995"/>
      <w:bookmarkStart w:id="293" w:name="_Toc119"/>
      <w:bookmarkEnd w:id="292"/>
      <w:r>
        <w:rPr>
          <w:rtl w:val="true"/>
        </w:rPr>
        <w:t>الظاهر إرادة القاعدة</w:t>
      </w:r>
      <w:r>
        <w:rPr>
          <w:rtl w:val="true"/>
        </w:rPr>
        <w:t>:</w:t>
      </w:r>
      <w:bookmarkEnd w:id="293"/>
    </w:p>
    <w:p>
      <w:pPr>
        <w:pStyle w:val="BookText"/>
        <w:rPr/>
      </w:pPr>
      <w:r>
        <w:rPr>
          <w:rFonts w:ascii="IRNazanin" w:hAnsi="IRNazanin" w:eastAsia="IRNazanin"/>
          <w:color w:val="111111"/>
          <w:sz w:val="28"/>
          <w:sz w:val="28"/>
          <w:szCs w:val="28"/>
          <w:rtl w:val="true"/>
          <w:lang w:bidi="fa-IR"/>
        </w:rPr>
        <w:t>فثبت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المتعیّن حمل الروایة المذکورة علی أحد المعنیین،و الظاهر إرادة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حمله علی الاستصحاب و حمل الکلام علی إرادة خصوص الاستمرار فیما علم طهارته سابقا خلاف الظاهر؛إذ ظاهر الجملة الخبریّة إثبات أصل المحمول للموضوع،لا إثبات استمراره فی مورد الفراغ عن ثبوت أصله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استمرار المغیّا،لکن المغیّا به الحکم بالطهارة،یعنی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الظاهری مستمرّ له إلی کذا، لا أنّ الطهارة الواقعیّة المفروغ عنها مستمرّة ظاهرا إلی زمن العلم</w:t>
      </w:r>
      <w:r>
        <w:rPr>
          <w:rFonts w:eastAsia="IRNazanin" w:cs="IRNazanin"/>
          <w:color w:val="111111"/>
          <w:sz w:val="28"/>
          <w:szCs w:val="28"/>
          <w:rtl w:val="true"/>
          <w:lang w:bidi="fa-IR"/>
        </w:rPr>
        <w:t xml:space="preserve">. </w:t>
      </w:r>
      <w:bookmarkStart w:id="294" w:name="pg12985_124925"/>
    </w:p>
    <w:p>
      <w:pPr>
        <w:pStyle w:val="Heading5"/>
        <w:numPr>
          <w:ilvl w:val="4"/>
          <w:numId w:val="1"/>
        </w:numPr>
        <w:rPr/>
      </w:pPr>
      <w:bookmarkStart w:id="295" w:name="__RefHeading___Toc5767023_3224264995"/>
      <w:bookmarkStart w:id="296" w:name="_Toc120"/>
      <w:bookmarkEnd w:id="294"/>
      <w:bookmarkEnd w:id="295"/>
      <w:r>
        <w:rPr/>
        <w:t>3</w:t>
      </w:r>
      <w:r>
        <w:rPr>
          <w:rtl w:val="true"/>
        </w:rPr>
        <w:t>-</w:t>
      </w:r>
      <w:r>
        <w:rPr>
          <w:rtl w:val="true"/>
        </w:rPr>
        <w:t>الروایة الثالثة</w:t>
      </w:r>
      <w:r>
        <w:rPr>
          <w:rtl w:val="true"/>
        </w:rPr>
        <w:t>:</w:t>
      </w:r>
      <w:bookmarkEnd w:id="29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و إن کان متّحدا مع الخبر السابق </w:t>
      </w:r>
      <w:r>
        <w:rPr>
          <w:rStyle w:val="FootnoteAnchor"/>
          <w:rtl w:val="true"/>
        </w:rPr>
        <w:footnoteReference w:id="272"/>
      </w:r>
      <w:r>
        <w:rPr>
          <w:rFonts w:ascii="IRNazanin" w:hAnsi="IRNazanin" w:eastAsia="IRNazanin"/>
          <w:color w:val="111111"/>
          <w:sz w:val="28"/>
          <w:sz w:val="28"/>
          <w:szCs w:val="28"/>
          <w:rtl w:val="true"/>
          <w:lang w:bidi="fa-IR"/>
        </w:rPr>
        <w:t xml:space="preserve">من حیث الحکم و الغایة </w:t>
      </w:r>
      <w:r>
        <w:rPr>
          <w:rStyle w:val="FootnoteAnchor"/>
          <w:rtl w:val="true"/>
        </w:rPr>
        <w:footnoteReference w:id="273"/>
      </w:r>
      <w:r>
        <w:rPr>
          <w:rFonts w:ascii="IRNazanin" w:hAnsi="IRNazanin" w:eastAsia="IRNazanin"/>
          <w:color w:val="111111"/>
          <w:sz w:val="28"/>
          <w:sz w:val="28"/>
          <w:szCs w:val="28"/>
          <w:rtl w:val="true"/>
          <w:lang w:bidi="fa-IR"/>
        </w:rPr>
        <w:t>إلاّ أنّ الاشتباه فی الماء من غیر جهة عروض النجاسة للماء غیر متحقّق غالبا،فالأولی حملها علی إرادة الاستصحاب،و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المعلوم طهارته بحسب أصل الخلقة طاهر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تستمرّ طهارته المفروضة إلی حین العلم بعروض القذارة له،سواء کان الاشتباه و عدم العلم من جهة الاشتباه فی الحکم،کالقلیل الملاقی للنجس و البئر،أم کان من جهة الاشتباه فی الأمر الخارجیّ،کالشکّ فی ملاقاته للنجاسة أو نجاسة ملاقیه</w:t>
      </w:r>
      <w:r>
        <w:rPr>
          <w:rFonts w:eastAsia="IRNazanin" w:cs="IRNazanin"/>
          <w:color w:val="111111"/>
          <w:sz w:val="28"/>
          <w:szCs w:val="28"/>
          <w:rtl w:val="true"/>
          <w:lang w:bidi="fa-IR"/>
        </w:rPr>
        <w:t>.</w:t>
      </w:r>
    </w:p>
    <w:p>
      <w:pPr>
        <w:pStyle w:val="Heading5"/>
        <w:numPr>
          <w:ilvl w:val="4"/>
          <w:numId w:val="1"/>
        </w:numPr>
        <w:rPr/>
      </w:pPr>
      <w:bookmarkStart w:id="297" w:name="__RefHeading___Toc5767025_3224264995"/>
      <w:bookmarkStart w:id="298" w:name="_Toc121"/>
      <w:bookmarkEnd w:id="297"/>
      <w:r>
        <w:rPr/>
        <w:t>4</w:t>
      </w:r>
      <w:r>
        <w:rPr>
          <w:rtl w:val="true"/>
        </w:rPr>
        <w:t>-</w:t>
      </w:r>
      <w:r>
        <w:rPr>
          <w:rtl w:val="true"/>
        </w:rPr>
        <w:t>الروایة الرابعة</w:t>
      </w:r>
      <w:r>
        <w:rPr>
          <w:rtl w:val="true"/>
        </w:rPr>
        <w:t>:</w:t>
      </w:r>
      <w:bookmarkEnd w:id="29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استیقنت أنّک توضّأت فإیّاک أن تحدث وضوءا،حتّی تستیقن أنّک أحدثت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 علی استصحاب الطهارة ظاهرة</w:t>
      </w:r>
      <w:r>
        <w:rPr>
          <w:rFonts w:eastAsia="IRNazanin" w:cs="IRNazanin"/>
          <w:color w:val="111111"/>
          <w:sz w:val="28"/>
          <w:szCs w:val="28"/>
          <w:rtl w:val="true"/>
          <w:lang w:bidi="fa-IR"/>
        </w:rPr>
        <w:t xml:space="preserve">. </w:t>
      </w:r>
      <w:bookmarkStart w:id="299" w:name="pg12985_124926"/>
    </w:p>
    <w:p>
      <w:pPr>
        <w:pStyle w:val="Heading4"/>
        <w:numPr>
          <w:ilvl w:val="3"/>
          <w:numId w:val="1"/>
        </w:numPr>
        <w:rPr/>
      </w:pPr>
      <w:bookmarkStart w:id="300" w:name="__RefHeading___Toc5767027_3224264995"/>
      <w:bookmarkStart w:id="301" w:name="_Toc122"/>
      <w:bookmarkEnd w:id="299"/>
      <w:bookmarkEnd w:id="300"/>
      <w:r>
        <w:rPr>
          <w:rtl w:val="true"/>
        </w:rPr>
        <w:t>اختصاص الأخبار بالشکّ فی الرافع</w:t>
      </w:r>
      <w:bookmarkEnd w:id="301"/>
    </w:p>
    <w:p>
      <w:pPr>
        <w:pStyle w:val="Heading5"/>
        <w:numPr>
          <w:ilvl w:val="4"/>
          <w:numId w:val="1"/>
        </w:numPr>
        <w:rPr/>
      </w:pPr>
      <w:bookmarkStart w:id="302" w:name="__RefHeading___Toc5767029_3224264995"/>
      <w:bookmarkStart w:id="303" w:name="_Toc123"/>
      <w:bookmarkEnd w:id="302"/>
      <w:r>
        <w:rPr>
          <w:rtl w:val="true"/>
        </w:rPr>
        <w:t>اشارة</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الأخبار بالشکّ فی الرافع</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ثمّ إنّ اختصاص ما عدا الأخبار العامّة بالقول المختار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الأخبار العامّة،فالمعروف بین المتأخّرین الاستدلال بها علی حجّیة الاستصحاب فی جمیع الموارد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5767031_3224264995"/>
      <w:bookmarkStart w:id="305" w:name="_Toc124"/>
      <w:bookmarkEnd w:id="304"/>
      <w:r>
        <w:rPr>
          <w:rtl w:val="true"/>
        </w:rPr>
        <w:t>تأمّل المحقّق الخوانساری فی الاستدلال بالأخبار علی الحجّیة مطلقا</w:t>
      </w:r>
      <w:r>
        <w:rPr>
          <w:rtl w:val="true"/>
        </w:rPr>
        <w:t>:</w:t>
      </w:r>
      <w:bookmarkEnd w:id="305"/>
    </w:p>
    <w:p>
      <w:pPr>
        <w:pStyle w:val="BookText"/>
        <w:rPr/>
      </w:pPr>
      <w:r>
        <w:rPr>
          <w:rFonts w:ascii="IRNazanin" w:hAnsi="IRNazanin" w:eastAsia="IRNazanin"/>
          <w:color w:val="111111"/>
          <w:sz w:val="28"/>
          <w:sz w:val="28"/>
          <w:szCs w:val="28"/>
          <w:rtl w:val="true"/>
          <w:lang w:bidi="fa-IR"/>
        </w:rPr>
        <w:t xml:space="preserve">و فیه تأمّل،قد فتح بابه المحقّق الخوانساری فی شرح الدروس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النقض هو رفع الهیئة الاتّصالیّة،کما فی نقض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مجازیّته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رفع الأمر الثابت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علی مطلق رفع الید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لعدم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آخذا به،فالمراد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الاستمرار علیه و البناء علی عدمه بعد وجوده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06" w:name="pg12985_124927"/>
    </w:p>
    <w:p>
      <w:pPr>
        <w:pStyle w:val="BookText"/>
        <w:rPr/>
      </w:pPr>
      <w:bookmarkEnd w:id="306"/>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ترک العمل و ترتیب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الثالث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المنقوض عامّا لکلّ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یراد من النقض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الثانی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فیختصّ متعلّقه بما من شأنه الاستمرار و الاتّصال </w:t>
      </w:r>
      <w:r>
        <w:rPr>
          <w:rStyle w:val="FootnoteAnchor"/>
          <w:rtl w:val="true"/>
        </w:rPr>
        <w:footnoteReference w:id="282"/>
      </w:r>
      <w:r>
        <w:rPr>
          <w:rFonts w:ascii="IRNazanin" w:hAnsi="IRNazanin" w:eastAsia="IRNazanin"/>
          <w:color w:val="111111"/>
          <w:sz w:val="28"/>
          <w:sz w:val="28"/>
          <w:szCs w:val="28"/>
          <w:rtl w:val="true"/>
          <w:lang w:bidi="fa-IR"/>
        </w:rPr>
        <w:t>،المختصّ بالموارد التی یوجد فیها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w:t>
      </w:r>
      <w:r>
        <w:rPr>
          <w:rStyle w:val="FootnoteAnchor"/>
          <w:rtl w:val="true"/>
        </w:rPr>
        <w:footnoteReference w:id="283"/>
      </w:r>
      <w:r>
        <w:rPr>
          <w:rFonts w:ascii="IRNazanin" w:hAnsi="IRNazanin" w:eastAsia="IRNazanin"/>
          <w:color w:val="111111"/>
          <w:sz w:val="28"/>
          <w:sz w:val="28"/>
          <w:szCs w:val="28"/>
          <w:rtl w:val="true"/>
          <w:lang w:bidi="fa-IR"/>
        </w:rPr>
        <w:t>رجحان هذا علی الأوّل؛لأنّ الفعل الخاصّ یصیر مخصّصا لمتعلّقه العامّ،کما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تضرب أحدا؛فإنّ الضرب قرینة علی اختصاص العامّ بالأحیاء،و لا یکون عمومه للأموات </w:t>
      </w:r>
      <w:r>
        <w:rPr>
          <w:rStyle w:val="FootnoteAnchor"/>
          <w:rtl w:val="true"/>
        </w:rPr>
        <w:footnoteReference w:id="284"/>
      </w:r>
      <w:r>
        <w:rPr>
          <w:rFonts w:ascii="IRNazanin" w:hAnsi="IRNazanin" w:eastAsia="IRNazanin"/>
          <w:color w:val="111111"/>
          <w:sz w:val="28"/>
          <w:sz w:val="28"/>
          <w:szCs w:val="28"/>
          <w:rtl w:val="true"/>
          <w:lang w:bidi="fa-IR"/>
        </w:rPr>
        <w:t>قرینة علی إرادة مطلق الضرب علیه کسائر الجمادات</w:t>
      </w:r>
      <w:r>
        <w:rPr>
          <w:rFonts w:eastAsia="IRNazanin" w:cs="IRNazanin"/>
          <w:color w:val="111111"/>
          <w:sz w:val="28"/>
          <w:szCs w:val="28"/>
          <w:rtl w:val="true"/>
          <w:lang w:bidi="fa-IR"/>
        </w:rPr>
        <w:t>.</w:t>
      </w:r>
    </w:p>
    <w:p>
      <w:pPr>
        <w:pStyle w:val="Heading5"/>
        <w:numPr>
          <w:ilvl w:val="4"/>
          <w:numId w:val="1"/>
        </w:numPr>
        <w:rPr/>
      </w:pPr>
      <w:bookmarkStart w:id="307" w:name="__RefHeading___Toc5767033_3224264995"/>
      <w:bookmarkStart w:id="308" w:name="_Toc125"/>
      <w:bookmarkEnd w:id="307"/>
      <w:r>
        <w:rPr>
          <w:rtl w:val="true"/>
        </w:rPr>
        <w:t>المراد من</w:t>
      </w:r>
      <w:r>
        <w:rPr>
          <w:rtl w:val="true"/>
        </w:rPr>
        <w:t>«</w:t>
      </w:r>
      <w:r>
        <w:rPr>
          <w:rtl w:val="true"/>
        </w:rPr>
        <w:t>نقض الیقین</w:t>
      </w:r>
      <w:r>
        <w:rPr>
          <w:rtl w:val="true"/>
        </w:rPr>
        <w:t>»:</w:t>
      </w:r>
      <w:bookmarkEnd w:id="308"/>
    </w:p>
    <w:p>
      <w:pPr>
        <w:pStyle w:val="BookText"/>
        <w:rPr/>
      </w:pPr>
      <w:r>
        <w:rPr>
          <w:rFonts w:ascii="IRNazanin" w:hAnsi="IRNazanin" w:eastAsia="IRNazanin"/>
          <w:color w:val="111111"/>
          <w:sz w:val="28"/>
          <w:sz w:val="28"/>
          <w:szCs w:val="28"/>
          <w:rtl w:val="true"/>
          <w:lang w:bidi="fa-IR"/>
        </w:rPr>
        <w:t>ثمّ لا یتوهّم الاحتیاج حینئذ إلی تصرّف فی الیقین بإرادة المتیقّن منه؛لأنّ التصرّف لازم علی کلّ حال؛فإنّ النقض الاختیاری القابل لورود النهی علیه لا یتعلّق بنفس الیقین علی کلّ تقدیر،بل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ما کان علی یقین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أحکام الیقین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أحکام نفس وصف الیقین؛إذ لو فرضنا حکما شرعیّا محمولا علی نفس صفة الیقین ارتفع بالشکّ قطعا، </w:t>
      </w:r>
    </w:p>
    <w:p>
      <w:pPr>
        <w:pStyle w:val="BookText"/>
        <w:rPr/>
      </w:pPr>
      <w:r>
        <w:rPr>
          <w:rFonts w:ascii="IRNazanin" w:hAnsi="IRNazanin" w:eastAsia="IRNazanin"/>
          <w:color w:val="111111"/>
          <w:sz w:val="28"/>
          <w:sz w:val="28"/>
          <w:szCs w:val="28"/>
          <w:rtl w:val="true"/>
          <w:lang w:bidi="fa-IR"/>
        </w:rPr>
        <w:t>کمن نذر فعلا فی مدّة الیقین بحیاة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المتیقّن المثبتة له من جهة الیقین،و هذه الأحکام کنفس المتیقّن أیضا لها استمرار شأنیّ لا یرتفع إلاّ بالرافع؛فإنّ جواز الدخول فی الصلاة بالطهارة أمر مستمرّ إلی أن یحدث 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نقض المتیقّن،و المراد به رفع الید عن مقتضاه،و إمّا نقض أحکام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الثابتة للمتیقّن من جهة الیقین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حینئذ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یستفاد من بعض الأمارات إرادة المعنی الثالث </w:t>
      </w:r>
      <w:r>
        <w:rPr>
          <w:rStyle w:val="FootnoteAnchor"/>
          <w:rtl w:val="true"/>
        </w:rPr>
        <w:footnoteReference w:id="285"/>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 الشکّ بالیقین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أفطر للرؤیة</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فإنّ مورده استصحاب بقاء رمضان،و الشکّ فیه لیس شکّا فی الرافع،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یقینه،فإنّ الیقین لا یدفع بالشکّ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المستفاد من هذه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النقض عدم الاعتناء بالاحتمال المخالف للیقین السابق،نظیر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شیئا من ذلک لا یصلح لصرف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رفع الشکّ؛لأنّ الشکّ ممّا إذا حصل لا یرتفع إلاّ برافع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w:t>
      </w:r>
      <w:r>
        <w:rPr>
          <w:rStyle w:val="FootnoteAnchor"/>
          <w:rtl w:val="true"/>
        </w:rPr>
        <w:footnoteReference w:id="292"/>
      </w:r>
      <w:r>
        <w:rPr>
          <w:rFonts w:ascii="IRNazanin" w:hAnsi="IRNazanin" w:eastAsia="IRNazanin"/>
          <w:color w:val="111111"/>
          <w:sz w:val="28"/>
          <w:sz w:val="28"/>
          <w:szCs w:val="28"/>
          <w:rtl w:val="true"/>
          <w:lang w:bidi="fa-IR"/>
        </w:rPr>
        <w:t>أنّه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ظاهر فی الاستصحاب </w:t>
      </w:r>
      <w:r>
        <w:rPr>
          <w:rStyle w:val="FootnoteAnchor"/>
          <w:rtl w:val="true"/>
        </w:rPr>
        <w:footnoteReference w:id="293"/>
      </w:r>
      <w:r>
        <w:rPr>
          <w:rFonts w:ascii="IRNazanin" w:hAnsi="IRNazanin" w:eastAsia="IRNazanin"/>
          <w:color w:val="111111"/>
          <w:sz w:val="28"/>
          <w:sz w:val="28"/>
          <w:szCs w:val="28"/>
          <w:rtl w:val="true"/>
          <w:lang w:bidi="fa-IR"/>
        </w:rPr>
        <w:t>، مع إمکان أن یجعل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ینقض بالشکّ،أو لا یدفع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اختصاص صدر الروایة بموارد النقض،مع أنّ الظاهر من المضیّ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الجری علی مقتضی الداعی السابق و عدم التوقّف </w:t>
      </w:r>
      <w:r>
        <w:rPr>
          <w:rStyle w:val="FootnoteAnchor"/>
          <w:rtl w:val="true"/>
        </w:rPr>
        <w:footnoteReference w:id="294"/>
      </w:r>
      <w:r>
        <w:rPr>
          <w:rFonts w:ascii="IRNazanin" w:hAnsi="IRNazanin" w:eastAsia="IRNazanin"/>
          <w:color w:val="111111"/>
          <w:sz w:val="28"/>
          <w:sz w:val="28"/>
          <w:szCs w:val="28"/>
          <w:rtl w:val="true"/>
          <w:lang w:bidi="fa-IR"/>
        </w:rPr>
        <w:t>إلاّ لصارف،نظیر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علیک السهو فامض علی صلاتک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نحوه،فهو أیضا مختصّ بما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فتفرّع الإفطار للرؤیة علیه من جهة استصحاب الاشتغال بصوم رمضان إلی أن یحصل الرافع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فالمتأمّل المنصف یجد أنّ هذه الأخبار لا تدلّ علی أزید من اعتبار الیقین السابق عند الشکّ فی الارتفاع برافع</w:t>
      </w:r>
      <w:r>
        <w:rPr>
          <w:rFonts w:eastAsia="IRNazanin" w:cs="IRNazanin"/>
          <w:color w:val="111111"/>
          <w:sz w:val="28"/>
          <w:szCs w:val="28"/>
          <w:rtl w:val="true"/>
          <w:lang w:bidi="fa-IR"/>
        </w:rPr>
        <w:t xml:space="preserve">. </w:t>
      </w:r>
      <w:bookmarkStart w:id="309" w:name="pg12985_124931"/>
    </w:p>
    <w:p>
      <w:pPr>
        <w:pStyle w:val="Heading3"/>
        <w:numPr>
          <w:ilvl w:val="2"/>
          <w:numId w:val="1"/>
        </w:numPr>
        <w:rPr/>
      </w:pPr>
      <w:bookmarkStart w:id="310" w:name="__RefHeading___Toc5767035_3224264995"/>
      <w:bookmarkStart w:id="311" w:name="_Toc126"/>
      <w:bookmarkEnd w:id="309"/>
      <w:bookmarkEnd w:id="310"/>
      <w:r>
        <w:rPr>
          <w:rtl w:val="true"/>
        </w:rPr>
        <w:t>حجة القول الأوّل</w:t>
      </w:r>
      <w:r>
        <w:rPr>
          <w:rtl w:val="true"/>
        </w:rPr>
        <w:t>:</w:t>
      </w:r>
      <w:bookmarkEnd w:id="311"/>
    </w:p>
    <w:p>
      <w:pPr>
        <w:pStyle w:val="Heading4"/>
        <w:numPr>
          <w:ilvl w:val="3"/>
          <w:numId w:val="1"/>
        </w:numPr>
        <w:rPr/>
      </w:pPr>
      <w:bookmarkStart w:id="312" w:name="__RefHeading___Toc5767037_3224264995"/>
      <w:bookmarkStart w:id="313" w:name="_Toc127"/>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للقول الأوّل بوجوه</w:t>
      </w:r>
      <w:r>
        <w:rPr>
          <w:rFonts w:eastAsia="IRNazanin" w:cs="IRNazanin"/>
          <w:color w:val="111111"/>
          <w:sz w:val="28"/>
          <w:szCs w:val="28"/>
          <w:rtl w:val="true"/>
          <w:lang w:bidi="fa-IR"/>
        </w:rPr>
        <w:t>:</w:t>
      </w:r>
    </w:p>
    <w:p>
      <w:pPr>
        <w:pStyle w:val="Heading4"/>
        <w:numPr>
          <w:ilvl w:val="3"/>
          <w:numId w:val="1"/>
        </w:numPr>
        <w:rPr/>
      </w:pPr>
      <w:bookmarkStart w:id="314" w:name="__RefHeading___Toc5767039_3224264995"/>
      <w:bookmarkStart w:id="315" w:name="_Toc128"/>
      <w:bookmarkEnd w:id="314"/>
      <w:r>
        <w:rPr>
          <w:rtl w:val="true"/>
        </w:rPr>
        <w:t>الوجه الأوّل و المناقشة فیه</w:t>
      </w:r>
      <w:r>
        <w:rPr>
          <w:rtl w:val="true"/>
        </w:rPr>
        <w:t>:</w:t>
      </w:r>
      <w:bookmarkEnd w:id="31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الاستصحاب حجّة لم یستقم استفادة الأحکام من الأدلّة اللفظیّة؛لتوقّفها علی أصالة عدم القرینة و المعارض و المخصّص و المقیّد و الناسخ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الاصول قواعد لفظیّة مجمع علیها بین العلماء و جمیع أهل اللسان فی باب الاستفادة،مع أنّها اصول عدمیّة لا یستلزم القول بها القول باعتبار الاستصحاب مطلقا،إمّا لکونها مجمعا علیها بالخصوص،و إمّا لرجوعها إلی الشکّ فی الرافع</w:t>
      </w:r>
      <w:r>
        <w:rPr>
          <w:rFonts w:eastAsia="IRNazanin" w:cs="IRNazanin"/>
          <w:color w:val="111111"/>
          <w:sz w:val="28"/>
          <w:szCs w:val="28"/>
          <w:rtl w:val="true"/>
          <w:lang w:bidi="fa-IR"/>
        </w:rPr>
        <w:t>.</w:t>
      </w:r>
    </w:p>
    <w:p>
      <w:pPr>
        <w:pStyle w:val="Heading4"/>
        <w:numPr>
          <w:ilvl w:val="3"/>
          <w:numId w:val="1"/>
        </w:numPr>
        <w:rPr/>
      </w:pPr>
      <w:bookmarkStart w:id="316" w:name="__RefHeading___Toc5767041_3224264995"/>
      <w:bookmarkStart w:id="317" w:name="_Toc129"/>
      <w:bookmarkEnd w:id="316"/>
      <w:r>
        <w:rPr>
          <w:rtl w:val="true"/>
        </w:rPr>
        <w:t>الوجه الثانی</w:t>
      </w:r>
      <w:r>
        <w:rPr>
          <w:rtl w:val="true"/>
        </w:rPr>
        <w:t>:</w:t>
      </w:r>
      <w:bookmarkEnd w:id="317"/>
    </w:p>
    <w:p>
      <w:pPr>
        <w:pStyle w:val="Heading5"/>
        <w:numPr>
          <w:ilvl w:val="4"/>
          <w:numId w:val="1"/>
        </w:numPr>
        <w:rPr/>
      </w:pPr>
      <w:bookmarkStart w:id="318" w:name="__RefHeading___Toc5767043_3224264995"/>
      <w:bookmarkStart w:id="319" w:name="_Toc13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فی المعارج،و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للحکم الأوّل ثابت،و العارض لا یصلح رافعا،فیجب الحکم بثبوته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المقتضی ثابت،فلأنّا نتکلّم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 العارض لا یصلح رافعا؛فلأنّ العارض احتمال تجدّد ما یوجب زوال الحکم،لکنّ احتمال ذلک معارض باحتمال عدمه،فیکون کلّ منهما مدفوعا بمقابله،فیبقی الحکم الثابت سلیما عن الرافع </w:t>
      </w:r>
      <w:r>
        <w:rPr>
          <w:rStyle w:val="FootnoteAnchor"/>
          <w:rtl w:val="true"/>
        </w:rPr>
        <w:footnoteReference w:id="2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بالمقتضی؛إمّا العلّة التامّة للحکم أو للعلم به </w:t>
      </w:r>
      <w:bookmarkStart w:id="320" w:name="pg12985_124932"/>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المقتضی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 الأوّل </w:t>
      </w:r>
      <w:r>
        <w:rPr>
          <w:rStyle w:val="FootnoteAnchor"/>
          <w:rtl w:val="true"/>
        </w:rPr>
        <w:footnoteReference w:id="298"/>
      </w:r>
      <w:r>
        <w:rPr>
          <w:rFonts w:ascii="IRNazanin" w:hAnsi="IRNazanin" w:eastAsia="IRNazanin"/>
          <w:color w:val="111111"/>
          <w:sz w:val="28"/>
          <w:sz w:val="28"/>
          <w:szCs w:val="28"/>
          <w:rtl w:val="true"/>
          <w:lang w:bidi="fa-IR"/>
        </w:rPr>
        <w:t>،فلا بدّ من أن یراد من ثبوته ثبوته فی الزمان الأوّل،و من المعلوم عدم اقتضاء ذلک لثبوت المعلول أو المدلول فی الزمان الثانی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Style w:val="FootnoteAnchor"/>
          <w:rtl w:val="true"/>
        </w:rPr>
        <w:footnoteReference w:id="299"/>
      </w:r>
      <w:r>
        <w:rPr>
          <w:rFonts w:ascii="IRNazanin" w:hAnsi="IRNazanin" w:eastAsia="IRNazanin"/>
          <w:color w:val="111111"/>
          <w:sz w:val="28"/>
          <w:sz w:val="28"/>
          <w:szCs w:val="28"/>
          <w:rtl w:val="true"/>
          <w:lang w:bidi="fa-IR"/>
        </w:rPr>
        <w:t>،فلا بدّ من أن یراد ثبوته فی الزمان الثانی مقتضیا للحکم</w:t>
      </w:r>
      <w:r>
        <w:rPr>
          <w:rFonts w:eastAsia="IRNazanin" w:cs="IRNazanin"/>
          <w:color w:val="111111"/>
          <w:sz w:val="28"/>
          <w:szCs w:val="28"/>
          <w:rtl w:val="true"/>
          <w:lang w:bidi="fa-IR"/>
        </w:rPr>
        <w:t>.</w:t>
      </w:r>
    </w:p>
    <w:p>
      <w:pPr>
        <w:pStyle w:val="Heading5"/>
        <w:numPr>
          <w:ilvl w:val="4"/>
          <w:numId w:val="1"/>
        </w:numPr>
        <w:rPr/>
      </w:pPr>
      <w:bookmarkStart w:id="321" w:name="__RefHeading___Toc5767045_3224264995"/>
      <w:bookmarkStart w:id="322" w:name="_Toc131"/>
      <w:bookmarkEnd w:id="321"/>
      <w:r>
        <w:rPr>
          <w:rtl w:val="true"/>
        </w:rPr>
        <w:t>المناقشة فی الوجه الثانی</w:t>
      </w:r>
      <w:r>
        <w:rPr>
          <w:rtl w:val="true"/>
        </w:rPr>
        <w:t>:</w:t>
      </w:r>
      <w:bookmarkEnd w:id="322"/>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أخصّ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عدم الرافع لا یثبت العلم و لا الظنّ بثبوت المقتضی،بالفتح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معارضة احتمال الرافع باحتمال عدمه الموجبة للتساقط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کان سقوط الاحتمالین فلا معنی له،و إن کان سقوط المحتملین عن الاعتبار حتّی لا یحکم بالرافع و لا بعدمه،فمعنی ذلک التوقّف عن الحکم بثبوت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ثبوته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یحکی إبدال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الحکم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 ثبوته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یتخیّل أنّ هذا أبعد عن الإیراد،و مرجعه إلی دلیل آخر ذکره العضدی </w:t>
      </w:r>
      <w:r>
        <w:rPr>
          <w:rStyle w:val="FootnoteAnchor"/>
          <w:rtl w:val="true"/>
        </w:rPr>
        <w:footnoteReference w:id="301"/>
      </w:r>
      <w:r>
        <w:rPr>
          <w:rFonts w:ascii="IRNazanin" w:hAnsi="IRNazanin" w:eastAsia="IRNazanin"/>
          <w:color w:val="111111"/>
          <w:sz w:val="28"/>
          <w:sz w:val="28"/>
          <w:szCs w:val="28"/>
          <w:rtl w:val="true"/>
          <w:lang w:bidi="fa-IR"/>
        </w:rPr>
        <w:t xml:space="preserve">و غیره </w:t>
      </w:r>
      <w:r>
        <w:rPr>
          <w:rStyle w:val="FootnoteAnchor"/>
          <w:rtl w:val="true"/>
        </w:rPr>
        <w:footnoteReference w:id="30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ثبت فی وقت و لم یظنّ عدمه </w:t>
      </w:r>
    </w:p>
    <w:p>
      <w:pPr>
        <w:pStyle w:val="BookText"/>
        <w:rPr/>
      </w:pPr>
      <w:r>
        <w:rPr>
          <w:rFonts w:ascii="IRNazanin" w:hAnsi="IRNazanin" w:eastAsia="IRNazanin"/>
          <w:color w:val="111111"/>
          <w:sz w:val="28"/>
          <w:sz w:val="28"/>
          <w:szCs w:val="28"/>
          <w:rtl w:val="true"/>
          <w:lang w:bidi="fa-IR"/>
        </w:rPr>
        <w:t>فهو مظنون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ما فیه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هذا الدلیل دعوی القطع ببقاء الحالة السابقة واقعا </w:t>
      </w:r>
      <w:r>
        <w:rPr>
          <w:rStyle w:val="FootnoteAnchor"/>
          <w:rtl w:val="true"/>
        </w:rPr>
        <w:footnoteReference w:id="304"/>
      </w:r>
      <w:r>
        <w:rPr>
          <w:rFonts w:ascii="IRNazanin" w:hAnsi="IRNazanin" w:eastAsia="IRNazanin"/>
          <w:color w:val="111111"/>
          <w:sz w:val="28"/>
          <w:sz w:val="28"/>
          <w:szCs w:val="28"/>
          <w:rtl w:val="true"/>
          <w:lang w:bidi="fa-IR"/>
        </w:rPr>
        <w:t xml:space="preserve">، و لم یعرف هذه الدعوی من أحد،و اعترف بعدمه فی المعارج فی أجوبة النافین،و صرّح بدعوی رجحان البقاء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البناء </w:t>
      </w:r>
      <w:r>
        <w:rPr>
          <w:rStyle w:val="FootnoteAnchor"/>
          <w:rtl w:val="true"/>
        </w:rPr>
        <w:footnoteReference w:id="306"/>
      </w:r>
      <w:r>
        <w:rPr>
          <w:rFonts w:ascii="IRNazanin" w:hAnsi="IRNazanin" w:eastAsia="IRNazanin"/>
          <w:color w:val="111111"/>
          <w:sz w:val="28"/>
          <w:sz w:val="28"/>
          <w:szCs w:val="28"/>
          <w:rtl w:val="true"/>
          <w:lang w:bidi="fa-IR"/>
        </w:rPr>
        <w:t>علی الحالة السابقة و لو مع عدم رجحانه،و هو فی غایة البعد عن عمل العقلاء بالاستصحاب فی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مرجع هذا الدلیل إلی أنّه إذا احرز المقتضی و شکّ فی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المقتضی و عدم المانع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عدمه و وجود المقتضی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یستفاد من کلامه السابق </w:t>
      </w:r>
      <w:r>
        <w:rPr>
          <w:rStyle w:val="FootnoteAnchor"/>
          <w:rtl w:val="true"/>
        </w:rPr>
        <w:footnoteReference w:id="307"/>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مراده بالمقتضی للحکم دلیله،و أنّ المراد بالعارض احتمال طروّ المخصّص لذلک الدلیل،فمرجعه إلی أنّ الشکّ فی تخصیص العامّ أو تقیید المطلق لا عبرة به،کما یظهر من تمثیله بالنکاح و الشکّ فی حصول الطلاق ببعض الألفاظ،فإنّه إذا دلّ الدلیل علی أنّ عقد النکاح یحدث علاقة الزوجیّة،و علم من الدلیل دوامها،و وجد فی الشرع ما ثبت </w:t>
      </w:r>
      <w:bookmarkStart w:id="323" w:name="pg12985_124934"/>
    </w:p>
    <w:p>
      <w:pPr>
        <w:pStyle w:val="BookText"/>
        <w:rPr/>
      </w:pPr>
      <w:bookmarkEnd w:id="323"/>
      <w:r>
        <w:rPr>
          <w:rFonts w:ascii="IRNazanin" w:hAnsi="IRNazanin" w:eastAsia="IRNazanin"/>
          <w:color w:val="111111"/>
          <w:sz w:val="28"/>
          <w:sz w:val="28"/>
          <w:szCs w:val="28"/>
          <w:rtl w:val="true"/>
          <w:lang w:bidi="fa-IR"/>
        </w:rPr>
        <w:t>کونه رافعا لها،و شکّ فی شیء آخر أنّه رافع مستقلّ أو فرد من ذلک الرافع أم لا،وجب العمل بدوام الزوجیّة؛عملا بالعموم إلی أن یثبت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حقّ،و علیه عمل العلماء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شکّ فی صدق الرافع علی موجود خارجیّ 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کظلمة أو عدم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العمل بالعموم حینئذ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إنسان أنّه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فی باب العامّ المخصّص،أصحّهما عدم الاعتبار بذلک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المحقّق قدّس سرّه فی الشبهة الحکمیّة،بل مفروض کلام القوم أیضا اعتبار الاستصحاب المعدود من أدلّة الأحکام فیها،دون مطلق الشبهة الشاملة للشبهة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أمکننا من توجیه 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یظهر بالتأمّل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استقامته فی نفسه،و عدم انطباقه علی قوله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،کما نبّه علیه فی المعالم </w:t>
      </w:r>
      <w:r>
        <w:rPr>
          <w:rStyle w:val="FootnoteAnchor"/>
          <w:rtl w:val="true"/>
        </w:rPr>
        <w:footnoteReference w:id="309"/>
      </w:r>
      <w:r>
        <w:rPr>
          <w:rFonts w:ascii="IRNazanin" w:hAnsi="IRNazanin" w:eastAsia="IRNazanin"/>
          <w:color w:val="111111"/>
          <w:sz w:val="28"/>
          <w:sz w:val="28"/>
          <w:szCs w:val="28"/>
          <w:rtl w:val="true"/>
          <w:lang w:bidi="fa-IR"/>
        </w:rPr>
        <w:t xml:space="preserve">و تبعه غیره </w:t>
      </w:r>
      <w:r>
        <w:rPr>
          <w:rStyle w:val="FootnoteAnchor"/>
          <w:rtl w:val="true"/>
        </w:rPr>
        <w:footnoteReference w:id="3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767047_3224264995"/>
      <w:bookmarkStart w:id="325" w:name="_Toc132"/>
      <w:bookmarkEnd w:id="324"/>
      <w:r>
        <w:rPr>
          <w:rtl w:val="true"/>
        </w:rPr>
        <w:t>الوجه الثالث</w:t>
      </w:r>
      <w:r>
        <w:rPr>
          <w:rtl w:val="true"/>
        </w:rPr>
        <w:t>:</w:t>
      </w:r>
      <w:bookmarkEnd w:id="325"/>
    </w:p>
    <w:p>
      <w:pPr>
        <w:pStyle w:val="Heading5"/>
        <w:numPr>
          <w:ilvl w:val="4"/>
          <w:numId w:val="1"/>
        </w:numPr>
        <w:rPr/>
      </w:pPr>
      <w:bookmarkStart w:id="326" w:name="__RefHeading___Toc5767049_3224264995"/>
      <w:bookmarkStart w:id="327" w:name="_Toc133"/>
      <w:bookmarkEnd w:id="326"/>
      <w:r>
        <w:rPr>
          <w:rtl w:val="true"/>
        </w:rPr>
        <w:t>اشارة</w:t>
      </w:r>
      <w:bookmarkEnd w:id="3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الثابت فی الزمان الأوّل ممکن الثبوت فی الآن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یحتمل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بقاؤه ما لم یتجدّد مؤثّر العدم؛لاستحالة خروج الممکن عمّا علیه بلا مؤثّر،فإذا کان التقدیر تقدیر عدم العلم بالمؤثّر فالراجح بقاؤه،فیجب العمل علیه</w:t>
      </w:r>
      <w:r>
        <w:rPr>
          <w:rFonts w:eastAsia="IRNazanin" w:cs="IRNazanin"/>
          <w:color w:val="111111"/>
          <w:sz w:val="28"/>
          <w:szCs w:val="28"/>
          <w:rtl w:val="true"/>
          <w:lang w:bidi="fa-IR"/>
        </w:rPr>
        <w:t xml:space="preserve">. </w:t>
      </w:r>
      <w:bookmarkStart w:id="328" w:name="pg12985_124935"/>
    </w:p>
    <w:p>
      <w:pPr>
        <w:pStyle w:val="Heading5"/>
        <w:numPr>
          <w:ilvl w:val="4"/>
          <w:numId w:val="1"/>
        </w:numPr>
        <w:rPr/>
      </w:pPr>
      <w:bookmarkStart w:id="329" w:name="__RefHeading___Toc5767051_3224264995"/>
      <w:bookmarkStart w:id="330" w:name="_Toc134"/>
      <w:bookmarkEnd w:id="328"/>
      <w:bookmarkEnd w:id="329"/>
      <w:r>
        <w:rPr>
          <w:rtl w:val="true"/>
        </w:rPr>
        <w:t>المناقشة فی الوجه الثالث</w:t>
      </w:r>
      <w:r>
        <w:rPr>
          <w:rtl w:val="true"/>
        </w:rPr>
        <w:t>:</w:t>
      </w:r>
      <w:bookmarkEnd w:id="330"/>
    </w:p>
    <w:p>
      <w:pPr>
        <w:pStyle w:val="Heading6"/>
        <w:numPr>
          <w:ilvl w:val="5"/>
          <w:numId w:val="1"/>
        </w:numPr>
        <w:rPr/>
      </w:pPr>
      <w:bookmarkStart w:id="331" w:name="__RefHeading___Toc5767053_3224264995"/>
      <w:bookmarkStart w:id="332" w:name="_Toc135"/>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استلزام عدم العلم بالمؤثّر رجحان عدمه المستلزم لرجحان البقاء،مع أنّ مرجع هذا الوجه إلی ما ذکره العضدیّ و غیره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ما تحقّق وجوده و لم یظنّ عدمه أو لم یعلم عدمه،فهو مظنون البقاء</w:t>
      </w:r>
      <w:r>
        <w:rPr>
          <w:rFonts w:eastAsia="IRNazanin" w:cs="IRNazanin"/>
          <w:color w:val="111111"/>
          <w:sz w:val="28"/>
          <w:szCs w:val="28"/>
          <w:rtl w:val="true"/>
          <w:lang w:bidi="fa-IR"/>
        </w:rPr>
        <w:t>.</w:t>
      </w:r>
    </w:p>
    <w:p>
      <w:pPr>
        <w:pStyle w:val="Heading6"/>
        <w:numPr>
          <w:ilvl w:val="5"/>
          <w:numId w:val="1"/>
        </w:numPr>
        <w:rPr/>
      </w:pPr>
      <w:bookmarkStart w:id="333" w:name="__RefHeading___Toc5767055_3224264995"/>
      <w:bookmarkStart w:id="334" w:name="_Toc136"/>
      <w:bookmarkEnd w:id="333"/>
      <w:r>
        <w:rPr>
          <w:rtl w:val="true"/>
        </w:rPr>
        <w:t>دعوی أنّ وجود الشیء سابقا یقتضی الظنّ ببقائه و الجواب عنها</w:t>
      </w:r>
      <w:r>
        <w:rPr>
          <w:rtl w:val="true"/>
        </w:rPr>
        <w:t>:</w:t>
      </w:r>
      <w:bookmarkEnd w:id="334"/>
    </w:p>
    <w:p>
      <w:pPr>
        <w:pStyle w:val="BookText"/>
        <w:rPr/>
      </w:pP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و أمثاله من أدلّتهم الراجعة إلی دعوی حصول ظنّ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مجرّد وجود الشیء سابقا مقتضیا لظنّ بقائه؛کما یشهد له تتّبع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إن ارید اعتبار الاستصحاب من باب الظنّ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لمجرّد </w:t>
      </w:r>
      <w:r>
        <w:rPr>
          <w:rStyle w:val="FootnoteAnchor"/>
          <w:rtl w:val="true"/>
        </w:rPr>
        <w:footnoteReference w:id="312"/>
      </w:r>
      <w:r>
        <w:rPr>
          <w:rFonts w:ascii="IRNazanin" w:hAnsi="IRNazanin" w:eastAsia="IRNazanin"/>
          <w:color w:val="111111"/>
          <w:sz w:val="28"/>
          <w:sz w:val="28"/>
          <w:szCs w:val="28"/>
          <w:rtl w:val="true"/>
          <w:lang w:bidi="fa-IR"/>
        </w:rPr>
        <w:t>کونه لو خلّی و طبعه یفید الظنّ بالبقاء و إن لم یفده فعلا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اعتباره أصلا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اعتباره عند حصول الظنّ فعلا منه،فهو و إن استقام علی ما یظهر من بعض من قارب عصرنا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حجّیة الظنّ، إلاّ أنّ القول باعتبار الاستصحاب بشرط حصول الظنّ الشخصیّ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فی الموارد الواحد یختلف الحکم باختلاف الأشخاص و الأزمان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یقل به أحد فیما أعلم،عدا ما یظهر من شیخنا البهائی قدّس سرّه فی عبارته المتقدّمة </w:t>
      </w:r>
      <w:r>
        <w:rPr>
          <w:rStyle w:val="FootnoteAnchor"/>
          <w:rtl w:val="true"/>
        </w:rPr>
        <w:footnoteReference w:id="314"/>
      </w:r>
      <w:r>
        <w:rPr>
          <w:rFonts w:ascii="IRNazanin" w:hAnsi="IRNazanin" w:eastAsia="IRNazanin"/>
          <w:color w:val="111111"/>
          <w:sz w:val="28"/>
          <w:sz w:val="28"/>
          <w:szCs w:val="28"/>
          <w:rtl w:val="true"/>
          <w:lang w:bidi="fa-IR"/>
        </w:rPr>
        <w:t xml:space="preserve">،و ما ذکره قدّس سرّه مخالف للإجماع ظاهرا؛لأنّ بناء </w:t>
      </w:r>
      <w:bookmarkStart w:id="335" w:name="pg12985_124936"/>
    </w:p>
    <w:p>
      <w:pPr>
        <w:pStyle w:val="BookText"/>
        <w:rPr/>
      </w:pPr>
      <w:bookmarkEnd w:id="335"/>
      <w:r>
        <w:rPr>
          <w:rFonts w:ascii="IRNazanin" w:hAnsi="IRNazanin" w:eastAsia="IRNazanin"/>
          <w:color w:val="111111"/>
          <w:sz w:val="28"/>
          <w:sz w:val="28"/>
          <w:szCs w:val="28"/>
          <w:rtl w:val="true"/>
          <w:lang w:bidi="fa-IR"/>
        </w:rPr>
        <w:t xml:space="preserve">العلماء فی العمل بالاستصحاب فی الأحکام الجزئیّة و الکلّیة و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مراعاة الظنّ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کلام العضدی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فی إفادته الظنّ بالبقاء عدم الظنّ بالارتفاع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أمارة حیث لا أمارة،و لیس فی الأمارات ما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یکون الغلبة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کان،فقد عرفت </w:t>
      </w:r>
      <w:r>
        <w:rPr>
          <w:rStyle w:val="FootnoteAnchor"/>
          <w:rtl w:val="true"/>
        </w:rPr>
        <w:footnoteReference w:id="316"/>
      </w:r>
      <w:r>
        <w:rPr>
          <w:rFonts w:ascii="IRNazanin" w:hAnsi="IRNazanin" w:eastAsia="IRNazanin"/>
          <w:color w:val="111111"/>
          <w:sz w:val="28"/>
          <w:sz w:val="28"/>
          <w:szCs w:val="28"/>
          <w:rtl w:val="true"/>
          <w:lang w:bidi="fa-IR"/>
        </w:rPr>
        <w:t>منع إفادة مجرّد الیقین بوجود الشیء للظنّ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استظهر بعض </w:t>
      </w:r>
      <w:r>
        <w:rPr>
          <w:rStyle w:val="FootnoteAnchor"/>
          <w:rtl w:val="true"/>
        </w:rPr>
        <w:footnoteReference w:id="317"/>
      </w:r>
      <w:r>
        <w:rPr>
          <w:rFonts w:ascii="IRNazanin" w:hAnsi="IRNazanin" w:eastAsia="IRNazanin"/>
          <w:color w:val="111111"/>
          <w:sz w:val="28"/>
          <w:sz w:val="28"/>
          <w:szCs w:val="28"/>
          <w:rtl w:val="true"/>
          <w:lang w:bidi="fa-IR"/>
        </w:rPr>
        <w:t>تبعا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المنشأ فی حصول الظنّ غلبة البقاء فی الامور القارّة</w:t>
      </w:r>
      <w:r>
        <w:rPr>
          <w:rFonts w:eastAsia="IRNazanin" w:cs="IRNazanin"/>
          <w:color w:val="111111"/>
          <w:sz w:val="28"/>
          <w:szCs w:val="28"/>
          <w:rtl w:val="true"/>
          <w:lang w:bidi="fa-IR"/>
        </w:rPr>
        <w:t>.</w:t>
      </w:r>
    </w:p>
    <w:p>
      <w:pPr>
        <w:pStyle w:val="Heading6"/>
        <w:numPr>
          <w:ilvl w:val="5"/>
          <w:numId w:val="1"/>
        </w:numPr>
        <w:rPr/>
      </w:pPr>
      <w:bookmarkStart w:id="336" w:name="__RefHeading___Toc5767057_3224264995"/>
      <w:bookmarkStart w:id="337" w:name="_Toc137"/>
      <w:bookmarkEnd w:id="336"/>
      <w:r>
        <w:rPr>
          <w:rtl w:val="true"/>
        </w:rPr>
        <w:t>کلام السید الصدر فی المقام</w:t>
      </w:r>
      <w:r>
        <w:rPr>
          <w:rtl w:val="true"/>
        </w:rPr>
        <w:t>:</w:t>
      </w:r>
      <w:bookmarkEnd w:id="337"/>
    </w:p>
    <w:p>
      <w:pPr>
        <w:pStyle w:val="BookText"/>
        <w:rPr/>
      </w:pPr>
      <w:r>
        <w:rPr>
          <w:rFonts w:ascii="IRNazanin" w:hAnsi="IRNazanin" w:eastAsia="IRNazanin"/>
          <w:color w:val="111111"/>
          <w:sz w:val="28"/>
          <w:sz w:val="28"/>
          <w:szCs w:val="28"/>
          <w:rtl w:val="true"/>
          <w:lang w:bidi="fa-IR"/>
        </w:rPr>
        <w:t>قال السیّد الشارح للوافیة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دعوی رجحان البقاء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الرجحان لا بدّ له من موجب؛لأنّ وجود کلّ معلول یدلّ علی وجود علّة له إجمالا،و لیست هی الیقین المتقدّم بنفسه؛لأنّ ما ثبت جاز أن یدوم و جاز أن لا یدوم،و یشبه أن یکون </w:t>
      </w:r>
      <w:r>
        <w:rPr>
          <w:rStyle w:val="FootnoteAnchor"/>
          <w:rtl w:val="true"/>
        </w:rPr>
        <w:footnoteReference w:id="318"/>
      </w:r>
      <w:r>
        <w:rPr>
          <w:rFonts w:ascii="IRNazanin" w:hAnsi="IRNazanin" w:eastAsia="IRNazanin"/>
          <w:color w:val="111111"/>
          <w:sz w:val="28"/>
          <w:sz w:val="28"/>
          <w:szCs w:val="28"/>
          <w:rtl w:val="true"/>
          <w:lang w:bidi="fa-IR"/>
        </w:rPr>
        <w:t>هی کون الأغلب فی أفراد الممکن القارّ أن یستمرّ وجوده بعد التحقّق،فیکون رجحان وجود هذا الممکن الخاصّ للإلحاق بالأعمّ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رجحان الدوام مؤیّدا بعادة أو أمارة،و إلاّ فیقوی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 </w:t>
      </w:r>
      <w:bookmarkStart w:id="338" w:name="pg12985_124937"/>
    </w:p>
    <w:p>
      <w:pPr>
        <w:pStyle w:val="BookText"/>
        <w:rPr/>
      </w:pPr>
      <w:bookmarkEnd w:id="338"/>
      <w:r>
        <w:rPr>
          <w:rFonts w:ascii="IRNazanin" w:hAnsi="IRNazanin" w:eastAsia="IRNazanin"/>
          <w:color w:val="111111"/>
          <w:sz w:val="28"/>
          <w:sz w:val="28"/>
          <w:szCs w:val="28"/>
          <w:rtl w:val="true"/>
          <w:lang w:bidi="fa-IR"/>
        </w:rPr>
        <w:t xml:space="preserve">علی الوجود حال العدم إذا کان یقینیّا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339" w:name="__RefHeading___Toc5767059_3224264995"/>
      <w:bookmarkStart w:id="340" w:name="_Toc138"/>
      <w:bookmarkEnd w:id="339"/>
      <w:r>
        <w:rPr>
          <w:rtl w:val="true"/>
        </w:rPr>
        <w:t>المناقشة فیما أفاده السید الصدر</w:t>
      </w:r>
      <w:r>
        <w:rPr>
          <w:rtl w:val="true"/>
        </w:rPr>
        <w:t>:</w:t>
      </w:r>
      <w:bookmarkEnd w:id="340"/>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بغلبة البقاء لیس غلبة البقاء أبد الآباد،بل المراد البقاء علی مقدار خاصّ من الزمان،و لا ریب أنّ ذلک المقدار الخاصّ لیس أمرا مضبوطا فی الممکنات و لا فی المستصحبات،و القدر المشترک بین الکلّ أو الأغلب منه معلوم التحقّق فی موارد الاستصحاب،و إنّما الشکّ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بقاء الأغلب إلی زمان الشکّ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ارید أغلب الموجودات السابقة بقول مطلق،ففیه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نعلم بقاء الأغلب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 بقاء الأغلب فی إلحاق المشکوک؛للعلم بعدم الرابط بینها </w:t>
      </w:r>
      <w:r>
        <w:rPr>
          <w:rStyle w:val="FootnoteAnchor"/>
          <w:rtl w:val="true"/>
        </w:rPr>
        <w:footnoteReference w:id="321"/>
      </w:r>
      <w:r>
        <w:rPr>
          <w:rFonts w:ascii="IRNazanin" w:hAnsi="IRNazanin" w:eastAsia="IRNazanin"/>
          <w:color w:val="111111"/>
          <w:sz w:val="28"/>
          <w:sz w:val="28"/>
          <w:szCs w:val="28"/>
          <w:rtl w:val="true"/>
          <w:lang w:bidi="fa-IR"/>
        </w:rPr>
        <w:t>،و عدم استناد البقاء فیها إلی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البقاء فی کلّ واحد منها مستند إلی ما هو مفقود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نعم،بعضها مشترک </w:t>
      </w:r>
      <w:r>
        <w:rPr>
          <w:rStyle w:val="FootnoteAnchor"/>
          <w:rtl w:val="true"/>
        </w:rPr>
        <w:footnoteReference w:id="322"/>
      </w:r>
      <w:r>
        <w:rPr>
          <w:rFonts w:ascii="IRNazanin" w:hAnsi="IRNazanin" w:eastAsia="IRNazanin"/>
          <w:color w:val="111111"/>
          <w:sz w:val="28"/>
          <w:sz w:val="28"/>
          <w:szCs w:val="28"/>
          <w:rtl w:val="true"/>
          <w:lang w:bidi="fa-IR"/>
        </w:rPr>
        <w:t>فی مناط البقاء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بقاء الموجودات المشارکة مع نجاسة الماء المتغیّر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الجواهر و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الشکّ فی النجاسة؛لذهاب التغیّر المشکوک مدخلیّته فی بقاء النجاسة،لا یوجب الظنّ ببقائها و عدم مدخلیّة التغیّر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الکلام فی کلّ ما شکّ فی </w:t>
      </w:r>
      <w:bookmarkStart w:id="341" w:name="pg12985_124938"/>
    </w:p>
    <w:p>
      <w:pPr>
        <w:pStyle w:val="BookText"/>
        <w:rPr/>
      </w:pPr>
      <w:bookmarkEnd w:id="341"/>
      <w:r>
        <w:rPr>
          <w:rFonts w:ascii="IRNazanin" w:hAnsi="IRNazanin" w:eastAsia="IRNazanin"/>
          <w:color w:val="111111"/>
          <w:sz w:val="28"/>
          <w:sz w:val="28"/>
          <w:szCs w:val="28"/>
          <w:rtl w:val="true"/>
          <w:lang w:bidi="fa-IR"/>
        </w:rPr>
        <w:t>بقائه لأجل الشکّ فی استعداده للبقاء</w:t>
      </w:r>
      <w:r>
        <w:rPr>
          <w:rFonts w:eastAsia="IRNazanin" w:cs="IRNazanin"/>
          <w:color w:val="111111"/>
          <w:sz w:val="28"/>
          <w:szCs w:val="28"/>
          <w:rtl w:val="true"/>
          <w:lang w:bidi="fa-IR"/>
        </w:rPr>
        <w:t>.</w:t>
      </w:r>
    </w:p>
    <w:p>
      <w:pPr>
        <w:pStyle w:val="Heading6"/>
        <w:numPr>
          <w:ilvl w:val="5"/>
          <w:numId w:val="1"/>
        </w:numPr>
        <w:rPr/>
      </w:pPr>
      <w:bookmarkStart w:id="342" w:name="__RefHeading___Toc5767061_3224264995"/>
      <w:bookmarkStart w:id="343" w:name="_Toc139"/>
      <w:bookmarkEnd w:id="342"/>
      <w:r>
        <w:rPr>
          <w:rtl w:val="true"/>
        </w:rPr>
        <w:t>کلام صاحب القوانین فی المقام</w:t>
      </w:r>
      <w:r>
        <w:rPr>
          <w:rtl w:val="true"/>
        </w:rPr>
        <w:t>:</w:t>
      </w:r>
      <w:bookmarkEnd w:id="343"/>
    </w:p>
    <w:p>
      <w:pPr>
        <w:pStyle w:val="BookText"/>
        <w:rPr/>
      </w:pPr>
      <w:r>
        <w:rPr>
          <w:rFonts w:ascii="IRNazanin" w:hAnsi="IRNazanin" w:eastAsia="IRNazanin"/>
          <w:color w:val="111111"/>
          <w:sz w:val="28"/>
          <w:sz w:val="28"/>
          <w:szCs w:val="28"/>
          <w:rtl w:val="true"/>
          <w:lang w:bidi="fa-IR"/>
        </w:rPr>
        <w:t xml:space="preserve">و إن ارید به </w:t>
      </w:r>
      <w:r>
        <w:rPr>
          <w:rStyle w:val="FootnoteAnchor"/>
          <w:rtl w:val="true"/>
        </w:rPr>
        <w:footnoteReference w:id="323"/>
      </w:r>
      <w:r>
        <w:rPr>
          <w:rFonts w:ascii="Amiri" w:hAnsi="Amiri" w:eastAsia="Amiri" w:cs="Amiri"/>
          <w:color w:val="111111"/>
          <w:sz w:val="28"/>
          <w:sz w:val="28"/>
          <w:szCs w:val="28"/>
          <w:rtl w:val="true"/>
          <w:lang w:bidi="ar-SA"/>
        </w:rPr>
        <w:t xml:space="preserve">ما وجّه به کلام السیّد المتقدّم </w:t>
      </w:r>
      <w:r>
        <w:rPr>
          <w:rStyle w:val="FootnoteAnchor"/>
          <w:rtl w:val="true"/>
        </w:rPr>
        <w:footnoteReference w:id="324"/>
      </w:r>
      <w:r>
        <w:rPr>
          <w:rFonts w:ascii="IRNazanin" w:hAnsi="IRNazanin" w:eastAsia="IRNazanin"/>
          <w:color w:val="111111"/>
          <w:sz w:val="28"/>
          <w:sz w:val="28"/>
          <w:szCs w:val="28"/>
          <w:rtl w:val="true"/>
          <w:lang w:bidi="fa-IR"/>
        </w:rPr>
        <w:t xml:space="preserve">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تبعه فی الاعتراف بأنّ هذا الظنّ لیس منشؤه محض الحصول فی الآن السابق؛لأنّ ما ثبت جاز أن یدوم و جاز أن لا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لأنّا لمّا فتّشنا الامور الخارجیّة من الأعدام و الموجودات وجدناها مستمرّة بوجودها الأوّل علی حسب استعداداتها و تفاوتها فی مراتبها،فنحکم فیما لم نعلم حاله بما وجدناه فی الغالب؛إلحاقا له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نوع من أنواع الممکنات یلاحظ زمان الحکم ببقائه بحسب ما غلب فی أفراد ذلک النوع؛فالاستعداد الحاصل للجدران القویمة یقتضی مقدارا من البقاء بحسب العادة،و الاستعداد الحاصل للإنسان یقتضی مقدارا منه،و للفرس مقدارا آخر،و للحشرات مقدارا آخر،و لدود القزّ و البقّ و الذباب مقدارا آخر،و کذلک الرطوبة فی الصیف و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الاستمرار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مقدار الاستمرار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ففیما جهل حاله من الممکنات القارّة،یثبت ظنّ الاستمرار فی الجملة بملاحظة حال أغلب الممکنات مع قطع النظر عن تفاوت أنواعها، </w:t>
      </w:r>
    </w:p>
    <w:p>
      <w:pPr>
        <w:pStyle w:val="BookText"/>
        <w:rPr/>
      </w:pPr>
      <w:r>
        <w:rPr>
          <w:rFonts w:ascii="IRNazanin" w:hAnsi="IRNazanin" w:eastAsia="IRNazanin"/>
          <w:color w:val="111111"/>
          <w:sz w:val="28"/>
          <w:sz w:val="28"/>
          <w:szCs w:val="28"/>
          <w:rtl w:val="true"/>
          <w:lang w:bidi="fa-IR"/>
        </w:rPr>
        <w:t>و ظنّ مقدار خاصّ من الاستمرار بملاحظة حال النوع الذی هو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الممکنات قد یلاحظ من جهة ملاحظة مطلق الممکن،و قد یلاحظ من جهة ملاحظة مطلق الأحکام الصادرة من الموالی إلی العبید،و قد یلاحظ من جهة ملاحظة سائر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التکلّم فی إثبات الحکم الشرعیّ فنأخذ الظنّ الذی ادّعیناه من ملاحظة أغلب الأحکام الشرعیّة؛لأنّه الأنسب به و الأقرب إلیه،و إن أمکن ذلک بملاحظة أحکام سائر الموالی و عزائم سائر العباد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الظنّ الحاصل من جهة الغلبة فی الأحکام الشرعیّة،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أغلب الأحکام الشرعیّة مستمرّة بسبب دلیله الأوّل، بمعنی أنّها لیست أحکاما آنیّة مختصّة بآن الصدور،بل یفهم من حاله من جهة أمر خارجیّ عن الدلیل أنّه یرید استمرار ذلک الحکم الأوّل من دون دلالة الحکم الأوّل علی الاستمرار،فإذا رأینا منه فی مواضع عدیدة أنّه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إبداء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بالأمر المطلق القابل للاستمرار و عدمه،ثمّ علمنا أنّ مراده من الأمر الأوّل الاستمرار،نحکم فیما لم یظهر مراده،بالاستمرار؛إلحاقا بالأغلب،فقد حصل الظنّ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الکلام فی موضوعات الأحکام من الامور الخارجیّة؛فإنّ غلبة البقاء یورث الظنّ القویّ ببقاء ما هو مجهول الحال </w:t>
      </w:r>
      <w:r>
        <w:rPr>
          <w:rStyle w:val="FootnoteAnchor"/>
          <w:rtl w:val="true"/>
        </w:rPr>
        <w:footnoteReference w:id="3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44" w:name="pg12985_124940"/>
    </w:p>
    <w:p>
      <w:pPr>
        <w:pStyle w:val="BookText"/>
        <w:rPr/>
      </w:pPr>
      <w:bookmarkEnd w:id="344"/>
      <w:r>
        <w:rPr>
          <w:rFonts w:ascii="IRNazanin" w:hAnsi="IRNazanin" w:eastAsia="IRNazanin"/>
          <w:color w:val="111111"/>
          <w:sz w:val="28"/>
          <w:sz w:val="28"/>
          <w:szCs w:val="28"/>
          <w:rtl w:val="true"/>
          <w:lang w:bidi="fa-IR"/>
        </w:rPr>
        <w:t xml:space="preserve">فیظهر وجه ضعف هذا التوجیه أیضا </w:t>
      </w:r>
      <w:r>
        <w:rPr>
          <w:rStyle w:val="FootnoteAnchor"/>
          <w:rtl w:val="true"/>
        </w:rPr>
        <w:footnoteReference w:id="326"/>
      </w:r>
      <w:r>
        <w:rPr>
          <w:rFonts w:ascii="IRNazanin" w:hAnsi="IRNazanin" w:eastAsia="IRNazanin"/>
          <w:color w:val="111111"/>
          <w:sz w:val="28"/>
          <w:sz w:val="28"/>
          <w:szCs w:val="28"/>
          <w:rtl w:val="true"/>
          <w:lang w:bidi="fa-IR"/>
        </w:rPr>
        <w:t xml:space="preserve">ممّا أشرنا إلیه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5767063_3224264995"/>
      <w:bookmarkStart w:id="346" w:name="_Toc140"/>
      <w:bookmarkEnd w:id="345"/>
      <w:r>
        <w:rPr>
          <w:rtl w:val="true"/>
        </w:rPr>
        <w:t>المناقشة فیما أفاده صاحب القوانین</w:t>
      </w:r>
      <w:r>
        <w:rPr>
          <w:rtl w:val="true"/>
        </w:rPr>
        <w:t>:</w:t>
      </w:r>
      <w:bookmarkEnd w:id="346"/>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الحکم الشرعی،قد یکون من جهة الشکّ فی مقدار استعداده،و قد یکون من جهة الشکّ فی تحقّق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الأوّل،فلیس فیه نوع و لا صنف مضبوط من حیث مقدار الاستعداد،مثلا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مدخلیّة التغیّر فی النجاسة حدوثا و ارتفاعا و عدمها،فهل ینفع فی حصول الظنّ بعدم المدخلیّة تتبّع الأحکام الشرعیّة الأخر،مثل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الطهارات و النجاسات،فضلا عن أحکام المعاملات و السیاسات،فضلا عن أحکام الموالی إلی العبید؟</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حکم شرعیّ أو غیره تابع لخصوص ما فی نفس الحاکم من الأغراض و المصالح،و متعلّق بما هو موضوع له و له دخل فی تحقّقه،و لا دخل لغیره من الحکم المغایر له،و لو اتّفق موافقته له کان بمجرّد الاتّفاق من دون 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شکّ واحد من العبید فی مدخلیّة شیء فی حکم مولاه حدوثا و ارتفاعا،فتتبّع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الظنّ بعدم المدخلیّة و بقاء الحکم بعد ارتفاع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سائر الموالی،بل أحکام هذا المولی المغایرة للحکم المشکوک موضوعا و محمولا،عدّ من أسفه السفهاء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الشکّ فی رافعیّة الشیء للحکم،فهو أیضا لا دخل له بسائر الأحکام؛أ لا تری أنّ الشکّ فی رافعیّة المذی للطهارة لا ینفع فیه تتبّع موارد الشکّ فی </w:t>
      </w:r>
    </w:p>
    <w:p>
      <w:pPr>
        <w:pStyle w:val="BookText"/>
        <w:rPr/>
      </w:pPr>
      <w:r>
        <w:rPr>
          <w:rFonts w:ascii="IRNazanin" w:hAnsi="IRNazanin" w:eastAsia="IRNazanin"/>
          <w:color w:val="111111"/>
          <w:sz w:val="28"/>
          <w:sz w:val="28"/>
          <w:szCs w:val="28"/>
          <w:rtl w:val="true"/>
          <w:lang w:bidi="fa-IR"/>
        </w:rPr>
        <w:t>الرافعیّة،مثل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النجاسة بالغسل مرّة،أو نجاسة الماء بالإتمام کرّا، أو ارتفاع طهارة الثوب و البدن بعصیر العنب أو الزبیب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وجود الرافع و عدمه،فالکلام فیه هو الکلام فی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أنّه یحصل الظنّ بالبقاء إذا فرض له صنف أو نوع یکون الغالب فی أفراده البقاء،فلا ننکره؛و لذا یظنّ عدم النسخ عند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یحتاج إلی ملاحظة الصنف أو النوع </w:t>
      </w:r>
      <w:r>
        <w:rPr>
          <w:rStyle w:val="FootnoteAnchor"/>
          <w:rtl w:val="true"/>
        </w:rPr>
        <w:footnoteReference w:id="328"/>
      </w:r>
      <w:r>
        <w:rPr>
          <w:rFonts w:ascii="IRNazanin" w:hAnsi="IRNazanin" w:eastAsia="IRNazanin"/>
          <w:color w:val="111111"/>
          <w:sz w:val="28"/>
          <w:sz w:val="28"/>
          <w:szCs w:val="28"/>
          <w:rtl w:val="true"/>
          <w:lang w:bidi="fa-IR"/>
        </w:rPr>
        <w:t>حتّی لا یحصل التغایر؛فإنّ المتطهّر فی الصبح إذا شکّ فی وقت الضحی فی بقاء طهارته و أراد إثبات ذلک بالغلبة،فلا ینفعه تتبّع الموجودات الخارجیّة،مثل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ثوبه و طهارته و حیاة زید و قعوده و عدم ولادة الحمل الفلانی،و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لوحظ صنف هذا المتطهّر فی وقت الصبح المتّحد أو المتقارب فیما له مدخل فی بقاء الطهارة،و وجد الأغلب متطهّرا فی هذا الزمان،حصل الظنّ ببقاء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من ملاحظة أغلب الصنف فحصول الظنّ به حقّ،إلاّ أنّ البناء علی هذا فی الاستصحاب یسقطه عن الاعتبار فی أکثر موارده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بنی علی ملاحظة الأنواع البعیدة أو الجنس البعید أو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الممکن 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کلام السیّد المتقدّم،ففیه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القطع بعدم جامع بین مورد </w:t>
      </w:r>
      <w:r>
        <w:rPr>
          <w:rStyle w:val="FootnoteAnchor"/>
          <w:rtl w:val="true"/>
        </w:rPr>
        <w:footnoteReference w:id="329"/>
      </w:r>
      <w:r>
        <w:rPr>
          <w:rFonts w:ascii="IRNazanin" w:hAnsi="IRNazanin" w:eastAsia="IRNazanin"/>
          <w:color w:val="111111"/>
          <w:sz w:val="28"/>
          <w:sz w:val="28"/>
          <w:szCs w:val="28"/>
          <w:rtl w:val="true"/>
          <w:lang w:bidi="fa-IR"/>
        </w:rPr>
        <w:t xml:space="preserve">الشکّ و موارد الاستقراء،یصلح </w:t>
      </w:r>
      <w:bookmarkStart w:id="347" w:name="pg12985_124942"/>
    </w:p>
    <w:p>
      <w:pPr>
        <w:pStyle w:val="BookText"/>
        <w:rPr/>
      </w:pPr>
      <w:bookmarkEnd w:id="347"/>
      <w:r>
        <w:rPr>
          <w:rFonts w:ascii="IRNazanin" w:hAnsi="IRNazanin" w:eastAsia="IRNazanin"/>
          <w:color w:val="111111"/>
          <w:sz w:val="28"/>
          <w:sz w:val="28"/>
          <w:szCs w:val="28"/>
          <w:rtl w:val="true"/>
          <w:lang w:bidi="fa-IR"/>
        </w:rPr>
        <w:t xml:space="preserve">لاستناد البقاء إلیه،و فی مثله لا یحصل الظنّ بالإلحاق؛لأنّه لا بدّ فی الظنّ بلحوق المشکوک بالأغلب من الظنّ أوّلا بثبوت الحکم أو الوصف للجامع </w:t>
      </w:r>
      <w:r>
        <w:rPr>
          <w:rStyle w:val="FootnoteAnchor"/>
          <w:rtl w:val="true"/>
        </w:rPr>
        <w:footnoteReference w:id="330"/>
      </w:r>
      <w:r>
        <w:rPr>
          <w:rFonts w:ascii="IRNazanin" w:hAnsi="IRNazanin" w:eastAsia="IRNazanin"/>
          <w:color w:val="111111"/>
          <w:sz w:val="28"/>
          <w:sz w:val="28"/>
          <w:szCs w:val="28"/>
          <w:rtl w:val="true"/>
          <w:lang w:bidi="fa-IR"/>
        </w:rPr>
        <w:t xml:space="preserve">،لیحصل </w:t>
      </w:r>
      <w:r>
        <w:rPr>
          <w:rStyle w:val="FootnoteAnchor"/>
          <w:rtl w:val="true"/>
        </w:rPr>
        <w:footnoteReference w:id="331"/>
      </w:r>
      <w:r>
        <w:rPr>
          <w:rFonts w:ascii="IRNazanin" w:hAnsi="IRNazanin" w:eastAsia="IRNazanin"/>
          <w:color w:val="111111"/>
          <w:sz w:val="28"/>
          <w:sz w:val="28"/>
          <w:szCs w:val="28"/>
          <w:rtl w:val="true"/>
          <w:lang w:bidi="fa-IR"/>
        </w:rPr>
        <w:t>الظنّ بثبوته فی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بعدم حصول الظنّ بالبقاء اعتبار الاستصحاب فی موردین یعلم بمخالفة أحدهما للواقع؛فإنّ المتطهّر بمائع شکّ فی کونه بولا أو ماء،یحکم باستصحاب طهارة بدنه و بقاء حدثه،مع أنّ الظنّ بهما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الحوض الواحد إذا صبّ فیه الماء تدریجا فبلغ إلی موضع شکّ فی بلوغ مائه کرّا،فإنّه یحکم حینئذ ببقاء قلّته،فإذا امتلأ و اخذ منه الماء تدریجا إلی ذلک الموضع،فیشکّ حینئذ فی نقصه عن الکرّ،فیحکم ببقاء کرّیته،مع أنّ الظنّ بالقلّة فی الأوّل و بالکرّیة فی الثانی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إثبات حجّیة الظنّ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القتاد،خصوصا فی الشبهة الخارجیّة التی لا تعتبر فیها الغلبة اتّفاقا؛فإنّ اعتبار استصحاب طهارة الماء من جهة الظنّ الحاصل من الغلبة،و عدم اعتبار الظنّ بنجاسته من غلبة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کطین الطریق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اعتبار قول المنکر من باب الاستصحاب مع الظنّ بصدق المدّعی لأجل الغلبة</w:t>
      </w:r>
      <w:r>
        <w:rPr>
          <w:rFonts w:eastAsia="IRNazanin" w:cs="IRNazanin"/>
          <w:color w:val="111111"/>
          <w:sz w:val="28"/>
          <w:szCs w:val="28"/>
          <w:rtl w:val="true"/>
          <w:lang w:bidi="fa-IR"/>
        </w:rPr>
        <w:t>.</w:t>
      </w:r>
    </w:p>
    <w:p>
      <w:pPr>
        <w:pStyle w:val="Heading4"/>
        <w:numPr>
          <w:ilvl w:val="3"/>
          <w:numId w:val="1"/>
        </w:numPr>
        <w:rPr/>
      </w:pPr>
      <w:bookmarkStart w:id="348" w:name="__RefHeading___Toc5767065_3224264995"/>
      <w:bookmarkStart w:id="349" w:name="_Toc141"/>
      <w:bookmarkEnd w:id="348"/>
      <w:r>
        <w:rPr>
          <w:rtl w:val="true"/>
        </w:rPr>
        <w:t>الوجه الرابع</w:t>
      </w:r>
      <w:r>
        <w:rPr>
          <w:rtl w:val="true"/>
        </w:rPr>
        <w:t>:</w:t>
      </w:r>
      <w:r>
        <w:rPr>
          <w:rtl w:val="true"/>
        </w:rPr>
        <w:t>بناء العقلاء</w:t>
      </w:r>
      <w:r>
        <w:rPr>
          <w:rtl w:val="true"/>
        </w:rPr>
        <w:t>:</w:t>
      </w:r>
      <w:bookmarkEnd w:id="349"/>
    </w:p>
    <w:p>
      <w:pPr>
        <w:pStyle w:val="Heading5"/>
        <w:numPr>
          <w:ilvl w:val="4"/>
          <w:numId w:val="1"/>
        </w:numPr>
        <w:rPr/>
      </w:pPr>
      <w:bookmarkStart w:id="350" w:name="__RefHeading___Toc5767067_3224264995"/>
      <w:bookmarkStart w:id="351" w:name="_Toc142"/>
      <w:bookmarkEnd w:id="350"/>
      <w:r>
        <w:rPr>
          <w:rtl w:val="true"/>
        </w:rPr>
        <w:t>اشارة</w:t>
      </w:r>
      <w:bookmarkEnd w:id="3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العقلاء علی ذلک فی جمیع امورهم،کما ادّعاه العلاّمة رحمه اللّه فی النهایة </w:t>
      </w:r>
      <w:r>
        <w:rPr>
          <w:rStyle w:val="FootnoteAnchor"/>
          <w:rtl w:val="true"/>
        </w:rPr>
        <w:footnoteReference w:id="332"/>
      </w:r>
      <w:r>
        <w:rPr>
          <w:rFonts w:ascii="IRNazanin" w:hAnsi="IRNazanin" w:eastAsia="IRNazanin"/>
          <w:color w:val="111111"/>
          <w:sz w:val="28"/>
          <w:sz w:val="28"/>
          <w:szCs w:val="28"/>
          <w:rtl w:val="true"/>
          <w:lang w:bidi="fa-IR"/>
        </w:rPr>
        <w:t>و أکثر من تأخّر عنه</w:t>
      </w:r>
      <w:r>
        <w:rPr>
          <w:rFonts w:eastAsia="IRNazanin" w:cs="IRNazanin"/>
          <w:color w:val="111111"/>
          <w:sz w:val="28"/>
          <w:szCs w:val="28"/>
          <w:rtl w:val="true"/>
          <w:lang w:bidi="fa-IR"/>
        </w:rPr>
        <w:t xml:space="preserve">. </w:t>
      </w:r>
      <w:bookmarkStart w:id="352" w:name="pg12985_124943"/>
    </w:p>
    <w:p>
      <w:pPr>
        <w:pStyle w:val="BookText"/>
        <w:rPr/>
      </w:pPr>
      <w:bookmarkEnd w:id="352"/>
      <w:r>
        <w:rPr>
          <w:rFonts w:ascii="IRNazanin" w:hAnsi="IRNazanin" w:eastAsia="IRNazanin"/>
          <w:color w:val="111111"/>
          <w:sz w:val="28"/>
          <w:sz w:val="28"/>
          <w:szCs w:val="28"/>
          <w:rtl w:val="true"/>
          <w:lang w:bidi="fa-IR"/>
        </w:rPr>
        <w:t xml:space="preserve">و زاد بعضهم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ذلک لاختلّ نظام العالم و أساس عیش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آخر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علی الحالة السابقة أمر مرکوز فی النفوس حتّی الحیوانات؛أ لا تری أنّ الحیوانات تطلب عند الحاجة المواضع التی عهدت فیها الماء و الکلأ،و الطیور تعود من الأماکن البعیدة إلی أوکارها،و لو لا البناء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 علی ما کان</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لم یکن وجه لذلک</w:t>
      </w:r>
      <w:r>
        <w:rPr>
          <w:rFonts w:eastAsia="IRNazanin" w:cs="IRNazanin"/>
          <w:color w:val="111111"/>
          <w:sz w:val="28"/>
          <w:szCs w:val="28"/>
          <w:rtl w:val="true"/>
          <w:lang w:bidi="fa-IR"/>
        </w:rPr>
        <w:t>.</w:t>
      </w:r>
    </w:p>
    <w:p>
      <w:pPr>
        <w:pStyle w:val="Heading5"/>
        <w:numPr>
          <w:ilvl w:val="4"/>
          <w:numId w:val="1"/>
        </w:numPr>
        <w:rPr/>
      </w:pPr>
      <w:bookmarkStart w:id="353" w:name="__RefHeading___Toc5767069_3224264995"/>
      <w:bookmarkStart w:id="354" w:name="_Toc143"/>
      <w:bookmarkEnd w:id="353"/>
      <w:r>
        <w:rPr>
          <w:rtl w:val="true"/>
        </w:rPr>
        <w:t>المناقشة فی الوجه الرابع</w:t>
      </w:r>
      <w:r>
        <w:rPr>
          <w:rtl w:val="true"/>
        </w:rPr>
        <w:t>:</w:t>
      </w:r>
      <w:bookmarkEnd w:id="354"/>
    </w:p>
    <w:p>
      <w:pPr>
        <w:pStyle w:val="Heading6"/>
        <w:numPr>
          <w:ilvl w:val="5"/>
          <w:numId w:val="1"/>
        </w:numPr>
        <w:rPr/>
      </w:pPr>
      <w:bookmarkStart w:id="355" w:name="__RefHeading___Toc5767071_3224264995"/>
      <w:bookmarkStart w:id="356" w:name="_Toc144"/>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العقلاء إنّما یسلّم فی موضع یحصل لهم الظنّ بالبقاء لأجل الغلبة،فإنّهم فی امورهم عاملون بالغلبة،سواء وافقت الحالة السابقة أو خالفتها؛أ لا تری أنّهم لا یکاتبون من عهدوه فی حال لا یغلب فیه السلامة،فضلا عن المهالک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سبیل الاحتیاط لاحتمال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یرسلون إلیه البضائع للتجارة،و لا یجعلونه وصیّا فی الأموال أو قیّما علی الأطفال،و لا یقلّدونه فی هذا الحال إذا کان من أهل الاستدلال،و تراهم لو شکّوا فی نسخ الحکم الشرعیّ یبنون علی عدمه،و لو شکّوا فی رافعیّة المذی شرعا للطهارة فلا یبنون علی عدمها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أظنّ أنّهم غیر بانین فی الشکّ فی الحکم </w:t>
      </w:r>
      <w:bookmarkStart w:id="357" w:name="pg12985_124944"/>
    </w:p>
    <w:p>
      <w:pPr>
        <w:pStyle w:val="BookText"/>
        <w:rPr/>
      </w:pPr>
      <w:bookmarkEnd w:id="357"/>
      <w:r>
        <w:rPr>
          <w:rFonts w:ascii="IRNazanin" w:hAnsi="IRNazanin" w:eastAsia="IRNazanin"/>
          <w:color w:val="111111"/>
          <w:sz w:val="28"/>
          <w:sz w:val="28"/>
          <w:szCs w:val="28"/>
          <w:rtl w:val="true"/>
          <w:lang w:bidi="fa-IR"/>
        </w:rPr>
        <w:t>الشرعیّ من غیر جهة النسخ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لو شکّوا فی بقاء حکم شرعیّ فلیس عندهم کالشکّ فی حدوثه فی البناء علی العدم،و لعلّ هذا من جهة عدم وجدان الدلیل بعد الفحص؛فإنّها أمارة علی العدم؛لما علم من بناء الشارع علی التبلیغ،فظنّ عدم الورود یستلزم الظنّ بعدم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اعتبار هذا الظنّ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ضمّ حکم العقل بقبح التعبّد بما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أصل البراءة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5767073_3224264995"/>
      <w:bookmarkStart w:id="359" w:name="_Toc145"/>
      <w:bookmarkEnd w:id="358"/>
      <w:r>
        <w:rPr>
          <w:rtl w:val="true"/>
        </w:rPr>
        <w:t>کلام الشیخ الطوسی فی العدة</w:t>
      </w:r>
      <w:r>
        <w:rPr>
          <w:rtl w:val="true"/>
        </w:rPr>
        <w:t>:</w:t>
      </w:r>
      <w:bookmarkEnd w:id="359"/>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اختار عدم اعتبار الاستصحاب فی مثل المتیمّم الداخل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ینتصر به طریقة استصحاب الحال ما أومأنا إلیه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الحالة الثانیة مغیّرة للحکم الأوّل لکان علیه دلیل،و إذا تتبّعنا جمیع الأدلّة فلم نجد فیها ما یدلّ علی أنّ الحالة الثانیة مخالفة للحالة الاولی،دلّ علی أنّ حکم الحالة الاولی باق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رجوع إلی الاستدلال بطریق آخر،و ذلک خارج عن استصحاب الحال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نرید باستصحاب الحال هذا الذی ذکرناه،و أمّا غیر ذلک فلا یکاد یحصل غرض القائل به </w:t>
      </w:r>
      <w:r>
        <w:rPr>
          <w:rStyle w:val="FootnoteAnchor"/>
          <w:rtl w:val="true"/>
        </w:rPr>
        <w:footnoteReference w:id="3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60" w:name="pg12985_124945"/>
    </w:p>
    <w:p>
      <w:pPr>
        <w:pStyle w:val="Heading3"/>
        <w:numPr>
          <w:ilvl w:val="2"/>
          <w:numId w:val="1"/>
        </w:numPr>
        <w:rPr/>
      </w:pPr>
      <w:bookmarkStart w:id="361" w:name="__RefHeading___Toc5767075_3224264995"/>
      <w:bookmarkStart w:id="362" w:name="_Toc146"/>
      <w:bookmarkEnd w:id="360"/>
      <w:bookmarkEnd w:id="361"/>
      <w:r>
        <w:rPr>
          <w:rtl w:val="true"/>
        </w:rPr>
        <w:t>حجة القول الثانی</w:t>
      </w:r>
      <w:r>
        <w:rPr>
          <w:rtl w:val="true"/>
        </w:rPr>
        <w:t>:</w:t>
      </w:r>
      <w:bookmarkEnd w:id="362"/>
    </w:p>
    <w:p>
      <w:pPr>
        <w:pStyle w:val="Heading4"/>
        <w:numPr>
          <w:ilvl w:val="3"/>
          <w:numId w:val="1"/>
        </w:numPr>
        <w:rPr/>
      </w:pPr>
      <w:bookmarkStart w:id="363" w:name="__RefHeading___Toc5767077_3224264995"/>
      <w:bookmarkStart w:id="364" w:name="_Toc147"/>
      <w:bookmarkEnd w:id="363"/>
      <w:r>
        <w:rPr>
          <w:rtl w:val="true"/>
        </w:rPr>
        <w:t>اشارة</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النافون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الذریعة و فی الغنیة،من أنّ المتعلّق بالاستصحاب یثبت الحکم عند التحقیق من غیر دلیل</w:t>
      </w:r>
      <w:r>
        <w:rPr>
          <w:rFonts w:eastAsia="IRNazanin" w:cs="IRNazanin"/>
          <w:color w:val="111111"/>
          <w:sz w:val="28"/>
          <w:szCs w:val="28"/>
          <w:rtl w:val="true"/>
          <w:lang w:bidi="fa-IR"/>
        </w:rPr>
        <w:t>.</w:t>
      </w:r>
    </w:p>
    <w:p>
      <w:pPr>
        <w:pStyle w:val="Heading4"/>
        <w:numPr>
          <w:ilvl w:val="3"/>
          <w:numId w:val="1"/>
        </w:numPr>
        <w:rPr/>
      </w:pPr>
      <w:bookmarkStart w:id="365" w:name="__RefHeading___Toc5767079_3224264995"/>
      <w:bookmarkStart w:id="366" w:name="_Toc148"/>
      <w:bookmarkEnd w:id="365"/>
      <w:r>
        <w:rPr/>
        <w:t>1</w:t>
      </w:r>
      <w:r>
        <w:rPr>
          <w:rtl w:val="true"/>
        </w:rPr>
        <w:t>-</w:t>
      </w:r>
      <w:r>
        <w:rPr>
          <w:rtl w:val="true"/>
        </w:rPr>
        <w:t>دعوی أنّ الاستصحاب إثبات للحکم من غیر دلیل</w:t>
      </w:r>
      <w:r>
        <w:rPr>
          <w:rtl w:val="true"/>
        </w:rPr>
        <w:t>:</w:t>
      </w:r>
      <w:bookmarkEnd w:id="366"/>
    </w:p>
    <w:p>
      <w:pPr>
        <w:pStyle w:val="Heading5"/>
        <w:numPr>
          <w:ilvl w:val="4"/>
          <w:numId w:val="1"/>
        </w:numPr>
        <w:rPr/>
      </w:pPr>
      <w:bookmarkStart w:id="367" w:name="__RefHeading___Toc5767081_3224264995"/>
      <w:bookmarkStart w:id="368" w:name="_Toc149"/>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بالإجماع علی من شرع فی الصلاة بالتیمّم وجوب المضیّ فیها قبل مشاهدة الماء،فیجب أن یکون علی هذا الحال بعد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منهم جمع بین الحالتین فی حکم من غیر دلیل اقتضی الجمع بینهما؛لأنّ اختلاف الحالتین لا شبهة فیه؛لأنّ المصلّی غیر واجد للماء فی إحداهما و واجد له فی الاخری،فلا یجوز التسویة بینهما من غیر دلالة،فإذا کان الدلیل لا یتناول إلاّ الحالة الاولی،و کانت الحالة الاخری عاریة منه،لم یجز أن یثبت فیها مثل الحکم </w:t>
      </w:r>
      <w:r>
        <w:rPr>
          <w:rStyle w:val="FootnoteAnchor"/>
          <w:rtl w:val="true"/>
        </w:rPr>
        <w:footnoteReference w:id="3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369" w:name="__RefHeading___Toc5767083_3224264995"/>
      <w:bookmarkStart w:id="370" w:name="_Toc150"/>
      <w:bookmarkEnd w:id="369"/>
      <w:r>
        <w:rPr>
          <w:rtl w:val="true"/>
        </w:rPr>
        <w:t>المناقشة فی ذلک</w:t>
      </w:r>
      <w:r>
        <w:rPr>
          <w:rtl w:val="true"/>
        </w:rPr>
        <w:t>:</w:t>
      </w:r>
      <w:bookmarkEnd w:id="3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محلّ الکلام فیما کان الشکّ لتخلّف وصف وجودیّ أو عدمیّ متحقّق سابقا یشکّ فی مدخلیّته فی أصل الحکم أو بقائه، فالاستدلال المذکور متین جدّا؛لأنّ الفرض </w:t>
      </w:r>
      <w:r>
        <w:rPr>
          <w:rStyle w:val="FootnoteAnchor"/>
          <w:rtl w:val="true"/>
        </w:rPr>
        <w:footnoteReference w:id="340"/>
      </w:r>
      <w:r>
        <w:rPr>
          <w:rFonts w:ascii="IRNazanin" w:hAnsi="IRNazanin" w:eastAsia="IRNazanin"/>
          <w:color w:val="111111"/>
          <w:sz w:val="28"/>
          <w:sz w:val="28"/>
          <w:szCs w:val="28"/>
          <w:rtl w:val="true"/>
          <w:lang w:bidi="fa-IR"/>
        </w:rPr>
        <w:t xml:space="preserve">عدم دلالة دلیل الحکم الأوّل،و فقد دلیل عامّ یدلّ علی انسحاب کلّ حکم ثبت فی الحالة </w:t>
      </w:r>
    </w:p>
    <w:p>
      <w:pPr>
        <w:pStyle w:val="BookText"/>
        <w:rPr/>
      </w:pPr>
      <w:r>
        <w:rPr>
          <w:rFonts w:ascii="IRNazanin" w:hAnsi="IRNazanin" w:eastAsia="IRNazanin"/>
          <w:color w:val="111111"/>
          <w:sz w:val="28"/>
          <w:sz w:val="28"/>
          <w:szCs w:val="28"/>
          <w:rtl w:val="true"/>
          <w:lang w:bidi="fa-IR"/>
        </w:rPr>
        <w:t xml:space="preserve">الاولی فی الحالة الثانیة؛لأنّ عمدة ما ذکروه من الدلیل هی الأخبار المذکورة،و قد عرفت اختصاصها بمورد یتحقّق </w:t>
      </w:r>
      <w:r>
        <w:rPr>
          <w:rStyle w:val="FootnoteAnchor"/>
          <w:rtl w:val="true"/>
        </w:rPr>
        <w:footnoteReference w:id="341"/>
      </w:r>
      <w:r>
        <w:rPr>
          <w:rFonts w:ascii="IRNazanin" w:hAnsi="IRNazanin" w:eastAsia="IRNazanin"/>
          <w:color w:val="111111"/>
          <w:sz w:val="28"/>
          <w:sz w:val="28"/>
          <w:szCs w:val="28"/>
          <w:rtl w:val="true"/>
          <w:lang w:bidi="fa-IR"/>
        </w:rPr>
        <w:t>معنی النقض،و هو الشکّ من جهة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مثال التیمّم من قبیل الشکّ من جهة الرافع؛ لأنّ الشکّ فی انتقاض التیمّم بوجدان الماء فی الصلاة کانتقاضه بوجدانه قبلها،سواء قلنا بأنّ التیمّم رافع للحدث،أم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مبیح؛لأنّ الإباحة أیضا مستمرّة إلی أن ینتقض بالحدث أو یوجد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 وجدان الماء لیس من الروافع و النواقض،بل الفقدان الذی هو وصف المکلّف لمّا کان مأخوذا فی صحّة التیمّم حدوثا و بقاء فی الجملة،کان الوجدان رافعا لوصف الموضوع الذی هو المکلّف،فهو نظیر التغیّر الذی یشکّ فی زوال النجاسة بزواله،فوجدان الماء لیس کالحدث و إن قرن به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سئل عن جواز الصلوات المتعدّدة بتیمّم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لم یحدث أو یجد ماء</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لأنّ المراد من ذلک تحدید الحکم بزوال المقتضی أو طروّ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کان محلّ الکلام فی الاستصحاب ما کان من قبیل هذا المثال فالحقّ مع المنکرین؛لما ذکروه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شمل ما کان من قبیل تمثیلهم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ناقضیّة الخارج من غیر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إثبات الحکم بعد خروج الخارج </w:t>
      </w:r>
      <w:bookmarkStart w:id="371" w:name="pg12985_124947"/>
    </w:p>
    <w:p>
      <w:pPr>
        <w:pStyle w:val="BookText"/>
        <w:rPr/>
      </w:pPr>
      <w:bookmarkEnd w:id="371"/>
      <w:r>
        <w:rPr>
          <w:rFonts w:ascii="IRNazanin" w:hAnsi="IRNazanin" w:eastAsia="IRNazanin"/>
          <w:color w:val="111111"/>
          <w:sz w:val="28"/>
          <w:sz w:val="28"/>
          <w:szCs w:val="28"/>
          <w:rtl w:val="true"/>
          <w:lang w:bidi="fa-IR"/>
        </w:rPr>
        <w:t xml:space="preserve">لیس من غیر دلیل،بل الدلیل ما ذکرنا من الوجوه الثلاثة،مضافا إلی إمکان التمسّک بما ذکرنا فی توجیه کلام المحقّق رحمه اللّه فی المعارج،لکن عرفت ما فیه من التأمّل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أجاب فی المعارج عن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مسلّم؛لأنّ الدلیل دلّ علی أنّ الثابت لا یرتفع إلاّ برافع،فإذا کان التقدیر تقدیر عدمه کان بقاء الثابت راجحا فی نظر المجتهد،و العمل بالراجح لازم </w:t>
      </w:r>
      <w:r>
        <w:rPr>
          <w:rStyle w:val="FootnoteAnchor"/>
          <w:rtl w:val="true"/>
        </w:rPr>
        <w:footnoteReference w:id="3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مراده بتقدیر عدم الرافع عدم العلم به،و قد عرفت ما فی دعوی حصول الظنّ بالبقاء بمجرّد ذلک،إلاّ أن یرجع إلی عدم الدلیل بعد الفحص الموجب للظنّ بالعدم</w:t>
      </w:r>
      <w:r>
        <w:rPr>
          <w:rFonts w:eastAsia="IRNazanin" w:cs="IRNazanin"/>
          <w:color w:val="111111"/>
          <w:sz w:val="28"/>
          <w:szCs w:val="28"/>
          <w:rtl w:val="true"/>
          <w:lang w:bidi="fa-IR"/>
        </w:rPr>
        <w:t>.</w:t>
      </w:r>
    </w:p>
    <w:p>
      <w:pPr>
        <w:pStyle w:val="Heading4"/>
        <w:numPr>
          <w:ilvl w:val="3"/>
          <w:numId w:val="1"/>
        </w:numPr>
        <w:rPr/>
      </w:pPr>
      <w:bookmarkStart w:id="372" w:name="__RefHeading___Toc5767085_3224264995"/>
      <w:bookmarkStart w:id="373" w:name="_Toc151"/>
      <w:bookmarkEnd w:id="372"/>
      <w:r>
        <w:rPr/>
        <w:t>2</w:t>
      </w:r>
      <w:r>
        <w:rPr>
          <w:rtl w:val="true"/>
        </w:rPr>
        <w:t>-</w:t>
      </w:r>
      <w:r>
        <w:rPr>
          <w:rtl w:val="true"/>
        </w:rPr>
        <w:t>لزوم القطع بالبقاء بناء علی حجّیة الاستصحاب</w:t>
      </w:r>
      <w:r>
        <w:rPr>
          <w:rtl w:val="true"/>
        </w:rPr>
        <w:t>:</w:t>
      </w:r>
      <w:bookmarkEnd w:id="373"/>
    </w:p>
    <w:p>
      <w:pPr>
        <w:pStyle w:val="Heading5"/>
        <w:numPr>
          <w:ilvl w:val="4"/>
          <w:numId w:val="1"/>
        </w:numPr>
        <w:rPr/>
      </w:pPr>
      <w:bookmarkStart w:id="374" w:name="__RefHeading___Toc5767087_3224264995"/>
      <w:bookmarkStart w:id="375" w:name="_Toc152"/>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الاستصحاب حجّة لوجب فیمن علم زیدا فی الدار و لم یعلم بخروجه منها أن یقطع ببقائه فیها،و کذا کان یلزم إذا علم بأنّه حیّ ثمّ انقضت مدّة لم یعلم فیها بموته أن یقطع ببقائه،و هو باطل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محکیّ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فی العقول أنّ من شاهد زیدا فی الدار ثمّ غاب عنه لم یحسن اعتقاد استمرار کونه فی الدار إلاّ بدلیل متجدّد،و لا یجوز استصحاب الحال الاولی </w:t>
      </w:r>
      <w:r>
        <w:rPr>
          <w:rStyle w:val="FootnoteAnchor"/>
          <w:rtl w:val="true"/>
        </w:rPr>
        <w:footnoteReference w:id="345"/>
      </w:r>
      <w:r>
        <w:rPr>
          <w:rFonts w:ascii="IRNazanin" w:hAnsi="IRNazanin" w:eastAsia="IRNazanin"/>
          <w:color w:val="111111"/>
          <w:sz w:val="28"/>
          <w:sz w:val="28"/>
          <w:szCs w:val="28"/>
          <w:rtl w:val="true"/>
          <w:lang w:bidi="fa-IR"/>
        </w:rPr>
        <w:t xml:space="preserve">و قد صار کونه فی الدار فی الزمان الثانی و قد زالت الرؤیة،بمنزلة کون عمرو فیها مع فقد الرؤیة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76" w:name="pg12985_124948"/>
    </w:p>
    <w:p>
      <w:pPr>
        <w:pStyle w:val="BookText"/>
        <w:rPr/>
      </w:pPr>
      <w:bookmarkEnd w:id="376"/>
      <w:r>
        <w:rPr>
          <w:rFonts w:ascii="IRNazanin" w:hAnsi="IRNazanin" w:eastAsia="IRNazanin"/>
          <w:color w:val="111111"/>
          <w:sz w:val="28"/>
          <w:sz w:val="28"/>
          <w:szCs w:val="28"/>
          <w:rtl w:val="true"/>
          <w:lang w:bidi="fa-IR"/>
        </w:rPr>
        <w:t>و أجاب فی المعارج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لا ندّعی القطع،لکن ندّعی رجحان الاعتقاد ببقائه،و هذا یکفی فی العمل به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5767089_3224264995"/>
      <w:bookmarkStart w:id="378" w:name="_Toc153"/>
      <w:bookmarkEnd w:id="377"/>
      <w:r>
        <w:rPr>
          <w:rtl w:val="true"/>
        </w:rPr>
        <w:t>المناقشة فیه</w:t>
      </w:r>
      <w:r>
        <w:rPr>
          <w:rtl w:val="true"/>
        </w:rPr>
        <w:t>:</w:t>
      </w:r>
      <w:bookmarkEnd w:id="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ممّا سبق منع حصول الظنّ کلّیة،و منع حجّیته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767091_3224264995"/>
      <w:bookmarkStart w:id="380" w:name="_Toc154"/>
      <w:bookmarkEnd w:id="379"/>
      <w:r>
        <w:rPr/>
        <w:t>3</w:t>
      </w:r>
      <w:r>
        <w:rPr>
          <w:rtl w:val="true"/>
        </w:rPr>
        <w:t>-</w:t>
      </w:r>
      <w:r>
        <w:rPr>
          <w:rtl w:val="true"/>
        </w:rPr>
        <w:t>لزوم التناقض بناء علی الحجّیة و المناقشة فیه</w:t>
      </w:r>
      <w:r>
        <w:rPr>
          <w:rtl w:val="true"/>
        </w:rPr>
        <w:t>:</w:t>
      </w:r>
      <w:bookmarkEnd w:id="380"/>
    </w:p>
    <w:p>
      <w:pPr>
        <w:pStyle w:val="Heading5"/>
        <w:numPr>
          <w:ilvl w:val="4"/>
          <w:numId w:val="1"/>
        </w:numPr>
        <w:rPr/>
      </w:pPr>
      <w:bookmarkStart w:id="381" w:name="__RefHeading___Toc5767093_3224264995"/>
      <w:bookmarkStart w:id="382" w:name="_Toc155"/>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حجّة لزم التناقض؛إذ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للمصلّی قبل وجدان الماء المضیّ فی صلاته فکذا بعد الوجدان،کذلک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وجدان الماء قبل الدخول فی الصلاة کان ناقضا للتیمّم فکذا بعد الدخول، 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بصلاة متیقّنة ثابت قبل فعل هذه الصلاة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 لیس حجّة؛لأنّ شرعیّة الصلاة بشرط عدم الماء لا یستلزم الشرعیّة معه،ثمّ إنّ مثل هذا لا یسلم عن المعارض؛ لأنّک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الذمّة مشغولة بالصلاة قبل الإتمام فکذا بعده </w:t>
      </w:r>
      <w:r>
        <w:rPr>
          <w:rStyle w:val="FootnoteAnchor"/>
          <w:rtl w:val="true"/>
        </w:rPr>
        <w:footnoteReference w:id="3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ذلک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وجود المعارض فی کلّ مقام،و وجود المعارض فی الأدلّة المظنونة لا یوجب سقوطها حیث تسلم عن المعارض</w:t>
      </w:r>
    </w:p>
    <w:p>
      <w:pPr>
        <w:pStyle w:val="Heading5"/>
        <w:numPr>
          <w:ilvl w:val="4"/>
          <w:numId w:val="1"/>
        </w:numPr>
        <w:rPr/>
      </w:pPr>
      <w:bookmarkStart w:id="383" w:name="__RefHeading___Toc5767095_3224264995"/>
      <w:bookmarkStart w:id="384" w:name="_Toc156"/>
      <w:bookmarkEnd w:id="383"/>
      <w:r>
        <w:rPr>
          <w:rtl w:val="true"/>
        </w:rPr>
        <w:t>المناقشة فیه</w:t>
      </w:r>
      <w:r>
        <w:rPr>
          <w:rtl w:val="true"/>
        </w:rPr>
        <w:t>:</w:t>
      </w:r>
      <w:bookmarkEnd w:id="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بنی علی معارضة الاستصحاب بمثل استصحاب الاشتغال لم یسلم الاستصحاب فی أغلب الموارد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المعارض؛إذ قلّما ینفکّ مستصحب عن أثر حادث یراد ترتّبه علی بقائه،فیقال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ذلک الأثر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إذا قلنا باعتبار الاستصحاب لإفادته </w:t>
      </w:r>
      <w:bookmarkStart w:id="385" w:name="pg12985_124949"/>
    </w:p>
    <w:p>
      <w:pPr>
        <w:pStyle w:val="BookText"/>
        <w:rPr/>
      </w:pPr>
      <w:bookmarkEnd w:id="385"/>
      <w:r>
        <w:rPr>
          <w:rFonts w:ascii="IRNazanin" w:hAnsi="IRNazanin" w:eastAsia="IRNazanin"/>
          <w:color w:val="111111"/>
          <w:sz w:val="28"/>
          <w:sz w:val="28"/>
          <w:szCs w:val="28"/>
          <w:rtl w:val="true"/>
          <w:lang w:bidi="fa-IR"/>
        </w:rPr>
        <w:t xml:space="preserve">الظنّ بالبقاء،فإذا ثبت ظنّ البقاء فی شیء لزمه عقلا ظنّ ارتفاع کلّ أمر فرض کون بقاء المستصحب رافعا له أو جزءا أخیرا له،فلا یعقل الظنّ ببقائه؛فإنّ ظنّ بقاء طهارة ماء غسل به ثوب نجس أو توضّأ به محدث،مستلزم عقلا للظنّ بطهارة </w:t>
      </w:r>
      <w:r>
        <w:rPr>
          <w:rStyle w:val="FootnoteAnchor"/>
          <w:rtl w:val="true"/>
        </w:rPr>
        <w:footnoteReference w:id="351"/>
      </w:r>
      <w:r>
        <w:rPr>
          <w:rFonts w:ascii="IRNazanin" w:hAnsi="IRNazanin" w:eastAsia="IRNazanin"/>
          <w:color w:val="111111"/>
          <w:sz w:val="28"/>
          <w:sz w:val="28"/>
          <w:szCs w:val="28"/>
          <w:rtl w:val="true"/>
          <w:lang w:bidi="fa-IR"/>
        </w:rPr>
        <w:t>ثوبه و بدنه و براءة ذمّته بالصلاة بعد تلک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الظنّ بوجوب المضیّ فی الصلاة یستلزم الظنّ بارتفاع اشتغال الذمّة بمجرّد إتمام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إمکان العکس،مدفوع بما سیجیء توضیحه من عدم إمکانه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إذا قلنا باعتباره من باب التعبّد بالنسبة إلی الآثار الشرعیّة المترتّبة علی وجود المستصحب أو عدمه؛لما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إمکان شمول الروایات إلاّ للشکّ السببی </w:t>
      </w:r>
      <w:r>
        <w:rPr>
          <w:rStyle w:val="FootnoteAnchor"/>
          <w:rtl w:val="true"/>
        </w:rPr>
        <w:footnoteReference w:id="353"/>
      </w:r>
      <w:r>
        <w:rPr>
          <w:rFonts w:ascii="IRNazanin" w:hAnsi="IRNazanin" w:eastAsia="IRNazanin"/>
          <w:color w:val="111111"/>
          <w:sz w:val="28"/>
          <w:sz w:val="28"/>
          <w:szCs w:val="28"/>
          <w:rtl w:val="true"/>
          <w:lang w:bidi="fa-IR"/>
        </w:rPr>
        <w:t>،و منه یظهر حال معارضة استصحاب وجوب المضیّ باستصحاب انتقاض التیمّم بوجدان الماء</w:t>
      </w:r>
      <w:r>
        <w:rPr>
          <w:rFonts w:eastAsia="IRNazanin" w:cs="IRNazanin"/>
          <w:color w:val="111111"/>
          <w:sz w:val="28"/>
          <w:szCs w:val="28"/>
          <w:rtl w:val="true"/>
          <w:lang w:bidi="fa-IR"/>
        </w:rPr>
        <w:t>.</w:t>
      </w:r>
    </w:p>
    <w:p>
      <w:pPr>
        <w:pStyle w:val="Heading4"/>
        <w:numPr>
          <w:ilvl w:val="3"/>
          <w:numId w:val="1"/>
        </w:numPr>
        <w:rPr/>
      </w:pPr>
      <w:bookmarkStart w:id="386" w:name="__RefHeading___Toc5767097_3224264995"/>
      <w:bookmarkStart w:id="387" w:name="_Toc157"/>
      <w:bookmarkEnd w:id="386"/>
      <w:r>
        <w:rPr/>
        <w:t>4</w:t>
      </w:r>
      <w:r>
        <w:rPr>
          <w:rtl w:val="true"/>
        </w:rPr>
        <w:t>-</w:t>
      </w:r>
      <w:r>
        <w:rPr>
          <w:rtl w:val="true"/>
        </w:rPr>
        <w:t>استلزام القول بالحجّیة ترجیح بیّنة النافی</w:t>
      </w:r>
      <w:r>
        <w:rPr>
          <w:rtl w:val="true"/>
        </w:rPr>
        <w:t>:</w:t>
      </w:r>
      <w:bookmarkEnd w:id="387"/>
    </w:p>
    <w:p>
      <w:pPr>
        <w:pStyle w:val="Heading5"/>
        <w:numPr>
          <w:ilvl w:val="4"/>
          <w:numId w:val="1"/>
        </w:numPr>
        <w:rPr/>
      </w:pPr>
      <w:bookmarkStart w:id="388" w:name="__RefHeading___Toc5767099_3224264995"/>
      <w:bookmarkStart w:id="389" w:name="_Toc15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الاستصحاب حجّة لکان بیّنة النفی أولی و أرجح من بیّنة الإثبات؛لاعتضادها باستصحاب النفی</w:t>
      </w:r>
      <w:r>
        <w:rPr>
          <w:rFonts w:eastAsia="IRNazanin" w:cs="IRNazanin"/>
          <w:color w:val="111111"/>
          <w:sz w:val="28"/>
          <w:szCs w:val="28"/>
          <w:rtl w:val="true"/>
          <w:lang w:bidi="fa-IR"/>
        </w:rPr>
        <w:t>.</w:t>
      </w:r>
    </w:p>
    <w:p>
      <w:pPr>
        <w:pStyle w:val="Heading5"/>
        <w:numPr>
          <w:ilvl w:val="4"/>
          <w:numId w:val="1"/>
        </w:numPr>
        <w:rPr/>
      </w:pPr>
      <w:bookmarkStart w:id="390" w:name="__RefHeading___Toc5767101_3224264995"/>
      <w:bookmarkStart w:id="391" w:name="_Toc159"/>
      <w:bookmarkEnd w:id="390"/>
      <w:r>
        <w:rPr>
          <w:rtl w:val="true"/>
        </w:rPr>
        <w:t>المناقشة فی ذلک</w:t>
      </w:r>
      <w:r>
        <w:rPr>
          <w:rtl w:val="true"/>
        </w:rPr>
        <w:t>:</w:t>
      </w:r>
      <w:bookmarkEnd w:id="391"/>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باشتراک هذا الإیراد؛بناء علی ما صرّح به جماعة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استصحاب النفی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معتبرا إجماعا، </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اعتبارها لیس </w:t>
      </w:r>
      <w:r>
        <w:rPr>
          <w:rStyle w:val="FootnoteAnchor"/>
          <w:rtl w:val="true"/>
        </w:rPr>
        <w:footnoteReference w:id="355"/>
      </w:r>
      <w:r>
        <w:rPr>
          <w:rFonts w:ascii="IRNazanin" w:hAnsi="IRNazanin" w:eastAsia="IRNazanin"/>
          <w:color w:val="111111"/>
          <w:sz w:val="28"/>
          <w:sz w:val="28"/>
          <w:szCs w:val="28"/>
          <w:rtl w:val="true"/>
          <w:lang w:bidi="fa-IR"/>
        </w:rPr>
        <w:t>لأجل الظنّ،أو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هو علی البراءة الأصلیّة فی الأحکام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أحد الدلیلین معتضدا بالاستصحاب اخذ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باب الشکّ فی اشتغال ذمّة الناس؛فإنّه من محلّ الخلاف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ذکره جماعة </w:t>
      </w:r>
      <w:r>
        <w:rPr>
          <w:rStyle w:val="FootnoteAnchor"/>
          <w:rtl w:val="true"/>
        </w:rPr>
        <w:footnoteReference w:id="356"/>
      </w:r>
      <w:r>
        <w:rPr>
          <w:rFonts w:ascii="IRNazanin" w:hAnsi="IRNazanin" w:eastAsia="IRNazanin"/>
          <w:color w:val="111111"/>
          <w:sz w:val="28"/>
          <w:sz w:val="28"/>
          <w:szCs w:val="28"/>
          <w:rtl w:val="true"/>
          <w:lang w:bidi="fa-IR"/>
        </w:rPr>
        <w:t xml:space="preserve">،من أنّ تقدیم بیّنة الإثبات لقوّتها علی بیّنة النفی و إن اعتضد </w:t>
      </w:r>
      <w:r>
        <w:rPr>
          <w:rStyle w:val="FootnoteAnchor"/>
          <w:rtl w:val="true"/>
        </w:rPr>
        <w:footnoteReference w:id="357"/>
      </w:r>
      <w:r>
        <w:rPr>
          <w:rFonts w:ascii="IRNazanin" w:hAnsi="IRNazanin" w:eastAsia="IRNazanin"/>
          <w:color w:val="111111"/>
          <w:sz w:val="28"/>
          <w:sz w:val="28"/>
          <w:szCs w:val="28"/>
          <w:rtl w:val="true"/>
          <w:lang w:bidi="fa-IR"/>
        </w:rPr>
        <w:t>بالاستصحاب؛إذ ربّ دلیل أقوی من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تکافأ دلیلان رجّح موافق الأصل به،لکن بیّنة النفی لا تکافئ بیّنة الإثبات،إلاّ أن یرجع أیضا إلی نوع من الإثبات،فیتکافئان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فالوجه تقدیم بیّنة النفی لو کان الترجیح فی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کالترجیح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منوطا بقوّة الظنّ مطلقا،أو فی غیر الموارد المنصوصة علی الخلاف،کتقدیم بیّنة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تمسّکوا بوجوه أخر </w:t>
      </w:r>
      <w:r>
        <w:rPr>
          <w:rStyle w:val="FootnoteAnchor"/>
          <w:rtl w:val="true"/>
        </w:rPr>
        <w:footnoteReference w:id="358"/>
      </w:r>
      <w:r>
        <w:rPr>
          <w:rFonts w:ascii="IRNazanin" w:hAnsi="IRNazanin" w:eastAsia="IRNazanin"/>
          <w:color w:val="111111"/>
          <w:sz w:val="28"/>
          <w:sz w:val="28"/>
          <w:szCs w:val="28"/>
          <w:rtl w:val="true"/>
          <w:lang w:bidi="fa-IR"/>
        </w:rPr>
        <w:t>،یظهر حالها بملاحظة ما ذکرنا فی ما ذکرنا من أدلّتهم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الکلام فی أدلّة المثبتین و النافین مطلقا</w:t>
      </w:r>
      <w:r>
        <w:rPr>
          <w:rFonts w:eastAsia="IRNazanin" w:cs="IRNazanin"/>
          <w:color w:val="111111"/>
          <w:sz w:val="28"/>
          <w:szCs w:val="28"/>
          <w:rtl w:val="true"/>
          <w:lang w:bidi="fa-IR"/>
        </w:rPr>
        <w:t xml:space="preserve">. </w:t>
      </w:r>
      <w:bookmarkStart w:id="392" w:name="pg12985_124951"/>
    </w:p>
    <w:p>
      <w:pPr>
        <w:pStyle w:val="Heading3"/>
        <w:numPr>
          <w:ilvl w:val="2"/>
          <w:numId w:val="1"/>
        </w:numPr>
        <w:rPr/>
      </w:pPr>
      <w:bookmarkStart w:id="393" w:name="__RefHeading___Toc5767103_3224264995"/>
      <w:bookmarkStart w:id="394" w:name="_Toc160"/>
      <w:bookmarkEnd w:id="392"/>
      <w:bookmarkEnd w:id="393"/>
      <w:r>
        <w:rPr>
          <w:rtl w:val="true"/>
        </w:rPr>
        <w:t>حجّة القول الثالث</w:t>
      </w:r>
      <w:bookmarkEnd w:id="394"/>
    </w:p>
    <w:p>
      <w:pPr>
        <w:pStyle w:val="Heading4"/>
        <w:numPr>
          <w:ilvl w:val="3"/>
          <w:numId w:val="1"/>
        </w:numPr>
        <w:rPr/>
      </w:pPr>
      <w:bookmarkStart w:id="395" w:name="__RefHeading___Toc5767105_3224264995"/>
      <w:bookmarkStart w:id="396" w:name="_Toc161"/>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الثالث</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بین العدمی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حجج المفصّلین</w:t>
      </w:r>
      <w:r>
        <w:rPr>
          <w:rFonts w:eastAsia="IRNazanin" w:cs="IRNazanin"/>
          <w:color w:val="111111"/>
          <w:sz w:val="28"/>
          <w:szCs w:val="28"/>
          <w:rtl w:val="true"/>
          <w:lang w:bidi="fa-IR"/>
        </w:rPr>
        <w:t>.</w:t>
      </w:r>
    </w:p>
    <w:p>
      <w:pPr>
        <w:pStyle w:val="Heading4"/>
        <w:numPr>
          <w:ilvl w:val="3"/>
          <w:numId w:val="1"/>
        </w:numPr>
        <w:rPr/>
      </w:pPr>
      <w:bookmarkStart w:id="397" w:name="__RefHeading___Toc5767107_3224264995"/>
      <w:bookmarkStart w:id="398" w:name="_Toc162"/>
      <w:bookmarkEnd w:id="397"/>
      <w:r>
        <w:rPr>
          <w:rtl w:val="true"/>
        </w:rPr>
        <w:t>القول بالتفضیل بین العدمی و الوجودی</w:t>
      </w:r>
      <w:bookmarkEnd w:id="39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التفصیل بین العدمیّ و الوجودیّ بالاعتبار فی الأوّل و عدمه فی الثانی،فهو الذی ربما یستظهر من کلام التفتازانی،حیث استظهر من عبارة العضدی </w:t>
      </w:r>
      <w:r>
        <w:rPr>
          <w:rStyle w:val="FootnoteAnchor"/>
          <w:rtl w:val="true"/>
        </w:rPr>
        <w:footnoteReference w:id="360"/>
      </w:r>
      <w:r>
        <w:rPr>
          <w:rFonts w:ascii="IRNazanin" w:hAnsi="IRNazanin" w:eastAsia="IRNazanin"/>
          <w:color w:val="111111"/>
          <w:sz w:val="28"/>
          <w:sz w:val="28"/>
          <w:szCs w:val="28"/>
          <w:rtl w:val="true"/>
          <w:lang w:bidi="fa-IR"/>
        </w:rPr>
        <w:t>فی 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خلاف منکری الاستصحاب إنّما هو فی الإثبات دون النفی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استظهره التفتازانی لا یخلو ظهوره عن تأمّل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هنا إشکالا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أشرنا إلیه فی تقسیم الاستصحاب فی </w:t>
      </w:r>
      <w:r>
        <w:rPr>
          <w:rStyle w:val="FootnoteAnchor"/>
          <w:rtl w:val="true"/>
        </w:rPr>
        <w:footnoteReference w:id="362"/>
      </w:r>
      <w:r>
        <w:rPr>
          <w:rFonts w:ascii="IRNazanin" w:hAnsi="IRNazanin" w:eastAsia="IRNazanin"/>
          <w:color w:val="111111"/>
          <w:sz w:val="28"/>
          <w:sz w:val="28"/>
          <w:szCs w:val="28"/>
          <w:rtl w:val="true"/>
          <w:lang w:bidi="fa-IR"/>
        </w:rPr>
        <w:t xml:space="preserve">تحریر محلّ الخلاف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باعتبار الاستصحاب فی العدمیّات یغنی عن التکلّم فی اعتباره فی الوجودیّات؛إذ ما من مستصحب وجودیّ إلاّ و فی مورده استصحاب عدمیّ یلزم من الظنّ ببقائه الظنّ ببقاء المستصحب الوجودی،و أقلّ ما یکون عدم ضدّه؛ فإنّ الطهارة لا تنفکّ عن عدم النجاسة،و الحیاة لا تنفکّ عن عدم الموت،و الوجوب أو غیره من الأحکام لا ینفکّ عن عدم ما عداه </w:t>
      </w:r>
      <w:bookmarkStart w:id="399" w:name="pg12985_124952"/>
    </w:p>
    <w:p>
      <w:pPr>
        <w:pStyle w:val="BookText"/>
        <w:rPr/>
      </w:pPr>
      <w:bookmarkEnd w:id="399"/>
      <w:r>
        <w:rPr>
          <w:rFonts w:ascii="IRNazanin" w:hAnsi="IRNazanin" w:eastAsia="IRNazanin"/>
          <w:color w:val="111111"/>
          <w:sz w:val="28"/>
          <w:sz w:val="28"/>
          <w:szCs w:val="28"/>
          <w:rtl w:val="true"/>
          <w:lang w:bidi="fa-IR"/>
        </w:rPr>
        <w:t xml:space="preserve">من أضداده،و الظنّ ببقاء هذه الأعدام لا ینفکّ عن الظنّ ببقاء تلک الوجودات،فلا بدّ من القول باعتباره،خصوصا بناء علی ما هو الظاهر المصرّح به فی کلام العضدی و غیره </w:t>
      </w:r>
      <w:r>
        <w:rPr>
          <w:rStyle w:val="FootnoteAnchor"/>
          <w:rtl w:val="true"/>
        </w:rPr>
        <w:footnoteReference w:id="364"/>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الاستصحاب لعدم إفادته الظنّ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ظاهر بعض النافین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قدّس سرّه </w:t>
      </w:r>
      <w:r>
        <w:rPr>
          <w:rStyle w:val="FootnoteAnchor"/>
          <w:rtl w:val="true"/>
        </w:rPr>
        <w:footnoteReference w:id="365"/>
      </w:r>
      <w:r>
        <w:rPr>
          <w:rFonts w:ascii="IRNazanin" w:hAnsi="IRNazanin" w:eastAsia="IRNazanin"/>
          <w:color w:val="111111"/>
          <w:sz w:val="28"/>
          <w:sz w:val="28"/>
          <w:szCs w:val="28"/>
          <w:rtl w:val="true"/>
          <w:lang w:bidi="fa-IR"/>
        </w:rPr>
        <w:t xml:space="preserve">و غیره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استنادهم إلی عدم إفادته للعلم؛بناء علی أنّ عدم اعتبار الظنّ عندهم مفروغ عنه فی أخبار الآحاد،فضلا عن الظنّ الاستصحابی</w:t>
      </w:r>
      <w:r>
        <w:rPr>
          <w:rFonts w:eastAsia="IRNazanin" w:cs="IRNazanin"/>
          <w:color w:val="111111"/>
          <w:sz w:val="28"/>
          <w:szCs w:val="28"/>
          <w:rtl w:val="true"/>
          <w:lang w:bidi="fa-IR"/>
        </w:rPr>
        <w:t>.</w:t>
      </w:r>
    </w:p>
    <w:p>
      <w:pPr>
        <w:pStyle w:val="Heading4"/>
        <w:numPr>
          <w:ilvl w:val="3"/>
          <w:numId w:val="1"/>
        </w:numPr>
        <w:rPr/>
      </w:pPr>
      <w:bookmarkStart w:id="400" w:name="__RefHeading___Toc5767109_3224264995"/>
      <w:bookmarkStart w:id="401" w:name="_Toc163"/>
      <w:bookmarkEnd w:id="400"/>
      <w:r>
        <w:rPr>
          <w:rtl w:val="true"/>
        </w:rPr>
        <w:t>عدم استقامة هذا القول بناء علی اعتبار الاستصحاب من باب الظنّ</w:t>
      </w:r>
      <w:r>
        <w:rPr>
          <w:rtl w:val="true"/>
        </w:rPr>
        <w:t>:</w:t>
      </w:r>
      <w:bookmarkEnd w:id="40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الاستصحاب فی الوجودیّات و الاعتراف به فی العدمیّات لا یستقیم بناء علی اعتبار الاستصحاب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باعتباره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ثبوت العدم بالاستصحاب لا یوجب ثبوت ما قارنه من الوجودات،فاستصحاب عدم أضداد الوجوب لا یثبت الوجوب فی الزمان اللاحق،کما أنّ عدم ما عدا زید من أفراد الإنسان فی الدار لا یثبت باستصحابه </w:t>
      </w:r>
      <w:r>
        <w:rPr>
          <w:rStyle w:val="FootnoteAnchor"/>
          <w:rtl w:val="true"/>
        </w:rPr>
        <w:footnoteReference w:id="367"/>
      </w:r>
      <w:r>
        <w:rPr>
          <w:rFonts w:ascii="IRNazanin" w:hAnsi="IRNazanin" w:eastAsia="IRNazanin"/>
          <w:color w:val="111111"/>
          <w:sz w:val="28"/>
          <w:sz w:val="28"/>
          <w:szCs w:val="28"/>
          <w:rtl w:val="true"/>
          <w:lang w:bidi="fa-IR"/>
        </w:rPr>
        <w:t xml:space="preserve">ثبوت زید فیها،کما سیجیء تفصیله إن شاء اللّه تعالی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المتکلّم فی الاستصحاب من باب التعبّد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غایة القلّة إلی زمان متأخّری المتأخّرین </w:t>
      </w:r>
      <w:r>
        <w:rPr>
          <w:rStyle w:val="FootnoteAnchor"/>
          <w:rtl w:val="true"/>
        </w:rPr>
        <w:footnoteReference w:id="369"/>
      </w:r>
      <w:r>
        <w:rPr>
          <w:rFonts w:ascii="IRNazanin" w:hAnsi="IRNazanin" w:eastAsia="IRNazanin"/>
          <w:color w:val="111111"/>
          <w:sz w:val="28"/>
          <w:sz w:val="28"/>
          <w:szCs w:val="28"/>
          <w:rtl w:val="true"/>
          <w:lang w:bidi="fa-IR"/>
        </w:rPr>
        <w:t xml:space="preserve">،مع أنّ بعض هؤلاء </w:t>
      </w:r>
      <w:r>
        <w:rPr>
          <w:rStyle w:val="FootnoteAnchor"/>
          <w:rtl w:val="true"/>
        </w:rPr>
        <w:footnoteReference w:id="370"/>
      </w:r>
      <w:r>
        <w:rPr>
          <w:rFonts w:ascii="IRNazanin" w:hAnsi="IRNazanin" w:eastAsia="IRNazanin"/>
          <w:color w:val="111111"/>
          <w:sz w:val="28"/>
          <w:sz w:val="28"/>
          <w:szCs w:val="28"/>
          <w:rtl w:val="true"/>
          <w:lang w:bidi="fa-IR"/>
        </w:rPr>
        <w:t xml:space="preserve">وجدناهم لا یفرّقون فی مقارنات المستصحب بین أفرادها، و یثبتون بالاستصحاب جمیع ما لا ینفکّ عن المستصحب،علی خلاف التحقیق الآتی فی التنبیهات الآتیة إن شاء اللّه تعالی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الاستصحابات العدمیّة لعلّه لیس لأجل الظنّ حتّی یسری إلی الوجودیّات المقارنة معها،بل لبناء العقلاء علیها فی امورهم بمقتضی جبلّتهم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عمل العقلاء فی معاشهم علی ما لا یفید الظنّ بمقاصدهم و المضیّ فی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الشکّ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 بل خلاف ما نجده من أنفسنا معاشر العقلاء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عند العقلاء من الظنّ الاستصحابی هو الحاصل بالشیء من تحقّقه السابق،لا الظنّ الساری من هذا الظنّ إلی شیء آخر،و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المحقّق سابقا یظنّ بتحقّقه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أو یظنّ تبدّله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الوجود المحقّق سابقا فإنّه لا یحصل الظنّ ببقائه لمجرّد تحقّقه السابق،و الظنّ الحاصل ببقائه من الظنّ الاستصحابی المتعلّق بالعدمیّ المقارن له غیر </w:t>
      </w:r>
      <w:bookmarkStart w:id="402" w:name="pg12985_124954"/>
    </w:p>
    <w:p>
      <w:pPr>
        <w:pStyle w:val="BookText"/>
        <w:rPr/>
      </w:pPr>
      <w:bookmarkEnd w:id="402"/>
      <w:r>
        <w:rPr>
          <w:rFonts w:ascii="IRNazanin" w:hAnsi="IRNazanin" w:eastAsia="IRNazanin"/>
          <w:color w:val="111111"/>
          <w:sz w:val="28"/>
          <w:sz w:val="28"/>
          <w:szCs w:val="28"/>
          <w:rtl w:val="true"/>
          <w:lang w:bidi="fa-IR"/>
        </w:rPr>
        <w:t xml:space="preserve">معتبر،إمّا مطلقا،أو إذا لم یکن ذلک الوجودیّ من آثار العدمیّ المترتّبة علیه </w:t>
      </w:r>
      <w:r>
        <w:rPr>
          <w:rStyle w:val="FootnoteAnchor"/>
          <w:rtl w:val="true"/>
        </w:rPr>
        <w:footnoteReference w:id="372"/>
      </w:r>
      <w:r>
        <w:rPr>
          <w:rFonts w:ascii="Amiri" w:hAnsi="Amiri" w:eastAsia="Amiri" w:cs="Amiri"/>
          <w:color w:val="111111"/>
          <w:sz w:val="28"/>
          <w:sz w:val="28"/>
          <w:szCs w:val="28"/>
          <w:rtl w:val="true"/>
          <w:lang w:bidi="ar-SA"/>
        </w:rPr>
        <w:t xml:space="preserve">من جهة الاستصحاب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المراد بما حکاه التفتازانی عن الحنفیّة،من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حیاة الغائب بالاستصحاب إنّما یصلح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انتقال إرثه إلی وارثه،لا انتقال إرث </w:t>
      </w:r>
      <w:r>
        <w:rPr>
          <w:rStyle w:val="FootnoteAnchor"/>
          <w:rtl w:val="true"/>
        </w:rPr>
        <w:footnoteReference w:id="374"/>
      </w:r>
      <w:r>
        <w:rPr>
          <w:rFonts w:ascii="Amiri" w:hAnsi="Amiri" w:eastAsia="Amiri" w:cs="Amiri"/>
          <w:color w:val="111111"/>
          <w:sz w:val="28"/>
          <w:sz w:val="28"/>
          <w:szCs w:val="28"/>
          <w:rtl w:val="true"/>
          <w:lang w:bidi="ar-SA"/>
        </w:rPr>
        <w:t>مورّثه إلیه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فإنّ معنی ذلک أنّهم یعتبرون ظنّ عدم انتقال مال الغائب إلی وارثه،لا انتقال مال مورّثه إلیه و إن کان أحد الظنّین لا ینفکّ عن الآخر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5767111_3224264995"/>
      <w:bookmarkStart w:id="404" w:name="_Toc164"/>
      <w:bookmarkEnd w:id="403"/>
      <w:r>
        <w:rPr>
          <w:rtl w:val="true"/>
        </w:rPr>
        <w:t>معنی عدم اعتبار الاستصحاب فی الوجودی</w:t>
      </w:r>
      <w:r>
        <w:rPr>
          <w:rtl w:val="true"/>
        </w:rPr>
        <w:t>:</w:t>
      </w:r>
      <w:bookmarkEnd w:id="404"/>
    </w:p>
    <w:p>
      <w:pPr>
        <w:pStyle w:val="BookText"/>
        <w:rPr/>
      </w:pPr>
      <w:r>
        <w:rPr>
          <w:rFonts w:ascii="IRNazanin" w:hAnsi="IRNazanin" w:eastAsia="IRNazanin"/>
          <w:color w:val="111111"/>
          <w:sz w:val="28"/>
          <w:sz w:val="28"/>
          <w:szCs w:val="28"/>
          <w:rtl w:val="true"/>
          <w:lang w:bidi="fa-IR"/>
        </w:rPr>
        <w:t>ثمّ إنّ معنی عدم اعتبار الاستصحاب فی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عدم الحکم ببقاء المستصحب الوجودیّ و إن کان لترتّب أمر عدمیّ علیه،کترتّب عدم جواز </w:t>
      </w:r>
      <w:r>
        <w:rPr>
          <w:rStyle w:val="FootnoteAnchor"/>
          <w:rtl w:val="true"/>
        </w:rPr>
        <w:footnoteReference w:id="377"/>
      </w:r>
      <w:r>
        <w:rPr>
          <w:rFonts w:ascii="IRNazanin" w:hAnsi="IRNazanin" w:eastAsia="IRNazanin"/>
          <w:color w:val="111111"/>
          <w:sz w:val="28"/>
          <w:sz w:val="28"/>
          <w:szCs w:val="28"/>
          <w:rtl w:val="true"/>
          <w:lang w:bidi="fa-IR"/>
        </w:rPr>
        <w:t>تزویج المرأة المفقود زوجها المترتّب علی حیاته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عدم ثبوت الأمر الوجودیّ لأجل الاستصحاب و إن کان المستصحب عدمیّا،فلا یترتّب انتقال مال قریب الغائب إلیه و إن کان </w:t>
      </w:r>
    </w:p>
    <w:p>
      <w:pPr>
        <w:pStyle w:val="BookText"/>
        <w:rPr/>
      </w:pPr>
      <w:r>
        <w:rPr>
          <w:rFonts w:ascii="IRNazanin" w:hAnsi="IRNazanin" w:eastAsia="IRNazanin"/>
          <w:color w:val="111111"/>
          <w:sz w:val="28"/>
          <w:sz w:val="28"/>
          <w:szCs w:val="28"/>
          <w:rtl w:val="true"/>
          <w:lang w:bidi="fa-IR"/>
        </w:rPr>
        <w:t>مترتّبا علی استصحاب عدم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المراد بما حکاه التفتازانی عن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حجّة فی النفی دون الإثبات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لی ما یدفع هذا الإشکال عن القول بعدم اعتبار الاستصحاب فی الإثبات و اعتباره فی النفی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أشرنا فیما مضی </w:t>
      </w:r>
      <w:r>
        <w:rPr>
          <w:rStyle w:val="FootnoteAnchor"/>
          <w:rtl w:val="true"/>
        </w:rPr>
        <w:footnoteReference w:id="379"/>
      </w:r>
      <w:r>
        <w:rPr>
          <w:rFonts w:ascii="Amiri" w:hAnsi="Amiri" w:eastAsia="Amiri" w:cs="Amiri"/>
          <w:color w:val="111111"/>
          <w:sz w:val="28"/>
          <w:sz w:val="28"/>
          <w:szCs w:val="28"/>
          <w:rtl w:val="true"/>
          <w:lang w:bidi="ar-SA"/>
        </w:rPr>
        <w:t xml:space="preserve">إلی أنّه </w:t>
      </w:r>
      <w:r>
        <w:rPr>
          <w:rStyle w:val="FootnoteAnchor"/>
          <w:rtl w:val="true"/>
        </w:rPr>
        <w:footnoteReference w:id="380"/>
      </w:r>
      <w:r>
        <w:rPr>
          <w:rFonts w:ascii="IRNazanin" w:hAnsi="IRNazanin" w:eastAsia="IRNazanin"/>
          <w:color w:val="111111"/>
          <w:sz w:val="28"/>
          <w:sz w:val="28"/>
          <w:szCs w:val="28"/>
          <w:rtl w:val="true"/>
          <w:lang w:bidi="fa-IR"/>
        </w:rPr>
        <w:t xml:space="preserve">لو قیل باعتباره فی النفی من باب التعبّد،لم یغن ذلک عن التکلّم فی الاستصحاب الوجودیّ؛بناء علی ما سنحقّقه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یثبت بالاستصحاب إلاّ آثار المستصحب المترتّبة علیه شرعا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w:t>
      </w:r>
      <w:r>
        <w:rPr>
          <w:rStyle w:val="FootnoteAnchor"/>
          <w:rtl w:val="true"/>
        </w:rPr>
        <w:footnoteReference w:id="382"/>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التفصیل مساو للتفصیل المختار المتقدّم </w:t>
      </w:r>
      <w:r>
        <w:rPr>
          <w:rStyle w:val="FootnoteAnchor"/>
          <w:rtl w:val="true"/>
        </w:rPr>
        <w:footnoteReference w:id="383"/>
      </w:r>
      <w:r>
        <w:rPr>
          <w:rFonts w:ascii="IRNazanin" w:hAnsi="IRNazanin" w:eastAsia="IRNazanin"/>
          <w:color w:val="111111"/>
          <w:sz w:val="28"/>
          <w:sz w:val="28"/>
          <w:szCs w:val="28"/>
          <w:rtl w:val="true"/>
          <w:lang w:bidi="fa-IR"/>
        </w:rPr>
        <w:t xml:space="preserve">،و لا یفترقان فیغنی أحدهما عن الآخر </w:t>
      </w:r>
      <w:r>
        <w:rPr>
          <w:rStyle w:val="FootnoteAnchor"/>
          <w:rtl w:val="true"/>
        </w:rPr>
        <w:footnoteReference w:id="384"/>
      </w:r>
      <w:r>
        <w:rPr>
          <w:rFonts w:ascii="IRNazanin" w:hAnsi="IRNazanin" w:eastAsia="IRNazanin"/>
          <w:color w:val="111111"/>
          <w:sz w:val="28"/>
          <w:sz w:val="28"/>
          <w:szCs w:val="28"/>
          <w:rtl w:val="true"/>
          <w:lang w:bidi="fa-IR"/>
        </w:rPr>
        <w:t>إذ الشکّ فی بقاء الأعدام السابقة من جهة الشکّ فی تحقّق الرافع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فی بقاء الأمر الوجودی من جهة الشک فی الرافع،لا ینفکّ عن </w:t>
      </w:r>
      <w:bookmarkStart w:id="405" w:name="pg12985_124956"/>
    </w:p>
    <w:p>
      <w:pPr>
        <w:pStyle w:val="BookText"/>
        <w:rPr/>
      </w:pPr>
      <w:bookmarkEnd w:id="405"/>
      <w:r>
        <w:rPr>
          <w:rFonts w:ascii="IRNazanin" w:hAnsi="IRNazanin" w:eastAsia="IRNazanin"/>
          <w:color w:val="111111"/>
          <w:sz w:val="28"/>
          <w:sz w:val="28"/>
          <w:szCs w:val="28"/>
          <w:rtl w:val="true"/>
          <w:lang w:bidi="fa-IR"/>
        </w:rPr>
        <w:t>الشکّ فی تحقّق الرافع،فیستصحب عدمه،و یترتّب علیه بقاء ذلک الأمر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الوجودیّ قد لا یکون من الآثار الشرعیّة لعدم الرافع،فلا یغنی العدمیّ عن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إذا فرض من جهة الرافع فیکون الأحکام الشرعیّة المترتّبة علی ذلک الأمر الوجودیّ مستمرّة إلی تحقّق ذلک الرافع،فإذا حکم بعدمه عند الشکّ،یترتّب </w:t>
      </w:r>
      <w:r>
        <w:rPr>
          <w:rStyle w:val="FootnoteAnchor"/>
          <w:rtl w:val="true"/>
        </w:rPr>
        <w:footnoteReference w:id="385"/>
      </w:r>
      <w:r>
        <w:rPr>
          <w:rFonts w:ascii="IRNazanin" w:hAnsi="IRNazanin" w:eastAsia="IRNazanin"/>
          <w:color w:val="111111"/>
          <w:sz w:val="28"/>
          <w:sz w:val="28"/>
          <w:szCs w:val="28"/>
          <w:rtl w:val="true"/>
          <w:lang w:bidi="fa-IR"/>
        </w:rPr>
        <w:t>علیه شرعا جمیع تلک الأحکام،فیغنی ذلک عن الاستصحاب الوجودیّ</w:t>
      </w:r>
      <w:r>
        <w:rPr>
          <w:rFonts w:eastAsia="IRNazanin" w:cs="IRNazanin"/>
          <w:color w:val="111111"/>
          <w:sz w:val="28"/>
          <w:szCs w:val="28"/>
          <w:rtl w:val="true"/>
          <w:lang w:bidi="fa-IR"/>
        </w:rPr>
        <w:t>.</w:t>
      </w:r>
    </w:p>
    <w:p>
      <w:pPr>
        <w:pStyle w:val="Heading4"/>
        <w:numPr>
          <w:ilvl w:val="3"/>
          <w:numId w:val="1"/>
        </w:numPr>
        <w:rPr/>
      </w:pPr>
      <w:bookmarkStart w:id="406" w:name="__RefHeading___Toc5767113_3224264995"/>
      <w:bookmarkStart w:id="407" w:name="_Toc165"/>
      <w:bookmarkEnd w:id="406"/>
      <w:r>
        <w:rPr>
          <w:rtl w:val="true"/>
        </w:rPr>
        <w:t>ما یمکن أن یحتجّ به لهذا القول</w:t>
      </w:r>
      <w:r>
        <w:rPr>
          <w:rtl w:val="true"/>
        </w:rPr>
        <w:t>:</w:t>
      </w:r>
      <w:bookmarkEnd w:id="407"/>
    </w:p>
    <w:p>
      <w:pPr>
        <w:pStyle w:val="Heading5"/>
        <w:numPr>
          <w:ilvl w:val="4"/>
          <w:numId w:val="1"/>
        </w:numPr>
        <w:rPr/>
      </w:pPr>
      <w:bookmarkStart w:id="408" w:name="__RefHeading___Toc5767115_3224264995"/>
      <w:bookmarkStart w:id="409" w:name="_Toc166"/>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و حینئذ،فیمکن أن یحتجّ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عدم الحجّیة فی الوجودیّات،فیما تقدّم فی أدلّة النافین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علی الحجّیة فی العدمیّات،فیما تقدّم فی أدلّة المختار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الإجماع،و الاستقراء،و الأخبار؛بناء علی أنّ </w:t>
      </w:r>
      <w:r>
        <w:rPr>
          <w:rStyle w:val="FootnoteAnchor"/>
          <w:rtl w:val="true"/>
        </w:rPr>
        <w:footnoteReference w:id="388"/>
      </w:r>
      <w:r>
        <w:rPr>
          <w:rFonts w:ascii="IRNazanin" w:hAnsi="IRNazanin" w:eastAsia="IRNazanin"/>
          <w:color w:val="111111"/>
          <w:sz w:val="28"/>
          <w:sz w:val="28"/>
          <w:szCs w:val="28"/>
          <w:rtl w:val="true"/>
          <w:lang w:bidi="fa-IR"/>
        </w:rPr>
        <w:t>الشیء المشکوک فی بقائه من جهة الرافع إنّما یحکم ببقائه لترتّبه علی استصحاب عدم وجود الرافع،لا لاستصحابه فی نفسه؛فإنّ الشاکّ فی بقاء الطهارة من جهة الشکّ فی وجود الرافع یحکم بعدم الرافع،فیحکم من أجله ببقاء الطهارة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فإنّه علی یقین من وضوئه و لا ینقض </w:t>
      </w:r>
      <w:bookmarkStart w:id="410" w:name="pg12985_124957"/>
    </w:p>
    <w:p>
      <w:pPr>
        <w:pStyle w:val="BookText"/>
        <w:rPr/>
      </w:pPr>
      <w:bookmarkEnd w:id="410"/>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و لیس ینبغی لک أن تنقض الیقین</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غیرهما ممّا دلّ علی أنّ الیقین لا ینقض أو لا یدفع بالشکّ،یراد منه أنّ احتمال طروّ الرافع لا یعتنی به،و لا یترتّب علیه أثر النقض،فیکون وجوده کالعدم،فالحکم ببقاء الطهارة السابقة من جهة استصحاب العدم،لا من جهة استصحابها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الشیء إذا کان مسبّبا عن الشکّ فی شیء آخر،فلا یجتمع معه فی الدخول تحت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تعارض مقتضی الیقین السابق فیهما أم تعاضدا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الداخل هو الشکّ السببیّ،و معنی عدم الاعتناء به زوال الشکّ المسبّب به، و سیجیء توضیح ذلک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767117_3224264995"/>
      <w:bookmarkStart w:id="412" w:name="_Toc167"/>
      <w:bookmarkEnd w:id="411"/>
      <w:r>
        <w:rPr>
          <w:rtl w:val="true"/>
        </w:rPr>
        <w:t>المناقشة فی الاحتجاج المذکور</w:t>
      </w:r>
      <w:r>
        <w:rPr>
          <w:rtl w:val="true"/>
        </w:rPr>
        <w:t>:</w:t>
      </w:r>
      <w:bookmarkEnd w:id="4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393"/>
      </w:r>
      <w:r>
        <w:rPr>
          <w:rFonts w:ascii="IRNazanin" w:hAnsi="IRNazanin" w:eastAsia="IRNazanin"/>
          <w:color w:val="111111"/>
          <w:sz w:val="28"/>
          <w:sz w:val="28"/>
          <w:szCs w:val="28"/>
          <w:rtl w:val="true"/>
          <w:lang w:bidi="fa-IR"/>
        </w:rPr>
        <w:t xml:space="preserve">قد یکون الأمر الوجودیّ أمرا خارجیّا کالرطوبة </w:t>
      </w:r>
      <w:r>
        <w:rPr>
          <w:rStyle w:val="FootnoteAnchor"/>
          <w:rtl w:val="true"/>
        </w:rPr>
        <w:footnoteReference w:id="394"/>
      </w:r>
      <w:r>
        <w:rPr>
          <w:rFonts w:ascii="IRNazanin" w:hAnsi="IRNazanin" w:eastAsia="IRNazanin"/>
          <w:color w:val="111111"/>
          <w:sz w:val="28"/>
          <w:sz w:val="28"/>
          <w:szCs w:val="28"/>
          <w:rtl w:val="true"/>
          <w:lang w:bidi="fa-IR"/>
        </w:rPr>
        <w:t xml:space="preserve">یترتّب علیها آثار شرعیّة،فإذا شکّ فی وجود الرافع لها لم یجز أن یثبت به الرطوبة حتّی یترتّب علیها أحکامها؛لما سیجیء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المستصحب لا یترتّب علیه إلاّ آثاره الشرعیّة </w:t>
      </w:r>
    </w:p>
    <w:p>
      <w:pPr>
        <w:pStyle w:val="BookText"/>
        <w:rPr/>
      </w:pPr>
      <w:r>
        <w:rPr>
          <w:rFonts w:ascii="IRNazanin" w:hAnsi="IRNazanin" w:eastAsia="IRNazanin"/>
          <w:color w:val="111111"/>
          <w:sz w:val="28"/>
          <w:sz w:val="28"/>
          <w:szCs w:val="28"/>
          <w:rtl w:val="true"/>
          <w:lang w:bidi="fa-IR"/>
        </w:rPr>
        <w:t>المترتّبة علیه بلا واسطة أمر عقلیّ أو عادیّ،فیتعیّن حینئذ استصحاب نفس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عدم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بها أصالة عدم ذات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کالریح المجفّف للرطوبة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ینفع فی الأحکام المترتّبة شرعا علی نفس الرطوبة؛بناء علی عدم اعتبار الأصل المثبت،کما سیجیء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ارید بها أصالة عدمه من حیث وصف الرافعیّة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مرجعها إلی أصالة عدم ارتفاع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لم یکن یترتّب علیها إلاّ الأحکام الشرعیّة للرطوبة،لکنّها عبارة اخری عن استصحاب نفس الرطوبة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القولین فی هذا القسم </w:t>
      </w:r>
      <w:r>
        <w:rPr>
          <w:rStyle w:val="FootnoteAnchor"/>
          <w:rtl w:val="true"/>
        </w:rPr>
        <w:footnoteReference w:id="397"/>
      </w:r>
      <w:bookmarkStart w:id="413" w:name="pg12985_124959"/>
    </w:p>
    <w:p>
      <w:pPr>
        <w:pStyle w:val="Heading3"/>
        <w:numPr>
          <w:ilvl w:val="2"/>
          <w:numId w:val="1"/>
        </w:numPr>
        <w:rPr/>
      </w:pPr>
      <w:bookmarkStart w:id="414" w:name="__RefHeading___Toc5767119_3224264995"/>
      <w:bookmarkStart w:id="415" w:name="_Toc168"/>
      <w:bookmarkEnd w:id="413"/>
      <w:bookmarkEnd w:id="414"/>
      <w:r>
        <w:rPr>
          <w:rtl w:val="true"/>
        </w:rPr>
        <w:t>حجّة القول الرابع</w:t>
      </w:r>
      <w:bookmarkEnd w:id="415"/>
    </w:p>
    <w:p>
      <w:pPr>
        <w:pStyle w:val="Heading4"/>
        <w:numPr>
          <w:ilvl w:val="3"/>
          <w:numId w:val="1"/>
        </w:numPr>
        <w:rPr/>
      </w:pPr>
      <w:bookmarkStart w:id="416" w:name="__RefHeading___Toc5767121_3224264995"/>
      <w:bookmarkStart w:id="417" w:name="_Toc169"/>
      <w:bookmarkEnd w:id="416"/>
      <w:r>
        <w:rPr>
          <w:rtl w:val="true"/>
        </w:rPr>
        <w:t>اشارة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الرابع</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بالتفصیل بین الأمور الخارجیة و الحکم الشرعی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من أنکر الاستصحاب فی الامور الخارجیّة ما ذکره </w:t>
      </w:r>
      <w:r>
        <w:rPr>
          <w:rStyle w:val="FootnoteAnchor"/>
          <w:rtl w:val="true"/>
        </w:rPr>
        <w:footnoteReference w:id="399"/>
      </w:r>
      <w:r>
        <w:rPr>
          <w:rFonts w:ascii="IRNazanin" w:hAnsi="IRNazanin" w:eastAsia="IRNazanin"/>
          <w:color w:val="111111"/>
          <w:sz w:val="28"/>
          <w:sz w:val="28"/>
          <w:szCs w:val="28"/>
          <w:rtl w:val="true"/>
          <w:lang w:bidi="fa-IR"/>
        </w:rPr>
        <w:t xml:space="preserve">المحقّق الخوانساری فی شرح الدروس،و حکاه </w:t>
      </w:r>
      <w:r>
        <w:rPr>
          <w:rStyle w:val="FootnoteAnchor"/>
          <w:rtl w:val="true"/>
        </w:rPr>
        <w:footnoteReference w:id="400"/>
      </w:r>
      <w:r>
        <w:rPr>
          <w:rFonts w:ascii="IRNazanin" w:hAnsi="IRNazanin" w:eastAsia="IRNazanin"/>
          <w:color w:val="111111"/>
          <w:sz w:val="28"/>
          <w:sz w:val="28"/>
          <w:szCs w:val="28"/>
          <w:rtl w:val="true"/>
          <w:lang w:bidi="fa-IR"/>
        </w:rPr>
        <w:t>فی حاشیة له عند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حکاه شارح الوافیة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استظهره المحقّق القمّی قدّس سرّه من السبزواری،من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الأخبار لا یظهر شمولها للامور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رطوبة الثوب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یبعد أن یکون مرادهم بیان الحکم فی مثل هذه الامور الذی لیس حکما شرعیّا و إن کان یمکن أن یصیر منشأ لحکم شرعیّ، و هذا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الاستصحاب فی الامور الخارجیّة لا عبرة به </w:t>
      </w:r>
      <w:r>
        <w:rPr>
          <w:rStyle w:val="FootnoteAnchor"/>
          <w:rtl w:val="true"/>
        </w:rPr>
        <w:footnoteReference w:id="4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4"/>
        <w:numPr>
          <w:ilvl w:val="3"/>
          <w:numId w:val="1"/>
        </w:numPr>
        <w:rPr/>
      </w:pPr>
      <w:bookmarkStart w:id="418" w:name="__RefHeading___Toc5767123_3224264995"/>
      <w:bookmarkStart w:id="419" w:name="_Toc170"/>
      <w:bookmarkEnd w:id="418"/>
      <w:r>
        <w:rPr>
          <w:rtl w:val="true"/>
        </w:rPr>
        <w:t>المناقشة فیه الحجة المذکورة</w:t>
      </w:r>
      <w:r>
        <w:rPr>
          <w:rtl w:val="true"/>
        </w:rPr>
        <w:t>:</w:t>
      </w:r>
      <w:bookmarkEnd w:id="41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فبالنقض بالأحکام الجزئیّة،مثل طهارة الثوب من حیث عدم ملاقاته للنجاسة،و نجاسته من حیث ملاقاته لها؛فإنّ بیانها </w:t>
      </w:r>
    </w:p>
    <w:p>
      <w:pPr>
        <w:pStyle w:val="BookText"/>
        <w:rPr/>
      </w:pPr>
      <w:r>
        <w:rPr>
          <w:rFonts w:ascii="IRNazanin" w:hAnsi="IRNazanin" w:eastAsia="IRNazanin"/>
          <w:color w:val="111111"/>
          <w:sz w:val="28"/>
          <w:sz w:val="28"/>
          <w:szCs w:val="28"/>
          <w:rtl w:val="true"/>
          <w:lang w:bidi="fa-IR"/>
        </w:rPr>
        <w:t>أیضا لیس من وظیفة الإمام علیه السّلام،کما أنّه لیس وظیفة المجتهد، و لا یجوز التقلید فیها،و إنّما وظیفته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مبیّنا للشرع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الأحکام الکلّیة المشتبهة علی الرعیّة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فبالحلّ،توضیحه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بیان الحکم الجزئیّ فی المشتبهات </w:t>
      </w:r>
      <w:r>
        <w:rPr>
          <w:rStyle w:val="FootnoteAnchor"/>
          <w:rtl w:val="true"/>
        </w:rPr>
        <w:footnoteReference w:id="404"/>
      </w:r>
      <w:r>
        <w:rPr>
          <w:rFonts w:ascii="IRNazanin" w:hAnsi="IRNazanin" w:eastAsia="IRNazanin"/>
          <w:color w:val="111111"/>
          <w:sz w:val="28"/>
          <w:sz w:val="28"/>
          <w:szCs w:val="28"/>
          <w:rtl w:val="true"/>
          <w:lang w:bidi="fa-IR"/>
        </w:rPr>
        <w:t>الخارجیّة لیس وظیفة للشارع و لا لأحد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حکم المشتبه حکمه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کمشکوک النجاسة أو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کلیّ لیس بیانه وظیفة إلاّ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الموضوع الخارجیّ کرطوبة الثوب،فإنّ بیان ثبوتها و انتفائها فی الواقع لیس وظیفة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حکم الموضوع المشتبه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کالمائع المردّد بین الخلّ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لیس بیانه وظیفة إلاّ للشارع،و قد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حرام،و ذلک مثل الثوب یکون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قوله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التوهّم نشأ من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نفس المتیقّن السابق،و لیس إبقاء الرطوبة ممّا یقبل حکم الشارع بوجوبه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النقض بالطهارة المتیقّنة سابقا؛فإنّ إبقاءها لیس من الأفعال الاختیاریّة القابلة للإیجاب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الإبقاء و عدم النقض،هو ترتیب الآثار الشرعیّة المترتّبة علی المتیقّن،فمعنی </w:t>
      </w:r>
    </w:p>
    <w:p>
      <w:pPr>
        <w:pStyle w:val="BookText"/>
        <w:rPr/>
      </w:pPr>
      <w:r>
        <w:rPr>
          <w:rFonts w:ascii="IRNazanin" w:hAnsi="IRNazanin" w:eastAsia="IRNazanin"/>
          <w:color w:val="111111"/>
          <w:sz w:val="28"/>
          <w:sz w:val="28"/>
          <w:szCs w:val="28"/>
          <w:rtl w:val="true"/>
          <w:lang w:bidi="fa-IR"/>
        </w:rPr>
        <w:t>استصحاب الرطوبة ترتیب آثارها الشرعیّة فی زمان الشکّ،نظیر استصحاب الطهارة،فطهارة الثوب و رطوبته سیّان فی عدم قابلیّة الحکم بإبقائهما عند الشکّ،و فی قابلیّة الحکم بترتیب آثارهما الشرعیّة فی زمان الشکّ،فالتفصیل بین کون المستصحب من قبیل رطوبة الثوب و کونه من قبیل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شمول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معناه ترتیب آثارها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یظهر له فائدة؛لأنّ تلک الآثار المترتّبة علیه </w:t>
      </w:r>
      <w:r>
        <w:rPr>
          <w:rStyle w:val="FootnoteAnchor"/>
          <w:rtl w:val="true"/>
        </w:rPr>
        <w:footnoteReference w:id="407"/>
      </w:r>
      <w:r>
        <w:rPr>
          <w:rFonts w:ascii="IRNazanin" w:hAnsi="IRNazanin" w:eastAsia="IRNazanin"/>
          <w:color w:val="111111"/>
          <w:sz w:val="28"/>
          <w:sz w:val="28"/>
          <w:szCs w:val="28"/>
          <w:rtl w:val="true"/>
          <w:lang w:bidi="fa-IR"/>
        </w:rPr>
        <w:t>کانت مشارکة معه فی الیقین السابق،فاستصحابها یغنی عن استصحاب نفس الموضوع،فإنّ استصحاب حرمة مال زید الغائب و زوجته یغنی عن استصحاب حیاته إذا فرض أنّ معنی إبقاء الحیاة ترتیب آثارها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یحتاج إجراء الاستصحاب فی آثاره إلی أدنی تدبّر،کما فی الآثار الغیر المشارکة معه فی الیقین السابق،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الغائب من قریبه المتوفّی فی زمان الشکّ فی حیاة الغائب، فإنّ التوریث غیر متحقّق حال الیقین بحیاة الغائب؛لعدم موت قریبه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مقتضی التدبّر إجراء الاستصحاب علی وجه التعلیق،بأن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قریبه قبل الشکّ فی حیاته لورث منه،و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قریبه قبل ذلک کان ملازما لإرثه منه و لم یعلم انتفاء الملازمة فیستصحب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المترتّبة علی الموضوع الخارجیّ،منها ما یجتمع </w:t>
      </w:r>
    </w:p>
    <w:p>
      <w:pPr>
        <w:pStyle w:val="BookText"/>
        <w:rPr/>
      </w:pPr>
      <w:r>
        <w:rPr>
          <w:rFonts w:ascii="IRNazanin" w:hAnsi="IRNazanin" w:eastAsia="IRNazanin"/>
          <w:color w:val="111111"/>
          <w:sz w:val="28"/>
          <w:sz w:val="28"/>
          <w:szCs w:val="28"/>
          <w:rtl w:val="true"/>
          <w:lang w:bidi="fa-IR"/>
        </w:rPr>
        <w:t>معه فی زمان الیقین به،و منها ما لا یجتمع معه فی ذلک الزمان،لکن عدم الترتّب فعلا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کونه من آثاره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لمانع فی ذلک الزمان أو لعدم شرط،فیصدق فی ذلک الزمان أنّه لو لا ذلک المانع أو عدم الشرط لترتّب الآثار،فإذا فقد المانع الموجود أو وجد الشرط المفقود،و شکّ فی الترتّب من جهة الشکّ فی بقاء ذلک الأمر الخارجیّ،حکم باستصحاب ذلک الترتّب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لذلک مزید توضیح فی بعض التنبیهات الآتیة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موضع </w:t>
      </w:r>
      <w:r>
        <w:rPr>
          <w:rStyle w:val="FootnoteAnchor"/>
          <w:rtl w:val="true"/>
        </w:rPr>
        <w:footnoteReference w:id="409"/>
      </w:r>
      <w:r>
        <w:rPr>
          <w:rFonts w:ascii="IRNazanin" w:hAnsi="IRNazanin" w:eastAsia="IRNazanin"/>
          <w:color w:val="111111"/>
          <w:sz w:val="28"/>
          <w:sz w:val="28"/>
          <w:szCs w:val="28"/>
          <w:rtl w:val="true"/>
          <w:lang w:bidi="fa-IR"/>
        </w:rPr>
        <w:t>جریان الاستصحاب فی الأمر الخارجیّ لا یجری استصحاب الأثر المترتّب علیه،فإذا شکّ فی بقاء حیاة زید فلا سبیل إلی إثبات آثار حیاته إلاّ بحکم الشارع بعدم جواز نقض حیاته،بمعنی وجوب ترتیب الآثار الشرعیّة المترتّبة علی الشخص الحیّ،و لا یغنی عن ذلک إجراء الاستصحاب فی نفس الآثار،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ماله و زوجته کانت متیقّنة،فیحرم نقض الیقین بالشکّ؛لأنّ حرمة المال و الزوجة إنّما تترتّبان فی السابق علی الشخص الحیّ بوصف أنّه حیّ،فالحیاة داخل فی موضوع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أقلّ من الشکّ فی ذلک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فالموضوع مشکوک </w:t>
      </w:r>
      <w:r>
        <w:rPr>
          <w:rStyle w:val="FootnoteAnchor"/>
          <w:rtl w:val="true"/>
        </w:rPr>
        <w:footnoteReference w:id="411"/>
      </w:r>
      <w:r>
        <w:rPr>
          <w:rFonts w:ascii="IRNazanin" w:hAnsi="IRNazanin" w:eastAsia="IRNazanin"/>
          <w:color w:val="111111"/>
          <w:sz w:val="28"/>
          <w:sz w:val="28"/>
          <w:szCs w:val="28"/>
          <w:rtl w:val="true"/>
          <w:lang w:bidi="fa-IR"/>
        </w:rPr>
        <w:t xml:space="preserve">فی الزمن اللاحق،و سیجیء اشتراط القطع ببقاء الموضوع فی الاستصحاب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استصحاب الحیاة </w:t>
      </w:r>
    </w:p>
    <w:p>
      <w:pPr>
        <w:pStyle w:val="BookText"/>
        <w:rPr/>
      </w:pPr>
      <w:r>
        <w:rPr>
          <w:rFonts w:ascii="IRNazanin" w:hAnsi="IRNazanin" w:eastAsia="IRNazanin"/>
          <w:color w:val="111111"/>
          <w:sz w:val="28"/>
          <w:sz w:val="28"/>
          <w:szCs w:val="28"/>
          <w:rtl w:val="true"/>
          <w:lang w:bidi="fa-IR"/>
        </w:rPr>
        <w:t>لإحراز الموضوع فی استصحاب الآثار غلط؛لأنّ معنی استصحاب الموضوع ترتیب آثاره الشرعیّة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الآثار نفسها غیر صحیح؛لعدم إحراز الموضوع،و استصحاب الموضوع کاف فی إثبات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فی مستند التفصیل السابق </w:t>
      </w:r>
      <w:r>
        <w:rPr>
          <w:rStyle w:val="FootnoteAnchor"/>
          <w:rtl w:val="true"/>
        </w:rPr>
        <w:footnoteReference w:id="413"/>
      </w:r>
      <w:r>
        <w:rPr>
          <w:rFonts w:ascii="IRNazanin" w:hAnsi="IRNazanin" w:eastAsia="IRNazanin"/>
          <w:color w:val="111111"/>
          <w:sz w:val="28"/>
          <w:sz w:val="28"/>
          <w:szCs w:val="28"/>
          <w:rtl w:val="true"/>
          <w:lang w:bidi="fa-IR"/>
        </w:rPr>
        <w:t xml:space="preserve">،و سیجیء فی اشتراط بقاء الموضوع </w:t>
      </w:r>
      <w:r>
        <w:rPr>
          <w:rStyle w:val="FootnoteAnchor"/>
          <w:rtl w:val="true"/>
        </w:rPr>
        <w:footnoteReference w:id="414"/>
      </w:r>
      <w:r>
        <w:rPr>
          <w:rFonts w:ascii="IRNazanin" w:hAnsi="IRNazanin" w:eastAsia="IRNazanin"/>
          <w:color w:val="111111"/>
          <w:sz w:val="28"/>
          <w:sz w:val="28"/>
          <w:szCs w:val="28"/>
          <w:rtl w:val="true"/>
          <w:lang w:bidi="fa-IR"/>
        </w:rPr>
        <w:t xml:space="preserve">،و فی تعارض الاستصحابین </w:t>
      </w:r>
      <w:r>
        <w:rPr>
          <w:rStyle w:val="FootnoteAnchor"/>
          <w:rtl w:val="true"/>
        </w:rPr>
        <w:footnoteReference w:id="415"/>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المسبّب عن شکّ آخر لا یجامع معه فی الدخول تحت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الداخل هو الشکّ السببیّ، و معنی عدم الاعتناء به و عدم جعله ناقضا للیقین،زوال الشکّ المسبّب به،فافهم</w:t>
      </w:r>
      <w:r>
        <w:rPr>
          <w:rFonts w:eastAsia="IRNazanin" w:cs="IRNazanin"/>
          <w:color w:val="111111"/>
          <w:sz w:val="28"/>
          <w:szCs w:val="28"/>
          <w:rtl w:val="true"/>
          <w:lang w:bidi="fa-IR"/>
        </w:rPr>
        <w:t xml:space="preserve">. </w:t>
      </w:r>
      <w:bookmarkStart w:id="420" w:name="pg12985_124964"/>
    </w:p>
    <w:p>
      <w:pPr>
        <w:pStyle w:val="Heading3"/>
        <w:numPr>
          <w:ilvl w:val="2"/>
          <w:numId w:val="1"/>
        </w:numPr>
        <w:rPr/>
      </w:pPr>
      <w:bookmarkStart w:id="421" w:name="__RefHeading___Toc5767125_3224264995"/>
      <w:bookmarkStart w:id="422" w:name="_Toc171"/>
      <w:bookmarkEnd w:id="420"/>
      <w:bookmarkEnd w:id="421"/>
      <w:r>
        <w:rPr>
          <w:rtl w:val="true"/>
        </w:rPr>
        <w:t>حجّة القول الخامس</w:t>
      </w:r>
      <w:bookmarkEnd w:id="422"/>
    </w:p>
    <w:p>
      <w:pPr>
        <w:pStyle w:val="Heading4"/>
        <w:numPr>
          <w:ilvl w:val="3"/>
          <w:numId w:val="1"/>
        </w:numPr>
        <w:rPr/>
      </w:pPr>
      <w:bookmarkStart w:id="423" w:name="__RefHeading___Toc5767127_3224264995"/>
      <w:bookmarkStart w:id="424" w:name="_Toc172"/>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الخامس</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بین الحکم الشرعی الکلی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بین الحکم الشرعیّ الکلّی و بین غیره،فلا یعتبر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المصرّح به فی کلام المحدّث الأسترابادی،لکنّه صرّح باستثناء استصحاب عدم النسخ </w:t>
      </w:r>
      <w:r>
        <w:rPr>
          <w:rStyle w:val="FootnoteAnchor"/>
          <w:rtl w:val="true"/>
        </w:rPr>
        <w:footnoteReference w:id="418"/>
      </w:r>
      <w:r>
        <w:rPr>
          <w:rFonts w:ascii="IRNazanin" w:hAnsi="IRNazanin" w:eastAsia="IRNazanin"/>
          <w:color w:val="111111"/>
          <w:sz w:val="28"/>
          <w:sz w:val="28"/>
          <w:szCs w:val="28"/>
          <w:rtl w:val="true"/>
          <w:lang w:bidi="fa-IR"/>
        </w:rPr>
        <w:t>مدّعیا الإجماع بل الضرورة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محکیّ فوائده المکّیة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أخبار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Heading4"/>
        <w:numPr>
          <w:ilvl w:val="3"/>
          <w:numId w:val="1"/>
        </w:numPr>
        <w:rPr/>
      </w:pPr>
      <w:bookmarkStart w:id="425" w:name="__RefHeading___Toc5767129_3224264995"/>
      <w:bookmarkStart w:id="426" w:name="_Toc173"/>
      <w:bookmarkEnd w:id="425"/>
      <w:r>
        <w:rPr>
          <w:rtl w:val="true"/>
        </w:rPr>
        <w:t>کلام المحدّث الأسترابادی فی الاستدلال علی هذا القول</w:t>
      </w:r>
      <w:r>
        <w:rPr>
          <w:rtl w:val="true"/>
        </w:rPr>
        <w:t>:</w:t>
      </w:r>
      <w:bookmarkEnd w:id="426"/>
    </w:p>
    <w:p>
      <w:pPr>
        <w:pStyle w:val="Heading5"/>
        <w:numPr>
          <w:ilvl w:val="4"/>
          <w:numId w:val="1"/>
        </w:numPr>
        <w:rPr/>
      </w:pPr>
      <w:bookmarkStart w:id="427" w:name="__RefHeading___Toc5767131_3224264995"/>
      <w:bookmarkStart w:id="428" w:name="_Toc174"/>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 تقتضی جواز العمل بالاستصحاب فی أحکام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المفید و العلاّمة من أصحابنا،و الشافعیّة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تقتضی بطلان قول أکثر علمائنا و الحنفیّة بعدم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شبهة عجز عن جوابها کثیر من فحول الاصولیّین و الفقهاء،و قد أجبنا عنها فی الفوائد المدنیّة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 الاستصحاب المختلف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النظر الدقیق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إلی أنّه إذا ثبت حکم بخطاب شرعیّ فی موضوع فی حال من حالاته،نجریه فی ذلک الموضوع عند زوال الحالة القدیمة و حدوث نقیضها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أنّه إذا تبدّل قید موضوع المسألة </w:t>
      </w:r>
      <w:bookmarkStart w:id="429" w:name="pg12985_124965"/>
    </w:p>
    <w:p>
      <w:pPr>
        <w:pStyle w:val="BookText"/>
        <w:rPr/>
      </w:pPr>
      <w:bookmarkEnd w:id="429"/>
      <w:r>
        <w:rPr>
          <w:rFonts w:ascii="IRNazanin" w:hAnsi="IRNazanin" w:eastAsia="IRNazanin"/>
          <w:color w:val="111111"/>
          <w:sz w:val="28"/>
          <w:sz w:val="28"/>
          <w:szCs w:val="28"/>
          <w:rtl w:val="true"/>
          <w:lang w:bidi="fa-IR"/>
        </w:rPr>
        <w:t>بنقیض ذلک القید اختلف موضوع المسألتین،فالذی سمّوه استصحابا راجع فی الحقیقة إلی إسراء حکم موضوع إلی موضوع آخر متّحد معه فی الذات مختلف معه فی الصفات،و من المعلوم عند الحکیم أنّ هذا المعنی غیر معتبر شرعا و أنّ القاعدة الشریفة المذکورة غیر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الحکم الشرعیّ،و کذا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الحالة التی إذا خلّی الشیء و نفسه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یعمل بهما ما لم یظهر مخرج عنهما،و قد ظهر فی محلّ النزاع؛لتواتر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کلّ ما یحتاج إلیه الأمّة ورد فیه خطاب و حکم حتّی أرش الخدش </w:t>
      </w:r>
      <w:r>
        <w:rPr>
          <w:rStyle w:val="FootnoteAnchor"/>
          <w:rtl w:val="true"/>
        </w:rPr>
        <w:footnoteReference w:id="421"/>
      </w:r>
      <w:r>
        <w:rPr>
          <w:rFonts w:ascii="IRNazanin" w:hAnsi="IRNazanin" w:eastAsia="IRNazanin"/>
          <w:color w:val="111111"/>
          <w:sz w:val="28"/>
          <w:sz w:val="28"/>
          <w:szCs w:val="28"/>
          <w:rtl w:val="true"/>
          <w:lang w:bidi="fa-IR"/>
        </w:rPr>
        <w:t>،و کثیر ممّا ورد مخزون عند أهل الذکر علیهم السّلام،فعلم أنّه ورد فی محلّ النزاع أحکام لا نعلمها بعینها،و تواتر الأخبار بحصر المسائل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 و بیّن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مقطوع فیه ذلک،لا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لیس هذا و لا ذاک، و بوجوب التوقّف فی الثالث </w:t>
      </w:r>
      <w:r>
        <w:rPr>
          <w:rStyle w:val="FootnoteAnchor"/>
          <w:rtl w:val="true"/>
        </w:rPr>
        <w:footnoteReference w:id="4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430" w:name="__RefHeading___Toc5767133_3224264995"/>
      <w:bookmarkStart w:id="431" w:name="_Toc175"/>
      <w:bookmarkEnd w:id="430"/>
      <w:r>
        <w:rPr>
          <w:rtl w:val="true"/>
        </w:rPr>
        <w:t>المناقشة فیما أفاده المحدّث الأسترابادی</w:t>
      </w:r>
      <w:r>
        <w:rPr>
          <w:rtl w:val="true"/>
        </w:rPr>
        <w:t>:</w:t>
      </w:r>
      <w:bookmarkEnd w:id="4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ما ذکره أوّلا قد استدلّ به کلّ من نفی الاستصحاب من أصحابنا،و أوضحوا ذلک غایة الإیضاح،کما یظهر لمن راجع الذریعة </w:t>
      </w:r>
      <w:r>
        <w:rPr>
          <w:rStyle w:val="FootnoteAnchor"/>
          <w:rtl w:val="true"/>
        </w:rPr>
        <w:footnoteReference w:id="423"/>
      </w:r>
      <w:r>
        <w:rPr>
          <w:rFonts w:ascii="Amiri" w:hAnsi="Amiri" w:eastAsia="Amiri" w:cs="Amiri"/>
          <w:color w:val="111111"/>
          <w:sz w:val="28"/>
          <w:sz w:val="28"/>
          <w:szCs w:val="28"/>
          <w:rtl w:val="true"/>
          <w:lang w:bidi="ar-SA"/>
        </w:rPr>
        <w:t xml:space="preserve">و العدّة </w:t>
      </w:r>
      <w:r>
        <w:rPr>
          <w:rStyle w:val="FootnoteAnchor"/>
          <w:rtl w:val="true"/>
        </w:rPr>
        <w:footnoteReference w:id="424"/>
      </w:r>
      <w:r>
        <w:rPr>
          <w:rFonts w:ascii="IRNazanin" w:hAnsi="IRNazanin" w:eastAsia="IRNazanin"/>
          <w:color w:val="111111"/>
          <w:sz w:val="28"/>
          <w:sz w:val="28"/>
          <w:szCs w:val="28"/>
          <w:rtl w:val="true"/>
          <w:lang w:bidi="fa-IR"/>
        </w:rPr>
        <w:t xml:space="preserve">و الغنیة </w:t>
      </w:r>
      <w:r>
        <w:rPr>
          <w:rStyle w:val="FootnoteAnchor"/>
          <w:rtl w:val="true"/>
        </w:rPr>
        <w:footnoteReference w:id="425"/>
      </w:r>
      <w:r>
        <w:rPr>
          <w:rFonts w:ascii="IRNazanin" w:hAnsi="IRNazanin" w:eastAsia="IRNazanin"/>
          <w:color w:val="111111"/>
          <w:sz w:val="28"/>
          <w:sz w:val="28"/>
          <w:szCs w:val="28"/>
          <w:rtl w:val="true"/>
          <w:lang w:bidi="fa-IR"/>
        </w:rPr>
        <w:t xml:space="preserve">و غیرها </w:t>
      </w:r>
      <w:r>
        <w:rPr>
          <w:rStyle w:val="FootnoteAnchor"/>
          <w:rtl w:val="true"/>
        </w:rPr>
        <w:footnoteReference w:id="426"/>
      </w:r>
      <w:r>
        <w:rPr>
          <w:rFonts w:ascii="IRNazanin" w:hAnsi="IRNazanin" w:eastAsia="IRNazanin"/>
          <w:color w:val="111111"/>
          <w:sz w:val="28"/>
          <w:sz w:val="28"/>
          <w:szCs w:val="28"/>
          <w:rtl w:val="true"/>
          <w:lang w:bidi="fa-IR"/>
        </w:rPr>
        <w:t xml:space="preserve">،إلاّ أنّهم منعوا من إثبات </w:t>
      </w:r>
    </w:p>
    <w:p>
      <w:pPr>
        <w:pStyle w:val="BookText"/>
        <w:rPr/>
      </w:pPr>
      <w:r>
        <w:rPr>
          <w:rFonts w:ascii="IRNazanin" w:hAnsi="IRNazanin" w:eastAsia="IRNazanin"/>
          <w:color w:val="111111"/>
          <w:sz w:val="28"/>
          <w:sz w:val="28"/>
          <w:szCs w:val="28"/>
          <w:rtl w:val="true"/>
          <w:lang w:bidi="fa-IR"/>
        </w:rPr>
        <w:t>الحکم الثابت لموضوع فی زمان،له بعینه فی زمان آخر،من دون تغیّر و اختلاف فی صفة الموضوع سابقا و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له تمثیلهم بعدم الاعتماد علی حیاة زید أو بقاء البلد علی ساحل البحر بعد الغیبة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أهملوا </w:t>
      </w:r>
      <w:r>
        <w:rPr>
          <w:rStyle w:val="FootnoteAnchor"/>
          <w:rtl w:val="true"/>
        </w:rPr>
        <w:footnoteReference w:id="427"/>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دلالة العقل علیه و لا النقل،بناء علی عدم التفاتهم إلی الأخبار المذکورة؛لقصور دلالتها عندهم ببعض ما أشرنا إلیه سابقا </w:t>
      </w:r>
      <w:r>
        <w:rPr>
          <w:rStyle w:val="FootnoteAnchor"/>
          <w:rtl w:val="true"/>
        </w:rPr>
        <w:footnoteReference w:id="428"/>
      </w:r>
      <w:r>
        <w:rPr>
          <w:rFonts w:ascii="IRNazanin" w:hAnsi="IRNazanin" w:eastAsia="IRNazanin"/>
          <w:color w:val="111111"/>
          <w:sz w:val="28"/>
          <w:sz w:val="28"/>
          <w:szCs w:val="28"/>
          <w:rtl w:val="true"/>
          <w:lang w:bidi="fa-IR"/>
        </w:rPr>
        <w:t xml:space="preserve">،أو لغفلتهم عنها،علی أبعد الاحتمالات </w:t>
      </w:r>
      <w:r>
        <w:rPr>
          <w:rStyle w:val="FootnoteAnchor"/>
          <w:rtl w:val="true"/>
        </w:rPr>
        <w:footnoteReference w:id="429"/>
      </w:r>
      <w:r>
        <w:rPr>
          <w:rFonts w:ascii="IRNazanin" w:hAnsi="IRNazanin" w:eastAsia="IRNazanin"/>
          <w:color w:val="111111"/>
          <w:sz w:val="28"/>
          <w:sz w:val="28"/>
          <w:szCs w:val="28"/>
          <w:rtl w:val="true"/>
          <w:lang w:bidi="fa-IR"/>
        </w:rPr>
        <w:t>عن ساحة من هو دونهم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المحدّث قد سلّم دلالة الأخبار علی وجوب البناء علی الیقین السابق و حرمة نقضه مع اتّحاد الموضوع </w:t>
      </w:r>
      <w:r>
        <w:rPr>
          <w:rStyle w:val="FootnoteAnchor"/>
          <w:rtl w:val="true"/>
        </w:rPr>
        <w:footnoteReference w:id="430"/>
      </w:r>
      <w:r>
        <w:rPr>
          <w:rFonts w:ascii="IRNazanin" w:hAnsi="IRNazanin" w:eastAsia="IRNazanin"/>
          <w:color w:val="111111"/>
          <w:sz w:val="28"/>
          <w:sz w:val="28"/>
          <w:szCs w:val="28"/>
          <w:rtl w:val="true"/>
          <w:lang w:bidi="fa-IR"/>
        </w:rPr>
        <w:t>،إلاّ أنّه ادّعی تغایر موضوع المسألة المتیقّنة و المسألة المشکوکة،فالحکم فیها بالحکم السابق لیس بناء علی الیقین السابق،و عدم الحکم به لیس نقضا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بالموارد التی ادّعی الإجماع و الضرورة علی اعتبار الاستصحاب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حکیناها عنه سابقا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اللیل و النهار؛فإنّ کون الزمان المشکوک لیلا أو نهارا أشدّ تغایرا و اختلافا مع کون الزمان السابق کذلک،من ثبوت خیار الغبن أو </w:t>
      </w:r>
    </w:p>
    <w:p>
      <w:pPr>
        <w:pStyle w:val="BookText"/>
        <w:rPr/>
      </w:pPr>
      <w:r>
        <w:rPr>
          <w:rFonts w:ascii="IRNazanin" w:hAnsi="IRNazanin" w:eastAsia="IRNazanin"/>
          <w:color w:val="111111"/>
          <w:sz w:val="28"/>
          <w:sz w:val="28"/>
          <w:szCs w:val="28"/>
          <w:rtl w:val="true"/>
          <w:lang w:bidi="fa-IR"/>
        </w:rPr>
        <w:t>الشفعة فی الزمان المشکوک و ثبوتهما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اللیل و النهار طلوع الفجر و غروب الشمس لا نفس الزمان،کان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دون الأوّل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الطلوع و الغروب إلی الحرکة الحادثة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استصحاب أحکامهما،مثل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الأکل و الشرب و حرمتهما،ففیه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ثبوتهما </w:t>
      </w:r>
      <w:r>
        <w:rPr>
          <w:rStyle w:val="FootnoteAnchor"/>
          <w:rtl w:val="true"/>
        </w:rPr>
        <w:footnoteReference w:id="432"/>
      </w:r>
      <w:r>
        <w:rPr>
          <w:rFonts w:ascii="IRNazanin" w:hAnsi="IRNazanin" w:eastAsia="IRNazanin"/>
          <w:color w:val="111111"/>
          <w:sz w:val="28"/>
          <w:sz w:val="28"/>
          <w:szCs w:val="28"/>
          <w:rtl w:val="true"/>
          <w:lang w:bidi="fa-IR"/>
        </w:rPr>
        <w:t xml:space="preserve">فی السابق کان منوطا و متعلّقا فی الأدلّة الشرعیّة بزمانی اللیل و النهار،فإجراؤهما مع الشکّ فی تحقّق الموضوع بمنزلة ما أنکره علی القائلین بالاستصحاب،من إسراء </w:t>
      </w:r>
      <w:r>
        <w:rPr>
          <w:rStyle w:val="FootnoteAnchor"/>
          <w:rtl w:val="true"/>
        </w:rPr>
        <w:footnoteReference w:id="433"/>
      </w:r>
      <w:r>
        <w:rPr>
          <w:rFonts w:ascii="IRNazanin" w:hAnsi="IRNazanin" w:eastAsia="IRNazanin"/>
          <w:color w:val="111111"/>
          <w:sz w:val="28"/>
          <w:sz w:val="28"/>
          <w:szCs w:val="28"/>
          <w:rtl w:val="true"/>
          <w:lang w:bidi="fa-IR"/>
        </w:rPr>
        <w:t>الحکم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النقض المذکور علیه فی سائر الأمثلة، فأیّ فرق بین الشکّ فی تحقّق الحدث أو الخبث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الاستصحاب فیه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الشکّ فی کون المذی محکوما شرعا برافعیّة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الطهارة السابقة فی کلّ منهما کان منوطا بعدم تحقّق الرافع،و هذا المناط فی زمان الشکّ غیر متحقّق، فکیف یسری حکم حالة وجود المناط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بالحلّ،بأنّ اتّحاد القضیّة المتیقّنة و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یتوقّف صدق البناء علی الیقین و </w:t>
      </w:r>
      <w:r>
        <w:rPr>
          <w:rStyle w:val="FootnoteAnchor"/>
          <w:rtl w:val="true"/>
        </w:rPr>
        <w:footnoteReference w:id="434"/>
      </w:r>
      <w:r>
        <w:rPr>
          <w:rFonts w:ascii="IRNazanin" w:hAnsi="IRNazanin" w:eastAsia="IRNazanin"/>
          <w:color w:val="111111"/>
          <w:sz w:val="28"/>
          <w:sz w:val="28"/>
          <w:szCs w:val="28"/>
          <w:rtl w:val="true"/>
          <w:lang w:bidi="fa-IR"/>
        </w:rPr>
        <w:t>نقضه بالشکّ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راجع إلی العرف؛ لأنّه المحکّم فی باب الألفاظ،و من المعلوم أنّ الخیار أو الشفعة إذا ثبت </w:t>
      </w:r>
    </w:p>
    <w:p>
      <w:pPr>
        <w:pStyle w:val="BookText"/>
        <w:rPr/>
      </w:pPr>
      <w:r>
        <w:rPr>
          <w:rFonts w:ascii="IRNazanin" w:hAnsi="IRNazanin" w:eastAsia="IRNazanin"/>
          <w:color w:val="111111"/>
          <w:sz w:val="28"/>
          <w:sz w:val="28"/>
          <w:szCs w:val="28"/>
          <w:rtl w:val="true"/>
          <w:lang w:bidi="fa-IR"/>
        </w:rPr>
        <w:t>فی الزمان الأوّل و شکّ فی ثبوتهما فی الزمان الثانی،یصدق عرفا أنّ القضیّة المتیقّنة فی الزمان الأوّل بعینها مشکوکة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یتحقّق فی بعض الموارد الشکّ فی إحراز الموضوع للشکّ فی مدخلیّة الحالة المتبدّلة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التأمّل التامّ،فإنّه من أعظم المزال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معارضة قاعدة الیقین و الأصل بما دلّ علی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حقّقناه فی أصل البراءة،من ضعف دلالة الأخبار علی وجوب الاحتیاط </w:t>
      </w:r>
      <w:r>
        <w:rPr>
          <w:rStyle w:val="FootnoteAnchor"/>
          <w:rtl w:val="true"/>
        </w:rPr>
        <w:footnoteReference w:id="435"/>
      </w:r>
      <w:r>
        <w:rPr>
          <w:rFonts w:ascii="IRNazanin" w:hAnsi="IRNazanin" w:eastAsia="IRNazanin"/>
          <w:color w:val="111111"/>
          <w:sz w:val="28"/>
          <w:sz w:val="28"/>
          <w:szCs w:val="28"/>
          <w:rtl w:val="true"/>
          <w:lang w:bidi="fa-IR"/>
        </w:rPr>
        <w:t>،و إنّما تدلّ علی وجوب التحرّز عن موارد الهلکة الدنیویّة أو الاخرویّة،و الأخیرة مختصّة بموارد حکم العقل بوجوب الاحتیاط من جهة القطع بثبوت العقاب إجمالا و تردّده بین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الاستصحاب حاکمة علی أدلّة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دلالة الأخبار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436"/>
      </w:r>
      <w:r>
        <w:rPr>
          <w:rFonts w:ascii="IRNazanin" w:hAnsi="IRNazanin" w:eastAsia="IRNazanin"/>
          <w:color w:val="111111"/>
          <w:sz w:val="28"/>
          <w:sz w:val="28"/>
          <w:szCs w:val="28"/>
          <w:rtl w:val="true"/>
          <w:lang w:bidi="fa-IR"/>
        </w:rPr>
        <w:t>فی مسألة تعارض الاستصحاب مع سائر الاصول إن شاء اللّه تعالی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شبهة عجز عن جوابها الفحول،ممّا لا یخفی ما فیه؛إذ أیّ اصولیّ أو فقیه تعرّض لهذه الأخبار و ورود هذه الشبهة فعجز عن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یذکر فی الجواب الأوّل عنها إلاّ ما اشتهر بین النافین للاستصحاب،و لا فی الجواب الثانی إلاّ ما اشتهر بین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التوقّف و الاحتیاط فی الشبهة الحکمیّة</w:t>
      </w:r>
      <w:r>
        <w:rPr>
          <w:rFonts w:eastAsia="IRNazanin" w:cs="IRNazanin"/>
          <w:color w:val="111111"/>
          <w:sz w:val="28"/>
          <w:szCs w:val="28"/>
          <w:rtl w:val="true"/>
          <w:lang w:bidi="fa-IR"/>
        </w:rPr>
        <w:t xml:space="preserve">. </w:t>
      </w:r>
      <w:bookmarkStart w:id="432" w:name="pg12985_124969"/>
    </w:p>
    <w:p>
      <w:pPr>
        <w:pStyle w:val="Heading3"/>
        <w:numPr>
          <w:ilvl w:val="2"/>
          <w:numId w:val="1"/>
        </w:numPr>
        <w:rPr/>
      </w:pPr>
      <w:bookmarkStart w:id="433" w:name="__RefHeading___Toc5767135_3224264995"/>
      <w:bookmarkStart w:id="434" w:name="_Toc176"/>
      <w:bookmarkEnd w:id="432"/>
      <w:bookmarkEnd w:id="433"/>
      <w:r>
        <w:rPr>
          <w:rtl w:val="true"/>
        </w:rPr>
        <w:t>حجّة القول السادس</w:t>
      </w:r>
      <w:bookmarkEnd w:id="434"/>
    </w:p>
    <w:p>
      <w:pPr>
        <w:pStyle w:val="Heading3"/>
        <w:numPr>
          <w:ilvl w:val="2"/>
          <w:numId w:val="1"/>
        </w:numPr>
        <w:rPr/>
      </w:pPr>
      <w:bookmarkStart w:id="435" w:name="__RefHeading___Toc5767137_3224264995"/>
      <w:bookmarkStart w:id="436" w:name="_Toc177"/>
      <w:bookmarkEnd w:id="435"/>
      <w:r>
        <w:rPr>
          <w:rtl w:val="true"/>
        </w:rPr>
        <w:t>التفضیل بین الحکم الجزئی و غیره و الجواب عنه</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السادس</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التفصیل بین الحکم الجزئی و غیره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وجود القائل به،علی ما سبق التأمّل </w:t>
      </w:r>
      <w:r>
        <w:rPr>
          <w:rStyle w:val="FootnoteAnchor"/>
          <w:rtl w:val="true"/>
        </w:rPr>
        <w:footnoteReference w:id="438"/>
      </w:r>
      <w:r>
        <w:rPr>
          <w:rFonts w:ascii="IRNazanin" w:hAnsi="IRNazanin" w:eastAsia="IRNazanin"/>
          <w:color w:val="111111"/>
          <w:sz w:val="28"/>
          <w:sz w:val="28"/>
          <w:szCs w:val="28"/>
          <w:rtl w:val="true"/>
          <w:lang w:bidi="fa-IR"/>
        </w:rPr>
        <w:t xml:space="preserve">فیه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مع جوابها ممّا تقدّم فی القولین السابقین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5767139_3224264995"/>
      <w:bookmarkStart w:id="438" w:name="_Toc178"/>
      <w:bookmarkEnd w:id="437"/>
      <w:r>
        <w:rPr>
          <w:rtl w:val="true"/>
        </w:rPr>
        <w:t>حجّة القول السابع</w:t>
      </w:r>
      <w:bookmarkEnd w:id="438"/>
    </w:p>
    <w:p>
      <w:pPr>
        <w:pStyle w:val="Heading4"/>
        <w:numPr>
          <w:ilvl w:val="3"/>
          <w:numId w:val="1"/>
        </w:numPr>
        <w:rPr/>
      </w:pPr>
      <w:bookmarkStart w:id="439" w:name="__RefHeading___Toc5767141_3224264995"/>
      <w:bookmarkStart w:id="440" w:name="_Toc179"/>
      <w:bookmarkEnd w:id="439"/>
      <w:r>
        <w:rPr>
          <w:rtl w:val="true"/>
        </w:rPr>
        <w:t>اشارة</w:t>
      </w:r>
      <w:bookmarkEnd w:id="440"/>
    </w:p>
    <w:p>
      <w:pPr>
        <w:pStyle w:val="Heading4"/>
        <w:numPr>
          <w:ilvl w:val="3"/>
          <w:numId w:val="1"/>
        </w:numPr>
        <w:rPr/>
      </w:pPr>
      <w:bookmarkStart w:id="441" w:name="__RefHeading___Toc5767143_3224264995"/>
      <w:bookmarkStart w:id="442" w:name="_Toc180"/>
      <w:bookmarkEnd w:id="441"/>
      <w:r>
        <w:rPr>
          <w:rtl w:val="true"/>
        </w:rPr>
        <w:t>تفضیل الفاضل التونی بین الحکم التکلیفی و الوضعی</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السابع</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التفصیل بین الحکم التکلیفی 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نسبه الفاضل التونی قدّس سرّه إلی نفسه، و إن لم یلزم ممّا حقّقه فی کلامه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ما ذکره فی کلام طویل له </w:t>
      </w:r>
      <w:r>
        <w:rPr>
          <w:rStyle w:val="FootnoteAnchor"/>
          <w:rtl w:val="true"/>
        </w:rPr>
        <w:footnoteReference w:id="443"/>
      </w:r>
      <w:r>
        <w:rPr>
          <w:rFonts w:ascii="IRNazanin" w:hAnsi="IRNazanin" w:eastAsia="IRNazanin"/>
          <w:color w:val="111111"/>
          <w:sz w:val="28"/>
          <w:sz w:val="28"/>
          <w:szCs w:val="28"/>
          <w:rtl w:val="true"/>
          <w:lang w:bidi="fa-IR"/>
        </w:rPr>
        <w:t>،فإنّه بعد الإشارة إلی الخلاف فی المسألة،قال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لتحقیق المقام لا بدّ من إیراد کلام یتّضح به حقیقة الحال، </w:t>
      </w:r>
      <w:bookmarkStart w:id="443" w:name="pg12985_124970"/>
    </w:p>
    <w:p>
      <w:pPr>
        <w:pStyle w:val="Heading4"/>
        <w:numPr>
          <w:ilvl w:val="3"/>
          <w:numId w:val="1"/>
        </w:numPr>
        <w:rPr/>
      </w:pPr>
      <w:bookmarkStart w:id="444" w:name="__RefHeading___Toc5767145_3224264995"/>
      <w:bookmarkStart w:id="445" w:name="_Toc181"/>
      <w:bookmarkEnd w:id="443"/>
      <w:bookmarkEnd w:id="444"/>
      <w:r>
        <w:rPr>
          <w:rtl w:val="true"/>
        </w:rPr>
        <w:t>کلام الفاضل التونی</w:t>
      </w:r>
      <w:r>
        <w:rPr>
          <w:rtl w:val="true"/>
        </w:rPr>
        <w:t>:</w:t>
      </w:r>
      <w:bookmarkEnd w:id="4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الشرعیّة تنقسم إلی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الاقتضائیّة المطلوب فیها الفعل،و هی الواجب و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الاقتضائیّة المطلوب فیها الترک،و هی الحرام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التخییریّة الدالّة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الوضعیّة،کالحکم علی الشیء بأنّه سبب لأمر أو شرط له أو مانع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المضایقة بمنع أنّ الخطاب الوضعی داخل فی الحکم الشرعیّ،ممّا لا یضرّ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هذا،فإذا ورد أمر بطلب شیء،فلا یخلو إمّا أن یکون موقّتا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الأوّل،یکون وجوب ذلک الشیء أو ندبه فی کلّ جزء من أجزاء ذلک الوقت ثابتا بذلک الأمر،فالتمسّک فی ثبوت ذلک الحکم فی الزمان الثانی بالنصّ،لا بالثبوت فی الزمان الأوّل حتّی یکون استصحابا،و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الثانی،أیضا کذلک إن قلنا بإفادة الأمر التکرار،و إلاّ فذمّة المکلّف مشغولة حتّی یأتی به فی أیّ زمان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أجزاء الزمان إلیه نسبة واحدة فی کونه أداء فی کلّ جزء منها،سواء قلنا بأنّ الأمر للفور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إذا کان للفور یکون من قبیل الموقّت المضیّق،اشتباه غیر خفیّ علی المتأمّل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أیضا لیس من الاستصحاب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القسم الأوّل فیما بعد وقته من الاستصحاب؛فإنّ هذا لم یقل به أحد،و لا یجوز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النهی،بل هو الأولی بعدم توهّم الاستصحاب فیه؛لأنّ مطلقه یفید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التکلیفیّة الخمسة المجرّدة عن الأحکام الوضعیّة لا یتصوّر فیها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الوضعیّة،فإذا جعل الشارع شیئا سببا لحکم من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کالدلوک لوجوب الظهر،و الکسوف لوجوب صلاته، و الزلزلة لصلاتها،و الإیجاب و القبول لإباحة التصرّفات و الاستمتاعات فی الملک و النکاح،و فیه لتحریم أمّ الزوجة،و الحیض و النفاس لتحریم الصوم و الصلاة،إلی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ینظر إلی کیفیّة سببیّة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علی الإطلاق؟کما فی الإیجاب و القبول؛فإنّ سببیّته علی نحو خاصّ،و هو الدوام إلی أن یتحقّق المزیل،و کذا الزلزلة،أو فی وقت معیّن؟کالدلوک و نحوه ممّا لم یکن السبب وقتا،و کالکسوف و الحیض و نحوهما ممّا یکون السبب وقتا للحکم،فإنّ السببیّة فی هذه الأشیاء علی نحو آخر؛فإنّها أسباب للحکم فی أوقات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ذلک لیس من الاستصحاب فی شیء؛فإنّ ثبوت الحکم فی شیء من أجزاء الزمان الثابت فیه الحکم،لیس تابعا للثبوت فی جزء آخر،بل نسبة السبب فی اقتضاء الحکم فی کلّ جزء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الشرط و المانع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الاستصحاب المختلف فیه لا یکون إلاّ فی </w:t>
      </w:r>
      <w:bookmarkStart w:id="446" w:name="pg12985_124972"/>
    </w:p>
    <w:p>
      <w:pPr>
        <w:pStyle w:val="BookText"/>
        <w:rPr/>
      </w:pPr>
      <w:bookmarkEnd w:id="446"/>
      <w:r>
        <w:rPr>
          <w:rFonts w:ascii="IRNazanin" w:hAnsi="IRNazanin" w:eastAsia="IRNazanin"/>
          <w:color w:val="111111"/>
          <w:sz w:val="28"/>
          <w:sz w:val="28"/>
          <w:szCs w:val="28"/>
          <w:rtl w:val="true"/>
          <w:lang w:bidi="fa-IR"/>
        </w:rPr>
        <w:t>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أعنی،الأسباب و الشرائط و الموانع للأحکام الخمسة من حیث إنّها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فی الأحکام الخمسة إنّما هو بتبعیّتها،کما یقال فی الماء الکرّ المتغیّر بالنجاسة إذا زال تغیّره من قبل نفسه،بأنّه یجب الاجتناب عنه فی الصلاة؛لوجوبه قبل زوال تغیّره،فإنّ مرجعه إلی أنّ النجاسة کانت ثابتة قبل زوال تغیّره،فکذلک تکون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المتیمّم إذا وجد الماء فی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کانت صحیحة قبل الوجدان،فکذا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مکلّفا و مأمورا بالصلاة بتیمّمه قبله،فکذا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مرجعه إلی أنّه کان متطهّرا قبل وجدان الماء،فکذا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الطهارة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الاستصحاب؛ لأنّ العلم بوجود السبب أو الشرط أو المانع فی وقت لا یقتضی العلم بل و لا الظنّ بوجوده فی غیر ذلک الوقت،کما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الحکم المعلّق علیه ثابتا فی 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تحقّق العلامة الوضعیّة تعلّق الحکم بالمکلّف،و إذا زال ذلک العلم بطروّ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عن الحکم بثبوت ذلک الحکم الثابت أوّلا،إلاّ أنّ الظاهر من الأخبار أنّه إذا علم وجود شیء،فإنّه یحکم به حتّی یعلم زواله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4"/>
        <w:numPr>
          <w:ilvl w:val="3"/>
          <w:numId w:val="1"/>
        </w:numPr>
        <w:rPr/>
      </w:pPr>
      <w:bookmarkStart w:id="447" w:name="__RefHeading___Toc5767147_3224264995"/>
      <w:bookmarkStart w:id="448" w:name="_Toc182"/>
      <w:bookmarkEnd w:id="447"/>
      <w:r>
        <w:rPr>
          <w:rtl w:val="true"/>
        </w:rPr>
        <w:t>المناقشة فی ما أفاده الفاضل التونی</w:t>
      </w:r>
      <w:bookmarkEnd w:id="4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 أنظار یتوقّف بیانها علی ذکر کلّ فقرة هی مورد للنظر،ثمّ توضیح النظر فیه بما یخطر فی الذهن القاصر،فنقول</w:t>
      </w:r>
      <w:r>
        <w:rPr>
          <w:rFonts w:eastAsia="IRNazanin" w:cs="IRNazanin"/>
          <w:color w:val="111111"/>
          <w:sz w:val="28"/>
          <w:szCs w:val="28"/>
          <w:rtl w:val="true"/>
          <w:lang w:bidi="fa-IR"/>
        </w:rPr>
        <w:t xml:space="preserve">: </w:t>
      </w:r>
      <w:bookmarkStart w:id="449" w:name="pg12985_124973"/>
    </w:p>
    <w:p>
      <w:pPr>
        <w:pStyle w:val="BookText"/>
        <w:rPr/>
      </w:pPr>
      <w:bookmarkEnd w:id="449"/>
      <w:r>
        <w:rPr>
          <w:rFonts w:ascii="IRNazanin" w:hAnsi="IRNazanin" w:eastAsia="IRNazanin"/>
          <w:color w:val="111111"/>
          <w:sz w:val="28"/>
          <w:sz w:val="28"/>
          <w:szCs w:val="28"/>
          <w:rtl w:val="true"/>
          <w:lang w:bidi="fa-IR"/>
        </w:rPr>
        <w:t>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المضایقة بمنع أنّ الخطاب الوضعیّ داخل فی الحکم الشرعیّ،لا یضرّ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المنع المذکور لا یضرّ فیما یلزم من تحقیقه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الاستصحاب فی موضوعات الأحکام الوضعیّة،أعنی نفس السبب و الشرط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یضرّ </w:t>
      </w:r>
      <w:r>
        <w:rPr>
          <w:rStyle w:val="FootnoteAnchor"/>
          <w:rtl w:val="true"/>
        </w:rPr>
        <w:footnoteReference w:id="445"/>
      </w:r>
      <w:r>
        <w:rPr>
          <w:rFonts w:ascii="IRNazanin" w:hAnsi="IRNazanin" w:eastAsia="IRNazanin"/>
          <w:color w:val="111111"/>
          <w:sz w:val="28"/>
          <w:sz w:val="28"/>
          <w:szCs w:val="28"/>
          <w:rtl w:val="true"/>
          <w:lang w:bidi="fa-IR"/>
        </w:rPr>
        <w:t>فی التفصیل بین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سببیّة السبب و شرطیّة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یضرّ فی هذا التفصیل منع کون الحکم الوضعیّ حکما مستقلا، و تسلیم أنّه أمر اعتباری منتزع من التکلیف،تابع له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یعقل التفصیل مع هذا المنع؟</w:t>
      </w:r>
      <w:r>
        <w:rPr>
          <w:rFonts w:eastAsia="IRNazanin" w:cs="IRNazanin"/>
          <w:color w:val="111111"/>
          <w:sz w:val="28"/>
          <w:szCs w:val="28"/>
          <w:rtl w:val="true"/>
          <w:lang w:bidi="fa-IR"/>
        </w:rPr>
        <w:t>!</w:t>
      </w:r>
    </w:p>
    <w:p>
      <w:pPr>
        <w:pStyle w:val="Heading4"/>
        <w:numPr>
          <w:ilvl w:val="3"/>
          <w:numId w:val="1"/>
        </w:numPr>
        <w:rPr/>
      </w:pPr>
      <w:bookmarkStart w:id="450" w:name="__RefHeading___Toc5767149_3224264995"/>
      <w:bookmarkStart w:id="451" w:name="_Toc183"/>
      <w:bookmarkEnd w:id="450"/>
      <w:r>
        <w:rPr>
          <w:rtl w:val="true"/>
        </w:rPr>
        <w:t>الکلام فی الأحکام الوضعیّة</w:t>
      </w:r>
      <w:bookmarkEnd w:id="451"/>
    </w:p>
    <w:p>
      <w:pPr>
        <w:pStyle w:val="Heading5"/>
        <w:numPr>
          <w:ilvl w:val="4"/>
          <w:numId w:val="1"/>
        </w:numPr>
        <w:rPr/>
      </w:pPr>
      <w:bookmarkStart w:id="452" w:name="__RefHeading___Toc5767151_3224264995"/>
      <w:bookmarkStart w:id="453" w:name="_Toc184"/>
      <w:bookmarkEnd w:id="452"/>
      <w:r>
        <w:rPr>
          <w:rtl w:val="true"/>
        </w:rPr>
        <w:t>اشارة</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الأحکام الوضعیّة</w:t>
      </w:r>
      <w:r>
        <w:rPr>
          <w:rFonts w:eastAsia="IRNazanin" w:cs="IRNazanin"/>
          <w:color w:val="111111"/>
          <w:sz w:val="28"/>
          <w:szCs w:val="28"/>
          <w:rtl w:val="true"/>
          <w:lang w:bidi="fa-IR"/>
        </w:rPr>
        <w:t xml:space="preserve">] </w:t>
      </w:r>
      <w:r>
        <w:rPr>
          <w:rStyle w:val="FootnoteAnchor"/>
          <w:rtl w:val="true"/>
        </w:rPr>
        <w:footnoteReference w:id="446"/>
      </w:r>
    </w:p>
    <w:p>
      <w:pPr>
        <w:pStyle w:val="Heading5"/>
        <w:numPr>
          <w:ilvl w:val="4"/>
          <w:numId w:val="1"/>
        </w:numPr>
        <w:rPr/>
      </w:pPr>
      <w:bookmarkStart w:id="454" w:name="__RefHeading___Toc5767153_3224264995"/>
      <w:bookmarkStart w:id="455" w:name="_Toc185"/>
      <w:bookmarkEnd w:id="454"/>
      <w:r>
        <w:rPr>
          <w:rtl w:val="true"/>
        </w:rPr>
        <w:t>هل الحکم الوضعی حکم مستقل مجعول،أو لا؟</w:t>
      </w:r>
      <w:r>
        <w:rPr>
          <w:rtl w:val="true"/>
        </w:rPr>
        <w:t>:</w:t>
      </w:r>
      <w:bookmarkEnd w:id="4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بصرف الکلام إلی بیان أنّ الحکم الوضعیّ حکم مستقلّ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اشتهر فی ألسنة جماعة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لا،و إنّما مرجعه إلی الحکم التکلیفی؟فنقول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شرح الزبدة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استقرّ علیه رأی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شرح الوافیة للسیّد صدر الدین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الوضعیّ مرجعه إلی الخطاب الشرعیّ،و أنّ کون الشیء سببا لواجب هو الحکم بوجوب ذلک الواجب عند حصول ذلک الشیء،فمعنی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الصبیّ سبب لضمانه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غرامة المثل أو القیمة إذا اجتمع فیه شرائط التکلیف من البلوغ و العقل و الیسار و غیرها،فإذا خاطب الشارع البالغ العاقل الموسر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ما أتلفته فی حال صغرک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من هذا الخطاب معنی یعبّر عنه بسببیّة الإتلاف للضمان،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ضامن،بمعنی أنّه یجب علیه الغرامة عند اجتماع شرائط التکلیف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یدّع أحد إرجاع الحکم الوضعیّ إلی التکلیف </w:t>
      </w:r>
      <w:r>
        <w:rPr>
          <w:rStyle w:val="FootnoteAnchor"/>
          <w:rtl w:val="true"/>
        </w:rPr>
        <w:footnoteReference w:id="451"/>
      </w:r>
      <w:r>
        <w:rPr>
          <w:rFonts w:ascii="IRNazanin" w:hAnsi="IRNazanin" w:eastAsia="IRNazanin"/>
          <w:color w:val="111111"/>
          <w:sz w:val="28"/>
          <w:sz w:val="28"/>
          <w:szCs w:val="28"/>
          <w:rtl w:val="true"/>
          <w:lang w:bidi="fa-IR"/>
        </w:rPr>
        <w:t xml:space="preserve">الفعلیّ المنجّز حال استناد الحکم الوضعیّ إلی الشخص،حتّی یدفع ذلک بما ذکره بعض من غفل عن مراد النافین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قد یتحقّق الحکم الوضعیّ فی مورد غیر قابل للحکم التکلیفی،کالصبیّ و النائم و شبههما</w:t>
      </w:r>
      <w:r>
        <w:rPr>
          <w:rFonts w:eastAsia="IRNazanin" w:cs="IRNazanin"/>
          <w:color w:val="111111"/>
          <w:sz w:val="28"/>
          <w:szCs w:val="28"/>
          <w:rtl w:val="true"/>
          <w:lang w:bidi="fa-IR"/>
        </w:rPr>
        <w:t xml:space="preserve">. </w:t>
      </w:r>
      <w:bookmarkStart w:id="456" w:name="pg12985_124975"/>
    </w:p>
    <w:p>
      <w:pPr>
        <w:pStyle w:val="BookText"/>
        <w:rPr/>
      </w:pPr>
      <w:bookmarkEnd w:id="456"/>
      <w:r>
        <w:rPr>
          <w:rFonts w:ascii="IRNazanin" w:hAnsi="IRNazanin" w:eastAsia="IRNazanin"/>
          <w:color w:val="111111"/>
          <w:sz w:val="28"/>
          <w:sz w:val="28"/>
          <w:szCs w:val="28"/>
          <w:rtl w:val="true"/>
          <w:lang w:bidi="fa-IR"/>
        </w:rPr>
        <w:t>و کذا الکلام فی غیر السبب؛فإنّ شرطیّة الطهارة للصلاة لیست مجعولة بجعل مغایر لإنشاء وجوب الصلاة الواقعة حال الطهارة،و کذا مانعیّة النجاسة لیست إلاّ منتزعة من المنع عن الصلاة فی النجس،و کذا الجزئیّة منتزعة من الأمر بالمرکّب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ممّن ادّعی </w:t>
      </w:r>
      <w:r>
        <w:rPr>
          <w:rStyle w:val="FootnoteAnchor"/>
          <w:rtl w:val="true"/>
        </w:rPr>
        <w:footnoteReference w:id="453"/>
      </w:r>
      <w:r>
        <w:rPr>
          <w:rFonts w:ascii="IRNazanin" w:hAnsi="IRNazanin" w:eastAsia="IRNazanin"/>
          <w:color w:val="111111"/>
          <w:sz w:val="28"/>
          <w:sz w:val="28"/>
          <w:szCs w:val="28"/>
          <w:rtl w:val="true"/>
          <w:lang w:bidi="fa-IR"/>
        </w:rPr>
        <w:t>بداهة بطلان ما ذکرنا،مع ما عرفت من أنّه المشهور و الذی استقرّ علیه رأی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قدّس سرّه فی شرحه علی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 علی السیّد الصدر</w:t>
      </w:r>
      <w:r>
        <w:rPr>
          <w:rFonts w:eastAsia="IRNazanin" w:cs="IRNazanin"/>
          <w:color w:val="111111"/>
          <w:sz w:val="28"/>
          <w:szCs w:val="28"/>
          <w:rtl w:val="true"/>
          <w:lang w:bidi="fa-IR"/>
        </w:rPr>
        <w:t>-:</w:t>
      </w:r>
    </w:p>
    <w:p>
      <w:pPr>
        <w:pStyle w:val="Heading5"/>
        <w:numPr>
          <w:ilvl w:val="4"/>
          <w:numId w:val="1"/>
        </w:numPr>
        <w:rPr/>
      </w:pPr>
      <w:bookmarkStart w:id="457" w:name="__RefHeading___Toc5767155_3224264995"/>
      <w:bookmarkStart w:id="458" w:name="_Toc186"/>
      <w:bookmarkEnd w:id="457"/>
      <w:r>
        <w:rPr>
          <w:rtl w:val="true"/>
        </w:rPr>
        <w:t>کلام السید الکاظمی</w:t>
      </w:r>
      <w:r>
        <w:rPr>
          <w:rtl w:val="true"/>
        </w:rPr>
        <w:t>:</w:t>
      </w:r>
      <w:bookmarkEnd w:id="458"/>
    </w:p>
    <w:p>
      <w:pPr>
        <w:pStyle w:val="Heading6"/>
        <w:numPr>
          <w:ilvl w:val="5"/>
          <w:numId w:val="1"/>
        </w:numPr>
        <w:rPr/>
      </w:pPr>
      <w:bookmarkStart w:id="459" w:name="__RefHeading___Toc5767157_3224264995"/>
      <w:bookmarkStart w:id="460" w:name="_Toc187"/>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و أمّا من زعم أنّ الحکم الوضعیّ عین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الشیء سببا لواجب هو الحکم بوجوب ذلک الواجب عند حصول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فبطلانه غنیّ عن البیان؛إذ الفرق بین الوضع و التکلیف ممّا لا یخفی علی من له أدنی مسکة،و التکالیف المبنیّة علی الوضع غیر الوضع،و الکلام إنّما هو فی نفس الوضع و الجعل و التقریر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دلوک الشمس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الحیض مانع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وضعیّ و إن استتبع تکلیفا و هو إیجاب الصلاة عند الزوال و تحریمها عند الحیض،کما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Style w:val="FootnoteAnchor"/>
          <w:rtl w:val="true"/>
        </w:rPr>
        <w:footnoteReference w:id="45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خطاب تکلیفیّ و إن استتبع وضعا،و هو کون الدلوک سببا و الإقراء مانعا</w:t>
      </w:r>
      <w:r>
        <w:rPr>
          <w:rFonts w:eastAsia="IRNazanin" w:cs="IRNazanin"/>
          <w:color w:val="111111"/>
          <w:sz w:val="28"/>
          <w:szCs w:val="28"/>
          <w:rtl w:val="true"/>
          <w:lang w:bidi="fa-IR"/>
        </w:rPr>
        <w:t xml:space="preserve">. </w:t>
      </w:r>
      <w:bookmarkStart w:id="461" w:name="pg12985_124976"/>
    </w:p>
    <w:p>
      <w:pPr>
        <w:pStyle w:val="BookText"/>
        <w:rPr/>
      </w:pPr>
      <w:bookmarkEnd w:id="46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أمرین متباینین،کلّ منهما فرد للحکم، فلا یغنی استتباع أحدهما للآخر عن مراعاته و احتسابه فی عداد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کلامه،رفع مقامه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5767159_3224264995"/>
      <w:bookmarkStart w:id="463" w:name="_Toc188"/>
      <w:bookmarkEnd w:id="462"/>
      <w:r>
        <w:rPr>
          <w:rtl w:val="true"/>
        </w:rPr>
        <w:t>مناقشة کلام السید الکاظمی</w:t>
      </w:r>
      <w:r>
        <w:rPr>
          <w:rtl w:val="true"/>
        </w:rPr>
        <w:t>:</w:t>
      </w:r>
      <w:bookmarkEnd w:id="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نفسه حاکما بحکم تکلیفیّ و وضعیّ بالنسبة إلی عبده لوجد من نفسه صدق ما ذکرنا؛فإنّه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یجد المولی من نفسه أنّه أنشأ إنشاءین و جعل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زید عند مجیئه،و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مجیئه سببا لوجوب إکرامه؟أو أنّ الثانی مفهوم منتزع من الأوّل لا یحتاج إلی جعل مغایر لجعله </w:t>
      </w:r>
      <w:r>
        <w:rPr>
          <w:rStyle w:val="FootnoteAnchor"/>
          <w:rtl w:val="true"/>
        </w:rPr>
        <w:footnoteReference w:id="457"/>
      </w:r>
      <w:r>
        <w:rPr>
          <w:rFonts w:ascii="IRNazanin" w:hAnsi="IRNazanin" w:eastAsia="IRNazanin"/>
          <w:color w:val="111111"/>
          <w:sz w:val="28"/>
          <w:sz w:val="28"/>
          <w:szCs w:val="28"/>
          <w:rtl w:val="true"/>
          <w:lang w:bidi="fa-IR"/>
        </w:rPr>
        <w:t>و لا إلی بیان مخالف لبیانه؛و لهذا اشتهر فی ألسنة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من الشارع إلاّ إنشاء طلب الصلاة عند الأوّل،و طلب ترکها عند الثانی؟</w:t>
      </w:r>
    </w:p>
    <w:p>
      <w:pPr>
        <w:pStyle w:val="BookText"/>
        <w:rPr/>
      </w:pPr>
      <w:r>
        <w:rPr>
          <w:rFonts w:ascii="IRNazanin" w:hAnsi="IRNazanin" w:eastAsia="IRNazanin"/>
          <w:color w:val="111111"/>
          <w:sz w:val="28"/>
          <w:sz w:val="28"/>
          <w:szCs w:val="28"/>
          <w:rtl w:val="true"/>
          <w:lang w:bidi="fa-IR"/>
        </w:rPr>
        <w:t>فإن أراد تباینهما مفهوما فهو أظهر من أن یخفی،کیف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محمولان مختلفا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کونهما مجعولین بجعلین،فالحوالة علی الوجدان لا البرهان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أراد کونهما مجعولین بجعل واحد؛فإنّ الوجدان شاهد علی أنّ السببیّة و المانعیّة فی المثالین اعتباران منتزعان،کالمسببیّة و المشروطیّة و الممنوعیّة،مع 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جعلا للإیجاب استتباعا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w:t>
      </w:r>
      <w:bookmarkStart w:id="464" w:name="pg12985_124977"/>
    </w:p>
    <w:p>
      <w:pPr>
        <w:pStyle w:val="BookText"/>
        <w:rPr/>
      </w:pPr>
      <w:bookmarkEnd w:id="464"/>
      <w:r>
        <w:rPr>
          <w:rFonts w:ascii="IRNazanin" w:hAnsi="IRNazanin" w:eastAsia="IRNazanin"/>
          <w:color w:val="111111"/>
          <w:sz w:val="28"/>
          <w:sz w:val="28"/>
          <w:szCs w:val="28"/>
          <w:rtl w:val="true"/>
          <w:lang w:bidi="fa-IR"/>
        </w:rPr>
        <w:t>إخبار عن تحقّق الوجوب عند 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أنّه لا معنی لکون السببیّة مجعولة فیما نحن فیه حتّی یتکلّم أنّه بجعل مستقلّ أو لا؛فإنّا لا نعقل من جعل الدلوک سببا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عند من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منوطة بالمصالح و المفاسد الموجودة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إنشاء الوجوب عند الدلوک،و إلاّ فالسببیّة القائمة بالدلوک لیست من لوازم ذاته،بأن </w:t>
      </w:r>
      <w:r>
        <w:rPr>
          <w:rStyle w:val="FootnoteAnchor"/>
          <w:rtl w:val="true"/>
        </w:rPr>
        <w:footnoteReference w:id="458"/>
      </w:r>
      <w:r>
        <w:rPr>
          <w:rFonts w:ascii="IRNazanin" w:hAnsi="IRNazanin" w:eastAsia="IRNazanin"/>
          <w:color w:val="111111"/>
          <w:sz w:val="28"/>
          <w:sz w:val="28"/>
          <w:szCs w:val="28"/>
          <w:rtl w:val="true"/>
          <w:lang w:bidi="fa-IR"/>
        </w:rPr>
        <w:t xml:space="preserve">یکون فیه معنی یقتضی إیجاب الشارع فعلا عند حصوله،و لو کانت لم تکن مجعولة من الشارع،و لا نعقلها أیضا صفة أوجدها الشارع فیه باعتبار الفصول المنوّعة و لا </w:t>
      </w:r>
      <w:r>
        <w:rPr>
          <w:rStyle w:val="FootnoteAnchor"/>
          <w:rtl w:val="true"/>
        </w:rPr>
        <w:footnoteReference w:id="459"/>
      </w:r>
      <w:r>
        <w:rPr>
          <w:rFonts w:ascii="Amiri" w:hAnsi="Amiri" w:eastAsia="Amiri" w:cs="Amiri"/>
          <w:color w:val="111111"/>
          <w:sz w:val="28"/>
          <w:sz w:val="28"/>
          <w:szCs w:val="28"/>
          <w:rtl w:val="true"/>
          <w:lang w:bidi="ar-SA"/>
        </w:rPr>
        <w:t>الخصوصیّات المصنّفة و المشخّصة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السبب و الشرط و المانع و الجزء</w:t>
      </w:r>
      <w:r>
        <w:rPr>
          <w:rFonts w:eastAsia="IRNazanin" w:cs="IRNazanin"/>
          <w:color w:val="111111"/>
          <w:sz w:val="28"/>
          <w:szCs w:val="28"/>
          <w:rtl w:val="true"/>
          <w:lang w:bidi="fa-IR"/>
        </w:rPr>
        <w:t>.</w:t>
      </w:r>
    </w:p>
    <w:p>
      <w:pPr>
        <w:pStyle w:val="Heading5"/>
        <w:numPr>
          <w:ilvl w:val="4"/>
          <w:numId w:val="1"/>
        </w:numPr>
        <w:rPr/>
      </w:pPr>
      <w:bookmarkStart w:id="465" w:name="__RefHeading___Toc5767161_3224264995"/>
      <w:bookmarkStart w:id="466" w:name="_Toc189"/>
      <w:bookmarkEnd w:id="465"/>
      <w:r>
        <w:rPr>
          <w:rtl w:val="true"/>
        </w:rPr>
        <w:t>الکلام فی الصحّة و الفساد</w:t>
      </w:r>
      <w:r>
        <w:rPr>
          <w:rtl w:val="true"/>
        </w:rPr>
        <w:t>:</w:t>
      </w:r>
      <w:bookmarkEnd w:id="466"/>
    </w:p>
    <w:p>
      <w:pPr>
        <w:pStyle w:val="BookText"/>
        <w:rPr/>
      </w:pPr>
      <w:r>
        <w:rPr>
          <w:rFonts w:ascii="IRNazanin" w:hAnsi="IRNazanin" w:eastAsia="IRNazanin"/>
          <w:color w:val="111111"/>
          <w:sz w:val="28"/>
          <w:sz w:val="28"/>
          <w:szCs w:val="28"/>
          <w:rtl w:val="true"/>
          <w:lang w:bidi="fa-IR"/>
        </w:rPr>
        <w:t>و أمّا الصحّة و الفساد،فهما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الفعل المأتیّ به للفعل المأمور به و مخالفته له،و من المعلوم أنّ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 الأثر علیها و عدمه،فمرجع ذلک إلی سببیّة هذه المعاملة لأثرها و عدم سببیّة تلک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لوحظت المعاملة سببا لحکم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لإباحة التصرّفات، و النکاح لإباحة الاستمتاعات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فیها یعرف ممّا سبق فی السببیّة و أخواتها</w:t>
      </w:r>
      <w:r>
        <w:rPr>
          <w:rFonts w:eastAsia="IRNazanin" w:cs="IRNazanin"/>
          <w:color w:val="111111"/>
          <w:sz w:val="28"/>
          <w:szCs w:val="28"/>
          <w:rtl w:val="true"/>
          <w:lang w:bidi="fa-IR"/>
        </w:rPr>
        <w:t xml:space="preserve">. </w:t>
      </w:r>
      <w:bookmarkStart w:id="467" w:name="pg12985_124978"/>
    </w:p>
    <w:p>
      <w:pPr>
        <w:pStyle w:val="BookText"/>
        <w:rPr/>
      </w:pPr>
      <w:bookmarkEnd w:id="467"/>
      <w:r>
        <w:rPr>
          <w:rFonts w:ascii="IRNazanin" w:hAnsi="IRNazanin" w:eastAsia="IRNazanin"/>
          <w:color w:val="111111"/>
          <w:sz w:val="28"/>
          <w:sz w:val="28"/>
          <w:szCs w:val="28"/>
          <w:rtl w:val="true"/>
          <w:lang w:bidi="fa-IR"/>
        </w:rPr>
        <w:t>و إن لوحظت سببا لأمر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کسببیّة البیع للملکیّة،و النکاح للزوجیّة،و العتق للحریّة،و سببیّة الغسل للطهارة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الامور بنفسها لیست أحکاما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نعم،الحکم بثبوتها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حقائقها إمّا امور اعتباریّة منتزعة من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کون الشیء بحیث یجوز الانتفاع به و بعوضه،و الطهارة کون الشیء بحیث یجوز استعماله فی الأکل و الشرب و الصلاة،نقیض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امور واقعیّة کشف عنها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فأسبابها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للتکالیف،فتصیر سببیّة تلک الأسباب </w:t>
      </w:r>
      <w:r>
        <w:rPr>
          <w:rStyle w:val="FootnoteAnchor"/>
          <w:rtl w:val="true"/>
        </w:rPr>
        <w:footnoteReference w:id="461"/>
      </w:r>
      <w:r>
        <w:rPr>
          <w:rFonts w:ascii="IRNazanin" w:hAnsi="IRNazanin" w:eastAsia="IRNazanin"/>
          <w:color w:val="111111"/>
          <w:sz w:val="28"/>
          <w:sz w:val="28"/>
          <w:szCs w:val="28"/>
          <w:rtl w:val="true"/>
          <w:lang w:bidi="fa-IR"/>
        </w:rPr>
        <w:t>کمسبّباتها امورا 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الثانی،یکون أسبابها کنفس المسبّبات امورا واقعیّة مکشوفا عنها ببیان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فلا جعل فی سببیّة هذه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الحال فی غیر المعاملات من أسباب هذه الامور،کسببیّة الغلیان فی العصیر للنجاسة،و کالملاقاة لها،و السبی للرقّیة،و التنکیل للحریّة،و الرضاع لانفساخ الزوجیّة،و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 فی المقام؛فإنّه من مزالّ الأقدام</w:t>
      </w:r>
      <w:r>
        <w:rPr>
          <w:rFonts w:eastAsia="IRNazanin" w:cs="IRNazanin"/>
          <w:color w:val="111111"/>
          <w:sz w:val="28"/>
          <w:szCs w:val="28"/>
          <w:rtl w:val="true"/>
          <w:lang w:bidi="fa-IR"/>
        </w:rPr>
        <w:t>.</w:t>
      </w:r>
    </w:p>
    <w:p>
      <w:pPr>
        <w:pStyle w:val="Heading5"/>
        <w:numPr>
          <w:ilvl w:val="4"/>
          <w:numId w:val="1"/>
        </w:numPr>
        <w:rPr/>
      </w:pPr>
      <w:bookmarkStart w:id="468" w:name="__RefHeading___Toc5767163_3224264995"/>
      <w:bookmarkStart w:id="469" w:name="_Toc190"/>
      <w:bookmarkEnd w:id="468"/>
      <w:r>
        <w:rPr>
          <w:rtl w:val="true"/>
        </w:rPr>
        <w:t>رجوع إلی کلام الفاضل التونی</w:t>
      </w:r>
      <w:r>
        <w:rPr>
          <w:rtl w:val="true"/>
        </w:rPr>
        <w:t>:</w:t>
      </w:r>
      <w:bookmarkEnd w:id="469"/>
    </w:p>
    <w:p>
      <w:pPr>
        <w:pStyle w:val="Heading6"/>
        <w:numPr>
          <w:ilvl w:val="5"/>
          <w:numId w:val="1"/>
        </w:numPr>
        <w:rPr/>
      </w:pPr>
      <w:bookmarkStart w:id="470" w:name="__RefHeading___Toc5767165_3224264995"/>
      <w:bookmarkStart w:id="471" w:name="_Toc191"/>
      <w:bookmarkEnd w:id="470"/>
      <w:r>
        <w:rPr>
          <w:rtl w:val="true"/>
        </w:rPr>
        <w:t>اشارة</w:t>
      </w:r>
      <w:bookmarkEnd w:id="4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الأوّل یکون وجوب ذلک الشیء أو ندبه فی کلّ جزء من أجزاء ذلک الوقت ثابتا بذلک الأمر،فالتمسّک فی ثبوت الحکم </w:t>
      </w:r>
      <w:bookmarkStart w:id="472" w:name="pg12985_124979"/>
    </w:p>
    <w:p>
      <w:pPr>
        <w:pStyle w:val="BookText"/>
        <w:rPr/>
      </w:pPr>
      <w:bookmarkEnd w:id="472"/>
      <w:r>
        <w:rPr>
          <w:rFonts w:ascii="IRNazanin" w:hAnsi="IRNazanin" w:eastAsia="IRNazanin"/>
          <w:color w:val="111111"/>
          <w:sz w:val="28"/>
          <w:sz w:val="28"/>
          <w:szCs w:val="28"/>
          <w:rtl w:val="true"/>
          <w:lang w:bidi="fa-IR"/>
        </w:rPr>
        <w:t>فی الزمان الثانی بالنصّ،لا بثبوته فی الزمان الأوّل حتّی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الموقّت قد یتردّد وقته بین زمان و ما بعده فیجری الاستصحاب</w:t>
      </w:r>
      <w:r>
        <w:rPr>
          <w:rFonts w:eastAsia="IRNazanin" w:cs="IRNazanin"/>
          <w:color w:val="111111"/>
          <w:sz w:val="28"/>
          <w:szCs w:val="28"/>
          <w:rtl w:val="true"/>
          <w:lang w:bidi="fa-IR"/>
        </w:rPr>
        <w:t>.</w:t>
      </w:r>
    </w:p>
    <w:p>
      <w:pPr>
        <w:pStyle w:val="Heading6"/>
        <w:numPr>
          <w:ilvl w:val="5"/>
          <w:numId w:val="1"/>
        </w:numPr>
        <w:rPr/>
      </w:pPr>
      <w:bookmarkStart w:id="473" w:name="__RefHeading___Toc5767167_3224264995"/>
      <w:bookmarkStart w:id="474" w:name="_Toc192"/>
      <w:bookmarkEnd w:id="473"/>
      <w:r>
        <w:rPr>
          <w:rtl w:val="true"/>
        </w:rPr>
        <w:t>ما أورد علیه</w:t>
      </w:r>
      <w:r>
        <w:rPr>
          <w:rtl w:val="true"/>
        </w:rPr>
        <w:t>:</w:t>
      </w:r>
      <w:bookmarkEnd w:id="474"/>
    </w:p>
    <w:p>
      <w:pPr>
        <w:pStyle w:val="BookText"/>
        <w:rPr/>
      </w:pPr>
      <w:r>
        <w:rPr>
          <w:rFonts w:ascii="IRNazanin" w:hAnsi="IRNazanin" w:eastAsia="IRNazanin"/>
          <w:color w:val="111111"/>
          <w:sz w:val="28"/>
          <w:sz w:val="28"/>
          <w:szCs w:val="28"/>
          <w:rtl w:val="true"/>
          <w:lang w:bidi="fa-IR"/>
        </w:rPr>
        <w:t>و اورد علیه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قد یکون فی النسخ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قد یحصل فی التکلیف کمن شکّ فی وجوب إتمام الصوم لحصول مرض یشکّ فی کونه مبیحا للإفطار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یکون أوّل الوقت و آخره معلوما و لکنّه یشکّ فی حدوث الآخر و الغایة،فیحتاج المجتهد فی الحکم بالوجوب أو الندب أو الحکم بعدمهما عند عروض ذلک الشکّ إلی دلیل عقلیّ أو نقلیّ غیر ذلک الأمر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5767169_3224264995"/>
      <w:bookmarkStart w:id="476" w:name="_Toc193"/>
      <w:bookmarkEnd w:id="475"/>
      <w:r>
        <w:rPr>
          <w:rtl w:val="true"/>
        </w:rPr>
        <w:t>عدم ورود شیء ممّا اورد علیه</w:t>
      </w:r>
      <w:r>
        <w:rPr>
          <w:rtl w:val="true"/>
        </w:rPr>
        <w:t>:</w:t>
      </w:r>
      <w:bookmarkEnd w:id="476"/>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شیء من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فی النسخ،فهو خارج عمّا نحن فیه؛لأنّ کلامه فی الموقّت من حیث الشکّ فی بعض أجزاء الوقت،کما إذا شکّ فی جزء ممّا بین الظهر و العصر فی الحکم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المسجد من الظهر إلی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ادّعی أنّ وجوبه فی الجزء المشکوک ثابت بنفس الدلیل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الشکّ فی ثبوت هذا الحکم الموقّت لکلّ یوم أو نسخه فی </w:t>
      </w:r>
    </w:p>
    <w:p>
      <w:pPr>
        <w:pStyle w:val="BookText"/>
        <w:rPr/>
      </w:pPr>
      <w:r>
        <w:rPr>
          <w:rFonts w:ascii="IRNazanin" w:hAnsi="IRNazanin" w:eastAsia="IRNazanin"/>
          <w:color w:val="111111"/>
          <w:sz w:val="28"/>
          <w:sz w:val="28"/>
          <w:szCs w:val="28"/>
          <w:rtl w:val="true"/>
          <w:lang w:bidi="fa-IR"/>
        </w:rPr>
        <w:t>هذا الیوم،فهو شکّ لا من حیث توقیت الحکم،بل من حیث نسخ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وقع الشکّ فی النسخ الاصطلاحی لم یکن استصحاب عدمه من الاستصحاب المختلف فیه؛لأنّ إثبات الحکم فی الزمان الثانی؛لعموم الأمر الأوّل للأزمان و لو کان فهم هذا العموم من استمرار طریقة الشارع،بل کلّ شارع </w:t>
      </w:r>
      <w:r>
        <w:rPr>
          <w:rStyle w:val="FootnoteAnchor"/>
          <w:rtl w:val="true"/>
        </w:rPr>
        <w:footnoteReference w:id="466"/>
      </w:r>
      <w:r>
        <w:rPr>
          <w:rFonts w:ascii="IRNazanin" w:hAnsi="IRNazanin" w:eastAsia="IRNazanin"/>
          <w:color w:val="111111"/>
          <w:sz w:val="28"/>
          <w:sz w:val="28"/>
          <w:szCs w:val="28"/>
          <w:rtl w:val="true"/>
          <w:lang w:bidi="fa-IR"/>
        </w:rPr>
        <w:t xml:space="preserve">علی إرادة دوام الحکم ما دامت تلک الشریعة، لا من </w:t>
      </w:r>
      <w:r>
        <w:rPr>
          <w:rStyle w:val="FootnoteAnchor"/>
          <w:rtl w:val="true"/>
        </w:rPr>
        <w:footnoteReference w:id="467"/>
      </w:r>
      <w:r>
        <w:rPr>
          <w:rFonts w:ascii="Amiri" w:hAnsi="Amiri" w:eastAsia="Amiri" w:cs="Amiri"/>
          <w:color w:val="111111"/>
          <w:sz w:val="28"/>
          <w:sz w:val="28"/>
          <w:szCs w:val="28"/>
          <w:rtl w:val="true"/>
          <w:lang w:bidi="ar-SA"/>
        </w:rPr>
        <w:t>عموم لفظیّ زمانیّ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کان،فاستصحاب عدم النسخ لدفع احتمال حصول التخصیص </w:t>
      </w:r>
      <w:r>
        <w:rPr>
          <w:rStyle w:val="FootnoteAnchor"/>
          <w:rtl w:val="true"/>
        </w:rPr>
        <w:footnoteReference w:id="468"/>
      </w:r>
      <w:r>
        <w:rPr>
          <w:rFonts w:ascii="IRNazanin" w:hAnsi="IRNazanin" w:eastAsia="IRNazanin"/>
          <w:color w:val="111111"/>
          <w:sz w:val="28"/>
          <w:sz w:val="28"/>
          <w:szCs w:val="28"/>
          <w:rtl w:val="true"/>
          <w:lang w:bidi="fa-IR"/>
        </w:rPr>
        <w:t>فی الأزمان،کاستصحاب عدم التخصیص لدفع احتمال المخصّص فی الأفراد،و استصحاب عدم التقیید لدفع إرادة المقیّد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لا مجال لإنکاره،و لیس إثباتا للحکم فی الزمان الثانی لوجوده فی الزمان الأوّل،بل لعموم دلیله الأوّل،کما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صرّح هذا المفصّل بأنّ الاستصحاب المختلف فیه لا یجری فی التکلیفیّات،و مثل هذا الاستصحاب ممّا انعقد علی اعتباره الإجماع بل الضرورة،کما تقدّم فی کلام المحدّث الأسترابادی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لو فرض الشکّ فی النسخ فی </w:t>
      </w:r>
      <w:r>
        <w:rPr>
          <w:rStyle w:val="FootnoteAnchor"/>
          <w:rtl w:val="true"/>
        </w:rPr>
        <w:footnoteReference w:id="470"/>
      </w:r>
      <w:r>
        <w:rPr>
          <w:rFonts w:ascii="IRNazanin" w:hAnsi="IRNazanin" w:eastAsia="IRNazanin"/>
          <w:color w:val="111111"/>
          <w:sz w:val="28"/>
          <w:sz w:val="28"/>
          <w:szCs w:val="28"/>
          <w:rtl w:val="true"/>
          <w:lang w:bidi="fa-IR"/>
        </w:rPr>
        <w:t xml:space="preserve">حکم لم یثبت له من دلیله و لا من الخارج عموم زمانی </w:t>
      </w:r>
      <w:r>
        <w:rPr>
          <w:rStyle w:val="FootnoteAnchor"/>
          <w:rtl w:val="true"/>
        </w:rPr>
        <w:footnoteReference w:id="471"/>
      </w:r>
      <w:r>
        <w:rPr>
          <w:rFonts w:ascii="IRNazanin" w:hAnsi="IRNazanin" w:eastAsia="IRNazanin"/>
          <w:color w:val="111111"/>
          <w:sz w:val="28"/>
          <w:sz w:val="28"/>
          <w:szCs w:val="28"/>
          <w:rtl w:val="true"/>
          <w:lang w:bidi="fa-IR"/>
        </w:rPr>
        <w:t>،فهو خارج عن النسخ الاصطلاحی، داخل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الأمر إذا لم یکن للتکرار یکفی فیه المرّة، و لا وجه للنقض به فی مسألة الموقّت،فتأمّل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تحقّق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 المبیح للإفطار،و السفر الموجب له و للقصر،و الضرر المبیح لتناول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الذی ذکره المفصّل فی آخر کلامه بجریان الاستصحاب فی الحکم التکلیفی تبعا للحکم الوضعی؛فإنّ السلامة من المرض الذی یضرّ به الصوم شرط فی وجوبه،و کذا الحضر،و کذا الأمن من الضرر فی ترک المحرّم،فإذا شکّ فی وجود شیء من ذلک استصحب الحالة السابقة له وجودا أو عدما، و یتبعه بقاء الحکم التکلیفیّ السابق،بل </w:t>
      </w:r>
      <w:r>
        <w:rPr>
          <w:rStyle w:val="FootnoteAnchor"/>
          <w:rtl w:val="true"/>
        </w:rPr>
        <w:footnoteReference w:id="473"/>
      </w:r>
      <w:r>
        <w:rPr>
          <w:rFonts w:ascii="IRNazanin" w:hAnsi="IRNazanin" w:eastAsia="IRNazanin"/>
          <w:color w:val="111111"/>
          <w:sz w:val="28"/>
          <w:sz w:val="28"/>
          <w:szCs w:val="28"/>
          <w:rtl w:val="true"/>
          <w:lang w:bidi="fa-IR"/>
        </w:rPr>
        <w:t xml:space="preserve">قد عرفت فیما مرّ </w:t>
      </w:r>
      <w:r>
        <w:rPr>
          <w:rStyle w:val="FootnoteAnchor"/>
          <w:rtl w:val="true"/>
        </w:rPr>
        <w:footnoteReference w:id="474"/>
      </w:r>
      <w:r>
        <w:rPr>
          <w:rFonts w:ascii="IRNazanin" w:hAnsi="IRNazanin" w:eastAsia="IRNazanin"/>
          <w:color w:val="111111"/>
          <w:sz w:val="28"/>
          <w:sz w:val="28"/>
          <w:szCs w:val="28"/>
          <w:rtl w:val="true"/>
          <w:lang w:bidi="fa-IR"/>
        </w:rPr>
        <w:t xml:space="preserve">عدم </w:t>
      </w:r>
      <w:r>
        <w:rPr>
          <w:rStyle w:val="FootnoteAnchor"/>
          <w:rtl w:val="true"/>
        </w:rPr>
        <w:footnoteReference w:id="475"/>
      </w:r>
      <w:r>
        <w:rPr>
          <w:rFonts w:ascii="IRNazanin" w:hAnsi="IRNazanin" w:eastAsia="IRNazanin"/>
          <w:color w:val="111111"/>
          <w:sz w:val="28"/>
          <w:sz w:val="28"/>
          <w:szCs w:val="28"/>
          <w:rtl w:val="true"/>
          <w:lang w:bidi="fa-IR"/>
        </w:rPr>
        <w:t xml:space="preserve">جریان الاستصحاب فی الحکم التکلیفی إلاّ مع قطع النظر عن استصحاب موضوعه،و هو </w:t>
      </w:r>
      <w:r>
        <w:rPr>
          <w:rStyle w:val="FootnoteAnchor"/>
          <w:rtl w:val="true"/>
        </w:rPr>
        <w:footnoteReference w:id="476"/>
      </w:r>
      <w:r>
        <w:rPr>
          <w:rFonts w:ascii="IRNazanin" w:hAnsi="IRNazanin" w:eastAsia="IRNazanin"/>
          <w:color w:val="111111"/>
          <w:sz w:val="28"/>
          <w:sz w:val="28"/>
          <w:szCs w:val="28"/>
          <w:rtl w:val="true"/>
          <w:lang w:bidi="fa-IR"/>
        </w:rPr>
        <w:t>الحکم الوضعیّ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أوجب الشارع الصوم إلی اللیل علی المکلّف بشرط سلامته من المرض الذی یتضرّر بالصوم،فإذا شکّ فی بقائها و حدوث المرض المذکور و أحرز الشرط أو عدم المانع </w:t>
      </w:r>
      <w:r>
        <w:rPr>
          <w:rStyle w:val="FootnoteAnchor"/>
          <w:rtl w:val="true"/>
        </w:rPr>
        <w:footnoteReference w:id="477"/>
      </w:r>
      <w:r>
        <w:rPr>
          <w:rFonts w:ascii="IRNazanin" w:hAnsi="IRNazanin" w:eastAsia="IRNazanin"/>
          <w:color w:val="111111"/>
          <w:sz w:val="28"/>
          <w:sz w:val="28"/>
          <w:szCs w:val="28"/>
          <w:rtl w:val="true"/>
          <w:lang w:bidi="fa-IR"/>
        </w:rPr>
        <w:t xml:space="preserve">بالاستصحاب أغنی عن استصحاب المشروط،بل لم یبق مجری له؛لأنّ معنی استصحاب الشرط و عدم المانع </w:t>
      </w:r>
      <w:r>
        <w:rPr>
          <w:rStyle w:val="FootnoteAnchor"/>
          <w:rtl w:val="true"/>
        </w:rPr>
        <w:footnoteReference w:id="478"/>
      </w:r>
      <w:r>
        <w:rPr>
          <w:rFonts w:ascii="IRNazanin" w:hAnsi="IRNazanin" w:eastAsia="IRNazanin"/>
          <w:color w:val="111111"/>
          <w:sz w:val="28"/>
          <w:sz w:val="28"/>
          <w:szCs w:val="28"/>
          <w:rtl w:val="true"/>
          <w:lang w:bidi="fa-IR"/>
        </w:rPr>
        <w:t xml:space="preserve">ترتیب آثار وجوده،و هو ثبوت المشروط مع فرض وجود باقی العلل الناقصة،و حینئذ فلا یبقی الشکّ فی بقاء المشروط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المشروط مسبّب عن الشکّ فی بقاء الشرط،و الاستصحاب فی الشرط وجودا أو عدما مبیّن لبقاء المشروط أو ارتفاعه،فلا یجری فیه الاستصحاب،لا معارضا لاستصحاب الشرط؛لأنّه مزیل له،و لا معاضدا،کما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سیتّضح ذلک فی مسألة الاستصحاب فی الامور الخارجیّة </w:t>
      </w:r>
      <w:r>
        <w:rPr>
          <w:rStyle w:val="FootnoteAnchor"/>
          <w:rtl w:val="true"/>
        </w:rPr>
        <w:footnoteReference w:id="480"/>
      </w:r>
      <w:r>
        <w:rPr>
          <w:rFonts w:ascii="IRNazanin" w:hAnsi="IRNazanin" w:eastAsia="IRNazanin"/>
          <w:color w:val="111111"/>
          <w:sz w:val="28"/>
          <w:sz w:val="28"/>
          <w:szCs w:val="28"/>
          <w:rtl w:val="true"/>
          <w:lang w:bidi="fa-IR"/>
        </w:rPr>
        <w:t xml:space="preserve">،و فی بیان اشتراط الاستصحاب ببقاء الموضوع إن شاء اللّه تعالی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الجواب عن النقض الثالث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کان الشکّ فی بقاء الوقت المضروب للحکم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جری معه استصحاب الوقت أغنی عن استصحاب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الوقت شرط أو سبب،و إلاّ لم یجر استصحاب الحکم </w:t>
      </w:r>
    </w:p>
    <w:p>
      <w:pPr>
        <w:pStyle w:val="BookText"/>
        <w:rPr/>
      </w:pPr>
      <w:r>
        <w:rPr>
          <w:rFonts w:ascii="IRNazanin" w:hAnsi="IRNazanin" w:eastAsia="IRNazanin"/>
          <w:color w:val="111111"/>
          <w:sz w:val="28"/>
          <w:sz w:val="28"/>
          <w:szCs w:val="28"/>
          <w:rtl w:val="true"/>
          <w:lang w:bidi="fa-IR"/>
        </w:rPr>
        <w:t xml:space="preserve">التکلیفی </w:t>
      </w:r>
      <w:r>
        <w:rPr>
          <w:rStyle w:val="FootnoteAnchor"/>
          <w:rtl w:val="true"/>
        </w:rPr>
        <w:footnoteReference w:id="482"/>
      </w:r>
      <w:r>
        <w:rPr>
          <w:rFonts w:ascii="IRNazanin" w:hAnsi="IRNazanin" w:eastAsia="IRNazanin"/>
          <w:color w:val="111111"/>
          <w:sz w:val="28"/>
          <w:sz w:val="28"/>
          <w:szCs w:val="28"/>
          <w:rtl w:val="true"/>
          <w:lang w:bidi="fa-IR"/>
        </w:rPr>
        <w:t xml:space="preserve">لأنّه کان متحقّقا بقید ذلک الوقت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فالصوم </w:t>
      </w:r>
      <w:r>
        <w:rPr>
          <w:rStyle w:val="FootnoteAnchor"/>
          <w:rtl w:val="true"/>
        </w:rPr>
        <w:footnoteReference w:id="484"/>
      </w:r>
      <w:r>
        <w:rPr>
          <w:rFonts w:ascii="IRNazanin" w:hAnsi="IRNazanin" w:eastAsia="IRNazanin"/>
          <w:color w:val="111111"/>
          <w:sz w:val="28"/>
          <w:sz w:val="28"/>
          <w:szCs w:val="28"/>
          <w:rtl w:val="true"/>
          <w:lang w:bidi="fa-IR"/>
        </w:rPr>
        <w:t xml:space="preserve">المقیّد وجوبه </w:t>
      </w:r>
      <w:r>
        <w:rPr>
          <w:rStyle w:val="FootnoteAnchor"/>
          <w:rtl w:val="true"/>
        </w:rPr>
        <w:footnoteReference w:id="485"/>
      </w:r>
      <w:r>
        <w:rPr>
          <w:rFonts w:ascii="IRNazanin" w:hAnsi="IRNazanin" w:eastAsia="IRNazanin"/>
          <w:color w:val="111111"/>
          <w:sz w:val="28"/>
          <w:sz w:val="28"/>
          <w:szCs w:val="28"/>
          <w:rtl w:val="true"/>
          <w:lang w:bidi="fa-IR"/>
        </w:rPr>
        <w:t xml:space="preserve">بکونه فی النهار لا ینفع استصحاب وجوبه فی الزمان المشکوک کونه من النهار،و أصالة بقاء الحکم المقیّد بالنهار فی هذا الزمان لا یثبت کون هذا الزمان نهارا،کما سیجیء توضیحه فی نفی الاصول المثبتة إن شاء اللّه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الاستصحاب تنجّز التکلیف سابقا و إن کان لتعلیقه علی أمر حاصل،فیقال عرفا إذا ارتفع الاستطاعة المعلّق علیها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ارتفاعها یکون شکّا فی ارتفاع الحکم المتنجّز و بقائه و إن کان الحکم المعلّق لا یرتفع بارتفاع المعلّق علیه؛لأنّ ارتفاع الشرط لا یوجب ارتفاع الشرطیّة،إلاّ أنّ استصحاب وجود ذلک الأمر المعلّق علیه کاف فی عدم جریان الاستصحاب المذکور،فإنّه حاکم علیه،کما ستعرف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فی مقام </w:t>
      </w:r>
      <w:r>
        <w:rPr>
          <w:rStyle w:val="FootnoteAnchor"/>
          <w:rtl w:val="true"/>
        </w:rPr>
        <w:footnoteReference w:id="487"/>
      </w:r>
      <w:r>
        <w:rPr>
          <w:rFonts w:ascii="IRNazanin" w:hAnsi="IRNazanin" w:eastAsia="IRNazanin"/>
          <w:color w:val="111111"/>
          <w:sz w:val="28"/>
          <w:sz w:val="28"/>
          <w:szCs w:val="28"/>
          <w:rtl w:val="true"/>
          <w:lang w:bidi="fa-IR"/>
        </w:rPr>
        <w:t>عدم جریان الاستصحاب فی الشکّ فی الوقت،کما لو کان الوقت مردّدا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کذهاب الحمرة و استتار </w:t>
      </w:r>
      <w:bookmarkStart w:id="477" w:name="pg12985_124984"/>
    </w:p>
    <w:p>
      <w:pPr>
        <w:pStyle w:val="BookText"/>
        <w:rPr/>
      </w:pPr>
      <w:bookmarkEnd w:id="477"/>
      <w:r>
        <w:rPr>
          <w:rFonts w:ascii="IRNazanin" w:hAnsi="IRNazanin" w:eastAsia="IRNazanin"/>
          <w:color w:val="111111"/>
          <w:sz w:val="28"/>
          <w:sz w:val="28"/>
          <w:szCs w:val="28"/>
          <w:rtl w:val="true"/>
          <w:lang w:bidi="fa-IR"/>
        </w:rPr>
        <w:t>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انحصر الأمر حینئذ فی إجراء استصحاب التکلیف،فتأمّل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النقض علیه بالنسبة إلی الحکم التکلیفیّ المشکوک بقاؤه </w:t>
      </w:r>
      <w:r>
        <w:rPr>
          <w:rStyle w:val="FootnoteAnchor"/>
          <w:rtl w:val="true"/>
        </w:rPr>
        <w:footnoteReference w:id="488"/>
      </w:r>
      <w:r>
        <w:rPr>
          <w:rFonts w:ascii="IRNazanin" w:hAnsi="IRNazanin" w:eastAsia="IRNazanin"/>
          <w:color w:val="111111"/>
          <w:sz w:val="28"/>
          <w:sz w:val="28"/>
          <w:szCs w:val="28"/>
          <w:rtl w:val="true"/>
          <w:lang w:bidi="fa-IR"/>
        </w:rPr>
        <w:t xml:space="preserve">من جهة الشکّ فی سببه أو شرطه أو مانعة غیر متّجه؛لأنّ مجری الاستصحاب فی هذه الموارد أوّلا و بالذات هو نفس السبب و الشرط و المانع،و یتبعه بقاء </w:t>
      </w:r>
      <w:r>
        <w:rPr>
          <w:rStyle w:val="FootnoteAnchor"/>
          <w:rtl w:val="true"/>
        </w:rPr>
        <w:footnoteReference w:id="489"/>
      </w:r>
      <w:r>
        <w:rPr>
          <w:rFonts w:ascii="IRNazanin" w:hAnsi="IRNazanin" w:eastAsia="IRNazanin"/>
          <w:color w:val="111111"/>
          <w:sz w:val="28"/>
          <w:sz w:val="28"/>
          <w:szCs w:val="28"/>
          <w:rtl w:val="true"/>
          <w:lang w:bidi="fa-IR"/>
        </w:rPr>
        <w:t>الحکم التکلیفی،و لا یجوز إجراء الاستصحاب فی الحکم التکلیفی ابتداء،إلاّ إذا فرض انتفاء استصحاب الأمر الوضعیّ</w:t>
      </w:r>
      <w:r>
        <w:rPr>
          <w:rFonts w:eastAsia="IRNazanin" w:cs="IRNazanin"/>
          <w:color w:val="111111"/>
          <w:sz w:val="28"/>
          <w:szCs w:val="28"/>
          <w:rtl w:val="true"/>
          <w:lang w:bidi="fa-IR"/>
        </w:rPr>
        <w:t>.</w:t>
      </w:r>
    </w:p>
    <w:p>
      <w:pPr>
        <w:pStyle w:val="Heading5"/>
        <w:numPr>
          <w:ilvl w:val="4"/>
          <w:numId w:val="1"/>
        </w:numPr>
        <w:rPr/>
      </w:pPr>
      <w:bookmarkStart w:id="478" w:name="__RefHeading___Toc5767171_3224264995"/>
      <w:bookmarkStart w:id="479" w:name="_Toc194"/>
      <w:bookmarkEnd w:id="478"/>
      <w:r>
        <w:rPr>
          <w:rtl w:val="true"/>
        </w:rPr>
        <w:t>رجوع إلی کلام الفاضل التونی و التعلیق علیه</w:t>
      </w:r>
      <w:r>
        <w:rPr>
          <w:rtl w:val="true"/>
        </w:rPr>
        <w:t>:</w:t>
      </w:r>
      <w:bookmarkEnd w:id="4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أیضا کذلک إن قلنا بإفادة الأمر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490"/>
      </w:r>
      <w:r>
        <w:rPr>
          <w:rFonts w:ascii="IRNazanin" w:hAnsi="IRNazanin" w:eastAsia="IRNazanin"/>
          <w:color w:val="111111"/>
          <w:sz w:val="28"/>
          <w:sz w:val="28"/>
          <w:szCs w:val="28"/>
          <w:rtl w:val="true"/>
          <w:lang w:bidi="fa-IR"/>
        </w:rPr>
        <w:t>قد یکون التکرار مردّدا بین وجهین،کما إذا علمنا بأنّه لیس للتکرار الدائمی،لکنّ العدد المتکرّر کان مردّدا بین الزائد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الإیراد لا یندفع بما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الحکم فی التکرار کالأمر الموقّت،کما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وجوب التکرار،فالشکّ فی بقاء ذلک الحکم من هذه الجهة مرجعه إلی الشکّ فی مقدار التکرار؛لتردّده بین الزائد و الناقص،و لا یجری فیه الاستصحاب؛لأنّ کلّ واحد من المکرّر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تکلیفا مستقلا فالشکّ فی الزائد شکّ فی التکلیف المستقلّ، و حکمه النفی بأصالة البراءة،لا الإثبات بالاستصحاب،کما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الزائد علی تقدیر وجوبه جزءا من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الأمر بمجموع العدد المتکرّر من حیث إنّه مرکّب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فمرجعه إلی الشکّ فی جزئیّة شیء للمأمور به و عدمها،و لا یجری فیه أیضا الاستصحاب؛لأنّ ثبوت الوجوب لباقی الأجزاء لا یثبت وجوب هذا الشیء المشکوک فی جزئیّته،بل لا بدّ من الرجوع إلی البراءة أو قاعدة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فذمّة المکلّف مشغولة حتّی یأتی به فی أیّ زمان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یورد علیه النقض بما عرفت </w:t>
      </w:r>
      <w:r>
        <w:rPr>
          <w:rStyle w:val="FootnoteAnchor"/>
          <w:rtl w:val="true"/>
        </w:rPr>
        <w:footnoteReference w:id="491"/>
      </w:r>
      <w:r>
        <w:rPr>
          <w:rFonts w:ascii="IRNazanin" w:hAnsi="IRNazanin" w:eastAsia="IRNazanin"/>
          <w:color w:val="111111"/>
          <w:sz w:val="28"/>
          <w:sz w:val="28"/>
          <w:szCs w:val="28"/>
          <w:rtl w:val="true"/>
          <w:lang w:bidi="fa-IR"/>
        </w:rPr>
        <w:t xml:space="preserve">حاله فی العبارة الاولی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شکّ فی کون الأمر للتکرار أو المرّة کان الحکم کما ذکرنا فی تردّد التکرار بین الزائد و الناقص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أمر المولی بفعل له استمرار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کالجلوس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مقدار استمراره،فإنّ الشکّ بین الزائد و الناقص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 الزائد المشکوک واجبا مستقلا علی تقدیر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أصالة البراءة،و مع فرض کونه جزءا،یرجع إلی مسألة الشکّ فی الجزئیّة و عدمها،فإنّ </w:t>
      </w:r>
      <w:r>
        <w:rPr>
          <w:rStyle w:val="FootnoteAnchor"/>
          <w:rtl w:val="true"/>
        </w:rPr>
        <w:footnoteReference w:id="493"/>
      </w:r>
      <w:r>
        <w:rPr>
          <w:rFonts w:ascii="IRNazanin" w:hAnsi="IRNazanin" w:eastAsia="IRNazanin"/>
          <w:color w:val="111111"/>
          <w:sz w:val="28"/>
          <w:sz w:val="28"/>
          <w:szCs w:val="28"/>
          <w:rtl w:val="true"/>
          <w:lang w:bidi="fa-IR"/>
        </w:rPr>
        <w:t xml:space="preserve">فیها البراءة أو وجوب الاحتیاط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کان للفور یکون من قبیل الموقّت المضیّق،اشتباه غیر 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دفع اعتراض علی تسویته فی ثبوت الوجوب فی کلّ جزء من الوقت بنفس الأمر بین کونه للفور و عدمه،و لا دخل له بمطلبه و هو عدم جریان الاستصحاب فی الأمر الفوری؛لأنّ کونه من قبیل الموقّت المضیّق لا یوجب جریان الاستصحاب فیه؛لأنّ الفور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یراد به المسارعة فی أوّل أزمنة الإمکان،و إن لم یسارع ففی ثانیها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به خصوص الزمان الأوّل فإذا فات لم یثبت بالأمر وجوب الفعل فی الآن الثانی لا فورا و لا متراخیا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یراد به ثبوته فی الآن الثانی </w:t>
      </w:r>
      <w:r>
        <w:rPr>
          <w:rStyle w:val="FootnoteAnchor"/>
          <w:rtl w:val="true"/>
        </w:rPr>
        <w:footnoteReference w:id="495"/>
      </w:r>
      <w:r>
        <w:rPr>
          <w:rFonts w:ascii="IRNazanin" w:hAnsi="IRNazanin" w:eastAsia="IRNazanin"/>
          <w:color w:val="111111"/>
          <w:sz w:val="28"/>
          <w:sz w:val="28"/>
          <w:szCs w:val="28"/>
          <w:rtl w:val="true"/>
          <w:lang w:bidi="fa-IR"/>
        </w:rPr>
        <w:t>متراخیا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الأوّل،فهو فی کلّ </w:t>
      </w:r>
      <w:r>
        <w:rPr>
          <w:rStyle w:val="FootnoteAnchor"/>
          <w:rtl w:val="true"/>
        </w:rPr>
        <w:footnoteReference w:id="496"/>
      </w:r>
      <w:r>
        <w:rPr>
          <w:rFonts w:ascii="IRNazanin" w:hAnsi="IRNazanin" w:eastAsia="IRNazanin"/>
          <w:color w:val="111111"/>
          <w:sz w:val="28"/>
          <w:sz w:val="28"/>
          <w:szCs w:val="28"/>
          <w:rtl w:val="true"/>
          <w:lang w:bidi="fa-IR"/>
        </w:rPr>
        <w:t>جزء من الوقت من قبیل الموقّت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الثانی،فلا معنی للاستصحاب،بناء علی ما سیذکره؛من أنّ الاستصحاب لم یقل به أحد فیما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الثالث،یکون فی الوقت الأوّل کالمضیّق و فیما بعده کالأمر المطلق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بعض شرّاح الوافیة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دفع هذا التوهّم لأجل </w:t>
      </w:r>
    </w:p>
    <w:p>
      <w:pPr>
        <w:pStyle w:val="BookText"/>
        <w:rPr/>
      </w:pPr>
      <w:r>
        <w:rPr>
          <w:rFonts w:ascii="IRNazanin" w:hAnsi="IRNazanin" w:eastAsia="IRNazanin"/>
          <w:color w:val="111111"/>
          <w:sz w:val="28"/>
          <w:sz w:val="28"/>
          <w:szCs w:val="28"/>
          <w:rtl w:val="true"/>
          <w:lang w:bidi="fa-IR"/>
        </w:rPr>
        <w:t>استلزامه الاحتیاج إلی الاستصحاب لإثبات الوجوب فی ما بعد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قدّس سرّه لم یستوف أقسام الأمر؛لأنّ منها ما یتردّد الأمر بین الموقّت بوقت فیرتفع الأمر بفواته،و بین المطلق الذی یجوز امتثاله بعد ذلک الوقت،کما إذا شککنا فی أنّ الأمر بالغسل فی یوم الجمعة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الإتیان به فی کلّ 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موقّت إلی الزوال؟و کذا وجوب الفطرة بالنسبة إلی یوم العید،فإنّ الظاهر أنّه لا مانع من استصحاب الحکم التکلیفیّ هنا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أولی لأنّ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قدّس سرّه لم یلاحظ إلاّ الأوامر و النواهی اللفظیّة البیّنة المدلول، و إلاّ فإذا قام الإجماع أو دلیل لفظیّ مجمل علی حرمة شیء فی زمان و لم یعلم بقاؤها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الوطء للحائض المردّدة بین اختصاصها بأیّام رؤیة الدم فیرتفع بعد النقاء،و شمولها لزمان بقاء حدث الحیض فلا یرتفع إلاّ بالاغتسال،و کحرمة العصیر العنبیّ بعد ذهاب ثلثیه بغیر النار،و حلّیة عصیر الزبیب و التمر بعد غلیانهما،إلی غیر ذلک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فی ذلک کلّه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ینظر إلی کیفیّة سببیّة السبب هل هی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مراده من سببیّة السبب تأثیره،لا کونه سببا فی الشرع و هو الحکم الوضعی؛لأنّ هذا لا ینقسم إلی ما ذکره من </w:t>
      </w:r>
    </w:p>
    <w:p>
      <w:pPr>
        <w:pStyle w:val="BookText"/>
        <w:rPr/>
      </w:pPr>
      <w:r>
        <w:rPr>
          <w:rFonts w:ascii="IRNazanin" w:hAnsi="IRNazanin" w:eastAsia="IRNazanin"/>
          <w:color w:val="111111"/>
          <w:sz w:val="28"/>
          <w:sz w:val="28"/>
          <w:szCs w:val="28"/>
          <w:rtl w:val="true"/>
          <w:lang w:bidi="fa-IR"/>
        </w:rPr>
        <w:t>الأقسام،لکونه دائمیّا فی جمیع الأسباب إلی أن ینسخ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من النظر فی کیفیّة سببیّة السبب تحصیل مورد یشکّ فی کیفیّة السببیّة لیکون موردا للاستصحاب فی المسبّب،فهو مناف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جریان الاستصحاب فی التکلیفیّات إلاّ تبعا </w:t>
      </w:r>
      <w:r>
        <w:rPr>
          <w:rStyle w:val="FootnoteAnchor"/>
          <w:rtl w:val="true"/>
        </w:rPr>
        <w:footnoteReference w:id="498"/>
      </w:r>
      <w:r>
        <w:rPr>
          <w:rFonts w:ascii="Amiri" w:hAnsi="Amiri" w:eastAsia="Amiri" w:cs="Amiri"/>
          <w:color w:val="111111"/>
          <w:sz w:val="28"/>
          <w:sz w:val="28"/>
          <w:szCs w:val="28"/>
          <w:rtl w:val="true"/>
          <w:lang w:bidi="ar-SA"/>
        </w:rPr>
        <w:t>للوضعیّات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أراد من ذلک نفی مورد یشکّ فی کیفیّة سببیّة السبب لیجری الاستصحاب فی المسبّب </w:t>
      </w:r>
      <w:r>
        <w:rPr>
          <w:rStyle w:val="FootnoteAnchor"/>
          <w:rtl w:val="true"/>
        </w:rPr>
        <w:footnoteReference w:id="499"/>
      </w:r>
      <w:r>
        <w:rPr>
          <w:rFonts w:ascii="IRNazanin" w:hAnsi="IRNazanin" w:eastAsia="IRNazanin"/>
          <w:color w:val="111111"/>
          <w:sz w:val="28"/>
          <w:sz w:val="28"/>
          <w:szCs w:val="28"/>
          <w:rtl w:val="true"/>
          <w:lang w:bidi="fa-IR"/>
        </w:rPr>
        <w:t xml:space="preserve">،فأنت خبیر بأنّ موارد الشکّ کثیرة؛فإنّ السببیّة </w:t>
      </w:r>
      <w:r>
        <w:rPr>
          <w:rStyle w:val="FootnoteAnchor"/>
          <w:rtl w:val="true"/>
        </w:rPr>
        <w:footnoteReference w:id="500"/>
      </w:r>
      <w:r>
        <w:rPr>
          <w:rFonts w:ascii="IRNazanin" w:hAnsi="IRNazanin" w:eastAsia="IRNazanin"/>
          <w:color w:val="111111"/>
          <w:sz w:val="28"/>
          <w:sz w:val="28"/>
          <w:szCs w:val="28"/>
          <w:rtl w:val="true"/>
          <w:lang w:bidi="fa-IR"/>
        </w:rPr>
        <w:t>قد تتردّد بین الدائم و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 المسبّب عن الغبن المتردّد بین کونه دائما لو لا المسقط و بین کونه فوریّا،و کالشفعة المردّدة بین کونه مستمرّا إلی الصبح لو علم به لیلا أم لا،و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الموقّت قد یتردّد بین وقتین،کالکسوف الذی هو سبب لوجوب الصلاة المردّد وقتها بین الأخذ فی الانجلاء 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الشرط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أعرف المراد من إلحاق الشرط و المانع بالسبب؛فإنّ شیئا من الأقسام المذکورة للسبب لا یجری فی </w:t>
      </w:r>
      <w:r>
        <w:rPr>
          <w:rStyle w:val="FootnoteAnchor"/>
          <w:rtl w:val="true"/>
        </w:rPr>
        <w:footnoteReference w:id="501"/>
      </w:r>
      <w:r>
        <w:rPr>
          <w:rFonts w:ascii="IRNazanin" w:hAnsi="IRNazanin" w:eastAsia="IRNazanin"/>
          <w:color w:val="111111"/>
          <w:sz w:val="28"/>
          <w:sz w:val="28"/>
          <w:szCs w:val="28"/>
          <w:rtl w:val="true"/>
          <w:lang w:bidi="fa-IR"/>
        </w:rPr>
        <w:t>المانع و إن جری کلّها أو بعضها فی المانع إن لوحظ کونه سببا للعدم؛لکنّ المانع بهذا الاعتبار یدخل فی السبب،و کذا عدم الشرط إذا لوحظ کونه سببا لعدم الحکم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ذکره فی وجه عدم جریان الاستصحاب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ثبوت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Style w:val="FootnoteAnchor"/>
          <w:rtl w:val="true"/>
        </w:rPr>
        <w:footnoteReference w:id="503"/>
      </w:r>
      <w:r>
        <w:rPr>
          <w:rFonts w:ascii="IRNazanin" w:hAnsi="IRNazanin" w:eastAsia="IRNazanin"/>
          <w:color w:val="111111"/>
          <w:sz w:val="28"/>
          <w:sz w:val="28"/>
          <w:szCs w:val="28"/>
          <w:rtl w:val="true"/>
          <w:lang w:bidi="fa-IR"/>
        </w:rPr>
        <w:t>الحاصل من النظر فی کیفیّة شرطیّة الشرط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نفس الشیء شرطا لشیء علی الإطلاق،کالطهارة من الحدث الأصغر للمسّ،و من الأکبر للمکث فی المساجد،و من الحیض للوطء و وجوب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شرطا فی حال دون حال،کاشتراط الطهارة من الخبث فی الصلاة مع التمکّن،لا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حدوثه فی زمان ما شرطا للشیء فیبقی المشروط و لو بعد ارتفاع الشرط،کالاستطاعة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تأثیر الشرط بالنسبة إلی فعل دون آخر،کالوضوء العذریّ المؤثّر فیما یؤتی به حال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فی مسألة الحجّ فی بقاء وجوبه بعد ارتفاع الاستطاعة، فلا مانع من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شککنا فی اختصاص الاشتراط بحال التمکّن من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ارتفع التمکّن من إزالة النجاسة فی أثناء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مانع من استصحاب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شککنا فی أنّ الشرط فی إباحة الوطء الطهارة بمعنی النقاء من الحیض أو ارتفاع حدث الحیض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شککنا فی بقاء إباحة الصلاة أو المسّ بعد الوضوء </w:t>
      </w:r>
    </w:p>
    <w:p>
      <w:pPr>
        <w:pStyle w:val="BookText"/>
        <w:rPr/>
      </w:pPr>
      <w:r>
        <w:rPr>
          <w:rFonts w:ascii="IRNazanin" w:hAnsi="IRNazanin" w:eastAsia="IRNazanin"/>
          <w:color w:val="111111"/>
          <w:sz w:val="28"/>
          <w:sz w:val="28"/>
          <w:szCs w:val="28"/>
          <w:rtl w:val="true"/>
          <w:lang w:bidi="fa-IR"/>
        </w:rPr>
        <w:t xml:space="preserve">العذریّ إذا کان الفعل المشروط به بعد زوال العذر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أجد کیفیّة شرطیة الشرط مانعة عن جریان الاستصحاب فی المشروط،بل قد یوجب إجراءه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ممّا ذکرنا أنّ الاستصحاب المختلف فیه لا یجری إلاّ فی الأحکام الوضعیّة،أعنی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و الشروط و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هذا التفریع؛فإنّه لم یظهر من کلامه جریان الاستصحاب فی الأحکام الوضعیّة بمعنی نفس الأسباب و الشروط و الموانع،و لا عدمه فیها بالمعنی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نعم،علم من کلامه عدم الجریان فی المسبّبات أیضا؛لزعمه انحصارها فی المؤبّد و الموقّت بوقت محدود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الحکم الوضعیّ،و هو جعل الشیء سببا لشیء أو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عدم جریان الاستصحاب فیها؛لعین ما ذکره فی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الأسباب و الشروط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السبب و الشرط و المانع إن کان أمرا غیر شرعیّ،فظاهر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محلّ الکلام فی الاستصحاب المختلف فیه هی الامور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مثل هذا عنه،کحیاة زید و رطوبة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یخفی أنّ هذه الامور الشرعیّة مسبّبة عن أسباب،فإنّ النجاسة التی مثّل بها فی الماء </w:t>
      </w:r>
    </w:p>
    <w:p>
      <w:pPr>
        <w:pStyle w:val="BookText"/>
        <w:rPr/>
      </w:pPr>
      <w:r>
        <w:rPr>
          <w:rFonts w:ascii="IRNazanin" w:hAnsi="IRNazanin" w:eastAsia="IRNazanin"/>
          <w:color w:val="111111"/>
          <w:sz w:val="28"/>
          <w:sz w:val="28"/>
          <w:szCs w:val="28"/>
          <w:rtl w:val="true"/>
          <w:lang w:bidi="fa-IR"/>
        </w:rPr>
        <w:t xml:space="preserve">المتغیّر مسبّبة عن التغیّر،و الطهارة التی مثّل بها فی مسألة المتیمّم مسبّبة عن التیمّم؛فالشکّ فی بقائهما </w:t>
      </w:r>
      <w:r>
        <w:rPr>
          <w:rStyle w:val="FootnoteAnchor"/>
          <w:rtl w:val="true"/>
        </w:rPr>
        <w:footnoteReference w:id="505"/>
      </w:r>
      <w:r>
        <w:rPr>
          <w:rFonts w:ascii="IRNazanin" w:hAnsi="IRNazanin" w:eastAsia="IRNazanin"/>
          <w:color w:val="111111"/>
          <w:sz w:val="28"/>
          <w:sz w:val="28"/>
          <w:szCs w:val="28"/>
          <w:rtl w:val="true"/>
          <w:lang w:bidi="fa-IR"/>
        </w:rPr>
        <w:t>لا یکون إلاّ للشکّ فی کیفیّة سببیّة السبب الموجب لإجراء الاستصحاب فی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النجاسة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منه المنع عن جریان الاستصحاب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فی کلامه جریان الاستصحاب فی الحکم التکلیفیّ المسبّب عن الأسباب إلاّ تبعا لجریانه فی نفس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حکاه المفصّل عن الشهید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عبارة عن وجوب الاجتناب،و الطهر الحاصل من التیمّم لیس إلاّ إباحة الدخول فی الصلاة المستلزمة لوجوب المضیّ فیها بعد الدخول، فهما اعتباران </w:t>
      </w:r>
      <w:r>
        <w:rPr>
          <w:rStyle w:val="FootnoteAnchor"/>
          <w:rtl w:val="true"/>
        </w:rPr>
        <w:footnoteReference w:id="507"/>
      </w:r>
      <w:r>
        <w:rPr>
          <w:rFonts w:ascii="IRNazanin" w:hAnsi="IRNazanin" w:eastAsia="IRNazanin"/>
          <w:color w:val="111111"/>
          <w:sz w:val="28"/>
          <w:sz w:val="28"/>
          <w:szCs w:val="28"/>
          <w:rtl w:val="true"/>
          <w:lang w:bidi="fa-IR"/>
        </w:rPr>
        <w:t>منتزعان من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فی الأحکام الخمسة إنّما هو بتبعیّتها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و ستعرف </w:t>
      </w:r>
      <w:r>
        <w:rPr>
          <w:rStyle w:val="FootnoteAnchor"/>
          <w:rtl w:val="true"/>
        </w:rPr>
        <w:footnoteReference w:id="50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خفاء فی أنّ استصحاب النجاسة لا یعقل له معنی إلاّ ترتیب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الاجتناب فی الصلاة و 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 استصحاب للحکم التکلیفیّ، لا ابتداء و لا تبعا،و هذا کاستصحاب حیاة زید؛فإنّ حقیقة ذلک هو الحکم بتحریم عقد زوجته و التصرّف فی ماله،و لیس هذا استصحابا لهذا التحریم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509"/>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إجراء الاستصحاب فی الأحکام التی تستصحب موضوعاتها؛لأنّ استصحاب وجوب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بملاحظة استصحاب النجاسة فقد عرفت أنّه لا یبقی بهذه الملاحظة شکّ فی وجوب الاجتناب؛لما عرفت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حقیقة حکم الشارع باستصحاب النجاسة هو حکمه بوجوب الاجتناب حتّی یحصل الیقین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مع قطع النظر عن استصحابها فلا یجوز الاستصحاب؛فإنّ وجوب الاجتناب سابقا عن الماء المذکور إنّما کان من حیث کونه نجسا؛لأنّ النجس هو الموضوع لوجوب الاجتناب، فما لم یحرز الموضوع فی حال الشکّ لم یجر الاستصحاب،کما سیجیء </w:t>
      </w:r>
      <w:r>
        <w:rPr>
          <w:rStyle w:val="FootnoteAnchor"/>
          <w:rtl w:val="true"/>
        </w:rPr>
        <w:footnoteReference w:id="512"/>
      </w:r>
      <w:r>
        <w:rPr>
          <w:rFonts w:ascii="IRNazanin" w:hAnsi="IRNazanin" w:eastAsia="IRNazanin"/>
          <w:color w:val="111111"/>
          <w:sz w:val="28"/>
          <w:sz w:val="28"/>
          <w:szCs w:val="28"/>
          <w:rtl w:val="true"/>
          <w:lang w:bidi="fa-IR"/>
        </w:rPr>
        <w:t xml:space="preserve">فی مسألة اشتراط القطع ببقاء الموضوع فی الاستصحاب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80" w:name="pg12985_124993"/>
    </w:p>
    <w:p>
      <w:pPr>
        <w:pStyle w:val="Heading5"/>
        <w:numPr>
          <w:ilvl w:val="4"/>
          <w:numId w:val="1"/>
        </w:numPr>
        <w:rPr/>
      </w:pPr>
      <w:bookmarkStart w:id="481" w:name="__RefHeading___Toc5767173_3224264995"/>
      <w:bookmarkStart w:id="482" w:name="_Toc195"/>
      <w:bookmarkEnd w:id="480"/>
      <w:bookmarkEnd w:id="481"/>
      <w:r>
        <w:rPr>
          <w:rtl w:val="true"/>
        </w:rPr>
        <w:t>شبهة اخری فی منع جریان الاستصحاب فی الأحکام التکلیفیّة</w:t>
      </w:r>
      <w:r>
        <w:rPr>
          <w:rtl w:val="true"/>
        </w:rPr>
        <w:t>:</w:t>
      </w:r>
      <w:bookmarkEnd w:id="482"/>
    </w:p>
    <w:p>
      <w:pPr>
        <w:pStyle w:val="Heading6"/>
        <w:numPr>
          <w:ilvl w:val="5"/>
          <w:numId w:val="1"/>
        </w:numPr>
        <w:rPr/>
      </w:pPr>
      <w:bookmarkStart w:id="483" w:name="__RefHeading___Toc5767175_3224264995"/>
      <w:bookmarkStart w:id="484" w:name="_Toc196"/>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بقی هنا شبهة اخری فی منع جریان الاستصحاب فی الأحکام التکلیفیّة مطلقا،و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للحکم التکلیفیّ لیس إلاّ فعل المکلّف،و لا ریب أنّ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یلاحظ الموضوع بجمیع مشخّصاته التی لها دخل فی ذلک الحکم ثمّ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حینئذ،فإذا أمر الشارع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کالجلوس فی المسجد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الموضوع فیه هو مطلق الجلوس فیه الغیر المقیّد بشیء أصلا، فلا إشکال فی عدم ارتفاع وجوبه إلاّ بالإتیان به؛إذ لو ارتفع الوجوب بغیره کان ذلک الرافع من قیود الفعل،و کان الفعل المطلوب مقیّدا بعدم هذا القید من أوّل الأمر،و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الموضوع فیه هو الجلوس المقیّد بقید،کان عدم ذلک القید موجبا لانعدام الموضوع،فعدم مطلوبیّته لیس بارتفاع الطلب عنه، بل لم یکن مطلوبا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شکّ فی الزمان المتأخّر فی وجوب الجلوس،یرجع الشکّ إلی الشکّ فی کون الموضوع للوجوب هو الفعل المقیّد،أو الفعل المعرّی عن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عدم جریان الاستصحاب هنا؛لأنّ معناه إثبات حکم کان متیقّنا لموضوع معیّن عند الشکّ فی ارتفاعه عن ذلک الموضوع،و هذا غیر متحقّق فیما نحن فیه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غیر الوجوب من الأحکام الأربعة الأخر؛ لاشتراک الجمیع فی کون الموضوع لها هو فعل المکلّف الملحوظ للحاکم بجمیع مشخّصاته،خصوصا إذا کان حکیما،و خصوصا عند القائل بالتحسین و التقبیح؛لمدخلیّة المشخّصات فی الحسن و القبح حتّی الزمان</w:t>
      </w:r>
      <w:r>
        <w:rPr>
          <w:rFonts w:eastAsia="IRNazanin" w:cs="IRNazanin"/>
          <w:color w:val="111111"/>
          <w:sz w:val="28"/>
          <w:szCs w:val="28"/>
          <w:rtl w:val="true"/>
          <w:lang w:bidi="fa-IR"/>
        </w:rPr>
        <w:t xml:space="preserve">. </w:t>
      </w:r>
      <w:bookmarkStart w:id="485" w:name="pg12985_124994"/>
    </w:p>
    <w:p>
      <w:pPr>
        <w:pStyle w:val="BookText"/>
        <w:rPr/>
      </w:pPr>
      <w:bookmarkEnd w:id="485"/>
      <w:r>
        <w:rPr>
          <w:rFonts w:ascii="IRNazanin" w:hAnsi="IRNazanin" w:eastAsia="IRNazanin"/>
          <w:color w:val="111111"/>
          <w:sz w:val="28"/>
          <w:sz w:val="28"/>
          <w:szCs w:val="28"/>
          <w:rtl w:val="true"/>
          <w:lang w:bidi="fa-IR"/>
        </w:rPr>
        <w:t>و به یندفع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أن یجعل الزمان ظرفا للفعل،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التبرید فی زمان الصیف مطلوب،فلا یجری الاستصحاب إذا شکّ فی مطلوبیّته فی زمان آخر،أمکن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التبرید مطلوب فی الصیف،علی أن یکون الموضوع نفس التبرید و الزمان قیدا للطلب،و حینئذ فیجوز استصحاب الطلب إذا شکّ فی بقائه بعد الصیف؛ إذا الموضوع باق علی حاله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القید فی الحقیقة راجع إلی الموضوع،و تقیید الطلب به </w:t>
      </w:r>
      <w:r>
        <w:rPr>
          <w:rStyle w:val="FootnoteAnchor"/>
          <w:rtl w:val="true"/>
        </w:rPr>
        <w:footnoteReference w:id="515"/>
      </w:r>
      <w:r>
        <w:rPr>
          <w:rFonts w:ascii="IRNazanin" w:hAnsi="IRNazanin" w:eastAsia="IRNazanin"/>
          <w:color w:val="111111"/>
          <w:sz w:val="28"/>
          <w:sz w:val="28"/>
          <w:szCs w:val="28"/>
          <w:rtl w:val="true"/>
          <w:lang w:bidi="fa-IR"/>
        </w:rPr>
        <w:t>أحیانا فی الکلام مسامحة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مجری الاستصحاب فی الامور القابلة للاستمرار فی موضوع،و للارتفاع عن ذلک الموضوع بعینه،کالطهارة و الحدث و النجاسة و الملکیّة و الزوجیّة و الرطوبة و الیبوسة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عدم جریان الاستصحاب فی الحکم الوضعیّ </w:t>
      </w:r>
      <w:r>
        <w:rPr>
          <w:rStyle w:val="FootnoteAnchor"/>
          <w:rtl w:val="true"/>
        </w:rPr>
        <w:footnoteReference w:id="516"/>
      </w:r>
      <w:r>
        <w:rPr>
          <w:rFonts w:ascii="IRNazanin" w:hAnsi="IRNazanin" w:eastAsia="IRNazanin"/>
          <w:color w:val="111111"/>
          <w:sz w:val="28"/>
          <w:sz w:val="28"/>
          <w:szCs w:val="28"/>
          <w:rtl w:val="true"/>
          <w:lang w:bidi="fa-IR"/>
        </w:rPr>
        <w:t>أیضا إذا تعلّق بفعل الشخص</w:t>
      </w:r>
      <w:r>
        <w:rPr>
          <w:rFonts w:eastAsia="IRNazanin" w:cs="IRNazanin"/>
          <w:color w:val="111111"/>
          <w:sz w:val="28"/>
          <w:szCs w:val="28"/>
          <w:rtl w:val="true"/>
          <w:lang w:bidi="fa-IR"/>
        </w:rPr>
        <w:t>.</w:t>
      </w:r>
    </w:p>
    <w:p>
      <w:pPr>
        <w:pStyle w:val="Heading6"/>
        <w:numPr>
          <w:ilvl w:val="5"/>
          <w:numId w:val="1"/>
        </w:numPr>
        <w:rPr/>
      </w:pPr>
      <w:bookmarkStart w:id="486" w:name="__RefHeading___Toc5767177_3224264995"/>
      <w:bookmarkStart w:id="487" w:name="_Toc197"/>
      <w:bookmarkEnd w:id="486"/>
      <w:r>
        <w:rPr>
          <w:rtl w:val="true"/>
        </w:rPr>
        <w:t>الجواب عن هذه الشبهة</w:t>
      </w:r>
      <w:r>
        <w:rPr>
          <w:rtl w:val="true"/>
        </w:rPr>
        <w:t>:</w:t>
      </w:r>
      <w:bookmarkEnd w:id="4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استند فیه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القضایا العرفیّة المتحقّقة فی الزمان السابق التی ینتزعها العرف من الأدلّة الشرعیّة،فإنّهم لا یرتابون فی أنّه إذا ثبت تحریم فعل فی زمان ثمّ شکّ فی بقائه بعده،أنّ </w:t>
      </w:r>
      <w:r>
        <w:rPr>
          <w:rStyle w:val="FootnoteAnchor"/>
          <w:rtl w:val="true"/>
        </w:rPr>
        <w:footnoteReference w:id="517"/>
      </w:r>
      <w:r>
        <w:rPr>
          <w:rFonts w:ascii="Amiri" w:hAnsi="Amiri" w:eastAsia="Amiri" w:cs="Amiri"/>
          <w:color w:val="111111"/>
          <w:sz w:val="28"/>
          <w:sz w:val="28"/>
          <w:szCs w:val="28"/>
          <w:rtl w:val="true"/>
          <w:lang w:bidi="ar-SA"/>
        </w:rPr>
        <w:t xml:space="preserve">الشکّ فی هذه </w:t>
      </w:r>
    </w:p>
    <w:p>
      <w:pPr>
        <w:pStyle w:val="BookText"/>
        <w:rPr/>
      </w:pPr>
      <w:r>
        <w:rPr>
          <w:rFonts w:ascii="IRNazanin" w:hAnsi="IRNazanin" w:eastAsia="IRNazanin"/>
          <w:color w:val="111111"/>
          <w:sz w:val="28"/>
          <w:sz w:val="28"/>
          <w:szCs w:val="28"/>
          <w:rtl w:val="true"/>
          <w:lang w:bidi="fa-IR"/>
        </w:rPr>
        <w:t>المسألة فی استمرار الحرمة لهذا الفعل و ارتفاعها،و إن کان مقتضی المداقّة العقلیّة کون الزمان قیدا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الإباحة و الکراهة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یتحقّق فی بعض الواجبات مورد لا یحکم العرف بکون الشکّ فی الاستمرار،مثلا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یوم وجوب فعل عند الزوال، ثمّ شککنا فی الغد أنّه واجب الیوم عند الزوال،فلا یحکمون باستصحاب ذلک،و لا یبنون علی کونه ممّا شکّ فی استمراره و ارتفاعه، بل یحکمون فی الغد بأصالة عدم الوجوب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ثبت ذلک مرارا،ثمّ شکّ فیه بعد أیّام،فالظاهر حکمهم بأنّ هذا الحکم کان مستمرّا و شکّ فی ارتفاعه،فیستصحب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تری الأصحاب یتمسّکون باستصحاب وجوب التمام عند الشکّ فی حدوث التکلیف بالقصر،و باستصحاب وجوب العبادة عند شکّ المرأة فی حدوث الحیض،لا من جهة أصالة عدم السفر الموجب للقصر،و عدم الحیض المقتضی لوجوب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بوجوب التمام؛لأنّه من آثار عدم السفر الشرعیّ الموجب للقصر، و بوجوب العبادة؛لأنّه من آثار عدم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کون التکلیف بالتمام و بالعبادة عند زوال کلّ یوم أمرا مستمرّا عندهم و إن کان التکلیف یتجدّد یوما فیوما،فهو فی کلّ یوم مسبوق بالعدم، فینبغی أن یرجع إلی استصحاب عدمه،لا إلی استصحاب وجوده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حکم العرف بأنّ الشیء الفلانیّ کان مستمرّا فارتفع و انقطع،و أنّه مشکوک الانقطاع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ملاحظة هذا التخیّل العرفیّ لم یصدق علی النسخ أنّه رفع للحکم الثابت أو لمثله؛فإنّ عدم التکلیف فی وقت الصلاة بالصلاة إلی القبلة المنسوخة دفع فی الحقیقة </w:t>
      </w:r>
    </w:p>
    <w:p>
      <w:pPr>
        <w:pStyle w:val="BookText"/>
        <w:rPr/>
      </w:pPr>
      <w:r>
        <w:rPr>
          <w:rFonts w:ascii="IRNazanin" w:hAnsi="IRNazanin" w:eastAsia="IRNazanin"/>
          <w:color w:val="111111"/>
          <w:sz w:val="28"/>
          <w:sz w:val="28"/>
          <w:szCs w:val="28"/>
          <w:rtl w:val="true"/>
          <w:lang w:bidi="fa-IR"/>
        </w:rPr>
        <w:t>للتکلیف،لا رفع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إجراء الاستصحاب فی مثل الکرّیة و عدمها </w:t>
      </w:r>
      <w:r>
        <w:rPr>
          <w:rStyle w:val="FootnoteAnchor"/>
          <w:rtl w:val="true"/>
        </w:rPr>
        <w:footnoteReference w:id="518"/>
      </w:r>
      <w:r>
        <w:rPr>
          <w:rFonts w:ascii="IRNazanin" w:hAnsi="IRNazanin" w:eastAsia="IRNazanin"/>
          <w:color w:val="111111"/>
          <w:sz w:val="28"/>
          <w:sz w:val="28"/>
          <w:szCs w:val="28"/>
          <w:rtl w:val="true"/>
          <w:lang w:bidi="fa-IR"/>
        </w:rPr>
        <w:t xml:space="preserve">،و فی الامور التدریجیّة المتجدّدة شیئا فشیئا </w:t>
      </w:r>
      <w:r>
        <w:rPr>
          <w:rStyle w:val="FootnoteAnchor"/>
          <w:rtl w:val="true"/>
        </w:rPr>
        <w:footnoteReference w:id="519"/>
      </w:r>
      <w:r>
        <w:rPr>
          <w:rFonts w:ascii="IRNazanin" w:hAnsi="IRNazanin" w:eastAsia="IRNazanin"/>
          <w:color w:val="111111"/>
          <w:sz w:val="28"/>
          <w:sz w:val="28"/>
          <w:szCs w:val="28"/>
          <w:rtl w:val="true"/>
          <w:lang w:bidi="fa-IR"/>
        </w:rPr>
        <w:t xml:space="preserve">،و فی مثل وجوب الناقص بعد تعذّر بعض الأجزاء </w:t>
      </w:r>
      <w:r>
        <w:rPr>
          <w:rStyle w:val="FootnoteAnchor"/>
          <w:rtl w:val="true"/>
        </w:rPr>
        <w:footnoteReference w:id="520"/>
      </w:r>
      <w:r>
        <w:rPr>
          <w:rFonts w:ascii="IRNazanin" w:hAnsi="IRNazanin" w:eastAsia="IRNazanin"/>
          <w:color w:val="111111"/>
          <w:sz w:val="28"/>
          <w:sz w:val="28"/>
          <w:szCs w:val="28"/>
          <w:rtl w:val="true"/>
          <w:lang w:bidi="fa-IR"/>
        </w:rPr>
        <w:t>فیما لا یکون الموضوع فیه باقیا إلاّ بالمسامحة العرفیّة،کما سیجیء إن شاء اللّه تعالی</w:t>
      </w:r>
      <w:r>
        <w:rPr>
          <w:rFonts w:eastAsia="IRNazanin" w:cs="IRNazanin"/>
          <w:color w:val="111111"/>
          <w:sz w:val="28"/>
          <w:szCs w:val="28"/>
          <w:rtl w:val="true"/>
          <w:lang w:bidi="fa-IR"/>
        </w:rPr>
        <w:t xml:space="preserve">. </w:t>
      </w:r>
      <w:bookmarkStart w:id="488" w:name="pg12985_124997"/>
    </w:p>
    <w:p>
      <w:pPr>
        <w:pStyle w:val="Heading3"/>
        <w:numPr>
          <w:ilvl w:val="2"/>
          <w:numId w:val="1"/>
        </w:numPr>
        <w:rPr/>
      </w:pPr>
      <w:bookmarkStart w:id="489" w:name="__RefHeading___Toc5767179_3224264995"/>
      <w:bookmarkStart w:id="490" w:name="_Toc198"/>
      <w:bookmarkEnd w:id="488"/>
      <w:bookmarkEnd w:id="489"/>
      <w:r>
        <w:rPr>
          <w:rtl w:val="true"/>
        </w:rPr>
        <w:t>حجّة القول الثامن</w:t>
      </w:r>
      <w:bookmarkEnd w:id="490"/>
    </w:p>
    <w:p>
      <w:pPr>
        <w:pStyle w:val="Heading4"/>
        <w:numPr>
          <w:ilvl w:val="3"/>
          <w:numId w:val="1"/>
        </w:numPr>
        <w:rPr/>
      </w:pPr>
      <w:bookmarkStart w:id="491" w:name="__RefHeading___Toc5767181_3224264995"/>
      <w:bookmarkStart w:id="492" w:name="_Toc199"/>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الثامن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ثبت بالإجماع و غیره و نسبته الی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الثامن و جوابها یظهر بعد بیانه و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نسب جماعة </w:t>
      </w:r>
      <w:r>
        <w:rPr>
          <w:rStyle w:val="FootnoteAnchor"/>
          <w:rtl w:val="true"/>
        </w:rPr>
        <w:footnoteReference w:id="522"/>
      </w:r>
      <w:r>
        <w:rPr>
          <w:rFonts w:ascii="IRNazanin" w:hAnsi="IRNazanin" w:eastAsia="IRNazanin"/>
          <w:color w:val="111111"/>
          <w:sz w:val="28"/>
          <w:sz w:val="28"/>
          <w:szCs w:val="28"/>
          <w:rtl w:val="true"/>
          <w:lang w:bidi="fa-IR"/>
        </w:rPr>
        <w:t>إلی الغزالیّ القول بحجّیّة الاستصحاب و إنکارها فی استصحاب حال الإجماع،و ظاهر ذلک کونه مفصّلا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النهایة </w:t>
      </w:r>
      <w:r>
        <w:rPr>
          <w:rStyle w:val="FootnoteAnchor"/>
          <w:rtl w:val="true"/>
        </w:rPr>
        <w:footnoteReference w:id="523"/>
      </w:r>
      <w:r>
        <w:rPr>
          <w:rFonts w:ascii="IRNazanin" w:hAnsi="IRNazanin" w:eastAsia="IRNazanin"/>
          <w:color w:val="111111"/>
          <w:sz w:val="28"/>
          <w:sz w:val="28"/>
          <w:szCs w:val="28"/>
          <w:rtl w:val="true"/>
          <w:lang w:bidi="fa-IR"/>
        </w:rPr>
        <w:t>مسألة الاستصحاب،و نسب إلی جماعة منهم الغزالیّ حجّیته،ثمّ أطال الکلام فی أدلّة النافین و المثبتین،ثمّ ذکر عنوانا آخر لاستصحاب حال الإجماع،و مثّل له بالمتیمّم إذا رأی الماء فی أثناء الصلاة،و بالخارج من غیر السبیلین من المتطهّر،و نسب إلی الأکثر و منهم الغزالیّ عدم حجّیّته</w:t>
      </w:r>
      <w:r>
        <w:rPr>
          <w:rFonts w:eastAsia="IRNazanin" w:cs="IRNazanin"/>
          <w:color w:val="111111"/>
          <w:sz w:val="28"/>
          <w:szCs w:val="28"/>
          <w:rtl w:val="true"/>
          <w:lang w:bidi="fa-IR"/>
        </w:rPr>
        <w:t>.</w:t>
      </w:r>
    </w:p>
    <w:p>
      <w:pPr>
        <w:pStyle w:val="Heading4"/>
        <w:numPr>
          <w:ilvl w:val="3"/>
          <w:numId w:val="1"/>
        </w:numPr>
        <w:rPr/>
      </w:pPr>
      <w:bookmarkStart w:id="493" w:name="__RefHeading___Toc5767183_3224264995"/>
      <w:bookmarkStart w:id="494" w:name="_Toc200"/>
      <w:bookmarkEnd w:id="493"/>
      <w:r>
        <w:rPr>
          <w:rtl w:val="true"/>
        </w:rPr>
        <w:t>ظاهر کلام الغزالی إنکار الاستصحاب مطلقا</w:t>
      </w:r>
      <w:r>
        <w:rPr>
          <w:rtl w:val="true"/>
        </w:rPr>
        <w:t>:</w:t>
      </w:r>
      <w:bookmarkEnd w:id="4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یظهر بالتدبّر فی کلامه المحکیّ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إنکار الاستصحاب المتنازع فیه رأسا و إن ثبت المستصحب بغیر الإجماع من الأدلّة المختصّة دلالتها بالحال الأوّل المعلوم انتفاؤها فی الحال الثانی؛ فإنّه قد یعبّر عن جمیع ذلک باستصحاب حال الإجماع،کما ستعرف </w:t>
      </w:r>
      <w:bookmarkStart w:id="495" w:name="pg12985_124998"/>
    </w:p>
    <w:p>
      <w:pPr>
        <w:pStyle w:val="BookText"/>
        <w:rPr/>
      </w:pPr>
      <w:bookmarkEnd w:id="495"/>
      <w:r>
        <w:rPr>
          <w:rFonts w:ascii="IRNazanin" w:hAnsi="IRNazanin" w:eastAsia="IRNazanin"/>
          <w:color w:val="111111"/>
          <w:sz w:val="28"/>
          <w:sz w:val="28"/>
          <w:szCs w:val="28"/>
          <w:rtl w:val="true"/>
          <w:lang w:bidi="fa-IR"/>
        </w:rPr>
        <w:t xml:space="preserve">فی کلام الشهید رحمه اللّه </w:t>
      </w:r>
      <w:r>
        <w:rPr>
          <w:rStyle w:val="FootnoteAnchor"/>
          <w:rtl w:val="true"/>
        </w:rPr>
        <w:footnoteReference w:id="524"/>
      </w:r>
      <w:r>
        <w:rPr>
          <w:rFonts w:ascii="IRNazanin" w:hAnsi="IRNazanin" w:eastAsia="IRNazanin"/>
          <w:color w:val="111111"/>
          <w:sz w:val="28"/>
          <w:sz w:val="28"/>
          <w:szCs w:val="28"/>
          <w:rtl w:val="true"/>
          <w:lang w:bidi="fa-IR"/>
        </w:rPr>
        <w:t>،و إنّما المسلّم عنده استصحاب عموم النصّ أو إطلاقه الخارج عن محلّ النزاع،بل عن حقیقة الاستصحاب حقیقة</w:t>
      </w:r>
      <w:r>
        <w:rPr>
          <w:rFonts w:eastAsia="IRNazanin" w:cs="IRNazanin"/>
          <w:color w:val="111111"/>
          <w:sz w:val="28"/>
          <w:szCs w:val="28"/>
          <w:rtl w:val="true"/>
          <w:lang w:bidi="fa-IR"/>
        </w:rPr>
        <w:t>.</w:t>
      </w:r>
    </w:p>
    <w:p>
      <w:pPr>
        <w:pStyle w:val="Heading4"/>
        <w:numPr>
          <w:ilvl w:val="3"/>
          <w:numId w:val="1"/>
        </w:numPr>
        <w:rPr/>
      </w:pPr>
      <w:bookmarkStart w:id="496" w:name="__RefHeading___Toc5767185_3224264995"/>
      <w:bookmarkStart w:id="497" w:name="_Toc201"/>
      <w:bookmarkEnd w:id="496"/>
      <w:r>
        <w:rPr>
          <w:rtl w:val="true"/>
        </w:rPr>
        <w:t>منشأ نسبة هذا التفصیل إلی الغزالی</w:t>
      </w:r>
      <w:r>
        <w:rPr>
          <w:rtl w:val="true"/>
        </w:rPr>
        <w:t>:</w:t>
      </w:r>
      <w:bookmarkEnd w:id="497"/>
    </w:p>
    <w:p>
      <w:pPr>
        <w:pStyle w:val="BookText"/>
        <w:rPr/>
      </w:pPr>
      <w:r>
        <w:rPr>
          <w:rFonts w:ascii="IRNazanin" w:hAnsi="IRNazanin" w:eastAsia="IRNazanin"/>
          <w:color w:val="111111"/>
          <w:sz w:val="28"/>
          <w:sz w:val="28"/>
          <w:szCs w:val="28"/>
          <w:rtl w:val="true"/>
          <w:lang w:bidi="fa-IR"/>
        </w:rPr>
        <w:t>فمنشأ نسبة التفصیل إطلاق الغزالیّ الاستصحاب علی استصحاب عموم النصّ أو إطلاقه،و تخصیص عنوان ما أنکره باستصحاب حال الإجماع،و إن صرّح فی أثناء کلامه بإلحاق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یشبه فی اختصاص مدلوله بالحالة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فی منع جریان الاستصحاب فیما ثبت به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تقسیم حکم العقل الغیر المتوقّف علی الخطاب إلی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یستقلّ به العقل کحسن العدل،و التمسّک بأصل البراءة،و عدم الدلیل دلیل العدم،و الأخذ بالأقلّ عند فقد دلیل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بقاء ما کان،و یسمّی استصحاب حال الشرع و حال الإجماع فی محلّ الخلاف،مثاله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 اختلف الأصحاب فی حجّیته،و هو مقرّر فی الاصول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ما حکی عن الشهید الثانی فی مسألة أنّ الخارج من غیر السبیلین ناقض أم لا؟و فی مسألة المتیمّم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27"/>
      </w:r>
      <w:r>
        <w:rPr>
          <w:rFonts w:ascii="IRNazanin" w:hAnsi="IRNazanin" w:eastAsia="IRNazanin"/>
          <w:color w:val="111111"/>
          <w:sz w:val="28"/>
          <w:sz w:val="28"/>
          <w:szCs w:val="28"/>
          <w:rtl w:val="true"/>
          <w:lang w:bidi="fa-IR"/>
        </w:rPr>
        <w:t xml:space="preserve">،و صاحب الحدائق فی </w:t>
      </w:r>
      <w:bookmarkStart w:id="498" w:name="pg12985_124999"/>
    </w:p>
    <w:p>
      <w:pPr>
        <w:pStyle w:val="BookText"/>
        <w:rPr/>
      </w:pPr>
      <w:bookmarkEnd w:id="498"/>
      <w:r>
        <w:rPr>
          <w:rFonts w:ascii="IRNazanin" w:hAnsi="IRNazanin" w:eastAsia="IRNazanin"/>
          <w:color w:val="111111"/>
          <w:sz w:val="28"/>
          <w:sz w:val="28"/>
          <w:szCs w:val="28"/>
          <w:rtl w:val="true"/>
          <w:lang w:bidi="fa-IR"/>
        </w:rPr>
        <w:t xml:space="preserve">الدرر النجفیّة </w:t>
      </w:r>
      <w:r>
        <w:rPr>
          <w:rStyle w:val="FootnoteAnchor"/>
          <w:rtl w:val="true"/>
        </w:rPr>
        <w:footnoteReference w:id="528"/>
      </w:r>
      <w:r>
        <w:rPr>
          <w:rFonts w:ascii="IRNazanin" w:hAnsi="IRNazanin" w:eastAsia="IRNazanin"/>
          <w:color w:val="111111"/>
          <w:sz w:val="28"/>
          <w:sz w:val="28"/>
          <w:szCs w:val="28"/>
          <w:rtl w:val="true"/>
          <w:lang w:bidi="fa-IR"/>
        </w:rPr>
        <w:t xml:space="preserve">،بل استظهر هذا من کلّ من مثّل لمحلّ النزاع بمسألة المتیمّم،کالمعتبر </w:t>
      </w:r>
      <w:r>
        <w:rPr>
          <w:rStyle w:val="FootnoteAnchor"/>
          <w:rtl w:val="true"/>
        </w:rPr>
        <w:footnoteReference w:id="529"/>
      </w:r>
      <w:r>
        <w:rPr>
          <w:rFonts w:ascii="IRNazanin" w:hAnsi="IRNazanin" w:eastAsia="IRNazanin"/>
          <w:color w:val="111111"/>
          <w:sz w:val="28"/>
          <w:sz w:val="28"/>
          <w:szCs w:val="28"/>
          <w:rtl w:val="true"/>
          <w:lang w:bidi="fa-IR"/>
        </w:rPr>
        <w:t xml:space="preserve">و المعالم </w:t>
      </w:r>
      <w:r>
        <w:rPr>
          <w:rStyle w:val="FootnoteAnchor"/>
          <w:rtl w:val="true"/>
        </w:rPr>
        <w:footnoteReference w:id="530"/>
      </w:r>
      <w:r>
        <w:rPr>
          <w:rFonts w:ascii="IRNazanin" w:hAnsi="IRNazanin" w:eastAsia="IRNazanin"/>
          <w:color w:val="111111"/>
          <w:sz w:val="28"/>
          <w:sz w:val="28"/>
          <w:szCs w:val="28"/>
          <w:rtl w:val="true"/>
          <w:lang w:bidi="fa-IR"/>
        </w:rPr>
        <w:t xml:space="preserve">و غیرهما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5767187_3224264995"/>
      <w:bookmarkStart w:id="500" w:name="_Toc202"/>
      <w:bookmarkEnd w:id="499"/>
      <w:r>
        <w:rPr>
          <w:rtl w:val="true"/>
        </w:rPr>
        <w:t>کلام الغزالیّ</w:t>
      </w:r>
      <w:r>
        <w:rPr>
          <w:rtl w:val="true"/>
        </w:rPr>
        <w:t>:</w:t>
      </w:r>
      <w:bookmarkEnd w:id="500"/>
    </w:p>
    <w:p>
      <w:pPr>
        <w:pStyle w:val="BookText"/>
        <w:rPr/>
      </w:pPr>
      <w:r>
        <w:rPr>
          <w:rFonts w:ascii="IRNazanin" w:hAnsi="IRNazanin" w:eastAsia="IRNazanin"/>
          <w:color w:val="111111"/>
          <w:sz w:val="28"/>
          <w:sz w:val="28"/>
          <w:szCs w:val="28"/>
          <w:rtl w:val="true"/>
          <w:lang w:bidi="fa-IR"/>
        </w:rPr>
        <w:t>و لا بدّ من نقل عبارة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یتّضح 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حکاه فی النهایة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المستصحب إن أقرّ بأنّه لم یقم دلیلا فی المسألة،بل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ناف و لا دلیل علی النافی،فسیأتی بیان وجوب الدلیل علی النافی،و إن ظنّ إقامة الدلیل فقد أخطأ؛فإنّا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یستدام الحکم الذی دلّ الدلیل علی دوامه،و هو إن کان لفظ الشارع فلا بدّ من بیانه،فلعلّه یدلّ علی دوامها عند عدم الخروج من غیر السبیلین </w:t>
      </w:r>
      <w:r>
        <w:rPr>
          <w:rStyle w:val="FootnoteAnchor"/>
          <w:rtl w:val="true"/>
        </w:rPr>
        <w:footnoteReference w:id="533"/>
      </w:r>
      <w:r>
        <w:rPr>
          <w:rFonts w:ascii="IRNazanin" w:hAnsi="IRNazanin" w:eastAsia="IRNazanin"/>
          <w:color w:val="111111"/>
          <w:sz w:val="28"/>
          <w:sz w:val="28"/>
          <w:szCs w:val="28"/>
          <w:rtl w:val="true"/>
          <w:lang w:bidi="fa-IR"/>
        </w:rPr>
        <w:t xml:space="preserve">لا عند وجوده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بعمومه علی دوامها عند العدم و الوجود معا کان ذلک تمسّکا بالعموم، فیجب إظهار دلیل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بالإجماع </w:t>
      </w:r>
      <w:r>
        <w:rPr>
          <w:rStyle w:val="FootnoteAnchor"/>
          <w:rtl w:val="true"/>
        </w:rPr>
        <w:footnoteReference w:id="535"/>
      </w:r>
      <w:r>
        <w:rPr>
          <w:rFonts w:ascii="IRNazanin" w:hAnsi="IRNazanin" w:eastAsia="IRNazanin"/>
          <w:color w:val="111111"/>
          <w:sz w:val="28"/>
          <w:sz w:val="28"/>
          <w:szCs w:val="28"/>
          <w:rtl w:val="true"/>
          <w:lang w:bidi="fa-IR"/>
        </w:rPr>
        <w:t xml:space="preserve">فالإجماع إنّما انعقد علی دوام الصلاة عند العدم دون الوجود،و لو کان الإجماع شاملا حال الوجود کان المخالف له خارقا للإجماع،کما أنّ المخالف فی انقطاع الصلاة </w:t>
      </w:r>
    </w:p>
    <w:p>
      <w:pPr>
        <w:pStyle w:val="BookText"/>
        <w:rPr/>
      </w:pPr>
      <w:r>
        <w:rPr>
          <w:rFonts w:ascii="IRNazanin" w:hAnsi="IRNazanin" w:eastAsia="IRNazanin"/>
          <w:color w:val="111111"/>
          <w:sz w:val="28"/>
          <w:sz w:val="28"/>
          <w:szCs w:val="28"/>
          <w:rtl w:val="true"/>
          <w:lang w:bidi="fa-IR"/>
        </w:rPr>
        <w:t xml:space="preserve">عند هبوب الریاح و طلوع الشمس خارق للإجماع؛لأنّ الإجماع لم ینعقد مشروطا بعدم الهبوب و انعقد مشروطا بعدم الخروج و عدم </w:t>
      </w:r>
      <w:r>
        <w:rPr>
          <w:rStyle w:val="FootnoteAnchor"/>
          <w:rtl w:val="true"/>
        </w:rPr>
        <w:footnoteReference w:id="536"/>
      </w:r>
      <w:r>
        <w:rPr>
          <w:rFonts w:ascii="IRNazanin" w:hAnsi="IRNazanin" w:eastAsia="IRNazanin"/>
          <w:color w:val="111111"/>
          <w:sz w:val="28"/>
          <w:sz w:val="28"/>
          <w:szCs w:val="28"/>
          <w:rtl w:val="true"/>
          <w:lang w:bidi="fa-IR"/>
        </w:rPr>
        <w:t>الماء، فإذا وجد فلا إجماع،فیجب أن یقاس حال الوجود علی حال العدم المجمع علیه لعلّة جامعة،فأمّا أن یستصحب الإجماع عند انتفاء الإجماع فهو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أنّ العقل دلّ علی البراءة الأصلیّة بشرط عدم دلیل السمع،فلا یبقی له دلالة مع وجود دلیل السمع،فکذا هنا انعقد الإجماع بشرط العدم،فانتفی الإجماع عند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دقیقة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کلّ دلیل یضادّ </w:t>
      </w:r>
      <w:r>
        <w:rPr>
          <w:rStyle w:val="FootnoteAnchor"/>
          <w:rtl w:val="true"/>
        </w:rPr>
        <w:footnoteReference w:id="537"/>
      </w:r>
      <w:r>
        <w:rPr>
          <w:rFonts w:ascii="IRNazanin" w:hAnsi="IRNazanin" w:eastAsia="IRNazanin"/>
          <w:color w:val="111111"/>
          <w:sz w:val="28"/>
          <w:sz w:val="28"/>
          <w:szCs w:val="28"/>
          <w:rtl w:val="true"/>
          <w:lang w:bidi="fa-IR"/>
        </w:rPr>
        <w:t>نفس الخلاف فلا یمکن استصحابه مع الخلاف،و الإجماع یضادّه نفس الخلاف؛إذ لا إجماع مع الخلاف،بخلاف العموم و النصّ و دلیل العقل،فإنّ الخلاف لا یضادّه؛ فإنّ المخالف مقرّ بأنّ العموم بصیغته شامل لمحلّ الخلاف؛فإنّ قوله علیه و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یبیت الصّیام من اللّیل</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شامل بصیغته صوم رمضان،مع خلاف الخصم فیه،فیقول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شمول الصیغة،لکنّی أخصّصه </w:t>
      </w:r>
      <w:r>
        <w:rPr>
          <w:rStyle w:val="FootnoteAnchor"/>
          <w:rtl w:val="true"/>
        </w:rPr>
        <w:footnoteReference w:id="539"/>
      </w: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هنا،المخالف لا یسلّم شمول الإجماع لمحلّ الخلاف؛لاستحالة الإجماع مع الخلاف، و لا یستحیل شمول الصیغة مع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دقیقة یجب التنبّه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یحرّم الخلاف،فکیف یرتفع بالخلاف؟ </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الخلاف غیر محرّم بالإجماع،و لم یکن المخالف خارقا للإجماع؛لأنّ الإجماع إنّما انعقد علی حالة العدم،لا علی حالة الوجود،فمن ألحق الوجود بالعدم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صحّة الشروع دالّ علی الدوام إلی أن یقوم دلیل علی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الدلیل لیس هو الإجماع؛لأنّه مشروط بالعدم، فلا یکون دلیلا عند الوجود </w:t>
      </w:r>
      <w:r>
        <w:rPr>
          <w:rStyle w:val="FootnoteAnchor"/>
          <w:rtl w:val="true"/>
        </w:rPr>
        <w:footnoteReference w:id="540"/>
      </w:r>
      <w:r>
        <w:rPr>
          <w:rFonts w:ascii="IRNazanin" w:hAnsi="IRNazanin" w:eastAsia="IRNazanin"/>
          <w:color w:val="111111"/>
          <w:sz w:val="28"/>
          <w:sz w:val="28"/>
          <w:szCs w:val="28"/>
          <w:rtl w:val="true"/>
          <w:lang w:bidi="fa-IR"/>
        </w:rPr>
        <w:t>،و إن کان نصّا فبیّنه حتّی ننظر هل یتناول حال الوجود أم لا؟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ینکروا </w:t>
      </w:r>
      <w:r>
        <w:rPr>
          <w:rStyle w:val="FootnoteAnchor"/>
          <w:rtl w:val="true"/>
        </w:rPr>
        <w:footnoteReference w:id="541"/>
      </w:r>
      <w:r>
        <w:rPr>
          <w:rFonts w:ascii="IRNazanin" w:hAnsi="IRNazanin" w:eastAsia="IRNazanin"/>
          <w:color w:val="111111"/>
          <w:sz w:val="28"/>
          <w:sz w:val="28"/>
          <w:szCs w:val="28"/>
          <w:rtl w:val="true"/>
          <w:lang w:bidi="fa-IR"/>
        </w:rPr>
        <w:t>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أنّ ما ثبت دام إلی وجود قاطع؛فلا یحتاج الدوام إلی دلیل فی نفسه،بل الثبوت هو المحتاج،کما إذا ثبت موت زید أو بناء دار کان دوامه بنفسه لا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وهم باطل؛لأنّ کلّ ما ثبت جاز دوامه و عدمه، فلا بدّ لدوامه من سبب و دلیل سوی دلیل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دلیل العادة علی أنّ المیّت لا یحیی و الدار لا ینهدم إلاّ بهادم أو طول الزمان،لما عرفنا دوامه بمجرّد ثبوته،کما لو اخبر عن قعود الأمیر و أکله و دخوله الدار،و لم یدلّ العادة علی دوام هذه الأحوال،فإنّا لا نقضی بدوامها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خبر الشارع عن دوام الصلاة مع عدم الماء لیس خبرا عن دوامها مع وجوده،فیفتقر فی دوامها إلی دلیل آخر </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01" w:name="pg12985_125002"/>
    </w:p>
    <w:p>
      <w:pPr>
        <w:pStyle w:val="BookText"/>
        <w:rPr/>
      </w:pPr>
      <w:bookmarkEnd w:id="501"/>
      <w:r>
        <w:rPr>
          <w:rFonts w:ascii="IRNazanin" w:hAnsi="IRNazanin" w:eastAsia="IRNazanin"/>
          <w:color w:val="111111"/>
          <w:sz w:val="28"/>
          <w:sz w:val="28"/>
          <w:szCs w:val="28"/>
          <w:rtl w:val="true"/>
          <w:lang w:bidi="fa-IR"/>
        </w:rPr>
        <w:t>و لا یخفی أنّ کثیرا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الشارع عن 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أنّ هذا الحکم غیر مختصّ بالإجماع، بل یشمل کلّ دلیل یدلّ علی قضیّة مهملة من حیث الزمان بحیث یقطع بانحصار مدلوله الفعلیّ فی الزمان الأوّل</w:t>
      </w:r>
      <w:r>
        <w:rPr>
          <w:rFonts w:eastAsia="IRNazanin" w:cs="IRNazanin"/>
          <w:color w:val="111111"/>
          <w:sz w:val="28"/>
          <w:szCs w:val="28"/>
          <w:rtl w:val="true"/>
          <w:lang w:bidi="fa-IR"/>
        </w:rPr>
        <w:t>.</w:t>
      </w:r>
    </w:p>
    <w:p>
      <w:pPr>
        <w:pStyle w:val="Heading4"/>
        <w:numPr>
          <w:ilvl w:val="3"/>
          <w:numId w:val="1"/>
        </w:numPr>
        <w:rPr/>
      </w:pPr>
      <w:bookmarkStart w:id="502" w:name="__RefHeading___Toc5767189_3224264995"/>
      <w:bookmarkStart w:id="503" w:name="_Toc203"/>
      <w:bookmarkEnd w:id="502"/>
      <w:r>
        <w:rPr>
          <w:rtl w:val="true"/>
        </w:rPr>
        <w:t>نسبة شارح المختصر القول بحجّیة الاستصحاب مطلقا إلی الغزالی</w:t>
      </w:r>
      <w:r>
        <w:rPr>
          <w:rtl w:val="true"/>
        </w:rPr>
        <w:t>:</w:t>
      </w:r>
      <w:bookmarkEnd w:id="503"/>
    </w:p>
    <w:p>
      <w:pPr>
        <w:pStyle w:val="BookText"/>
        <w:rPr/>
      </w:pPr>
      <w:r>
        <w:rPr>
          <w:rFonts w:ascii="IRNazanin" w:hAnsi="IRNazanin" w:eastAsia="IRNazanin"/>
          <w:color w:val="111111"/>
          <w:sz w:val="28"/>
          <w:sz w:val="28"/>
          <w:szCs w:val="28"/>
          <w:rtl w:val="true"/>
          <w:lang w:bidi="fa-IR"/>
        </w:rPr>
        <w:t>و العجب من شارح المختصر؛حیث إنّه نسب القول بحجّیة الاستصحاب إلی جماعة منهم الغزالیّ،ثمّ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عند من یری صحّة الاستدلال به بین أن یکون الثابت به نفیا أصلیّا،کما یقال فیما اختلف کونه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الزکاة واجبة علیه و الأصل بقاؤه،أو حکما شرعیّا،مثل قول الشافعیّة فی الخارج من غیر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قبل خروج الخارج متطهّرا،و الأصل البقاء حتّی یثبت معارض،و الأصل عدمه </w:t>
      </w:r>
      <w:r>
        <w:rPr>
          <w:rStyle w:val="FootnoteAnchor"/>
          <w:rtl w:val="true"/>
        </w:rPr>
        <w:footnoteReference w:id="5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المثال الثانی،ممّا نسب إلی الغزالیّ إنکار الاستصحاب فیه،کما عرفت </w:t>
      </w:r>
      <w:r>
        <w:rPr>
          <w:rStyle w:val="FootnoteAnchor"/>
          <w:rtl w:val="true"/>
        </w:rPr>
        <w:footnoteReference w:id="544"/>
      </w:r>
      <w:r>
        <w:rPr>
          <w:rFonts w:ascii="IRNazanin" w:hAnsi="IRNazanin" w:eastAsia="IRNazanin"/>
          <w:color w:val="111111"/>
          <w:sz w:val="28"/>
          <w:sz w:val="28"/>
          <w:szCs w:val="28"/>
          <w:rtl w:val="true"/>
          <w:lang w:bidi="fa-IR"/>
        </w:rPr>
        <w:t xml:space="preserve">من النهایة و من عبارته </w:t>
      </w:r>
      <w:r>
        <w:rPr>
          <w:rStyle w:val="FootnoteAnchor"/>
          <w:rtl w:val="true"/>
        </w:rPr>
        <w:footnoteReference w:id="545"/>
      </w:r>
      <w:r>
        <w:rPr>
          <w:rFonts w:ascii="Amiri" w:hAnsi="Amiri" w:eastAsia="Amiri" w:cs="Amiri"/>
          <w:color w:val="111111"/>
          <w:sz w:val="28"/>
          <w:sz w:val="28"/>
          <w:szCs w:val="28"/>
          <w:rtl w:val="true"/>
          <w:lang w:bidi="ar-SA"/>
        </w:rPr>
        <w:t xml:space="preserve">المحکیّة </w:t>
      </w:r>
      <w:r>
        <w:rPr>
          <w:rStyle w:val="FootnoteAnchor"/>
          <w:rtl w:val="true"/>
        </w:rPr>
        <w:footnoteReference w:id="546"/>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Heading4"/>
        <w:numPr>
          <w:ilvl w:val="3"/>
          <w:numId w:val="1"/>
        </w:numPr>
        <w:rPr/>
      </w:pPr>
      <w:bookmarkStart w:id="504" w:name="__RefHeading___Toc5767191_3224264995"/>
      <w:bookmarkStart w:id="505" w:name="_Toc204"/>
      <w:bookmarkEnd w:id="504"/>
      <w:r>
        <w:rPr>
          <w:rtl w:val="true"/>
        </w:rPr>
        <w:t>کلام السیّد الصدر فی الجمع بین قولی الغزالی</w:t>
      </w:r>
      <w:r>
        <w:rPr>
          <w:rtl w:val="true"/>
        </w:rPr>
        <w:t>:</w:t>
      </w:r>
      <w:bookmarkEnd w:id="505"/>
    </w:p>
    <w:p>
      <w:pPr>
        <w:pStyle w:val="Heading5"/>
        <w:numPr>
          <w:ilvl w:val="4"/>
          <w:numId w:val="1"/>
        </w:numPr>
        <w:rPr/>
      </w:pPr>
      <w:bookmarkStart w:id="506" w:name="__RefHeading___Toc5767193_3224264995"/>
      <w:bookmarkStart w:id="507" w:name="_Toc205"/>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ثمّ إنّ السیّد صدر الدین جمع فی شرح الوافیة بین قولی الغزالیّ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بحجّیّة الاستصحاب لیس مبنیّا علی ما جعله القوم دلیلا من حصول الظنّ،بل هو مبنیّ علی دلالة الروایات علیها، و الروایات لا تدلّ علی حجّیّة استصحاب حال الإجماع</w:t>
      </w:r>
      <w:r>
        <w:rPr>
          <w:rFonts w:eastAsia="IRNazanin" w:cs="IRNazanin"/>
          <w:color w:val="111111"/>
          <w:sz w:val="28"/>
          <w:szCs w:val="28"/>
          <w:rtl w:val="true"/>
          <w:lang w:bidi="fa-IR"/>
        </w:rPr>
        <w:t xml:space="preserve">. </w:t>
      </w:r>
      <w:bookmarkStart w:id="508" w:name="pg12985_125003"/>
    </w:p>
    <w:p>
      <w:pPr>
        <w:pStyle w:val="BookText"/>
        <w:rPr/>
      </w:pPr>
      <w:bookmarkEnd w:id="508"/>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غرضه من دلالة الدلیل علی الدوام،کونه بحیث لو علم أو ظنّ وجود المدلول فی الزمان الثانی أو الحالة الثانیة لأجل موجب لکان حمل الدلیل علی الدوام ممکنا،و الإجماع لیس کذلک؛لأنّه یضادّ الخلاف،فکیف یدلّ علی کون المختلف فیه مجمعا علیه؟کما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یضادّه نفس الخلاف،إذ لا إجماع مع الخلاف، بخلاف النصّ و العموم و دلیل العقل،فإنّ الخلاف لا یضادّه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غرضه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ادّعی أنّ علّة الدوام هو مجرّد تحقّق الشیء فی الواقع،و أنّ الإذعان به یحصل من مجرّد العلم بالتحقّق،فردّ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الأمر کذلک،و أنّ الإذعان و الظنّ بالبقاء لا بدّ له من أمر أیضا،کعادة أو أمارة أو غیرهما </w:t>
      </w:r>
      <w:r>
        <w:rPr>
          <w:rStyle w:val="FootnoteAnchor"/>
          <w:rtl w:val="true"/>
        </w:rPr>
        <w:footnoteReference w:id="5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5"/>
        <w:numPr>
          <w:ilvl w:val="4"/>
          <w:numId w:val="1"/>
        </w:numPr>
        <w:rPr/>
      </w:pPr>
      <w:bookmarkStart w:id="509" w:name="__RefHeading___Toc5767195_3224264995"/>
      <w:bookmarkStart w:id="510" w:name="_Toc206"/>
      <w:bookmarkEnd w:id="509"/>
      <w:r>
        <w:rPr>
          <w:rtl w:val="true"/>
        </w:rPr>
        <w:t>المناقشة فی ما أفاده السیّد الصدر</w:t>
      </w:r>
      <w:r>
        <w:rPr>
          <w:rtl w:val="true"/>
        </w:rPr>
        <w:t>:</w:t>
      </w:r>
      <w:bookmarkEnd w:id="5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الأوّل،فهو کما تری؛فإنّ التمسّک بالروایات لیس له أثر فی کلام الخاصّة الّذین هم الأصل فی تدوینها فی کتبهم، فضلا عن العامّة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العجب من تناقض قولیه؛ حیث إنّ ما ذکره فی استصحاب حال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دلیل الحکم بالحالة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موجود فی بعض صور استصحاب حال غیر الإجماع،فإنّه إذا ورد النصّ علی وجه یکون ساکتا بالنسبة إلی ما بعد الحالة الاولی،کما إذا ورد أنّ الماء ینجس بالتغیّر،مع فرض عدم إشعار فیه بحکم ما بعد زوال التغیّر،فإنّ وجود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 </w:t>
      </w:r>
    </w:p>
    <w:p>
      <w:pPr>
        <w:pStyle w:val="BookText"/>
        <w:rPr/>
      </w:pPr>
      <w:r>
        <w:rPr>
          <w:rFonts w:ascii="IRNazanin" w:hAnsi="IRNazanin" w:eastAsia="IRNazanin"/>
          <w:color w:val="111111"/>
          <w:sz w:val="28"/>
          <w:sz w:val="28"/>
          <w:szCs w:val="28"/>
          <w:rtl w:val="true"/>
          <w:lang w:bidi="fa-IR"/>
        </w:rPr>
        <w:t>کونه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العدم فی الحالة الثانیة،کما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 من دلالة الدلیل علی الدوام کونه بحیث لو علم أو ظنّ بوجود المدلول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لدلیل أو ظنّ لأمارة،بوجود مضمون هذا الدلیل الساکت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النجاسة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فإمکان حمل هذا الدلیل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به إمکان کونه دلیلا علی الدوام،فهو ممنوع؛لامتناع دلالته علی ذلک،لأنّ دلالة اللفظ لا بدّ له من سبب و اقتضاء،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إمکان کونه مرادا فی الواقع من الدلیل و إن لم یکن الدلیل مفیدا له،ففیه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اختصاصه </w:t>
      </w:r>
      <w:r>
        <w:rPr>
          <w:rStyle w:val="FootnoteAnchor"/>
          <w:rtl w:val="true"/>
        </w:rPr>
        <w:footnoteReference w:id="549"/>
      </w:r>
      <w:r>
        <w:rPr>
          <w:rFonts w:ascii="IRNazanin" w:hAnsi="IRNazanin" w:eastAsia="IRNazanin"/>
          <w:color w:val="111111"/>
          <w:sz w:val="28"/>
          <w:sz w:val="28"/>
          <w:szCs w:val="28"/>
          <w:rtl w:val="true"/>
          <w:lang w:bidi="fa-IR"/>
        </w:rPr>
        <w:t>بالإجماع عند العامّة،الذی هو نفس مستند الحکم،لا کاشف عن مستنده الراجع إلی النصّ،و جریان مثله فی المستصحب الثابت بالفعل أو التقریر؛فإنّه لو ثبت دوام الحکم لم یمکن حمل الدلیل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المقدار من الفرق لا یؤثّر فیما ذکره الغزالیّ فی نفی استصحاب حال الإجماع؛لأنّ مناط نفیه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من تمثیله بموت زید و بناء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الحکم فی الزمان الثانی إلی دلیل أو أمارة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علی کلّ حال،فلو فرض کون الغزالیّ مفصّلا فی المسألة بین ثبوت المستصحب بالإجماع و ثبوته بغیره،فیظهر ردّه ممّا ظهر من </w:t>
      </w:r>
    </w:p>
    <w:p>
      <w:pPr>
        <w:pStyle w:val="BookText"/>
        <w:rPr/>
      </w:pPr>
      <w:r>
        <w:rPr>
          <w:rFonts w:ascii="IRNazanin" w:hAnsi="IRNazanin" w:eastAsia="IRNazanin"/>
          <w:color w:val="111111"/>
          <w:sz w:val="28"/>
          <w:sz w:val="28"/>
          <w:szCs w:val="28"/>
          <w:rtl w:val="true"/>
          <w:lang w:bidi="fa-IR"/>
        </w:rPr>
        <w:t>تضاعیف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أدلّة الإثبات لا یفرّق فیها بین الإجماع و غیره،خصوصا ما کان نظیر الإجماع فی السکوت عن حکم الحالة الثانیة،خصوصا إذا علم عدم إرادة الدوام منه فی الواقع کالفعل و التقریر،و أدلّة النفی کذلک لا یفرّق فیها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50"/>
      </w:r>
      <w:r>
        <w:rPr>
          <w:rFonts w:ascii="Amiri" w:hAnsi="Amiri" w:eastAsia="Amiri" w:cs="Amiri"/>
          <w:color w:val="111111"/>
          <w:sz w:val="28"/>
          <w:sz w:val="28"/>
          <w:szCs w:val="28"/>
          <w:rtl w:val="true"/>
          <w:lang w:bidi="ar-SA"/>
        </w:rPr>
        <w:t xml:space="preserve">قد یفرّق </w:t>
      </w:r>
      <w:r>
        <w:rPr>
          <w:rStyle w:val="FootnoteAnchor"/>
          <w:rtl w:val="true"/>
        </w:rPr>
        <w:footnoteReference w:id="551"/>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فی النصّ مبیّن یمکن العلم بتحقّقه و عدم تحقّقه فی الآن اللاحق،کما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الماء موضوع و التغیّر قید للنجاسة،فإذا زال التغیّر أمکن استصحاب النجاسة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 ثبوت النجاسة للماء المتلبّس بالتغیّر،فإذا زال التغیّر لم یمکن الاستصحاب؛لأنّ الموضوع هو المتلبّس بالتغیّر و هو غیر موجود،کما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یمکن استصحاب النجاسة بعد استحالته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انعقاد الإجماع علی نجاسة الماء المتّصف بالتغیّر، فالإجماع أمر لبّیّ لیس فیه تعرّض لبیان کون الماء موضوعا و التغیّر قیدا للنجاسة،أو أنّ الموضوع هو المتلبّس بوصف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انعقد الإجماع علی جواز تقلید المجتهد فی حال حیاته ثمّ مات،فإنّه لا یتعیّن الموضوع حتّی یحرز عند إرادة الاستصحاب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جار فی جمیع الأدلّة الغیر اللفظیّة</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552"/>
      </w:r>
      <w:r>
        <w:rPr>
          <w:rFonts w:ascii="IRNazanin" w:hAnsi="IRNazanin" w:eastAsia="IRNazanin"/>
          <w:color w:val="111111"/>
          <w:sz w:val="28"/>
          <w:sz w:val="28"/>
          <w:szCs w:val="28"/>
          <w:rtl w:val="true"/>
          <w:lang w:bidi="fa-IR"/>
        </w:rPr>
        <w:t xml:space="preserve">،ما سیجیء </w:t>
      </w:r>
      <w:r>
        <w:rPr>
          <w:rStyle w:val="FootnoteAnchor"/>
          <w:rtl w:val="true"/>
        </w:rPr>
        <w:footnoteReference w:id="553"/>
      </w:r>
      <w:r>
        <w:rPr>
          <w:rFonts w:ascii="Amiri" w:hAnsi="Amiri" w:eastAsia="Amiri" w:cs="Amiri"/>
          <w:color w:val="111111"/>
          <w:sz w:val="28"/>
          <w:sz w:val="28"/>
          <w:szCs w:val="28"/>
          <w:rtl w:val="true"/>
          <w:lang w:bidi="ar-SA"/>
        </w:rPr>
        <w:t xml:space="preserve">و تقدّم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تعیین الموضوع فی الاستصحاب بالعرف لا بالمداقّة و لا بمراجعة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دفع الفرق المذکور،فتراهم یجرون الاستصحاب فیما لا یساعد دلیل المستصحب علی بقاء الموضوع فیه فی الزمان اللاحق،کما سیجیء فی مسألة اشتراط بقاء الموضوع إن شاء اللّه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11" w:name="pg12985_125007"/>
    </w:p>
    <w:p>
      <w:pPr>
        <w:pStyle w:val="Heading3"/>
        <w:numPr>
          <w:ilvl w:val="2"/>
          <w:numId w:val="1"/>
        </w:numPr>
        <w:rPr/>
      </w:pPr>
      <w:bookmarkStart w:id="512" w:name="__RefHeading___Toc5767197_3224264995"/>
      <w:bookmarkStart w:id="513" w:name="_Toc207"/>
      <w:bookmarkEnd w:id="511"/>
      <w:bookmarkEnd w:id="512"/>
      <w:r>
        <w:rPr>
          <w:rtl w:val="true"/>
        </w:rPr>
        <w:t xml:space="preserve">حجّة القول التاسع </w:t>
      </w:r>
      <w:r>
        <w:rPr>
          <w:rtl w:val="true"/>
        </w:rPr>
        <w:t>:</w:t>
      </w:r>
      <w:r>
        <w:rPr>
          <w:rtl w:val="true"/>
        </w:rPr>
        <w:t>التفصیل بین الشک فی المقتضی و الشک فی الرافع</w:t>
      </w:r>
      <w:r>
        <w:rPr>
          <w:rtl w:val="true"/>
        </w:rPr>
        <w:t>:</w:t>
      </w:r>
      <w:bookmarkEnd w:id="513"/>
    </w:p>
    <w:p>
      <w:pPr>
        <w:pStyle w:val="Heading4"/>
        <w:numPr>
          <w:ilvl w:val="3"/>
          <w:numId w:val="1"/>
        </w:numPr>
        <w:rPr/>
      </w:pPr>
      <w:bookmarkStart w:id="514" w:name="__RefHeading___Toc5767199_3224264995"/>
      <w:bookmarkStart w:id="515" w:name="_Toc208"/>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و هو التفصیل بین ما ثبت استمرار المستصحب و احتیاجه فی الارتفاع إلی الرافع،و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آخر کلام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نقل الأقوال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Heading4"/>
        <w:numPr>
          <w:ilvl w:val="3"/>
          <w:numId w:val="1"/>
        </w:numPr>
        <w:rPr/>
      </w:pPr>
      <w:bookmarkStart w:id="516" w:name="__RefHeading___Toc5767201_3224264995"/>
      <w:bookmarkStart w:id="517" w:name="_Toc209"/>
      <w:bookmarkEnd w:id="516"/>
      <w:r>
        <w:rPr>
          <w:rtl w:val="true"/>
        </w:rPr>
        <w:t>ما استدلّ به فی المعارج علی هذا القول</w:t>
      </w:r>
      <w:r>
        <w:rPr>
          <w:rtl w:val="true"/>
        </w:rPr>
        <w:t>:</w:t>
      </w:r>
      <w:bookmarkEnd w:id="517"/>
    </w:p>
    <w:p>
      <w:pPr>
        <w:pStyle w:val="Heading5"/>
        <w:numPr>
          <w:ilvl w:val="4"/>
          <w:numId w:val="1"/>
        </w:numPr>
        <w:rPr/>
      </w:pPr>
      <w:bookmarkStart w:id="518" w:name="__RefHeading___Toc5767203_3224264995"/>
      <w:bookmarkStart w:id="519" w:name="_Toc210"/>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الذی نختاره أن ننظر فی دلیل ذلک الحکم،فإن کان یقتضیه مطلقا وجب الحکم باستمرار الحکم،کعقد النکاح فإنّه یوجب حلّ الوطء مطلقا،فإذا وجد الخلاف فی الألفاظ التی یقع بها الطلاق، فالمستدلّ علی أنّ الطلاق لا یقع بها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الوطء ثابت قبل النطق بها 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صحیحا؛فإنّ المقتضی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مطلقا،و لا یعلم أنّ الألفاظ المذکورة رافعة لذلک الاقتضاء، فیثبت الحکم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المقتضی هو العقد،و لم یثبت أنّه باق،فلم یثبت الحکم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اقتضی حلّ الوطء لا مقیّدا،فیلزم دوام الحلّ؛نظرا إلی وقوع المقتضی،لا إلی دوامه،فیجب أن یثبت الحلّ حتّی یثبت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الخصم یعنی بالاستصحاب ما أشرنا إلیه فلیس ذلک عملا بغیر دلیل،و إن کان یعنی أمرا آخر وراء هذا فنحن مضربون عنه </w:t>
      </w:r>
      <w:r>
        <w:rPr>
          <w:rStyle w:val="FootnoteAnchor"/>
          <w:rtl w:val="true"/>
        </w:rPr>
        <w:footnoteReference w:id="5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20" w:name="pg12985_125008"/>
    </w:p>
    <w:p>
      <w:pPr>
        <w:pStyle w:val="BookText"/>
        <w:rPr/>
      </w:pPr>
      <w:bookmarkEnd w:id="520"/>
      <w:r>
        <w:rPr>
          <w:rFonts w:ascii="IRNazanin" w:hAnsi="IRNazanin" w:eastAsia="IRNazanin"/>
          <w:color w:val="111111"/>
          <w:sz w:val="28"/>
          <w:sz w:val="28"/>
          <w:szCs w:val="28"/>
          <w:rtl w:val="true"/>
          <w:lang w:bidi="fa-IR"/>
        </w:rPr>
        <w:t xml:space="preserve">و حاصل هذا الاستدلال یرجع إلی کفایة وجود المقتضی و عدم العلم بالرافع لوجود المقتضی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5767205_3224264995"/>
      <w:bookmarkStart w:id="522" w:name="_Toc211"/>
      <w:bookmarkEnd w:id="521"/>
      <w:r>
        <w:rPr>
          <w:rtl w:val="true"/>
        </w:rPr>
        <w:t>المناقشة فی الدلیل المذکور</w:t>
      </w:r>
      <w:r>
        <w:rPr>
          <w:rtl w:val="true"/>
        </w:rPr>
        <w:t>:</w:t>
      </w:r>
      <w:bookmarkEnd w:id="522"/>
    </w:p>
    <w:p>
      <w:pPr>
        <w:pStyle w:val="Heading6"/>
        <w:numPr>
          <w:ilvl w:val="5"/>
          <w:numId w:val="1"/>
        </w:numPr>
        <w:rPr/>
      </w:pPr>
      <w:bookmarkStart w:id="523" w:name="__RefHeading___Toc5767207_3224264995"/>
      <w:bookmarkStart w:id="524" w:name="_Toc212"/>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بوجود الشیء لا یکون إلاّ مع العلم بوجود علّته التامّة التی من أجزائها عدم الرافع،فعدم العلم به یوجب عدم العلم بتحقّق العلّة التامّة،إلاّ أن یثبت التعبّد من الشارع بالحکم بالعدم عند عدم العلم به،و هو عین الکلام فی اعتبار الاستصحاب</w:t>
      </w:r>
      <w:r>
        <w:rPr>
          <w:rFonts w:eastAsia="IRNazanin" w:cs="IRNazanin"/>
          <w:color w:val="111111"/>
          <w:sz w:val="28"/>
          <w:szCs w:val="28"/>
          <w:rtl w:val="true"/>
          <w:lang w:bidi="fa-IR"/>
        </w:rPr>
        <w:t>.</w:t>
      </w:r>
    </w:p>
    <w:p>
      <w:pPr>
        <w:pStyle w:val="Heading6"/>
        <w:numPr>
          <w:ilvl w:val="5"/>
          <w:numId w:val="1"/>
        </w:numPr>
        <w:rPr/>
      </w:pPr>
      <w:bookmarkStart w:id="525" w:name="__RefHeading___Toc5767209_3224264995"/>
      <w:bookmarkStart w:id="526" w:name="_Toc213"/>
      <w:bookmarkEnd w:id="525"/>
      <w:r>
        <w:rPr>
          <w:rtl w:val="true"/>
        </w:rPr>
        <w:t>الأولی فی الاستدلال علی هذا القول</w:t>
      </w:r>
      <w:r>
        <w:rPr>
          <w:rtl w:val="true"/>
        </w:rPr>
        <w:t>:</w:t>
      </w:r>
      <w:bookmarkEnd w:id="526"/>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له بما استظهرناه </w:t>
      </w:r>
      <w:r>
        <w:rPr>
          <w:rStyle w:val="FootnoteAnchor"/>
          <w:rtl w:val="true"/>
        </w:rPr>
        <w:footnoteReference w:id="559"/>
      </w:r>
      <w:r>
        <w:rPr>
          <w:rFonts w:ascii="IRNazanin" w:hAnsi="IRNazanin" w:eastAsia="IRNazanin"/>
          <w:color w:val="111111"/>
          <w:sz w:val="28"/>
          <w:sz w:val="28"/>
          <w:szCs w:val="28"/>
          <w:rtl w:val="true"/>
          <w:lang w:bidi="fa-IR"/>
        </w:rPr>
        <w:t>من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النقض رفع الأمر المستمرّ فی نفسه و قطع الشیء المتّصل کذلک،فلا بدّ أن یکون متعلّقة ما یکون له استمرار و اتّصال،و لیس ذلک نفس الیقین؛لانتقاضه بغیر اختیار المکلّف،فلا یقع فی حیّز التحریم،و لا أحکام الیقین من حیث هو وصف من الأوصاف؛ لارتفاعها بارتفاعه قطعا،بل المراد به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الثابتة للمتیقّن بواسطة الیقین؛لأنّ نقض الیقین بعد ارتفاعه لا یعقل له معنی سوی هذا،فحینئذ لا بدّ أن یکون أحکام المتیقّن کنفسه ممّا یکون مستمرّا لو لا </w:t>
      </w:r>
      <w:r>
        <w:rPr>
          <w:rStyle w:val="FootnoteAnchor"/>
          <w:rtl w:val="true"/>
        </w:rPr>
        <w:footnoteReference w:id="561"/>
      </w:r>
      <w:r>
        <w:rPr>
          <w:rFonts w:ascii="IRNazanin" w:hAnsi="IRNazanin" w:eastAsia="IRNazanin"/>
          <w:color w:val="111111"/>
          <w:sz w:val="28"/>
          <w:sz w:val="28"/>
          <w:szCs w:val="28"/>
          <w:rtl w:val="true"/>
          <w:lang w:bidi="fa-IR"/>
        </w:rPr>
        <w:t>الناقض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لا بدّ من التأمّل فی أنّ هذا المعنی جار فی المستصحب العدمیّ أم لا؟و لا یبعد تحقّقه،فتأمّل</w:t>
      </w:r>
      <w:r>
        <w:rPr>
          <w:rFonts w:eastAsia="IRNazanin" w:cs="IRNazanin"/>
          <w:color w:val="111111"/>
          <w:sz w:val="28"/>
          <w:szCs w:val="28"/>
          <w:rtl w:val="true"/>
          <w:lang w:bidi="fa-IR"/>
        </w:rPr>
        <w:t xml:space="preserve">. </w:t>
      </w:r>
      <w:bookmarkStart w:id="527" w:name="pg12985_125009"/>
    </w:p>
    <w:p>
      <w:pPr>
        <w:pStyle w:val="Heading5"/>
        <w:numPr>
          <w:ilvl w:val="4"/>
          <w:numId w:val="1"/>
        </w:numPr>
        <w:rPr/>
      </w:pPr>
      <w:bookmarkStart w:id="528" w:name="__RefHeading___Toc5767211_3224264995"/>
      <w:bookmarkStart w:id="529" w:name="_Toc214"/>
      <w:bookmarkEnd w:id="527"/>
      <w:bookmarkEnd w:id="528"/>
      <w:r>
        <w:rPr>
          <w:rtl w:val="true"/>
        </w:rPr>
        <w:t>مبنی نسبة هذا القول إلی المحقّق</w:t>
      </w:r>
      <w:r>
        <w:rPr>
          <w:rtl w:val="true"/>
        </w:rPr>
        <w:t>:</w:t>
      </w:r>
      <w:bookmarkEnd w:id="529"/>
    </w:p>
    <w:p>
      <w:pPr>
        <w:pStyle w:val="Heading6"/>
        <w:numPr>
          <w:ilvl w:val="5"/>
          <w:numId w:val="1"/>
        </w:numPr>
        <w:rPr/>
      </w:pPr>
      <w:bookmarkStart w:id="530" w:name="__RefHeading___Toc5767213_3224264995"/>
      <w:bookmarkStart w:id="531" w:name="_Toc215"/>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ثمّ إنّ نسبة القول المذکور إلی المحقّق قدّس سرّه مبنیّ علی أنّ مراده </w:t>
      </w:r>
      <w:r>
        <w:rPr>
          <w:rStyle w:val="FootnoteAnchor"/>
          <w:rtl w:val="true"/>
        </w:rPr>
        <w:footnoteReference w:id="562"/>
      </w:r>
      <w:r>
        <w:rPr>
          <w:rFonts w:ascii="IRNazanin" w:hAnsi="IRNazanin" w:eastAsia="IRNazanin"/>
          <w:color w:val="111111"/>
          <w:sz w:val="28"/>
          <w:sz w:val="28"/>
          <w:szCs w:val="28"/>
          <w:rtl w:val="true"/>
          <w:lang w:bidi="fa-IR"/>
        </w:rPr>
        <w:t>من دلیل الحکم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تمثیله بعقد النکاح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المقتضی،و علی أن یکون حکم الشکّ فی وجود الرافع حکم الشکّ فی رافعیّة الشیء؛إمّا لدلالة دلیله المذکور علی ذلک،و إمّا لعدم القول بالإثبات فی الشکّ فی الرافعیّة و الإنکار فی الشکّ فی وجود الرافع،و إن کان العکس موجودا،کما سیجیء من المحقّق السبزواری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کلا الوجهین نظر</w:t>
      </w:r>
      <w:r>
        <w:rPr>
          <w:rFonts w:eastAsia="IRNazanin" w:cs="IRNazanin"/>
          <w:color w:val="111111"/>
          <w:sz w:val="28"/>
          <w:szCs w:val="28"/>
          <w:rtl w:val="true"/>
          <w:lang w:bidi="fa-IR"/>
        </w:rPr>
        <w:t>:</w:t>
      </w:r>
    </w:p>
    <w:p>
      <w:pPr>
        <w:pStyle w:val="Heading6"/>
        <w:numPr>
          <w:ilvl w:val="5"/>
          <w:numId w:val="1"/>
        </w:numPr>
        <w:rPr/>
      </w:pPr>
      <w:bookmarkStart w:id="532" w:name="__RefHeading___Toc5767215_3224264995"/>
      <w:bookmarkStart w:id="533" w:name="_Toc216"/>
      <w:bookmarkEnd w:id="532"/>
      <w:r>
        <w:rPr>
          <w:rtl w:val="true"/>
        </w:rPr>
        <w:t>المناقشة فی المبنی المذکور</w:t>
      </w:r>
      <w:r>
        <w:rPr>
          <w:rtl w:val="true"/>
        </w:rPr>
        <w:t>:</w:t>
      </w:r>
      <w:bookmarkEnd w:id="533"/>
    </w:p>
    <w:p>
      <w:pPr>
        <w:pStyle w:val="BookText"/>
        <w:rPr/>
      </w:pPr>
      <w:r>
        <w:rPr>
          <w:rFonts w:ascii="IRNazanin" w:hAnsi="IRNazanin" w:eastAsia="IRNazanin"/>
          <w:color w:val="111111"/>
          <w:sz w:val="28"/>
          <w:sz w:val="28"/>
          <w:szCs w:val="28"/>
          <w:rtl w:val="true"/>
          <w:lang w:bidi="fa-IR"/>
        </w:rPr>
        <w:t>أمّا الأوّل،فالإمکان الفرق فی الدلیل الذی ذکره؛لأنّ مرجع ما ذکره فی الاستدلال إلی جعل المقتضی و الرافع من قبیل العامّ و المخصّص، فإذا ثبت عموم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لحلّ الوطء فی جمیع الأوقات،فلا یجوز رفع الید عنه بالألفاظ التی وقع الشکّ فی کونها مزیلة لقید </w:t>
      </w:r>
      <w:r>
        <w:rPr>
          <w:rStyle w:val="FootnoteAnchor"/>
          <w:rtl w:val="true"/>
        </w:rPr>
        <w:footnoteReference w:id="564"/>
      </w:r>
      <w:r>
        <w:rPr>
          <w:rFonts w:ascii="IRNazanin" w:hAnsi="IRNazanin" w:eastAsia="IRNazanin"/>
          <w:color w:val="111111"/>
          <w:sz w:val="28"/>
          <w:sz w:val="28"/>
          <w:szCs w:val="28"/>
          <w:rtl w:val="true"/>
          <w:lang w:bidi="fa-IR"/>
        </w:rPr>
        <w:t>النکاح؛إذ من المعلوم أنّ العموم لا یرفع الید عنه بمجرّد الشکّ فی التخصیص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ثبت تخصیص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المقتضی لحلّ الوطء،أعنی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بمخصّص،و هو اللفظ الذی اتّفق علی کونه مزیلا لقید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النکاح،فإذا شکّ فی تحقّقه و عدمه فیمکن منع التمسّک بالعموم حینئذ؛ إذ الشکّ لیس فی طروّ التخصیص علی العامّ،بل فی وجود ما خصّص العامّ به یقینا،فیحتاج إثبات عدمه المتمّم للتمسّک بالعامّ إلی إجراء </w:t>
      </w:r>
      <w:bookmarkStart w:id="534" w:name="pg12985_125010"/>
    </w:p>
    <w:p>
      <w:pPr>
        <w:pStyle w:val="BookText"/>
        <w:rPr/>
      </w:pPr>
      <w:bookmarkEnd w:id="534"/>
      <w:r>
        <w:rPr>
          <w:rFonts w:ascii="IRNazanin" w:hAnsi="IRNazanin" w:eastAsia="IRNazanin"/>
          <w:color w:val="111111"/>
          <w:sz w:val="28"/>
          <w:sz w:val="28"/>
          <w:szCs w:val="28"/>
          <w:rtl w:val="true"/>
          <w:lang w:bidi="fa-IR"/>
        </w:rPr>
        <w:t xml:space="preserve">الاستصحاب،بخلاف ما لو شکّ فی أصل التخصیص،فإنّ العامّ یکفی لإثبات حکمه فی مورد الشکّ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بینهما،أنّ الشکّ فی الرافعیّة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نحن فیه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الشکّ فی تخصیص العامّ زائدا علی ما علم تخصیصه،نظیر ما إذا ثبت تخصیص العلماء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بمرتکبی الکبائر،و شکّ فی تخصیصه بمرتکب الصغائر،فإنّه یجب التمسّک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وجود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نحن فیه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وجود ما خصّص العامّ به یقینا،نظیر ما إذا علم تخصیصه بمرتکبی الکبائر و شکّ فی تحقّق الارتکاب و عدمه فی عالم،فإنّه لو لا إحراز عدم الارتکاب بأصالة العدم التی مرجعها إلی الاستصحاب المختلف فیه لم ینفع العامّ فی إیجاب إکرام ذلک المشکوک</w:t>
      </w:r>
      <w:r>
        <w:rPr>
          <w:rFonts w:eastAsia="IRNazanin" w:cs="IRNazanin"/>
          <w:color w:val="111111"/>
          <w:sz w:val="28"/>
          <w:szCs w:val="28"/>
          <w:rtl w:val="true"/>
          <w:lang w:bidi="fa-IR"/>
        </w:rPr>
        <w:t>.</w:t>
      </w:r>
    </w:p>
    <w:p>
      <w:pPr>
        <w:pStyle w:val="Heading6"/>
        <w:numPr>
          <w:ilvl w:val="5"/>
          <w:numId w:val="1"/>
        </w:numPr>
        <w:rPr/>
      </w:pPr>
      <w:bookmarkStart w:id="535" w:name="__RefHeading___Toc5767217_3224264995"/>
      <w:bookmarkStart w:id="536" w:name="_Toc217"/>
      <w:bookmarkEnd w:id="535"/>
      <w:r>
        <w:rPr>
          <w:rtl w:val="true"/>
        </w:rPr>
        <w:t>توجیه نسبة هذا القول إلی المحقّق</w:t>
      </w:r>
      <w:r>
        <w:rPr>
          <w:rtl w:val="true"/>
        </w:rPr>
        <w:t>:</w:t>
      </w:r>
      <w:bookmarkEnd w:id="536"/>
    </w:p>
    <w:p>
      <w:pPr>
        <w:pStyle w:val="BookText"/>
        <w:rPr/>
      </w:pPr>
      <w:r>
        <w:rPr>
          <w:rFonts w:ascii="IRNazanin" w:hAnsi="IRNazanin" w:eastAsia="IRNazanin"/>
          <w:color w:val="111111"/>
          <w:sz w:val="28"/>
          <w:sz w:val="28"/>
          <w:szCs w:val="28"/>
          <w:rtl w:val="true"/>
          <w:lang w:bidi="fa-IR"/>
        </w:rPr>
        <w:t>هذا،و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مبنی کلام المحقّق قدّس سرّه لمّا کان علی وجود المقتضی حال الشکّ و کفایة ذلک فی الحکم بالمقتضی،فلا فرق فی کون الشکّ فی وجود الرافع أو رافعیّة الموجود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الشکّ فی الخروج و الشکّ فی تحقّق الخارج فی مثال العموم و الخصوص،من جهة إحراز المقتضی للحکم بالعموم ظاهرا فی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أصالة الحقیقة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إحرازه فی المثال الثانی </w:t>
      </w:r>
    </w:p>
    <w:p>
      <w:pPr>
        <w:pStyle w:val="BookText"/>
        <w:rPr/>
      </w:pPr>
      <w:r>
        <w:rPr>
          <w:rFonts w:ascii="IRNazanin" w:hAnsi="IRNazanin" w:eastAsia="IRNazanin"/>
          <w:color w:val="111111"/>
          <w:sz w:val="28"/>
          <w:sz w:val="28"/>
          <w:szCs w:val="28"/>
          <w:rtl w:val="true"/>
          <w:lang w:bidi="fa-IR"/>
        </w:rPr>
        <w:t>لعدم جریان ذلک الأصل،لا لإحراز المقتضی لنفس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الأوّل دون الثانی،فظهر الفرق بین ما نحن فیه و بین المثالین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دعوی عدم الفصل بین الشکّین علی الوجه المذکور فهو ممّا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المحقّق قدّس سرّه لم یتعرّض لحکم الشکّ فی وجود الرافع؛لأنّ ما کان من الشبهة الحکمیّة من هذا القبیل لیس إلاّ النسخ،و إجراء الاستصحاب فیه إجماعیّ بل ضروریّ،کما تقدّم </w:t>
      </w:r>
      <w:r>
        <w:rPr>
          <w:rStyle w:val="FootnoteAnchor"/>
          <w:rtl w:val="true"/>
        </w:rPr>
        <w:footnoteReference w:id="570"/>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الشبهة الموضوعیّة،فقد تقدّم </w:t>
      </w:r>
      <w:r>
        <w:rPr>
          <w:rStyle w:val="FootnoteAnchor"/>
          <w:rtl w:val="true"/>
        </w:rPr>
        <w:footnoteReference w:id="572"/>
      </w:r>
      <w:r>
        <w:rPr>
          <w:rFonts w:ascii="IRNazanin" w:hAnsi="IRNazanin" w:eastAsia="IRNazanin"/>
          <w:color w:val="111111"/>
          <w:sz w:val="28"/>
          <w:sz w:val="28"/>
          <w:szCs w:val="28"/>
          <w:rtl w:val="true"/>
          <w:lang w:bidi="fa-IR"/>
        </w:rPr>
        <w:t xml:space="preserve">خروجها فی کلام القدماء عن </w:t>
      </w:r>
      <w:r>
        <w:rPr>
          <w:rStyle w:val="FootnoteAnchor"/>
          <w:rtl w:val="true"/>
        </w:rPr>
        <w:footnoteReference w:id="573"/>
      </w:r>
      <w:r>
        <w:rPr>
          <w:rFonts w:ascii="IRNazanin" w:hAnsi="IRNazanin" w:eastAsia="IRNazanin"/>
          <w:color w:val="111111"/>
          <w:sz w:val="28"/>
          <w:sz w:val="28"/>
          <w:szCs w:val="28"/>
          <w:rtl w:val="true"/>
          <w:lang w:bidi="fa-IR"/>
        </w:rPr>
        <w:t xml:space="preserve">مسألة الاستصحاب المعدود فی أدلّة الأحکام،فالتکلّم فیها إنّما یقع تبعا للشبهة الحکمیّة،و من باب تمثیل جریان الاستصحاب فی الأحکام و عدم جریانه بالاستصحاب </w:t>
      </w:r>
      <w:r>
        <w:rPr>
          <w:rStyle w:val="FootnoteAnchor"/>
          <w:rtl w:val="true"/>
        </w:rPr>
        <w:footnoteReference w:id="574"/>
      </w:r>
      <w:r>
        <w:rPr>
          <w:rFonts w:ascii="IRNazanin" w:hAnsi="IRNazanin" w:eastAsia="IRNazanin"/>
          <w:color w:val="111111"/>
          <w:sz w:val="28"/>
          <w:sz w:val="28"/>
          <w:szCs w:val="28"/>
          <w:rtl w:val="true"/>
          <w:lang w:bidi="fa-IR"/>
        </w:rPr>
        <w:t xml:space="preserve">فی الموضوعات الخارجیّة،فتری المنکرین </w:t>
      </w:r>
      <w:r>
        <w:rPr>
          <w:rStyle w:val="FootnoteAnchor"/>
          <w:rtl w:val="true"/>
        </w:rPr>
        <w:footnoteReference w:id="575"/>
      </w:r>
      <w:r>
        <w:rPr>
          <w:rFonts w:ascii="IRNazanin" w:hAnsi="IRNazanin" w:eastAsia="IRNazanin"/>
          <w:color w:val="111111"/>
          <w:sz w:val="28"/>
          <w:sz w:val="28"/>
          <w:szCs w:val="28"/>
          <w:rtl w:val="true"/>
          <w:lang w:bidi="fa-IR"/>
        </w:rPr>
        <w:t xml:space="preserve">یمثّلون بما إذا غبنا عن بلد فی ساحل البحر لم یجر العادة </w:t>
      </w:r>
    </w:p>
    <w:p>
      <w:pPr>
        <w:pStyle w:val="BookText"/>
        <w:rPr/>
      </w:pPr>
      <w:r>
        <w:rPr>
          <w:rFonts w:ascii="IRNazanin" w:hAnsi="IRNazanin" w:eastAsia="IRNazanin"/>
          <w:color w:val="111111"/>
          <w:sz w:val="28"/>
          <w:sz w:val="28"/>
          <w:szCs w:val="28"/>
          <w:rtl w:val="true"/>
          <w:lang w:bidi="fa-IR"/>
        </w:rPr>
        <w:t xml:space="preserve">ببقائه فإنّه لا یحکم ببقائه بمجرّد احتماله،و المثبتین </w:t>
      </w:r>
      <w:r>
        <w:rPr>
          <w:rStyle w:val="FootnoteAnchor"/>
          <w:rtl w:val="true"/>
        </w:rPr>
        <w:footnoteReference w:id="576"/>
      </w:r>
      <w:r>
        <w:rPr>
          <w:rFonts w:ascii="IRNazanin" w:hAnsi="IRNazanin" w:eastAsia="IRNazanin"/>
          <w:color w:val="111111"/>
          <w:sz w:val="28"/>
          <w:sz w:val="28"/>
          <w:szCs w:val="28"/>
          <w:rtl w:val="true"/>
          <w:lang w:bidi="fa-IR"/>
        </w:rPr>
        <w:t>بما إذا غاب زید عن أهله و ماله فإنّه یحرم التصرّف فیهما بمجرّد احتمال الموت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عبارة المحقّق و إن أوهم اختصاص مورد کلامه بصورة دلالة المقتضی علی تأیید الحکم،فلا یشمل ما لو کان الحکم موقّتا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جعل بعض </w:t>
      </w:r>
      <w:r>
        <w:rPr>
          <w:rStyle w:val="FootnoteAnchor"/>
          <w:rtl w:val="true"/>
        </w:rPr>
        <w:footnoteReference w:id="577"/>
      </w:r>
      <w:r>
        <w:rPr>
          <w:rFonts w:ascii="IRNazanin" w:hAnsi="IRNazanin" w:eastAsia="IRNazanin"/>
          <w:color w:val="111111"/>
          <w:sz w:val="28"/>
          <w:sz w:val="28"/>
          <w:szCs w:val="28"/>
          <w:rtl w:val="true"/>
          <w:lang w:bidi="fa-IR"/>
        </w:rPr>
        <w:t>هذا من وجوه الفرق بین قول المحقّق و المختار،بعد ما ذکر وجوها أخر ضعیفة غیر 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مقتضی دلیله </w:t>
      </w:r>
      <w:r>
        <w:rPr>
          <w:rStyle w:val="FootnoteAnchor"/>
          <w:rtl w:val="true"/>
        </w:rPr>
        <w:footnoteReference w:id="578"/>
      </w:r>
      <w:r>
        <w:rPr>
          <w:rFonts w:ascii="IRNazanin" w:hAnsi="IRNazanin" w:eastAsia="IRNazanin"/>
          <w:color w:val="111111"/>
          <w:sz w:val="28"/>
          <w:sz w:val="28"/>
          <w:szCs w:val="28"/>
          <w:rtl w:val="true"/>
          <w:lang w:bidi="fa-IR"/>
        </w:rPr>
        <w:t>شموله لذلک إذا کان الشکّ فی رافعیّة شیء للحکم قبل مجیء الوقت</w:t>
      </w:r>
      <w:r>
        <w:rPr>
          <w:rFonts w:eastAsia="IRNazanin" w:cs="IRNazanin"/>
          <w:color w:val="111111"/>
          <w:sz w:val="28"/>
          <w:szCs w:val="28"/>
          <w:rtl w:val="true"/>
          <w:lang w:bidi="fa-IR"/>
        </w:rPr>
        <w:t xml:space="preserve">. </w:t>
      </w:r>
      <w:bookmarkStart w:id="537" w:name="pg12985_125013"/>
    </w:p>
    <w:p>
      <w:pPr>
        <w:pStyle w:val="Heading3"/>
        <w:numPr>
          <w:ilvl w:val="2"/>
          <w:numId w:val="1"/>
        </w:numPr>
        <w:rPr/>
      </w:pPr>
      <w:bookmarkStart w:id="538" w:name="__RefHeading___Toc5767219_3224264995"/>
      <w:bookmarkStart w:id="539" w:name="_Toc218"/>
      <w:bookmarkEnd w:id="537"/>
      <w:bookmarkEnd w:id="538"/>
      <w:r>
        <w:rPr>
          <w:rtl w:val="true"/>
        </w:rPr>
        <w:t>حجّة القول العاشر التفصیل بین الشک فی وجود الغایة و عدمه</w:t>
      </w:r>
      <w:r>
        <w:rPr>
          <w:rtl w:val="true"/>
        </w:rPr>
        <w:t>:</w:t>
      </w:r>
      <w:bookmarkEnd w:id="539"/>
    </w:p>
    <w:p>
      <w:pPr>
        <w:pStyle w:val="Heading4"/>
        <w:numPr>
          <w:ilvl w:val="3"/>
          <w:numId w:val="1"/>
        </w:numPr>
        <w:rPr/>
      </w:pPr>
      <w:bookmarkStart w:id="540" w:name="__RefHeading___Toc5767221_3224264995"/>
      <w:bookmarkStart w:id="541" w:name="_Toc219"/>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ما حکی عن المحقّق السبزواری فی الذخیرة </w:t>
      </w:r>
      <w:r>
        <w:rPr>
          <w:rStyle w:val="FootnoteAnchor"/>
          <w:rtl w:val="true"/>
        </w:rPr>
        <w:footnoteReference w:id="579"/>
      </w:r>
      <w:r>
        <w:rPr>
          <w:rFonts w:ascii="IRNazanin" w:hAnsi="IRNazanin" w:eastAsia="IRNazanin"/>
          <w:color w:val="111111"/>
          <w:sz w:val="28"/>
          <w:sz w:val="28"/>
          <w:szCs w:val="28"/>
          <w:rtl w:val="true"/>
          <w:lang w:bidi="fa-IR"/>
        </w:rPr>
        <w:t>،فإنّه استدلّ علی نجاسة الماء الکثیر المطلق الذی سلب عنه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بممازجته مع المضاف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استمرار الحکم تابع لدلالة الدلیل،و الإجماع إنّما دلّ علی النجاسة قبل الممازجة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Heading4"/>
        <w:numPr>
          <w:ilvl w:val="3"/>
          <w:numId w:val="1"/>
        </w:numPr>
        <w:rPr/>
      </w:pPr>
      <w:bookmarkStart w:id="542" w:name="__RefHeading___Toc5767223_3224264995"/>
      <w:bookmarkStart w:id="543" w:name="_Toc220"/>
      <w:bookmarkEnd w:id="542"/>
      <w:r>
        <w:rPr>
          <w:rtl w:val="true"/>
        </w:rPr>
        <w:t>ما استدلّ به المحقّق السبزواری علی هذا القول</w:t>
      </w:r>
      <w:r>
        <w:rPr>
          <w:rtl w:val="true"/>
        </w:rPr>
        <w:t>:</w:t>
      </w:r>
      <w:bookmarkEnd w:id="543"/>
    </w:p>
    <w:p>
      <w:pPr>
        <w:pStyle w:val="Heading5"/>
        <w:numPr>
          <w:ilvl w:val="4"/>
          <w:numId w:val="1"/>
        </w:numPr>
        <w:rPr/>
      </w:pPr>
      <w:bookmarkStart w:id="544" w:name="__RefHeading___Toc5767225_3224264995"/>
      <w:bookmarkStart w:id="545" w:name="_Toc221"/>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جعفر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 أبدا،و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استمرار أحکام الیقین ما لم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الحکم الشرعیّ الذی تعلّق به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له دلیلا دالا علی الاستمرار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علی الأوّل فالشکّ فی رفعه 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الشکّ فی وجود الرافع،و الشکّ فی رافعیّة الشیء من جهة إجمال معنی ذلک الشیء،و الشکّ فی کون الشیء مصداقا للرافع المبیّن مفهوما،و الشکّ فی کون الشیء رافعا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الخبر المذکور إنّما یدلّ علی النهی عن نقض الیقین بالشکّ، و ذلک إنّما یعقل فی القسم الأوّل من تلک الأقسام الأربعة دون غیره؛ لأنّ فی غیره لو نقض الحکم بوجود الأمر الذی شکّ فی کونه رافعا لم یکن النقض بالشکّ،بل إنّما یحصل النقض بالیقین بوجود ما شکّ فی </w:t>
      </w:r>
      <w:bookmarkStart w:id="546" w:name="pg12985_125014"/>
    </w:p>
    <w:p>
      <w:pPr>
        <w:pStyle w:val="BookText"/>
        <w:rPr/>
      </w:pPr>
      <w:bookmarkEnd w:id="546"/>
      <w:r>
        <w:rPr>
          <w:rFonts w:ascii="IRNazanin" w:hAnsi="IRNazanin" w:eastAsia="IRNazanin"/>
          <w:color w:val="111111"/>
          <w:sz w:val="28"/>
          <w:sz w:val="28"/>
          <w:szCs w:val="28"/>
          <w:rtl w:val="true"/>
          <w:lang w:bidi="fa-IR"/>
        </w:rPr>
        <w:t xml:space="preserve">کونه رافعا أو بالیقین بوجود ما یشکّ فی استمرار الحکم معه، لا بالشکّ؛فإنّ الشکّ فی تلک الصور کان حاصلا من قبل و لم یکن بسببه نقض،و إنّما حصل </w:t>
      </w:r>
      <w:r>
        <w:rPr>
          <w:rStyle w:val="FootnoteAnchor"/>
          <w:rtl w:val="true"/>
        </w:rPr>
        <w:footnoteReference w:id="580"/>
      </w:r>
      <w:r>
        <w:rPr>
          <w:rFonts w:ascii="IRNazanin" w:hAnsi="IRNazanin" w:eastAsia="IRNazanin"/>
          <w:color w:val="111111"/>
          <w:sz w:val="28"/>
          <w:sz w:val="28"/>
          <w:szCs w:val="28"/>
          <w:rtl w:val="true"/>
          <w:lang w:bidi="fa-IR"/>
        </w:rPr>
        <w:t xml:space="preserve">النقض حین الیقین بوجود ما یشکّ فی کونه رافعا للحکم بسببه؛لأنّ الشیء إنّما یستند إلی العلّة التامّة أو الجزء الأخیر منها،فلا یکون فی تلک الصور نقض الیقین بالشکّ،و إنّما یکون ذلک فی صورة خاصّة دون </w:t>
      </w:r>
      <w:r>
        <w:rPr>
          <w:rStyle w:val="FootnoteAnchor"/>
          <w:rtl w:val="true"/>
        </w:rPr>
        <w:footnoteReference w:id="581"/>
      </w:r>
      <w:r>
        <w:rPr>
          <w:rFonts w:ascii="IRNazanin" w:hAnsi="IRNazanin" w:eastAsia="IRNazanin"/>
          <w:color w:val="111111"/>
          <w:sz w:val="28"/>
          <w:sz w:val="28"/>
          <w:szCs w:val="28"/>
          <w:rtl w:val="true"/>
          <w:lang w:bidi="fa-IR"/>
        </w:rPr>
        <w:t xml:space="preserve">غیرها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تسلیم صدق النقض فی صورة الشکّ فی استمرار الحکم فیما عدا القسم الأوّل أیضا </w:t>
      </w:r>
      <w:r>
        <w:rPr>
          <w:rStyle w:val="FootnoteAnchor"/>
          <w:rtl w:val="true"/>
        </w:rPr>
        <w:footnoteReference w:id="583"/>
      </w:r>
      <w:r>
        <w:rPr>
          <w:rFonts w:ascii="IRNazanin" w:hAnsi="IRNazanin" w:eastAsia="IRNazanin"/>
          <w:color w:val="111111"/>
          <w:sz w:val="28"/>
          <w:sz w:val="28"/>
          <w:szCs w:val="28"/>
          <w:rtl w:val="true"/>
          <w:lang w:bidi="fa-IR"/>
        </w:rPr>
        <w:t>،و إنّما المانع عدم صدق النقض بالشکّ فیها</w:t>
      </w:r>
      <w:r>
        <w:rPr>
          <w:rFonts w:eastAsia="IRNazanin" w:cs="IRNazanin"/>
          <w:color w:val="111111"/>
          <w:sz w:val="28"/>
          <w:szCs w:val="28"/>
          <w:rtl w:val="true"/>
          <w:lang w:bidi="fa-IR"/>
        </w:rPr>
        <w:t>.</w:t>
      </w:r>
    </w:p>
    <w:p>
      <w:pPr>
        <w:pStyle w:val="Heading5"/>
        <w:numPr>
          <w:ilvl w:val="4"/>
          <w:numId w:val="1"/>
        </w:numPr>
        <w:rPr/>
      </w:pPr>
      <w:bookmarkStart w:id="547" w:name="__RefHeading___Toc5767227_3224264995"/>
      <w:bookmarkStart w:id="548" w:name="_Toc222"/>
      <w:bookmarkEnd w:id="547"/>
      <w:r>
        <w:rPr>
          <w:rtl w:val="true"/>
        </w:rPr>
        <w:t>المناقشة فیما أفاده المحقّق السبزواری</w:t>
      </w:r>
      <w:r>
        <w:rPr>
          <w:rtl w:val="true"/>
        </w:rPr>
        <w:t>:</w:t>
      </w:r>
      <w:bookmarkEnd w:id="548"/>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و الیقین قد یلاحظان بالنسبة إلی الطهارة مقیّدة بکونها قبل حدوث ما یشکّ فی کونه رافعا،و مقیّدة بکونها بعده، فیتعلّق الیقین بالاولی و الشکّ بالثانیة،و الیقین و الشکّ بهذه الملاحظة یجتمعان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قبل حدوث ذلک الشیء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الشکّ کان حاصلا من قبل،کما أنّ الیقین باق من بعد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یلاحظان بالنسبة إلی الطهارة المطلقة،و هما بهذا الاعتبار لا یجتمعان فی زمان واحد،بل الشکّ متأخّر عن الیقین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ریب أنّ المراد بالیقین و الشکّ فی قوله علیه السّلام فی صدر الصحیحة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أخبار الاستصحاب،هو الیقین و الشکّ المتعلّقان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الطهارة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فالنقض المنهیّ عنه هو نقض الیقین بالطهارة بهذا الشکّ المتأخّر المتعلّق بنفس ما تعلّق به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وجود الشیء المشکوک الرافعیّة،فهو بوصف الشکّ فی کونه رافعا الحاصل من قبل سبب لهذا الشکّ؛فإنّ کلّ شکّ </w:t>
      </w:r>
      <w:r>
        <w:rPr>
          <w:rStyle w:val="FootnoteAnchor"/>
          <w:rtl w:val="true"/>
        </w:rPr>
        <w:footnoteReference w:id="584"/>
      </w:r>
      <w:r>
        <w:rPr>
          <w:rFonts w:ascii="IRNazanin" w:hAnsi="IRNazanin" w:eastAsia="IRNazanin"/>
          <w:color w:val="111111"/>
          <w:sz w:val="28"/>
          <w:sz w:val="28"/>
          <w:szCs w:val="28"/>
          <w:rtl w:val="true"/>
          <w:lang w:bidi="fa-IR"/>
        </w:rPr>
        <w:t xml:space="preserve">لا بدّ له من سبب متیقّن الوجود حتّی الشکّ فی وجود الرافع،فوجود الشیء المشکوک فی رافعیّته جزء أخیر </w:t>
      </w:r>
      <w:r>
        <w:rPr>
          <w:rStyle w:val="FootnoteAnchor"/>
          <w:rtl w:val="true"/>
        </w:rPr>
        <w:footnoteReference w:id="585"/>
      </w:r>
      <w:r>
        <w:rPr>
          <w:rFonts w:ascii="Amiri" w:hAnsi="Amiri" w:eastAsia="Amiri" w:cs="Amiri"/>
          <w:color w:val="111111"/>
          <w:sz w:val="28"/>
          <w:sz w:val="28"/>
          <w:szCs w:val="28"/>
          <w:rtl w:val="true"/>
          <w:lang w:bidi="ar-SA"/>
        </w:rPr>
        <w:t>للعلّة التامّة للشکّ المتأخّر الناقض، لا للنقض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الید عن أحکام الیقین عند الشکّ فی بقائه و ارتفاعه لا یعقل إلاّ أن یکون مسبّبا عن نفس الشکّ؛لأنّ التوقّف فی الزمان اللاحق عن الحکم السابق أو العمل بالاصول المخالفة له لا یکون إلاّ لأجل الشکّ،غایة الأمر کون الشیء المشکوک کونه رافعا منشأ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ناظر إلی عدم الوقوع،و الثانی إلی عدم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النقض فی هذه الصور لیس بالشکّ،لکنّه لیس نقضا بالیقین بالخلاف،و لا یخفی أنّ ظاهر ما ذکره فی ذیل الصحیحة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الناقض للیقین السابق فی الیقین </w:t>
      </w:r>
    </w:p>
    <w:p>
      <w:pPr>
        <w:pStyle w:val="BookText"/>
        <w:rPr/>
      </w:pPr>
      <w:r>
        <w:rPr>
          <w:rFonts w:ascii="IRNazanin" w:hAnsi="IRNazanin" w:eastAsia="IRNazanin"/>
          <w:color w:val="111111"/>
          <w:sz w:val="28"/>
          <w:sz w:val="28"/>
          <w:szCs w:val="28"/>
          <w:rtl w:val="true"/>
          <w:lang w:bidi="fa-IR"/>
        </w:rPr>
        <w:t>بخلافه،و حرمة النقض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کان أم یقینا بوجود ما شکّ فی کونه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قیل فی صورة الشکّ فی وجود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بما هو متیقّن من سبب الشکّ لا بنفسه،لا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ضعیف فی الغایة،بل یمکن دعوی الإجماع المرکّب بل البسیط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یتوهّم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صحیحة زرارة الاولی </w:t>
      </w:r>
      <w:r>
        <w:rPr>
          <w:rStyle w:val="FootnoteAnchor"/>
          <w:rtl w:val="true"/>
        </w:rPr>
        <w:footnoteReference w:id="587"/>
      </w:r>
      <w:r>
        <w:rPr>
          <w:rFonts w:ascii="IRNazanin" w:hAnsi="IRNazanin" w:eastAsia="IRNazanin"/>
          <w:color w:val="111111"/>
          <w:sz w:val="28"/>
          <w:sz w:val="28"/>
          <w:szCs w:val="28"/>
          <w:rtl w:val="true"/>
          <w:lang w:bidi="fa-IR"/>
        </w:rPr>
        <w:t>ممّا أنکر المحقّق المذکور الاستصحاب فیه؛لأنّ السؤال فیها عن الخفقة و الخفقتین من نقضهما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یخفی؛فإنّ حکم الخفقة و الخفقتین قد علم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العین و لا ینام القلب 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سئل فیها بعد ذلک عن حکم ما إذا وجدت أمارة علی النوم،مثل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شیء إلی جنبه و هو لا یعلم،فأجاب بعدم اعتبار ما عدا الیقین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یجیء من ذلک أمر بیّن،و إلاّ 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یلزم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سابقا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فی أصل النوم فی مورد الروایة مسبّب عن وجود ما یوجب الشکّ فی تحقّق النوم،فالنقض به،لا بالشکّ </w:t>
      </w:r>
      <w:r>
        <w:rPr>
          <w:rStyle w:val="FootnoteAnchor"/>
          <w:rtl w:val="true"/>
        </w:rPr>
        <w:footnoteReference w:id="58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49" w:name="pg12985_125017"/>
    </w:p>
    <w:p>
      <w:pPr>
        <w:pStyle w:val="Heading3"/>
        <w:numPr>
          <w:ilvl w:val="2"/>
          <w:numId w:val="1"/>
        </w:numPr>
        <w:rPr/>
      </w:pPr>
      <w:bookmarkStart w:id="550" w:name="__RefHeading___Toc5767229_3224264995"/>
      <w:bookmarkStart w:id="551" w:name="_Toc223"/>
      <w:bookmarkEnd w:id="549"/>
      <w:bookmarkEnd w:id="550"/>
      <w:r>
        <w:rPr>
          <w:rtl w:val="true"/>
        </w:rPr>
        <w:t>حجّة القول الحادی عشر التفصیل المتقدم مع زیادة الشک فی مصداق الغایة</w:t>
      </w:r>
      <w:r>
        <w:rPr>
          <w:rtl w:val="true"/>
        </w:rPr>
        <w:t>:</w:t>
      </w:r>
      <w:bookmarkEnd w:id="551"/>
    </w:p>
    <w:p>
      <w:pPr>
        <w:pStyle w:val="Heading4"/>
        <w:numPr>
          <w:ilvl w:val="3"/>
          <w:numId w:val="1"/>
        </w:numPr>
        <w:rPr/>
      </w:pPr>
      <w:bookmarkStart w:id="552" w:name="__RefHeading___Toc5767231_3224264995"/>
      <w:bookmarkStart w:id="553" w:name="_Toc224"/>
      <w:bookmarkEnd w:id="552"/>
      <w:r>
        <w:rPr>
          <w:rtl w:val="true"/>
        </w:rPr>
        <w:t>استدلال المحقّق الخوانساری علی هذا القول</w:t>
      </w:r>
      <w:r>
        <w:rPr>
          <w:rtl w:val="true"/>
        </w:rPr>
        <w:t>:</w:t>
      </w:r>
      <w:bookmarkEnd w:id="553"/>
    </w:p>
    <w:p>
      <w:pPr>
        <w:pStyle w:val="Heading5"/>
        <w:numPr>
          <w:ilvl w:val="4"/>
          <w:numId w:val="1"/>
        </w:numPr>
        <w:rPr/>
      </w:pPr>
      <w:bookmarkStart w:id="554" w:name="__RefHeading___Toc5767233_3224264995"/>
      <w:bookmarkStart w:id="555" w:name="_Toc225"/>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ما ذکره المحقّق الخوانساری قدّس سرّه فی 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ذو الجهات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بالمسح بثلاثة 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الواحد لا یسمّی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حکم النجاسة حتّی یعلم لها مطهّر شرعیّ،و بدون الثلاثة لا یعلم المطهّر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ابن المغیرة </w:t>
      </w:r>
      <w:r>
        <w:rPr>
          <w:rStyle w:val="FootnoteAnchor"/>
          <w:rtl w:val="true"/>
        </w:rPr>
        <w:footnoteReference w:id="590"/>
      </w:r>
      <w:r>
        <w:rPr>
          <w:rFonts w:ascii="IRNazanin" w:hAnsi="IRNazanin" w:eastAsia="IRNazanin"/>
          <w:color w:val="111111"/>
          <w:sz w:val="28"/>
          <w:sz w:val="28"/>
          <w:szCs w:val="28"/>
          <w:rtl w:val="true"/>
          <w:lang w:bidi="fa-IR"/>
        </w:rPr>
        <w:t xml:space="preserve">و موثّقة ابن یعقوب </w:t>
      </w:r>
      <w:r>
        <w:rPr>
          <w:rStyle w:val="FootnoteAnchor"/>
          <w:rtl w:val="true"/>
        </w:rPr>
        <w:footnoteReference w:id="591"/>
      </w:r>
      <w:r>
        <w:rPr>
          <w:rFonts w:ascii="IRNazanin" w:hAnsi="IRNazanin" w:eastAsia="IRNazanin"/>
          <w:color w:val="111111"/>
          <w:sz w:val="28"/>
          <w:sz w:val="28"/>
          <w:szCs w:val="28"/>
          <w:rtl w:val="true"/>
          <w:lang w:bidi="fa-IR"/>
        </w:rPr>
        <w:t>لا یخرجان عن الأصل؛لعدم صحّة سندهما،خصوصا مع معارضتهما بالروایات الواردة بالمسح بثلاثة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النجاسة و وجوب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منع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القوم ذکروا أنّ الاستصحاب إثبات حکم فی زمان لوجوده فی زمان سابق علیه،و هو ینقسم إلی قسمین،باعتبار انقسام الحکم المأخوذ فیه إلی شرعیّ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ثبت نجاسة ثوب أو بدن فی زمان،فیقولون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بعد ذلک الزمان </w:t>
      </w:r>
      <w:r>
        <w:rPr>
          <w:rStyle w:val="FootnoteAnchor"/>
          <w:rtl w:val="true"/>
        </w:rPr>
        <w:footnoteReference w:id="592"/>
      </w:r>
      <w:r>
        <w:rPr>
          <w:rFonts w:ascii="IRNazanin" w:hAnsi="IRNazanin" w:eastAsia="IRNazanin"/>
          <w:color w:val="111111"/>
          <w:sz w:val="28"/>
          <w:sz w:val="28"/>
          <w:szCs w:val="28"/>
          <w:rtl w:val="true"/>
          <w:lang w:bidi="fa-IR"/>
        </w:rPr>
        <w:t>یجب الحکم بنجاسته إذا لم یحصل العلم برفعها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ثبت رطوبة ثوب فی زمان،ففی ما بعد ذلک الزمان یجب الحکم برطوبته ما لم یعلم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بعضهم إلی حجّیّته بقسمیه،و ذهب بعضهم إلی حجّیّة القسم الأوّل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کلّ من الفریقین بدلائل مذکورة فی محلّها،کلّها قاصرة عن إفادة المرام،کما یظهر بالتأمّل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نتعرّض لذکرها هنا،بل نشیر إلی ما هو الظاهر عندنا فی هذا الباب،فنقول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بهذا المعنی لا حجّیّة فیه أصلا بکلا قسمیه؛إذ لا دلیل علیه تامّا،لا عقلا و لا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حجّیّة الاستصحاب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دلیل شرعیّ علی أنّ الحکم الفلانیّ بعد تحقّقه ثابت إلی زمان حدوث حال کذا أو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فی الواقع،بلا اشتراطه بشیء أصلا،فحینئذ إذا حصل ذلک الحکم فیلزم الحکم باستمراره إلی أن یعلم وجود ما جعل مزیلا له،و لا یحکم بنفیه بمجرّد الشکّ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حجّیّته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إمّا وضعیّ،أو اقتضائیّ،أو تخییریّ،و لمّا کان الأوّل عند التحقیق یرجع إلیهما فینحصر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التقدیرین فیثبت ما رمناه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الأوّل،فلأنّه إذا کان أمر أو نهی بفعل إلی غایة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الشکّ فی حدوث تلک الغایة،لو لم یمتثل التکلیف المذکور </w:t>
      </w:r>
    </w:p>
    <w:p>
      <w:pPr>
        <w:pStyle w:val="BookText"/>
        <w:rPr/>
      </w:pPr>
      <w:r>
        <w:rPr>
          <w:rFonts w:ascii="IRNazanin" w:hAnsi="IRNazanin" w:eastAsia="IRNazanin"/>
          <w:color w:val="111111"/>
          <w:sz w:val="28"/>
          <w:sz w:val="28"/>
          <w:szCs w:val="28"/>
          <w:rtl w:val="true"/>
          <w:lang w:bidi="fa-IR"/>
        </w:rPr>
        <w:t>لم یحصل الظنّ بالامتثال و الخروج عن العهدة،و ما لم یحصل الظنّ لم یحصل الامتثال،فلا بدّ من بقاء ذلک التکلیف حال الشکّ أیضا،و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الثانی،فالأمر أظهر،کما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کما یدلّ علی </w:t>
      </w:r>
      <w:r>
        <w:rPr>
          <w:rStyle w:val="FootnoteAnchor"/>
          <w:rtl w:val="true"/>
        </w:rPr>
        <w:footnoteReference w:id="595"/>
      </w:r>
      <w:r>
        <w:rPr>
          <w:rFonts w:ascii="IRNazanin" w:hAnsi="IRNazanin" w:eastAsia="IRNazanin"/>
          <w:color w:val="111111"/>
          <w:sz w:val="28"/>
          <w:sz w:val="28"/>
          <w:szCs w:val="28"/>
          <w:rtl w:val="true"/>
          <w:lang w:bidi="fa-IR"/>
        </w:rPr>
        <w:t xml:space="preserve">المعنی الذی ذکرته،کذلک یدلّ علی </w:t>
      </w:r>
      <w:r>
        <w:rPr>
          <w:rStyle w:val="FootnoteAnchor"/>
          <w:rtl w:val="true"/>
        </w:rPr>
        <w:footnoteReference w:id="596"/>
      </w:r>
      <w:r>
        <w:rPr>
          <w:rFonts w:ascii="IRNazanin" w:hAnsi="IRNazanin" w:eastAsia="IRNazanin"/>
          <w:color w:val="111111"/>
          <w:sz w:val="28"/>
          <w:sz w:val="28"/>
          <w:szCs w:val="28"/>
          <w:rtl w:val="true"/>
          <w:lang w:bidi="fa-IR"/>
        </w:rPr>
        <w:t>المعنی الذی ذکره القوم؛لأنّه إذا حصل الیقین فی زمان فلا ینبغی أن ینقض فی زمان آخر بالشکّ،نظرا إلی الروایات،و هو بعینه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عدم نقض الیقین بالشکّ أنّه عند التعارض لا ینقض به،و المراد بالتعارض أن یکون شیء یوجب الیقین لو لا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ذکروه لیس کذلک؛لأنّ الیقین بحکم فی زمان لیس ممّا یوجب حصوله فی زمان آخر لو لا عروض الشکّ،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الشکّ فی کون الشیء مزیلا للحکم مع العلم بوجوده کالشکّ فی وجود المزیل أو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تفصیل؛لأنّه إن ثبت بالدلیل أنّ ذلک الحکم مستمرّ إلی غایة معیّنة فی الواقع،ثمّ علمنا صدق تلک الغایة علی شیء، و شککنا فی صدقها علی شیء آخر،فحینئذ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w:t>
      </w:r>
    </w:p>
    <w:p>
      <w:pPr>
        <w:pStyle w:val="BookText"/>
        <w:rPr/>
      </w:pPr>
      <w:r>
        <w:rPr>
          <w:rFonts w:ascii="IRNazanin" w:hAnsi="IRNazanin" w:eastAsia="IRNazanin"/>
          <w:color w:val="111111"/>
          <w:sz w:val="28"/>
          <w:sz w:val="28"/>
          <w:szCs w:val="28"/>
          <w:rtl w:val="true"/>
          <w:lang w:bidi="fa-IR"/>
        </w:rPr>
        <w:t>یثبت ذلک،بل ثبت أنّ ذلک الحکم مستمرّ فی الجملة، و مزیله الشیء الفلانیّ،و شککنا فی أنّ الشیء الآخر أیضا یزیله أم لا؟ فحینئذ لا ظهور فی عدم نقض الحکم و ثبوت استمراره؛إذ الدلیل الأوّل غیر جاز فیه؛لعدم ثبوت حکم العقل فی مثل هذه الصورة، خصوصا مع ورود بعض الروایات الدالّة علی عدم المؤاخذة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الثانی،الحقّ أنّه لا یخلو من إجمال،و غایة ما یسلّم منها ثبوت الحکم فی الصورتین اللتین ذکرناهما،و إن کان فیه أیضا بعض المناقشات، لکنّه لا یخلو عن تأیید للدلیل الأوّل،فتأمّل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الذی یدّعونه فیما نحن فیه و أنت منعته، الظاهر أنّه من قبیل ما اعترفت به؛لأنّ حکم النجاسة ثابت ما لم یحصل مطهّر شرعیّ إجماعا،و هنا لم یحصل الظنّ المعتبر شرعا بوجود المطهّر؛لأنّ حسنة ابن المغیرة و موثّقة ابن یعقوب </w:t>
      </w:r>
      <w:r>
        <w:rPr>
          <w:rStyle w:val="FootnoteAnchor"/>
          <w:rtl w:val="true"/>
        </w:rPr>
        <w:footnoteReference w:id="597"/>
      </w:r>
      <w:r>
        <w:rPr>
          <w:rFonts w:ascii="IRNazanin" w:hAnsi="IRNazanin" w:eastAsia="IRNazanin"/>
          <w:color w:val="111111"/>
          <w:sz w:val="28"/>
          <w:sz w:val="28"/>
          <w:szCs w:val="28"/>
          <w:rtl w:val="true"/>
          <w:lang w:bidi="fa-IR"/>
        </w:rPr>
        <w:t xml:space="preserve">لیستا حجّة شرعیّة، خصوصا مع معارضتهما بالروایات المتقدّمة،فغایة الأمر حصول الشکّ بوجود المطهّر،و هو لا ینقض الیقین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من قبیل الثانی ممنوع؛إذ لا دلیل علی أنّ النجاسة باقیة ما لم یحصل مطهّر شرعیّ،و ما ذکر من الإجماع غیر معلوم؛لأنّ غایة ما أجمعوا علیه أنّ التغوّط إذا حصل لا یصحّ الصلاة </w:t>
      </w:r>
      <w:r>
        <w:rPr>
          <w:rStyle w:val="FootnoteAnchor"/>
          <w:rtl w:val="true"/>
        </w:rPr>
        <w:footnoteReference w:id="599"/>
      </w:r>
      <w:r>
        <w:rPr>
          <w:rFonts w:ascii="Amiri" w:hAnsi="Amiri" w:eastAsia="Amiri" w:cs="Amiri"/>
          <w:color w:val="111111"/>
          <w:sz w:val="28"/>
          <w:sz w:val="28"/>
          <w:szCs w:val="28"/>
          <w:rtl w:val="true"/>
          <w:lang w:bidi="ar-SA"/>
        </w:rPr>
        <w:t>بدون الماء و التمسّح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بالثلاثة و لا بشعب الحجر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الإجماع </w:t>
      </w:r>
    </w:p>
    <w:p>
      <w:pPr>
        <w:pStyle w:val="BookText"/>
        <w:rPr/>
      </w:pPr>
      <w:r>
        <w:rPr>
          <w:rFonts w:ascii="IRNazanin" w:hAnsi="IRNazanin" w:eastAsia="IRNazanin"/>
          <w:color w:val="111111"/>
          <w:sz w:val="28"/>
          <w:sz w:val="28"/>
          <w:szCs w:val="28"/>
          <w:rtl w:val="true"/>
          <w:lang w:bidi="fa-IR"/>
        </w:rPr>
        <w:t>لا یستلزم الإجماع علی ثبوت حکم النجاسة حتّی یحدث شیء معیّن فی الواقع مجهول عندنا قد اعتبره الشارع مطهّرا،فلا یکون من قبیل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 لیس داخلا تحت الاستصحاب المذکور،لکن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بالإجماع وجوب شیء علی المتغوّط فی الواقع،و هو مردّد بین أن یکون المسح بثلاثة أحجار أو الأعمّ منه و من المسح بجهات حجر واحد،فما لم یأت بالأوّل لم یحصل الیقین بالامتثال و الخروج عن العهدة،فیکون الإتیان به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الإجماع علی وجوب شیء معیّن فی الواقع مبهم فی نظر المکلّف،بحیث لو لم یأت بذلک الشیء المعیّن لاستحقّ العقاب،بل الإجماع علی أنّ ترک الأمرین معا سبب لاستحقاق العقاب،فیجب أن لا یترکهما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ورد نصّ أو إجماع علی وجوب شیء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عندنا،أو ثبوت حکم إلی غایة معیّنة عندنا،فلا بدّ من الحکم بلزوم تحصیل الیقین أو الظنّ بوجود ذلک الشیء المعلوم،حتّی یتحقّق الامتثال،و لا یکفی الشکّ فی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یلزم الحکم ببقاء ذلک الحکم إلی أن یحصل العلم أو الظنّ بوجود تلک الغایة المعلومة، و لا یکفی الشکّ فی وجودها فی ارتفاع ذلک الحکم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إذا ورد نصّ أو إجماع علی وجوب شیء معیّن فی الواقع مردّد فی نظرنا بین امور،و یعلم أنّ ذلک التکلیف غیر مشروط بشیء من العلم بذلک الشیء مثلا،أو علی ثبوت حکم إلی غایة معیّنة فی الواقع مردّدة عندنا بین أشیاء،و یعلم أیضا عدم اشتراطه بالعلم مثلا، </w:t>
      </w:r>
    </w:p>
    <w:p>
      <w:pPr>
        <w:pStyle w:val="BookText"/>
        <w:rPr/>
      </w:pPr>
      <w:r>
        <w:rPr>
          <w:rFonts w:ascii="IRNazanin" w:hAnsi="IRNazanin" w:eastAsia="IRNazanin"/>
          <w:color w:val="111111"/>
          <w:sz w:val="28"/>
          <w:sz w:val="28"/>
          <w:szCs w:val="28"/>
          <w:rtl w:val="true"/>
          <w:lang w:bidi="fa-IR"/>
        </w:rPr>
        <w:t xml:space="preserve">یجب الحکم بوجوب تلک الأشیاء المردّدة </w:t>
      </w:r>
      <w:r>
        <w:rPr>
          <w:rStyle w:val="FootnoteAnchor"/>
          <w:rtl w:val="true"/>
        </w:rPr>
        <w:footnoteReference w:id="600"/>
      </w:r>
      <w:r>
        <w:rPr>
          <w:rFonts w:ascii="IRNazanin" w:hAnsi="IRNazanin" w:eastAsia="IRNazanin"/>
          <w:color w:val="111111"/>
          <w:sz w:val="28"/>
          <w:sz w:val="28"/>
          <w:szCs w:val="28"/>
          <w:rtl w:val="true"/>
          <w:lang w:bidi="fa-IR"/>
        </w:rPr>
        <w:t>فی نظرنا،و بقاء ذلک الحکم إلی حصول تلک الأشیاء أیضا،و لا یکفی الإتیان بشیء واحد منها فی سقوط التکلیف،و کذا حصول شیء واحد فی ارتفاع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فی ذلک کون الواجب شیئا معیّنا فی الواقع مجهولا عندنا أو أشیاء کذلک، أو غایة معیّنة فی الواقع مجهولة عندنا أو غایات کذلک،و سواء أیضا تحقّق قدر مشترک بین تلک الأشیاء و الغایات أو تباینها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الأمر کذلک،بل ورد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الواجب الشیء الفلانیّ و نصّ آخر علی أنّ ذلک الواجب شیء آخر، أو ذهب بعض الأمّة إلی وجوب شیء و بعض آخر إلی وجوب شیء آخر،و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 و </w:t>
      </w:r>
      <w:r>
        <w:rPr>
          <w:rStyle w:val="FootnoteAnchor"/>
          <w:rtl w:val="true"/>
        </w:rPr>
        <w:footnoteReference w:id="601"/>
      </w:r>
      <w:r>
        <w:rPr>
          <w:rFonts w:ascii="IRNazanin" w:hAnsi="IRNazanin" w:eastAsia="IRNazanin"/>
          <w:color w:val="111111"/>
          <w:sz w:val="28"/>
          <w:sz w:val="28"/>
          <w:szCs w:val="28"/>
          <w:rtl w:val="true"/>
          <w:lang w:bidi="fa-IR"/>
        </w:rPr>
        <w:t>الإجماع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ذینک الشیئین معا سبب لاستحقاق العقاب،فحینئذ لم یظهر وجوب الإتیان بهما معا حتّی یتحقّق الامتثال،بل الظاهر الاکتفاء بواحد منهما،سواء اشترکا فی أمر أم تباینا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فی ثبوت الحکم الکلّی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بالتأمّل فی خصوصیّات الموارد،و استنباط أحکامها عن هذا الأصل،و رعایة جمیع ما یجب رعایته عند تعارض المعارضات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الهادی إلی سواء الطریق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 xml:space="preserve">. </w:t>
      </w:r>
      <w:bookmarkStart w:id="556" w:name="pg12985_125023"/>
    </w:p>
    <w:p>
      <w:pPr>
        <w:pStyle w:val="BookText"/>
        <w:rPr/>
      </w:pPr>
      <w:bookmarkEnd w:id="556"/>
      <w:r>
        <w:rPr>
          <w:rFonts w:ascii="IRNazanin" w:hAnsi="IRNazanin" w:eastAsia="IRNazanin"/>
          <w:color w:val="111111"/>
          <w:sz w:val="28"/>
          <w:sz w:val="28"/>
          <w:szCs w:val="28"/>
          <w:rtl w:val="true"/>
          <w:lang w:bidi="fa-IR"/>
        </w:rPr>
        <w:t xml:space="preserve">و حکی السیّد الصدر فی شرح الوافیة عنه قدّس سرّه حاشیة اخری له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Heading5"/>
        <w:numPr>
          <w:ilvl w:val="4"/>
          <w:numId w:val="1"/>
        </w:numPr>
        <w:rPr/>
      </w:pPr>
      <w:bookmarkStart w:id="557" w:name="__RefHeading___Toc5767235_3224264995"/>
      <w:bookmarkStart w:id="558" w:name="_Toc226"/>
      <w:bookmarkEnd w:id="557"/>
      <w:r>
        <w:rPr>
          <w:rtl w:val="true"/>
        </w:rPr>
        <w:t>کلام آخر للمحقق الخوانساری</w:t>
      </w:r>
      <w:bookmarkEnd w:id="558"/>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لا دلیل علی حجّیّته عقلا،و ما تمسّکوا به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ما تمسّکوا </w:t>
      </w:r>
      <w:r>
        <w:rPr>
          <w:rStyle w:val="FootnoteAnchor"/>
          <w:rtl w:val="true"/>
        </w:rPr>
        <w:footnoteReference w:id="604"/>
      </w:r>
      <w:r>
        <w:rPr>
          <w:rFonts w:ascii="IRNazanin" w:hAnsi="IRNazanin" w:eastAsia="IRNazanin"/>
          <w:color w:val="111111"/>
          <w:sz w:val="28"/>
          <w:sz w:val="28"/>
          <w:szCs w:val="28"/>
          <w:rtl w:val="true"/>
          <w:lang w:bidi="fa-IR"/>
        </w:rPr>
        <w:t>فیها ما ورد فی بعض الروایات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تسلیم صحّة الاحتجاج بالخبر فی مثل هذا الأصل </w:t>
      </w:r>
      <w:r>
        <w:rPr>
          <w:rStyle w:val="FootnoteAnchor"/>
          <w:rtl w:val="true"/>
        </w:rPr>
        <w:footnoteReference w:id="605"/>
      </w:r>
      <w:r>
        <w:rPr>
          <w:rFonts w:ascii="IRNazanin" w:hAnsi="IRNazanin" w:eastAsia="IRNazanin"/>
          <w:color w:val="111111"/>
          <w:sz w:val="28"/>
          <w:sz w:val="28"/>
          <w:szCs w:val="28"/>
          <w:rtl w:val="true"/>
          <w:lang w:bidi="fa-IR"/>
        </w:rPr>
        <w:t>و عدم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هذا الحکم الظاهر أنّه من الاصول،و یشکل التمسّک بخبر الواحد فی الاصول،إن سلّم التمسّک به فی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یظهر شموله للامور الخارجیّة،مثل رطوبة الثوب و نحوها؛إذ یبعد أن یکون مرادهم بیان الحکم فی مثل هذه الامور التی لیست أحکاما شرعیّة،و إن أمکن أن یصیر منشأ لحکم شرعیّ،و هذا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فی الامور الخارجیّة 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تخصیصه بالأحکام الشرعیّة،فنقول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حکم شرعیّ فی مورد خاصّ باعتبار حال یعلم من الخارج أنّ زوال تلک الحال لا یستلزم زوال ذلک الحکم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باعتبار حال لا یعلم فیه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نجاسة ثوب خاصّ باعتبار ملاقاته للبول، بأن یستدلّ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شیء لاقاه البول،و کلّ ما لاقاه البول نجس،فهذا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الشرعی النجاسة،و ثبوته باعتبار حال هو ملاقاة البول،و قد علم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أو إجماعا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یزول النجاسة بزوال الملاقاة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بصدده،فإنّه ثبت وجوب الاجتناب عن الإناء المخصوص باعتبار أنّه شیء یعلم وقوع النجاسة فیه بعینه،و کلّ شیء کذلک یجب الاجتناب عنه،و لم یعلم بدلیل من الخارج أنّ زوال ذلک الوصف الذی یحصل باعتبار زوال المعلومیّة بعینه لا دخل له فی زوال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الخبر للقسم الأوّل ظاهر،فیمکن التمسّک بالاستصحاب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فالتمسّک فیه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علم فی القسم الأوّل أنّه لا یزول الحکم بزوال الوصف،فأیّ حاجة إلی التمسّک بالاستصحاب؟و أیّ فائدة فیما ورد فی الأخبار،من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لا ینقض بالشکّ؟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النجاسة بعد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ما لم یرد علیه </w:t>
      </w:r>
      <w:r>
        <w:rPr>
          <w:rStyle w:val="FootnoteAnchor"/>
          <w:rtl w:val="true"/>
        </w:rPr>
        <w:footnoteReference w:id="606"/>
      </w:r>
      <w:r>
        <w:rPr>
          <w:rFonts w:ascii="IRNazanin" w:hAnsi="IRNazanin" w:eastAsia="IRNazanin"/>
          <w:color w:val="111111"/>
          <w:sz w:val="28"/>
          <w:sz w:val="28"/>
          <w:szCs w:val="28"/>
          <w:rtl w:val="true"/>
          <w:lang w:bidi="fa-IR"/>
        </w:rPr>
        <w:t>الماء علی الوجه المعتبر فی الشرع،و حینئذ فائدته أنّ عند حصول الشکّ فی ورود الماء لا یحکم بزوال النجاسة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ثبوت الحکم فی الجملة بعد زوال الوصف،لکن </w:t>
      </w:r>
      <w:bookmarkStart w:id="559" w:name="pg12985_125025"/>
    </w:p>
    <w:p>
      <w:pPr>
        <w:pStyle w:val="BookText"/>
        <w:rPr/>
      </w:pPr>
      <w:bookmarkEnd w:id="559"/>
      <w:r>
        <w:rPr>
          <w:rFonts w:ascii="IRNazanin" w:hAnsi="IRNazanin" w:eastAsia="IRNazanin"/>
          <w:color w:val="111111"/>
          <w:sz w:val="28"/>
          <w:sz w:val="28"/>
          <w:szCs w:val="28"/>
          <w:rtl w:val="true"/>
          <w:lang w:bidi="fa-IR"/>
        </w:rPr>
        <w:t xml:space="preserve">لم یعلم أنّه ثابت دائما،أو فی بعض الأوقات إلی غایة معیّنة محدودة، أم لا؟و فائدته </w:t>
      </w:r>
      <w:r>
        <w:rPr>
          <w:rStyle w:val="FootnoteAnchor"/>
          <w:rtl w:val="true"/>
        </w:rPr>
        <w:footnoteReference w:id="607"/>
      </w:r>
      <w:r>
        <w:rPr>
          <w:rFonts w:ascii="IRNazanin" w:hAnsi="IRNazanin" w:eastAsia="IRNazanin"/>
          <w:color w:val="111111"/>
          <w:sz w:val="28"/>
          <w:sz w:val="28"/>
          <w:szCs w:val="28"/>
          <w:rtl w:val="true"/>
          <w:lang w:bidi="fa-IR"/>
        </w:rPr>
        <w:t>أنّه إذا ثبت الحکم فی الجملة فیستصحب إلی أن یعلم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الذی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إثبات مثل هذا بمجرّد الخبر مشکل،مع انضمام أنّ الظهور </w:t>
      </w:r>
      <w:r>
        <w:rPr>
          <w:rStyle w:val="FootnoteAnchor"/>
          <w:rtl w:val="true"/>
        </w:rPr>
        <w:footnoteReference w:id="608"/>
      </w:r>
      <w:r>
        <w:rPr>
          <w:rFonts w:ascii="IRNazanin" w:hAnsi="IRNazanin" w:eastAsia="IRNazanin"/>
          <w:color w:val="111111"/>
          <w:sz w:val="28"/>
          <w:sz w:val="28"/>
          <w:szCs w:val="28"/>
          <w:rtl w:val="true"/>
          <w:lang w:bidi="fa-IR"/>
        </w:rPr>
        <w:t>فی القسم الثانی لم یبلغ مبلغه فی القسم الأوّل،و أنّ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 أن یکون الیقین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دلیل دالّ علی الحکم فی غیر صورة ما شکّ فیه؛إذ لو فرض عدم دلیل لکان 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عدم الدلیل الذی هو دلیل العدم،لا الشکّ،کأنّه یصیر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ینبغی رعایة الاحتیاط فی کلّ من القسمین،بل فی الامور الخارجیّة أیضا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5"/>
        <w:numPr>
          <w:ilvl w:val="4"/>
          <w:numId w:val="1"/>
        </w:numPr>
        <w:rPr/>
      </w:pPr>
      <w:bookmarkStart w:id="560" w:name="__RefHeading___Toc5767237_3224264995"/>
      <w:bookmarkStart w:id="561" w:name="_Toc227"/>
      <w:bookmarkEnd w:id="560"/>
      <w:r>
        <w:rPr>
          <w:rtl w:val="true"/>
        </w:rPr>
        <w:t>المناقشة فیما أفاده المحقّق الخوانساری</w:t>
      </w:r>
      <w:r>
        <w:rPr>
          <w:rtl w:val="true"/>
        </w:rPr>
        <w:t>:</w:t>
      </w:r>
      <w:bookmarkEnd w:id="5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أجاد فیما أفاد،و جاء بما فوق المراد،إلاّ أنّ فی کلامه مواقع للتأمّل،فلنذکر مواقعه و نشیر إلی وجهه،فنقول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إلی حجّیّته فی القسم الأوّل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کصریح ما تقدّم منه فی حاشیته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القائل بحجّیّة الاستصحاب فی الأحکام الشرعیّة الجزئیّة کطهارة هذا الثوب، و الکلّیّة کنجاسة المتغیّر بعد زوال التغیّر،و عدم الحجّیّة فی الامور الخارجیّة،کرطوبة الثوب و حیاة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نظر،یعرف </w:t>
      </w:r>
      <w:r>
        <w:rPr>
          <w:rStyle w:val="FootnoteAnchor"/>
          <w:rtl w:val="true"/>
        </w:rPr>
        <w:footnoteReference w:id="610"/>
      </w:r>
      <w:r>
        <w:rPr>
          <w:rFonts w:ascii="IRNazanin" w:hAnsi="IRNazanin" w:eastAsia="IRNazanin"/>
          <w:color w:val="111111"/>
          <w:sz w:val="28"/>
          <w:sz w:val="28"/>
          <w:szCs w:val="28"/>
          <w:rtl w:val="true"/>
          <w:lang w:bidi="fa-IR"/>
        </w:rPr>
        <w:t>بالتتبّع فی کلمات القائلین بحجّیّة الاستصحاب و عدمها،و النظر فی أدلّتهم،مع أنّ ما ذکره فی الحاشیة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لعدم الجریان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الحکم الجزئیّ أیضا؛فإنّ بیان وصول النجاسة إلی هذا الثوب الخاصّ واقعا و عدم وصولها،و بیان نجاسته المسبّبة عن هذا الوصول و عدمها لعدم الوصول،کلاهما خارج عن شأن الشارع،کما أنّ بیان طهارة الثوب المذکور ظاهرا و بیان عدم وصول النجاسة إلیه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الحقیقة إلی الحکم بالطهارة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شأن الشارع،کما نبّهنا علیه فیما تقدّم </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حجّیّة الاستصحاب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مغایرة ما ذکره لما ذکره المشهور،هو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الاعتماد فی البقاء عند المشهور علی الوجود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 فی زمان 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قول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الزمان الثانی تعویلا علی ثبوته فی الزمن الأوّل</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کذلک علی طریقة شارح الدروس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الفلانیّ بعد تحقّقه ثابت إلی حدوث حال </w:t>
      </w:r>
    </w:p>
    <w:p>
      <w:pPr>
        <w:pStyle w:val="BookText"/>
        <w:rPr/>
      </w:pPr>
      <w:r>
        <w:rPr>
          <w:rFonts w:ascii="IRNazanin" w:hAnsi="IRNazanin" w:eastAsia="IRNazanin"/>
          <w:color w:val="111111"/>
          <w:sz w:val="28"/>
          <w:sz w:val="28"/>
          <w:szCs w:val="28"/>
          <w:rtl w:val="true"/>
          <w:lang w:bidi="fa-IR"/>
        </w:rPr>
        <w:t>کذا أو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الحکم إلی زمان کذا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الفعل إلی زمان کذا موضوعا واحدا تعلّق به الحکم الواحد،کأن یلاحظ الجلوس فی المسجد إلی وقت الزوال فعلا واحدا تعلّق به أحد الأحکام الخمسة،و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 المستمرّ إلی اللیل؛حیث إنّه ملحوظ فعلا واحدا تعلّق به الوجوب أو الندب أو غیرهما من أحکام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یلاحظ الفعل فی کلّ جزء یسعه من الزمان المغیّا </w:t>
      </w:r>
      <w:r>
        <w:rPr>
          <w:rStyle w:val="FootnoteAnchor"/>
          <w:rtl w:val="true"/>
        </w:rPr>
        <w:footnoteReference w:id="614"/>
      </w:r>
      <w:r>
        <w:rPr>
          <w:rFonts w:ascii="IRNazanin" w:hAnsi="IRNazanin" w:eastAsia="IRNazanin"/>
          <w:color w:val="111111"/>
          <w:sz w:val="28"/>
          <w:sz w:val="28"/>
          <w:szCs w:val="28"/>
          <w:rtl w:val="true"/>
          <w:lang w:bidi="fa-IR"/>
        </w:rPr>
        <w:t>موضوعا مستقلا تعلّق به حکم،فیحدث فی المقام أحکام متعدّدة لموضوعات متعدّدة،و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عند رؤیة هلال رمضان إلی أن یری هلال شوّال؛فإنّ صوم کلّ یوم إلی انقضاء الشهر فعل مستقلّ تعلّق به حکم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الأوّل،فالحکم التکلیفیّ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أمر،و إمّا نهی،و إمّا تخییر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أمرا،کان اللازم عند الشکّ فی وجود الغایة ما ذکره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وجوب الإتیان بالفعل تحصیلا للیقین بالبراءة من التکلیف المعلوم، لکن یجب تقییده بما إذا لم یعارضه تکلیف آخر محدود بما بعد الغایة، کما إذا وجب الجلوس فی المسجد إلی الزوال،و وجب الخروج منه من الزوال إلی الغروب؛فإنّ وجوب الاحتیاط للتکلیف بالجلوس عند الشکّ فی الزوال معارض بوجوب الاحتیاط للتکلیف بالخروج بعد الزوال،فلا بدّ من الرجوع فی وجوب الجلوس عند الشکّ فی الزوال </w:t>
      </w:r>
    </w:p>
    <w:p>
      <w:pPr>
        <w:pStyle w:val="BookText"/>
        <w:rPr/>
      </w:pPr>
      <w:r>
        <w:rPr>
          <w:rFonts w:ascii="IRNazanin" w:hAnsi="IRNazanin" w:eastAsia="IRNazanin"/>
          <w:color w:val="111111"/>
          <w:sz w:val="28"/>
          <w:sz w:val="28"/>
          <w:szCs w:val="28"/>
          <w:rtl w:val="true"/>
          <w:lang w:bidi="fa-IR"/>
        </w:rPr>
        <w:t>إلی أصل آخر غیر الاحتیاط،مثل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الزوال،أو عدم الخروج عن عهدة التکلیف بالجلوس،أو عدم حدوث التکلیف بالخروج،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نهیا،کما إذا حرم الإمساک المحدود بالغایة المذکورة أو الجلوس المذکور،فإن قلنا بتحریم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المتیقّن التحریم قبل الشکّ فی وجود الغایة،و أمّا التحریم بعده فلا یثبت بما ذکر فی الأمر،بل یحتاج إلی الاستصحاب المشهور،و إلاّ فالأصل الإباحة فی صورة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یتحقّق الحرام و لا استحقاق العقاب إلاّ بعد تمام </w:t>
      </w:r>
      <w:r>
        <w:rPr>
          <w:rStyle w:val="FootnoteAnchor"/>
          <w:rtl w:val="true"/>
        </w:rPr>
        <w:footnoteReference w:id="615"/>
      </w:r>
      <w:r>
        <w:rPr>
          <w:rFonts w:ascii="IRNazanin" w:hAnsi="IRNazanin" w:eastAsia="IRNazanin"/>
          <w:color w:val="111111"/>
          <w:sz w:val="28"/>
          <w:sz w:val="28"/>
          <w:szCs w:val="28"/>
          <w:rtl w:val="true"/>
          <w:lang w:bidi="fa-IR"/>
        </w:rPr>
        <w:t>الإمساک و الجلوس المذکورین،فیرجع إلی مقتضی أصالة عدم استحقاق العقاب و عدم تحقّق المعصیة،و لا دخل له بما ذکره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تخییرا،فالأصل فیه و إن اقتضی عدم حدوث حکم ما بعد الغایة للفعل عند الشکّ فیها،إلاّ أنّه قد یکون حکم ما بعد الغایة تکلیفا منجّزا یجب فیه الاحتیاط،کما إذا أباح الأکل إلی طلوع الفجر مع تنجّز وجوب الإمساک من طلوع الفجر إلی الغروب علیه؛فإنّ الظاهر لزوم الکفّ من الأکل 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لوحظ الفعل المحکوم علیه بالحکم الاقتضائیّ أو التخییریّ أمرا واحدا مستمرّا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الثانی،و هو ما لوحظ فیه الفعل امورا متعدّدة کلّ واحد منها متّصف بذلک الحکم غیر مربوط بالآخر،فإن کان أمرا أو نهیا فأصالة الإباحة و البراءة قاضیة بعدم الوجوب و الحرمة فی زمان الشکّ، </w:t>
      </w:r>
      <w:bookmarkStart w:id="562" w:name="pg12985_125029"/>
    </w:p>
    <w:p>
      <w:pPr>
        <w:pStyle w:val="BookText"/>
        <w:rPr/>
      </w:pPr>
      <w:bookmarkEnd w:id="562"/>
      <w:r>
        <w:rPr>
          <w:rFonts w:ascii="IRNazanin" w:hAnsi="IRNazanin" w:eastAsia="IRNazanin"/>
          <w:color w:val="111111"/>
          <w:sz w:val="28"/>
          <w:sz w:val="28"/>
          <w:szCs w:val="28"/>
          <w:rtl w:val="true"/>
          <w:lang w:bidi="fa-IR"/>
        </w:rPr>
        <w:t>و کذلک أصالة الإباحة فی الحکم التخییریّ،إلاّ إذا کان الحکم فیما بعد الغایة تکلیفا منجّزا 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من الوجه الأوّل الراجع إلی وجوب تحصیل الامتثال لا یجری إلاّ فی قلیل من الصور المتصوّرة فی المسألة،و مع ذلک فلا یخفی أنّ إثبات الحکم فی زمان الشکّ بقاعدة الاحتیاط کما فی الاقتضائیّ،أو قاعدة الإباحة و البراءة کما فی الحکم التخییریّ،لیس قولا بالاستصحاب المختلف فیه أصلا؛لأنّ مرجعه إلی أنّ إثبات الحکم فی الزمان الثانی یحتاج إلی دلیل یدلّ علیه و لو کان أصالة الاحتیاط أو البراءة،و هذا عین إنکار الاستصحاب؛لأنّ المنکر </w:t>
      </w:r>
      <w:r>
        <w:rPr>
          <w:rStyle w:val="FootnoteAnchor"/>
          <w:rtl w:val="true"/>
        </w:rPr>
        <w:footnoteReference w:id="616"/>
      </w:r>
      <w:r>
        <w:rPr>
          <w:rFonts w:ascii="IRNazanin" w:hAnsi="IRNazanin" w:eastAsia="IRNazanin"/>
          <w:color w:val="111111"/>
          <w:sz w:val="28"/>
          <w:sz w:val="28"/>
          <w:szCs w:val="28"/>
          <w:rtl w:val="true"/>
          <w:lang w:bidi="fa-IR"/>
        </w:rPr>
        <w:t>یرجع إلی اصول أخر،فلا حاجة إلی تطویل الکلام و تغییر اسلوب کلام المنکرین فی هذا المقام</w:t>
      </w:r>
      <w:r>
        <w:rPr>
          <w:rFonts w:eastAsia="IRNazanin" w:cs="IRNazanin"/>
          <w:color w:val="111111"/>
          <w:sz w:val="28"/>
          <w:szCs w:val="28"/>
          <w:rtl w:val="true"/>
          <w:lang w:bidi="fa-IR"/>
        </w:rPr>
        <w:t>.</w:t>
      </w:r>
    </w:p>
    <w:p>
      <w:pPr>
        <w:pStyle w:val="Heading5"/>
        <w:numPr>
          <w:ilvl w:val="4"/>
          <w:numId w:val="1"/>
        </w:numPr>
        <w:rPr/>
      </w:pPr>
      <w:bookmarkStart w:id="563" w:name="__RefHeading___Toc5767239_3224264995"/>
      <w:bookmarkStart w:id="564" w:name="_Toc228"/>
      <w:bookmarkEnd w:id="563"/>
      <w:r>
        <w:rPr>
          <w:rtl w:val="true"/>
        </w:rPr>
        <w:t>توجیه ما ذکره المحقق الخوانساری فی الحکم التخییری</w:t>
      </w:r>
      <w:r>
        <w:rPr>
          <w:rtl w:val="true"/>
        </w:rPr>
        <w:t>:</w:t>
      </w:r>
      <w:bookmarkEnd w:id="564"/>
    </w:p>
    <w:p>
      <w:pPr>
        <w:pStyle w:val="BookText"/>
        <w:rPr/>
      </w:pPr>
      <w:r>
        <w:rPr>
          <w:rFonts w:ascii="IRNazanin" w:hAnsi="IRNazanin" w:eastAsia="IRNazanin"/>
          <w:color w:val="111111"/>
          <w:sz w:val="28"/>
          <w:sz w:val="28"/>
          <w:szCs w:val="28"/>
          <w:rtl w:val="true"/>
          <w:lang w:bidi="fa-IR"/>
        </w:rPr>
        <w:t>بقی الکلام فی توجیه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فی الحکم التخییریّ أظهر،و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بالتخییر فی زمان الشکّ فی وجود الغایة مطابق لأصالة الإباحة الثابتة بالعقل و النقل،کما أنّ الحکم بالبقاء فی الحکم الاقتضائیّ کان مطابقا لأصالة الاحتیاط الثابتة فی المقام بالعقل و النقل</w:t>
      </w:r>
      <w:r>
        <w:rPr>
          <w:rFonts w:eastAsia="IRNazanin" w:cs="IRNazanin"/>
          <w:color w:val="111111"/>
          <w:sz w:val="28"/>
          <w:szCs w:val="28"/>
          <w:rtl w:val="true"/>
          <w:lang w:bidi="fa-IR"/>
        </w:rPr>
        <w:t>.</w:t>
      </w:r>
    </w:p>
    <w:p>
      <w:pPr>
        <w:pStyle w:val="Heading5"/>
        <w:numPr>
          <w:ilvl w:val="4"/>
          <w:numId w:val="1"/>
        </w:numPr>
        <w:rPr/>
      </w:pPr>
      <w:bookmarkStart w:id="565" w:name="__RefHeading___Toc5767241_3224264995"/>
      <w:bookmarkStart w:id="566" w:name="_Toc229"/>
      <w:bookmarkEnd w:id="565"/>
      <w:r>
        <w:rPr>
          <w:rtl w:val="true"/>
        </w:rPr>
        <w:t>توجیه المحقّق القمّی</w:t>
      </w:r>
      <w:r>
        <w:rPr>
          <w:rtl w:val="true"/>
        </w:rPr>
        <w:t>:</w:t>
      </w:r>
      <w:bookmarkEnd w:id="566"/>
    </w:p>
    <w:p>
      <w:pPr>
        <w:pStyle w:val="Heading6"/>
        <w:numPr>
          <w:ilvl w:val="5"/>
          <w:numId w:val="1"/>
        </w:numPr>
        <w:rPr/>
      </w:pPr>
      <w:bookmarkStart w:id="567" w:name="__RefHeading___Toc5767243_3224264995"/>
      <w:bookmarkStart w:id="568" w:name="_Toc230"/>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قد وجّه المحقّق القمّی قدّس سرّه إلحاق الحکم التخییریّ بالاقتضائیّ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مقتضی التخییر إلی غایة وجوب الاعتقاد بثبوته فی کلّ جزء ممّا </w:t>
      </w:r>
      <w:bookmarkStart w:id="569" w:name="pg12985_125030"/>
    </w:p>
    <w:p>
      <w:pPr>
        <w:pStyle w:val="BookText"/>
        <w:rPr/>
      </w:pPr>
      <w:bookmarkEnd w:id="569"/>
      <w:r>
        <w:rPr>
          <w:rFonts w:ascii="IRNazanin" w:hAnsi="IRNazanin" w:eastAsia="IRNazanin"/>
          <w:color w:val="111111"/>
          <w:sz w:val="28"/>
          <w:sz w:val="28"/>
          <w:szCs w:val="28"/>
          <w:rtl w:val="true"/>
          <w:lang w:bidi="fa-IR"/>
        </w:rPr>
        <w:t xml:space="preserve">قبل الغایة،و لا یحصل الیقین بالبراءة من التکلیف باعتقاد التخییر عند الشکّ فی حدوث الغایة،إلاّ بالحکم بالإباحة و اعتقادها فی هذا الزمان أیضا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5767245_3224264995"/>
      <w:bookmarkStart w:id="571" w:name="_Toc231"/>
      <w:bookmarkEnd w:id="570"/>
      <w:r>
        <w:rPr>
          <w:rtl w:val="true"/>
        </w:rPr>
        <w:t>المناقشة فی توجیه المحقّق القمّی</w:t>
      </w:r>
      <w:r>
        <w:rPr>
          <w:rtl w:val="true"/>
        </w:rPr>
        <w:t>:</w:t>
      </w:r>
      <w:bookmarkEnd w:id="571"/>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وجوب الاعتقاد بکون الحکم المذکور ثابتا إلی الغایة المعیّنة،فهذا الاعتقاد موجود و لو بعد القطع بتحقّق الغایة فضلا عن صورة الشکّ فیه؛فإنّ هذا اعتقاد بالحکم الشرعیّ الکلّی، و وجوبه غیر مغیّا بغایة؛فإنّ الغایة غایة للمعتقد لا لوجوب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وجوب الاعتقاد بذلک الحکم التخییریّ فی کلّ جزء من الزمان الذی یکون فی الواقع ممّا قبل الغایة و إن لم یکن معلوما عندنا،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الاعتقاد فی هذا الجزء المشکوک بکون الحکم فیه هو الحکم الأوّلیّ أو غیره ممنوع جدّا،بل الکلام فی جوازه؛لأنّه معارض بوجوب الاعتقاد بالحکم الآخر الذی ثبت فیما بعد الغایة واقعا و إن لم یکن معلوما،بل لا یعقل وجوب الاعتقاد مع الشکّ فی الموضوع،کما لا یخفی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الموجّه قدّس سرّه قد وجد عبارة شرح الدروس فی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وجدته </w:t>
      </w:r>
      <w:r>
        <w:rPr>
          <w:rStyle w:val="FootnoteAnchor"/>
          <w:rtl w:val="true"/>
        </w:rPr>
        <w:footnoteReference w:id="618"/>
      </w:r>
      <w:r>
        <w:rPr>
          <w:rFonts w:ascii="IRNazanin" w:hAnsi="IRNazanin" w:eastAsia="IRNazanin"/>
          <w:color w:val="111111"/>
          <w:sz w:val="28"/>
          <w:sz w:val="28"/>
          <w:szCs w:val="28"/>
          <w:rtl w:val="true"/>
          <w:lang w:bidi="fa-IR"/>
        </w:rPr>
        <w:t>فی بعض نسخ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یخفی،لکنّی راجعت بعض نسخ شرح الدروس </w:t>
      </w:r>
      <w:bookmarkStart w:id="572" w:name="pg12985_125031"/>
    </w:p>
    <w:p>
      <w:pPr>
        <w:pStyle w:val="BookText"/>
        <w:rPr/>
      </w:pPr>
      <w:bookmarkEnd w:id="572"/>
      <w:r>
        <w:rPr>
          <w:rFonts w:ascii="IRNazanin" w:hAnsi="IRNazanin" w:eastAsia="IRNazanin"/>
          <w:color w:val="111111"/>
          <w:sz w:val="28"/>
          <w:sz w:val="28"/>
          <w:szCs w:val="28"/>
          <w:rtl w:val="true"/>
          <w:lang w:bidi="fa-IR"/>
        </w:rPr>
        <w:t>فوجدت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حینئذ فظاهره مقابلة وجه الحکم بالبقاء فی التخییر بوجه الحکم بالبقاء فی الاقتضاء،فلا وجه لإرجاع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بعض المعاصرین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التوجیه المذکور عن القوانین،و نسبه إلی المحقّق الخوانساریّ،فقال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المحقّق الخوانساریّ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الأخبار،و أصالة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فی إجراء أصالة الاشتغال فی الحکم التخییریّ بما وجّهه فی القوانین،ثمّ أخذ فی الطعن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الطعن فی التوجیه،لا فی حجّة المحقّق،بل لا طعن فی التوجیه أیضا؛لأنّ غلط النسخة ألجأه إلیه</w:t>
      </w:r>
      <w:r>
        <w:rPr>
          <w:rFonts w:eastAsia="IRNazanin" w:cs="IRNazanin"/>
          <w:color w:val="111111"/>
          <w:sz w:val="28"/>
          <w:szCs w:val="28"/>
          <w:rtl w:val="true"/>
          <w:lang w:bidi="fa-IR"/>
        </w:rPr>
        <w:t>.</w:t>
      </w:r>
    </w:p>
    <w:p>
      <w:pPr>
        <w:pStyle w:val="Heading5"/>
        <w:numPr>
          <w:ilvl w:val="4"/>
          <w:numId w:val="1"/>
        </w:numPr>
        <w:rPr/>
      </w:pPr>
      <w:bookmarkStart w:id="573" w:name="__RefHeading___Toc5767247_3224264995"/>
      <w:bookmarkStart w:id="574" w:name="_Toc232"/>
      <w:bookmarkEnd w:id="573"/>
      <w:r>
        <w:rPr>
          <w:rtl w:val="true"/>
        </w:rPr>
        <w:t>ما أورده السید الصدر علی المحقق الخوانساری</w:t>
      </w:r>
      <w:r>
        <w:rPr>
          <w:rtl w:val="true"/>
        </w:rPr>
        <w:t>:</w:t>
      </w:r>
      <w:bookmarkEnd w:id="574"/>
    </w:p>
    <w:p>
      <w:pPr>
        <w:pStyle w:val="Heading6"/>
        <w:numPr>
          <w:ilvl w:val="5"/>
          <w:numId w:val="1"/>
        </w:numPr>
        <w:rPr/>
      </w:pPr>
      <w:bookmarkStart w:id="575" w:name="__RefHeading___Toc5767249_3224264995"/>
      <w:bookmarkStart w:id="576" w:name="_Toc233"/>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هذا،و قد أورد علیه السیّد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بجریان ما ذکره من قاعدة وجوب تحصیل الامتثال فی استصحاب القوم </w:t>
      </w:r>
      <w:r>
        <w:rPr>
          <w:rStyle w:val="FootnoteAnchor"/>
          <w:rtl w:val="true"/>
        </w:rPr>
        <w:footnoteReference w:id="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کما نجزم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التی 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الحکم فی قطعة من الزمان،و نشکّ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تحقّقه فی زمان یکون حدوث الغایة فیه و عدمه متساویین عندنا،فکذلک نجزم بتحقّق الحکم فی زمان لا یمکن تحقّقه إلاّ فیه،و نشکّ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تحقّقه فی زمان متّصل بذلک الزمان؛لاحتمال وجود رافع لجزء من أجزاء علّة الوجود،و کما أنّ فی الصورة الاولی یکون الدلیل محتملا لأن یراد منه </w:t>
      </w:r>
      <w:bookmarkStart w:id="577" w:name="pg12985_125032"/>
    </w:p>
    <w:p>
      <w:pPr>
        <w:pStyle w:val="BookText"/>
        <w:rPr/>
      </w:pPr>
      <w:bookmarkEnd w:id="577"/>
      <w:r>
        <w:rPr>
          <w:rFonts w:ascii="IRNazanin" w:hAnsi="IRNazanin" w:eastAsia="IRNazanin"/>
          <w:color w:val="111111"/>
          <w:sz w:val="28"/>
          <w:sz w:val="28"/>
          <w:szCs w:val="28"/>
          <w:rtl w:val="true"/>
          <w:lang w:bidi="fa-IR"/>
        </w:rPr>
        <w:t>وجود الحکم فی زمان الشکّ و أن یراد عدم وجوده،فکذلک الدلیل فی الصورة التی فرضناها،و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یمتثل المکلّف </w:t>
      </w:r>
      <w:r>
        <w:rPr>
          <w:rStyle w:val="FootnoteAnchor"/>
          <w:rtl w:val="true"/>
        </w:rPr>
        <w:footnoteReference w:id="623"/>
      </w:r>
      <w:r>
        <w:rPr>
          <w:rFonts w:ascii="IRNazanin" w:hAnsi="IRNazanin" w:eastAsia="IRNazanin"/>
          <w:color w:val="111111"/>
          <w:sz w:val="28"/>
          <w:sz w:val="28"/>
          <w:szCs w:val="28"/>
          <w:rtl w:val="true"/>
          <w:lang w:bidi="fa-IR"/>
        </w:rPr>
        <w:t>لم یحصل الظنّ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ذکره </w:t>
      </w:r>
      <w:r>
        <w:rPr>
          <w:rStyle w:val="FootnoteAnchor"/>
          <w:rtl w:val="true"/>
        </w:rPr>
        <w:footnoteReference w:id="6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78" w:name="__RefHeading___Toc5767251_3224264995"/>
      <w:bookmarkStart w:id="579" w:name="_Toc234"/>
      <w:bookmarkEnd w:id="578"/>
      <w:r>
        <w:rPr>
          <w:rtl w:val="true"/>
        </w:rPr>
        <w:t>المناقشة فی الإیراد</w:t>
      </w:r>
      <w:r>
        <w:rPr>
          <w:rtl w:val="true"/>
        </w:rPr>
        <w:t>:</w:t>
      </w:r>
      <w:bookmarkEnd w:id="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الإیراد ساقط عن المحقّق؛لعدم جریان قاعدة الاشتغال فی غیر الصورة التی فرضها المحقّق،مثلا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وجوب الصوم فی الجملة،و شککنا فی أنّ غایته سقوط القرص أو میل الحمرة المشرقیّة،فاللازم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المحقّق المذکور فی عدّة مواضع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نفی الزائد،و هو وجوب الإمساک بعد سقوط القرص،إلی أصالة البراءة؛لعدم ثبوت التکلیف بإمساک أزید من المقدار المعلوم،فیرجع إلی مسألة الشکّ فی الجزئیّة،فلا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یمتثل التکلیف لم یحصل الظنّ بالامتثال؛لأنّه إن ارید امتثال التکلیف المعلوم فقد حصل قطعا،و إن ارید امتثال التکلیف المحتمل فتحصیله غیر لازم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فرض المحقّق؛فإنّ التکلیف بالإمساک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السقوط علی القول به أو میل الحمرة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مبیّن،و إنّما الشکّ فی الإتیان به عند الشکّ فی حدوث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فالفرق بین مورد استصحابه و مورد استصحاب القوم،کالفرق بین الشکّ فی إتیان الجزء المعلوم الجزئیّة و الشکّ فی جزئیّة شیء،و قد تقرّر فی محلّه جریان أصالة الاحتیاط فی الأوّل دون الثانی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580" w:name="pg12985_125033"/>
    </w:p>
    <w:p>
      <w:pPr>
        <w:pStyle w:val="BookText"/>
        <w:rPr/>
      </w:pPr>
      <w:bookmarkEnd w:id="580"/>
      <w:r>
        <w:rPr>
          <w:rFonts w:ascii="IRNazanin" w:hAnsi="IRNazanin" w:eastAsia="IRNazanin"/>
          <w:color w:val="111111"/>
          <w:sz w:val="28"/>
          <w:sz w:val="28"/>
          <w:szCs w:val="28"/>
          <w:rtl w:val="true"/>
          <w:lang w:bidi="fa-IR"/>
        </w:rPr>
        <w:t>و قس علی ذلک سائر موارد استصحاب القوم،کما لو ثبت أنّ للحکم غایة و شککنا فی کون شیء آخر أیضا غایة له،فإنّ المرجع فی الشکّ فی ثبوت الحکم بعد تحقّق ما شکّ فی کونه غایة عند المحقّق الخوانساریّ قدّس سرّه هی أصالة البراءة دون الاحتیاط</w:t>
      </w:r>
      <w:r>
        <w:rPr>
          <w:rFonts w:eastAsia="IRNazanin" w:cs="IRNazanin"/>
          <w:color w:val="111111"/>
          <w:sz w:val="28"/>
          <w:szCs w:val="28"/>
          <w:rtl w:val="true"/>
          <w:lang w:bidi="fa-IR"/>
        </w:rPr>
        <w:t>.</w:t>
      </w:r>
    </w:p>
    <w:p>
      <w:pPr>
        <w:pStyle w:val="Heading4"/>
        <w:numPr>
          <w:ilvl w:val="3"/>
          <w:numId w:val="1"/>
        </w:numPr>
        <w:rPr/>
      </w:pPr>
      <w:bookmarkStart w:id="581" w:name="__RefHeading___Toc5767253_3224264995"/>
      <w:bookmarkStart w:id="582" w:name="_Toc235"/>
      <w:bookmarkEnd w:id="581"/>
      <w:r>
        <w:rPr>
          <w:rtl w:val="true"/>
        </w:rPr>
        <w:t>رجوع إلی کلام المحقق الخوانساری</w:t>
      </w:r>
      <w:r>
        <w:rPr>
          <w:rtl w:val="true"/>
        </w:rPr>
        <w:t>:</w:t>
      </w:r>
      <w:bookmarkEnd w:id="582"/>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عدم نقض الیقین بالشکّ أنّه عند التعارض لا ینقض،و معنی التعارض أن یکون شیء یوجب الیقین لو لا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 جعل تعارض الیقین و الشکّ باعتبار تعارض المقتضی للیقین و نفس الشکّ،علی أن یکون الشکّ مانعا عن الیقین،فیکون من قبیل تعارض المقتضی للشیء و المانع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بالموجب فی کلامه دلیل الیقین السابق،و هو الدالّ علی استمرار حکم إلی غایة معیّنة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التعارض الذی استظهره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یلاحظ بالنسبة إلی الناقض و نفس المنقوض، لا مقتضیه الموجب له لو لا الناقض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صرفه عن ظاهره،و هو نقض صفة الیقین أو أحکامه الثابتة له من حیث هی صفة من الصفات؛لارتفاع </w:t>
      </w:r>
      <w:r>
        <w:rPr>
          <w:rStyle w:val="FootnoteAnchor"/>
          <w:rtl w:val="true"/>
        </w:rPr>
        <w:footnoteReference w:id="627"/>
      </w:r>
      <w:r>
        <w:rPr>
          <w:rFonts w:ascii="IRNazanin" w:hAnsi="IRNazanin" w:eastAsia="IRNazanin"/>
          <w:color w:val="111111"/>
          <w:sz w:val="28"/>
          <w:sz w:val="28"/>
          <w:szCs w:val="28"/>
          <w:rtl w:val="true"/>
          <w:lang w:bidi="fa-IR"/>
        </w:rPr>
        <w:t>الیقین و أحکامه الثابتة له من حیث هو حین الشکّ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نقض أحکام الیقین،یعنی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الثابتة باعتباره للمتیقّن أعنی المستصحب،فیلاحظ التعارض حینئذ بین </w:t>
      </w:r>
    </w:p>
    <w:p>
      <w:pPr>
        <w:pStyle w:val="BookText"/>
        <w:rPr/>
      </w:pPr>
      <w:r>
        <w:rPr>
          <w:rFonts w:ascii="IRNazanin" w:hAnsi="IRNazanin" w:eastAsia="IRNazanin"/>
          <w:color w:val="111111"/>
          <w:sz w:val="28"/>
          <w:sz w:val="28"/>
          <w:szCs w:val="28"/>
          <w:rtl w:val="true"/>
          <w:lang w:bidi="fa-IR"/>
        </w:rPr>
        <w:t>المنقوض و الناقض،و اللازم من ذلک اختصاص الأخبار بما یکون المتیقّن و أحکامه ممّا یقتضی بنفسه الاستمرار لو لا الرافع،فلا ینقض تلک الأحکام بمجرّد الشکّ فی الرافع،سواء کان الشکّ فی وجود الرافع أو فی رافعیّة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هذا و ما ذکره المحقّق </w:t>
      </w:r>
      <w:r>
        <w:rPr>
          <w:rStyle w:val="FootnoteAnchor"/>
          <w:rtl w:val="true"/>
        </w:rPr>
        <w:footnoteReference w:id="628"/>
      </w:r>
      <w:r>
        <w:rPr>
          <w:rFonts w:ascii="Amiri" w:hAnsi="Amiri" w:eastAsia="Amiri" w:cs="Amiri"/>
          <w:color w:val="111111"/>
          <w:sz w:val="28"/>
          <w:sz w:val="28"/>
          <w:szCs w:val="28"/>
          <w:rtl w:val="true"/>
          <w:lang w:bidi="ar-SA"/>
        </w:rPr>
        <w:t>تباین جزئیّ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تعارض المقتضی للیقین و نفس الشکّ لم یکد یتصوّر فیما نحن فیه؛لأنّ الیقین بالمستصحب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الإمساک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حاصلا من الیقین بمقدّمتین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وجدانیّة،و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الآن لم یدخل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 مستفادة من دلیل استمرار الحکم إلی غایة معیّنة،و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الإمساک قبل أن یدخل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29"/>
      </w:r>
      <w:r>
        <w:rPr>
          <w:rFonts w:ascii="IRNazanin" w:hAnsi="IRNazanin" w:eastAsia="IRNazanin"/>
          <w:color w:val="111111"/>
          <w:sz w:val="28"/>
          <w:sz w:val="28"/>
          <w:szCs w:val="28"/>
          <w:rtl w:val="true"/>
          <w:lang w:bidi="fa-IR"/>
        </w:rPr>
        <w:t>المراد بالشکّ زوال الیقین بالصغری،و هو لیس من قبیل المانع عن الیقین،و الکبری من قبیل المقتضی له،حتّی یکونا من قبیل المتعارضین، بل نسبة الیقین إلی المقدّمتین علی نهج سواء،کلّ منهما من قبیل جزء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النقض بالنسبة إلی الشکّ و أحکام المتیقّن الثابتة لأجل الیقین أولی من ملاحظته بالنسبة إلی الشکّ و دلیل الیقین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توجیه کلام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یراد من موجب الیقین دلیل </w:t>
      </w:r>
    </w:p>
    <w:p>
      <w:pPr>
        <w:pStyle w:val="BookText"/>
        <w:rPr/>
      </w:pPr>
      <w:r>
        <w:rPr>
          <w:rFonts w:ascii="IRNazanin" w:hAnsi="IRNazanin" w:eastAsia="IRNazanin"/>
          <w:color w:val="111111"/>
          <w:sz w:val="28"/>
          <w:sz w:val="28"/>
          <w:szCs w:val="28"/>
          <w:rtl w:val="true"/>
          <w:lang w:bidi="fa-IR"/>
        </w:rPr>
        <w:t xml:space="preserve">المستصحب و هو عموم الحکم المغیّا،و من الشکّ احتمال الغایة </w:t>
      </w:r>
      <w:r>
        <w:rPr>
          <w:rStyle w:val="FootnoteAnchor"/>
          <w:rtl w:val="true"/>
        </w:rPr>
        <w:footnoteReference w:id="630"/>
      </w:r>
      <w:r>
        <w:rPr>
          <w:rFonts w:ascii="IRNazanin" w:hAnsi="IRNazanin" w:eastAsia="IRNazanin"/>
          <w:color w:val="111111"/>
          <w:sz w:val="28"/>
          <w:sz w:val="28"/>
          <w:szCs w:val="28"/>
          <w:rtl w:val="true"/>
          <w:lang w:bidi="fa-IR"/>
        </w:rPr>
        <w:t xml:space="preserve">التی </w:t>
      </w:r>
      <w:r>
        <w:rPr>
          <w:rStyle w:val="FootnoteAnchor"/>
          <w:rtl w:val="true"/>
        </w:rPr>
        <w:footnoteReference w:id="631"/>
      </w:r>
      <w:r>
        <w:rPr>
          <w:rFonts w:ascii="IRNazanin" w:hAnsi="IRNazanin" w:eastAsia="IRNazanin"/>
          <w:color w:val="111111"/>
          <w:sz w:val="28"/>
          <w:sz w:val="28"/>
          <w:szCs w:val="28"/>
          <w:rtl w:val="true"/>
          <w:lang w:bidi="fa-IR"/>
        </w:rPr>
        <w:t>من مخصّصات العامّ،فالمراد عدم نقض عموم دلیل المستصحب بمجرّد الشکّ فی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نقض العامّ باحتمال التخصیص إنّما یتصوّر فی الشکّ فی أصل التخصیص،و معه یتمسّک بعموم الدلیل لا بالاستصحاب،و أمّا مع الیقین بالتخصیص و الشکّ فی تحقّق المخصّص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مقتضی للحکم العامّ حتّی یتصوّر نقضه؛لأنّ العامّ المخصّص لا اقتضاء فیه لثبوت الحکم فی مورد الشکّ فی تحقّق المخصّص،خصوصا فی مثل التخصیص بالغایة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و المانع فی باب العامّ و الخاصّ هو لفظ العامّ و المخصّص،فإذا احرز المقتضی و شکّ فی وجود المخصّص یحکم بعدمه عملا بظاهر العامّ،و إذا علم بالتخصیص و خروج اللفظ عن ظاهر العموم ثمّ شکّ فی صدق المخصّص علی شیء،فنسبة دلیلی العموم و التخصیص إلیه علی السواء من حیث الاقتضاء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کلّه،مع أنّ ما ذکره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یستقیم فی قوله علیه السّلام فی ذیل الصحیحة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فی الصحیحة المتقدّمة </w:t>
      </w:r>
      <w:r>
        <w:rPr>
          <w:rStyle w:val="FootnoteAnchor"/>
          <w:rtl w:val="true"/>
        </w:rPr>
        <w:footnoteReference w:id="633"/>
      </w:r>
      <w:r>
        <w:rPr>
          <w:rFonts w:ascii="IRNazanin" w:hAnsi="IRNazanin" w:eastAsia="IRNazanin"/>
          <w:color w:val="111111"/>
          <w:sz w:val="28"/>
          <w:sz w:val="28"/>
          <w:szCs w:val="28"/>
          <w:rtl w:val="true"/>
          <w:lang w:bidi="fa-IR"/>
        </w:rPr>
        <w:t>الواردة فی الشکّ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p>
    <w:p>
      <w:pPr>
        <w:pStyle w:val="BookText"/>
        <w:rPr/>
      </w:pPr>
      <w:r>
        <w:rPr>
          <w:rFonts w:ascii="IRNazanin" w:hAnsi="IRNazanin" w:eastAsia="IRNazanin"/>
          <w:color w:val="111111"/>
          <w:sz w:val="28"/>
          <w:sz w:val="28"/>
          <w:szCs w:val="28"/>
          <w:rtl w:val="true"/>
          <w:lang w:bidi="fa-IR"/>
        </w:rPr>
        <w:t>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فی صدرها المصرّح بعدم نقض الیقین بالشکّ؛فإنّ المستصحب فی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فعل الزائد،و إمّا عدم براءة الذمّة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لیس فی شیء منهما دلیل یوجب الیقین لو لا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النجاسة فیما ذکره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موضع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مستمرّة،و ثبت أنّ التمسّح بثلاثة أحجار مزیل لها،و شکّ أنّ التمسّح بالحجر الواحد ذی الجهات مزیل أیضا أم لا؟فإذا ثبت وجوب إزالة النجاسة،و المفروض الشکّ فی تحقّق الإزالة بالتمسّح بالحجر الواحد ذی الجهات،فمقتضی دلیله هو وجوب تحصیل الیقین أو الظنّ المعتبر بالزوال،و فی مثل هذا المقام لا یجری أصالة البراءة و لا أدلّتها؛لعدم وجود القدر المتیقّن فی المأمور به و هی الإزالة و إن کان ما یتحقّق به مردّدا بین الأقلّ و الأکثر،لکن هذا التردید لیس فی نفس المأمور به،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أنّه لم یثبت الأمر بنفس الإزالة،و إنّما ثبت بالتمسّح بثلاثة أحجار أو بالأعمّ منه و من التمسّح بذی الجهات،أمکن بل لم یبعد إجراء أصالة البراءة عمّا عدا الأعمّ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فرق بین الأمر بإزالة النجاسة من الثوب،المردّدة بین غسله مرّة أو مرّتین،و بین الأمر بنفس الغسل المردّد بین المرّة </w:t>
      </w:r>
    </w:p>
    <w:p>
      <w:pPr>
        <w:pStyle w:val="BookText"/>
        <w:rPr/>
      </w:pPr>
      <w:r>
        <w:rPr>
          <w:rFonts w:ascii="IRNazanin" w:hAnsi="IRNazanin" w:eastAsia="IRNazanin"/>
          <w:color w:val="111111"/>
          <w:sz w:val="28"/>
          <w:sz w:val="28"/>
          <w:szCs w:val="28"/>
          <w:rtl w:val="true"/>
          <w:lang w:bidi="fa-IR"/>
        </w:rPr>
        <w:t>و المرّتین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یعیّن کون مسألة التمسّح من قبیل الأوّل دون الثانی هو ما استفید من أدلّة وجوب إزالة النجاسة عن الثوب و البدن </w:t>
      </w:r>
      <w:r>
        <w:rPr>
          <w:rStyle w:val="FootnoteAnchor"/>
          <w:rtl w:val="true"/>
        </w:rPr>
        <w:footnoteReference w:id="636"/>
      </w:r>
      <w:r>
        <w:rPr>
          <w:rFonts w:ascii="Amiri" w:hAnsi="Amiri" w:eastAsia="Amiri" w:cs="Amiri"/>
          <w:color w:val="111111"/>
          <w:sz w:val="28"/>
          <w:sz w:val="28"/>
          <w:szCs w:val="28"/>
          <w:rtl w:val="true"/>
          <w:lang w:bidi="ar-SA"/>
        </w:rPr>
        <w:t>للصلاة،مثل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Style w:val="FootnoteAnchor"/>
          <w:rtl w:val="true"/>
        </w:rPr>
        <w:footnoteReference w:id="637"/>
      </w:r>
      <w:r>
        <w:rPr>
          <w:rFonts w:ascii="IRNazanin" w:hAnsi="IRNazanin" w:eastAsia="IRNazanin"/>
          <w:color w:val="111111"/>
          <w:sz w:val="28"/>
          <w:sz w:val="28"/>
          <w:szCs w:val="28"/>
          <w:rtl w:val="true"/>
          <w:lang w:bidi="fa-IR"/>
        </w:rPr>
        <w:t>،و 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بناء علی شمول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بقرینة ذیله الدالّ علی کفایة الأحجار من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للطهارة الخبثیّة،و مثل الإجماعات المنقولة علی وجوب إزالة النجاسة عن الثوب و البدن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و إن لم یدلّ علیه دلیل صحیح السند و الدلالة علی وجه یرتضیه المحقّق المذکور </w:t>
      </w:r>
      <w:r>
        <w:rPr>
          <w:rStyle w:val="FootnoteAnchor"/>
          <w:rtl w:val="true"/>
        </w:rPr>
        <w:footnoteReference w:id="639"/>
      </w:r>
      <w:r>
        <w:rPr>
          <w:rFonts w:ascii="IRNazanin" w:hAnsi="IRNazanin" w:eastAsia="IRNazanin"/>
          <w:color w:val="111111"/>
          <w:sz w:val="28"/>
          <w:sz w:val="28"/>
          <w:szCs w:val="28"/>
          <w:rtl w:val="true"/>
          <w:lang w:bidi="fa-IR"/>
        </w:rPr>
        <w:t>،بل ظاهر أکثر الأخبار الأمر بنفس الغسل،إلاّ أنّ الإنصاف وجود الدلیل علی وجوب نفس الإزالة،و أنّ الأمر بالغسل فی الأخبار لیس لاعتباره بنفسه فی الصلاة،و إنّما هو أمر مقدّمیّ لإزالة النجاسة،مع أنّ کلام المحقّق المذکور لا یختصّ بالمثال الذی ذکره حتّی یناقش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یظهر ما فی قوله فی جواب الاعتراض الثانی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مسألة الاستنجاء من قبیل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أجمعوا </w:t>
      </w:r>
      <w:bookmarkStart w:id="583" w:name="pg12985_125038"/>
    </w:p>
    <w:p>
      <w:pPr>
        <w:pStyle w:val="BookText"/>
        <w:rPr/>
      </w:pPr>
      <w:bookmarkEnd w:id="58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التغوّط متی حصل لا یصحّ الصلاة بدون الماء و التمسّح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بالثلاث و لا بشعب الحجر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یستلزم الإجماع علی ثبوت النجاسة حتّی یحصل شیء معیّن فی الواقع مجهول عندنا قد اعتبره الشارع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ما فی قوله جوابا عن الاعتراض الأخیر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الإجماع علی وجوب شیء معیّن بحیث لو لم یأت بذلک الشیء لاستحقّ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کلامه المحکیّ </w:t>
      </w:r>
      <w:r>
        <w:rPr>
          <w:rStyle w:val="FootnoteAnchor"/>
          <w:rtl w:val="true"/>
        </w:rPr>
        <w:footnoteReference w:id="644"/>
      </w:r>
      <w:r>
        <w:rPr>
          <w:rFonts w:ascii="IRNazanin" w:hAnsi="IRNazanin" w:eastAsia="IRNazanin"/>
          <w:color w:val="111111"/>
          <w:sz w:val="28"/>
          <w:sz w:val="28"/>
          <w:szCs w:val="28"/>
          <w:rtl w:val="true"/>
          <w:lang w:bidi="fa-IR"/>
        </w:rPr>
        <w:t>فی حاشیة شرحه علی قول الشهید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p>
    <w:p>
      <w:pPr>
        <w:pStyle w:val="Heading4"/>
        <w:numPr>
          <w:ilvl w:val="3"/>
          <w:numId w:val="1"/>
        </w:numPr>
        <w:rPr/>
      </w:pPr>
      <w:bookmarkStart w:id="584" w:name="__RefHeading___Toc5767255_3224264995"/>
      <w:bookmarkStart w:id="585" w:name="_Toc236"/>
      <w:bookmarkEnd w:id="584"/>
      <w:r>
        <w:rPr>
          <w:rtl w:val="true"/>
        </w:rPr>
        <w:t>أقوی الأقوال القول التاسع،و بعده المشهور</w:t>
      </w:r>
      <w:r>
        <w:rPr>
          <w:rtl w:val="true"/>
        </w:rPr>
        <w:t>:</w:t>
      </w:r>
      <w:bookmarkEnd w:id="5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أحطت خبرا بما ذکرنا فی أدلّة الأقوال،علمت أنّ الأقوی منها القول التاسع،و بعده القول المشهور،و اللّه العالم بحقائق الامور</w:t>
      </w:r>
      <w:r>
        <w:rPr>
          <w:rFonts w:eastAsia="IRNazanin" w:cs="IRNazanin"/>
          <w:color w:val="111111"/>
          <w:sz w:val="28"/>
          <w:szCs w:val="28"/>
          <w:rtl w:val="true"/>
          <w:lang w:bidi="fa-IR"/>
        </w:rPr>
        <w:t xml:space="preserve">. </w:t>
      </w:r>
      <w:bookmarkStart w:id="586" w:name="pg12985_125039"/>
    </w:p>
    <w:p>
      <w:pPr>
        <w:pStyle w:val="Heading3"/>
        <w:numPr>
          <w:ilvl w:val="2"/>
          <w:numId w:val="1"/>
        </w:numPr>
        <w:rPr/>
      </w:pPr>
      <w:bookmarkStart w:id="587" w:name="__RefHeading___Toc5767257_3224264995"/>
      <w:bookmarkStart w:id="588" w:name="_Toc237"/>
      <w:bookmarkEnd w:id="586"/>
      <w:bookmarkEnd w:id="587"/>
      <w:r>
        <w:rPr>
          <w:rtl w:val="true"/>
        </w:rPr>
        <w:t>و ینبغی التنبیه علی امور</w:t>
      </w:r>
      <w:r>
        <w:rPr>
          <w:rtl w:val="true"/>
        </w:rPr>
        <w:t>:</w:t>
      </w:r>
      <w:bookmarkEnd w:id="588"/>
    </w:p>
    <w:p>
      <w:pPr>
        <w:pStyle w:val="Heading4"/>
        <w:numPr>
          <w:ilvl w:val="3"/>
          <w:numId w:val="1"/>
        </w:numPr>
        <w:rPr/>
      </w:pPr>
      <w:bookmarkStart w:id="589" w:name="__RefHeading___Toc5767259_3224264995"/>
      <w:bookmarkStart w:id="590" w:name="_Toc238"/>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و هی بین ما یتعلّق بالمتیقّن السابق،و ما یتعلّق بدلیله الدالّ علیه، و ما یتعلّق بالشکّ اللاحق فی بقائه</w:t>
      </w:r>
      <w:r>
        <w:rPr>
          <w:rFonts w:eastAsia="IRNazanin" w:cs="IRNazanin"/>
          <w:color w:val="111111"/>
          <w:sz w:val="28"/>
          <w:szCs w:val="28"/>
          <w:rtl w:val="true"/>
          <w:lang w:bidi="fa-IR"/>
        </w:rPr>
        <w:t>.</w:t>
      </w:r>
    </w:p>
    <w:p>
      <w:pPr>
        <w:pStyle w:val="Heading4"/>
        <w:numPr>
          <w:ilvl w:val="3"/>
          <w:numId w:val="1"/>
        </w:numPr>
        <w:rPr/>
      </w:pPr>
      <w:bookmarkStart w:id="591" w:name="__RefHeading___Toc5767261_3224264995"/>
      <w:bookmarkStart w:id="592" w:name="_Toc239"/>
      <w:bookmarkEnd w:id="591"/>
      <w:r>
        <w:rPr>
          <w:rtl w:val="true"/>
        </w:rPr>
        <w:t>الأوّل</w:t>
      </w:r>
      <w:r>
        <w:rPr>
          <w:rtl w:val="true"/>
        </w:rPr>
        <w:t xml:space="preserve">: </w:t>
      </w:r>
      <w:r>
        <w:rPr>
          <w:rtl w:val="true"/>
        </w:rPr>
        <w:t>أقسام استصحاب الکلّی</w:t>
      </w:r>
      <w:bookmarkEnd w:id="592"/>
    </w:p>
    <w:p>
      <w:pPr>
        <w:pStyle w:val="Heading5"/>
        <w:numPr>
          <w:ilvl w:val="4"/>
          <w:numId w:val="1"/>
        </w:numPr>
        <w:rPr/>
      </w:pPr>
      <w:bookmarkStart w:id="593" w:name="__RefHeading___Toc5767263_3224264995"/>
      <w:bookmarkStart w:id="594" w:name="_Toc240"/>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أنّ المتیقّن السابق إذا کان کلّیّا فی ضمن فرد </w:t>
      </w:r>
      <w:r>
        <w:rPr>
          <w:rStyle w:val="FootnoteAnchor"/>
          <w:rtl w:val="true"/>
        </w:rPr>
        <w:footnoteReference w:id="645"/>
      </w:r>
      <w:r>
        <w:rPr>
          <w:rFonts w:ascii="IRNazanin" w:hAnsi="IRNazanin" w:eastAsia="IRNazanin"/>
          <w:color w:val="111111"/>
          <w:sz w:val="28"/>
          <w:sz w:val="28"/>
          <w:szCs w:val="28"/>
          <w:rtl w:val="true"/>
          <w:lang w:bidi="fa-IR"/>
        </w:rPr>
        <w:t>و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الشکّ من جهة الشکّ فی بقاء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تعیین ذلک الفرد و تردّده بین ما هو باق جزما و بین ما هو مرتفع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وجود فرد آخر مع الجزم بارتفاع ذلک الفرد</w:t>
      </w:r>
      <w:r>
        <w:rPr>
          <w:rFonts w:eastAsia="IRNazanin" w:cs="IRNazanin"/>
          <w:color w:val="111111"/>
          <w:sz w:val="28"/>
          <w:szCs w:val="28"/>
          <w:rtl w:val="true"/>
          <w:lang w:bidi="fa-IR"/>
        </w:rPr>
        <w:t>.</w:t>
      </w:r>
    </w:p>
    <w:p>
      <w:pPr>
        <w:pStyle w:val="Heading5"/>
        <w:numPr>
          <w:ilvl w:val="4"/>
          <w:numId w:val="1"/>
        </w:numPr>
        <w:rPr/>
      </w:pPr>
      <w:bookmarkStart w:id="595" w:name="__RefHeading___Toc5767265_3224264995"/>
      <w:bookmarkStart w:id="596" w:name="_Toc241"/>
      <w:bookmarkEnd w:id="595"/>
      <w:r>
        <w:rPr>
          <w:rtl w:val="true"/>
        </w:rPr>
        <w:t>جواز استصحاب الکلّی و الفرد فی القسم الأوّل</w:t>
      </w:r>
      <w:r>
        <w:rPr>
          <w:rtl w:val="true"/>
        </w:rPr>
        <w:t>:</w:t>
      </w:r>
      <w:bookmarkEnd w:id="596"/>
    </w:p>
    <w:p>
      <w:pPr>
        <w:pStyle w:val="BookText"/>
        <w:rPr/>
      </w:pPr>
      <w:r>
        <w:rPr>
          <w:rFonts w:ascii="IRNazanin" w:hAnsi="IRNazanin" w:eastAsia="IRNazanin"/>
          <w:color w:val="111111"/>
          <w:sz w:val="28"/>
          <w:sz w:val="28"/>
          <w:szCs w:val="28"/>
          <w:rtl w:val="true"/>
          <w:lang w:bidi="fa-IR"/>
        </w:rPr>
        <w:t>أمّا الأوّل،فلا إشکال فی جواز استصحاب الکلّیّ و نفس الفرد و ترتیب أحکام کلّ منهما علیه</w:t>
      </w:r>
      <w:r>
        <w:rPr>
          <w:rFonts w:eastAsia="IRNazanin" w:cs="IRNazanin"/>
          <w:color w:val="111111"/>
          <w:sz w:val="28"/>
          <w:szCs w:val="28"/>
          <w:rtl w:val="true"/>
          <w:lang w:bidi="fa-IR"/>
        </w:rPr>
        <w:t>.</w:t>
      </w:r>
    </w:p>
    <w:p>
      <w:pPr>
        <w:pStyle w:val="Heading5"/>
        <w:numPr>
          <w:ilvl w:val="4"/>
          <w:numId w:val="1"/>
        </w:numPr>
        <w:rPr/>
      </w:pPr>
      <w:bookmarkStart w:id="597" w:name="__RefHeading___Toc5767267_3224264995"/>
      <w:bookmarkStart w:id="598" w:name="_Toc242"/>
      <w:bookmarkEnd w:id="597"/>
      <w:r>
        <w:rPr>
          <w:rtl w:val="true"/>
        </w:rPr>
        <w:t>جواز استصحاب الکلّی فی القسم الثانی دون الفرد</w:t>
      </w:r>
      <w:r>
        <w:rPr>
          <w:rtl w:val="true"/>
        </w:rPr>
        <w:t>:</w:t>
      </w:r>
      <w:bookmarkEnd w:id="598"/>
    </w:p>
    <w:p>
      <w:pPr>
        <w:pStyle w:val="Heading6"/>
        <w:numPr>
          <w:ilvl w:val="5"/>
          <w:numId w:val="1"/>
        </w:numPr>
        <w:rPr/>
      </w:pPr>
      <w:bookmarkStart w:id="599" w:name="__RefHeading___Toc5767269_3224264995"/>
      <w:bookmarkStart w:id="600" w:name="_Toc243"/>
      <w:bookmarkEnd w:id="599"/>
      <w:r>
        <w:rPr>
          <w:rtl w:val="true"/>
        </w:rPr>
        <w:t>اشارة</w:t>
      </w:r>
      <w:bookmarkEnd w:id="6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الثانی،فالظاهر جواز الاستصحاب فی الکلّیّ مطلقا علی المشهور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یتعیّن بذلک أحکام الفرد الباقی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601" w:name="pg12985_125040"/>
    </w:p>
    <w:p>
      <w:pPr>
        <w:pStyle w:val="BookText"/>
        <w:rPr/>
      </w:pPr>
      <w:bookmarkEnd w:id="601"/>
      <w:r>
        <w:rPr>
          <w:rFonts w:ascii="IRNazanin" w:hAnsi="IRNazanin" w:eastAsia="IRNazanin"/>
          <w:color w:val="111111"/>
          <w:sz w:val="28"/>
          <w:sz w:val="28"/>
          <w:szCs w:val="28"/>
          <w:rtl w:val="true"/>
          <w:lang w:bidi="fa-IR"/>
        </w:rPr>
        <w:t xml:space="preserve">سواء کان الشکّ من جهة الرافع،کما إذا علم بحدوث البول أو المنیّ و لم یعلم الحالة السابقة وجب </w:t>
      </w:r>
      <w:r>
        <w:rPr>
          <w:rStyle w:val="FootnoteAnchor"/>
          <w:rtl w:val="true"/>
        </w:rPr>
        <w:footnoteReference w:id="648"/>
      </w:r>
      <w:r>
        <w:rPr>
          <w:rFonts w:ascii="IRNazanin" w:hAnsi="IRNazanin" w:eastAsia="IRNazanin"/>
          <w:color w:val="111111"/>
          <w:sz w:val="28"/>
          <w:sz w:val="28"/>
          <w:szCs w:val="28"/>
          <w:rtl w:val="true"/>
          <w:lang w:bidi="fa-IR"/>
        </w:rPr>
        <w:t>الجمع بین الطهارتین،فإذا فعل إحداهما و شکّ فی رفع الحدث فالأصل بقاؤه،و إن کان الأصل عدم تحقّق الجنابة،فیجوز له ما یحرم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الشکّ من جهة المقتضی،کما لو تردّد من فی الدار بین کونه حیوانا لا یعیش إلاّ سنة و کونه حیوانا یعیش مائة سنة،فیجوز بعد السنة الاولی استصحاب الکلّیّ المشترک بین الحیوانین،و یترتّب علیه آثاره الشرعیّة الثابتة دون آثار شیء من الخصوصیّتین،بل یحکم بعدم کلّ منهما لو لم یکن مانع عن إجراء الأصلین،کما فی الشبهة المحصورة</w:t>
      </w:r>
      <w:r>
        <w:rPr>
          <w:rFonts w:eastAsia="IRNazanin" w:cs="IRNazanin"/>
          <w:color w:val="111111"/>
          <w:sz w:val="28"/>
          <w:szCs w:val="28"/>
          <w:rtl w:val="true"/>
          <w:lang w:bidi="fa-IR"/>
        </w:rPr>
        <w:t>.</w:t>
      </w:r>
    </w:p>
    <w:p>
      <w:pPr>
        <w:pStyle w:val="Heading6"/>
        <w:numPr>
          <w:ilvl w:val="5"/>
          <w:numId w:val="1"/>
        </w:numPr>
        <w:rPr/>
      </w:pPr>
      <w:bookmarkStart w:id="602" w:name="__RefHeading___Toc5767271_3224264995"/>
      <w:bookmarkStart w:id="603" w:name="_Toc244"/>
      <w:bookmarkEnd w:id="602"/>
      <w:r>
        <w:rPr>
          <w:rtl w:val="true"/>
        </w:rPr>
        <w:t>توهّم عدم جریان استصحاب الکلّی فی هذا القسم و دفعه</w:t>
      </w:r>
      <w:r>
        <w:rPr>
          <w:rtl w:val="true"/>
        </w:rPr>
        <w:t>:</w:t>
      </w:r>
      <w:bookmarkEnd w:id="603"/>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الأصل فی القدر المشترک؛من حیث دورانه بین ما هو مقطوع الانتفاء،و ما هو مشکوک الحدوث،و هو </w:t>
      </w:r>
      <w:r>
        <w:rPr>
          <w:rStyle w:val="FootnoteAnchor"/>
          <w:rtl w:val="true"/>
        </w:rPr>
        <w:footnoteReference w:id="649"/>
      </w:r>
      <w:r>
        <w:rPr>
          <w:rFonts w:ascii="IRNazanin" w:hAnsi="IRNazanin" w:eastAsia="IRNazanin"/>
          <w:color w:val="111111"/>
          <w:sz w:val="28"/>
          <w:sz w:val="28"/>
          <w:szCs w:val="28"/>
          <w:rtl w:val="true"/>
          <w:lang w:bidi="fa-IR"/>
        </w:rPr>
        <w:t xml:space="preserve">محکوم بالانتفاء بحکم الأصل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یقدح ذلک فی استصحابه بعد فرض الشکّ فی بقائه و ارتفاعه،إمّا لعدم استعداده و إمّا لوجود الرافع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5767273_3224264995"/>
      <w:bookmarkStart w:id="605" w:name="_Toc245"/>
      <w:bookmarkEnd w:id="604"/>
      <w:r>
        <w:rPr>
          <w:rtl w:val="true"/>
        </w:rPr>
        <w:t>توهّم آخر و دفعه</w:t>
      </w:r>
      <w:r>
        <w:rPr>
          <w:rtl w:val="true"/>
        </w:rPr>
        <w:t>:</w:t>
      </w:r>
      <w:bookmarkEnd w:id="6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کاندفاع توهّم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 الشکّ فی بقائه مسبّبا عن الشکّ فی </w:t>
      </w:r>
      <w:bookmarkStart w:id="606" w:name="pg12985_125041"/>
    </w:p>
    <w:p>
      <w:pPr>
        <w:pStyle w:val="BookText"/>
        <w:rPr/>
      </w:pPr>
      <w:bookmarkEnd w:id="606"/>
      <w:r>
        <w:rPr>
          <w:rFonts w:ascii="IRNazanin" w:hAnsi="IRNazanin" w:eastAsia="IRNazanin"/>
          <w:color w:val="111111"/>
          <w:sz w:val="28"/>
          <w:sz w:val="28"/>
          <w:szCs w:val="28"/>
          <w:rtl w:val="true"/>
          <w:lang w:bidi="fa-IR"/>
        </w:rPr>
        <w:t xml:space="preserve">حدوث ذلک المشکوک الحدوث،فإذا حکم بأصالة عدم حدوثه لزمه </w:t>
      </w:r>
      <w:r>
        <w:rPr>
          <w:rStyle w:val="FootnoteAnchor"/>
          <w:rtl w:val="true"/>
        </w:rPr>
        <w:footnoteReference w:id="653"/>
      </w:r>
      <w:r>
        <w:rPr>
          <w:rFonts w:ascii="IRNazanin" w:hAnsi="IRNazanin" w:eastAsia="IRNazanin"/>
          <w:color w:val="111111"/>
          <w:sz w:val="28"/>
          <w:sz w:val="28"/>
          <w:szCs w:val="28"/>
          <w:rtl w:val="true"/>
          <w:lang w:bidi="fa-IR"/>
        </w:rPr>
        <w:t>ارتفاع القدر المشترک؛لأنّه من آثاره؛فإنّ ارتفاع القدر المشترک من لوازم کون الحادث ذلک الأمر المقطوع الارتفاع،لا من لوازم عدم حدوث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نعم،اللازم من عدم حدوثه هو عدم وجود ما </w:t>
      </w:r>
      <w:r>
        <w:rPr>
          <w:rStyle w:val="FootnoteAnchor"/>
          <w:rtl w:val="true"/>
        </w:rPr>
        <w:footnoteReference w:id="654"/>
      </w:r>
      <w:r>
        <w:rPr>
          <w:rFonts w:ascii="IRNazanin" w:hAnsi="IRNazanin" w:eastAsia="IRNazanin"/>
          <w:color w:val="111111"/>
          <w:sz w:val="28"/>
          <w:sz w:val="28"/>
          <w:szCs w:val="28"/>
          <w:rtl w:val="true"/>
          <w:lang w:bidi="fa-IR"/>
        </w:rPr>
        <w:t>فی ضمنه من القدر المشترک فی الزمان الثانی،لا ارتفاع القدر المشترک بین الأمرین،و بینهما فرق واضح؛و لذا ذکرنا أنّه تترتّب علیه أحکام عدم وجود الجنابة فی المثال المتقدّم</w:t>
      </w:r>
      <w:r>
        <w:rPr>
          <w:rFonts w:eastAsia="IRNazanin" w:cs="IRNazanin"/>
          <w:color w:val="111111"/>
          <w:sz w:val="28"/>
          <w:szCs w:val="28"/>
          <w:rtl w:val="true"/>
          <w:lang w:bidi="fa-IR"/>
        </w:rPr>
        <w:t>.</w:t>
      </w:r>
    </w:p>
    <w:p>
      <w:pPr>
        <w:pStyle w:val="Heading6"/>
        <w:numPr>
          <w:ilvl w:val="5"/>
          <w:numId w:val="1"/>
        </w:numPr>
        <w:rPr/>
      </w:pPr>
      <w:bookmarkStart w:id="607" w:name="__RefHeading___Toc5767275_3224264995"/>
      <w:bookmarkStart w:id="608" w:name="_Toc246"/>
      <w:bookmarkEnd w:id="607"/>
      <w:r>
        <w:rPr>
          <w:rtl w:val="true"/>
        </w:rPr>
        <w:t>ظاهر المحقّق القمّی عدم الجریان</w:t>
      </w:r>
      <w:r>
        <w:rPr>
          <w:rtl w:val="true"/>
        </w:rPr>
        <w:t>:</w:t>
      </w:r>
      <w:bookmarkEnd w:id="608"/>
    </w:p>
    <w:p>
      <w:pPr>
        <w:pStyle w:val="BookText"/>
        <w:rPr/>
      </w:pPr>
      <w:r>
        <w:rPr>
          <w:rFonts w:ascii="IRNazanin" w:hAnsi="IRNazanin" w:eastAsia="IRNazanin"/>
          <w:color w:val="111111"/>
          <w:sz w:val="28"/>
          <w:sz w:val="28"/>
          <w:szCs w:val="28"/>
          <w:rtl w:val="true"/>
          <w:lang w:bidi="fa-IR"/>
        </w:rPr>
        <w:t>و یظهر من المحقّق القمّی رحمه اللّه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بحجّیّة الاستصحاب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إجراء الاستصحاب فی هذا القسم،و لم أتحقّق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یتبع الموضوع و حکمه فی مقدار قابلیّة الامتداد و ملاحظة الغلبة فیه،فلا بدّ من التأمّل فی أنّه کلّیّ أو جزئیّ،فقد یکون الموضوع الثابت حکمه أوّلا مفهوما کلّیّا مردّدا بین امور،و قد یکون جزئیّا حقیقیّا معیّنا،و بذلک یتفاوت الحال؛إذ قد یختلف أفراد الکلّیّ فی قابلیة الامتداد و مقداره،فالاستصحاب حینئذ ینصرف إلی أقلّها استعدادا للامتداد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حکایة تمسّک بعض أهل الکتاب لإثبات نبوّة نبیّه بالاستصحاب،و ردّ بعض معاصریه </w:t>
      </w:r>
      <w:r>
        <w:rPr>
          <w:rStyle w:val="FootnoteAnchor"/>
          <w:rtl w:val="true"/>
        </w:rPr>
        <w:footnoteReference w:id="655"/>
      </w:r>
      <w:r>
        <w:rPr>
          <w:rFonts w:ascii="Amiri" w:hAnsi="Amiri" w:eastAsia="Amiri" w:cs="Amiri"/>
          <w:color w:val="111111"/>
          <w:sz w:val="28"/>
          <w:sz w:val="28"/>
          <w:szCs w:val="28"/>
          <w:rtl w:val="true"/>
          <w:lang w:bidi="ar-SA"/>
        </w:rPr>
        <w:t xml:space="preserve">له بما لم یرتضه الکتابیّ،ثمّ ردّه </w:t>
      </w:r>
      <w:bookmarkStart w:id="609" w:name="pg12985_125042"/>
    </w:p>
    <w:p>
      <w:pPr>
        <w:pStyle w:val="BookText"/>
        <w:rPr/>
      </w:pPr>
      <w:bookmarkEnd w:id="609"/>
      <w:r>
        <w:rPr>
          <w:rFonts w:ascii="IRNazanin" w:hAnsi="IRNazanin" w:eastAsia="IRNazanin"/>
          <w:color w:val="111111"/>
          <w:sz w:val="28"/>
          <w:sz w:val="28"/>
          <w:szCs w:val="28"/>
          <w:rtl w:val="true"/>
          <w:lang w:bidi="fa-IR"/>
        </w:rPr>
        <w:t>بما ادّعی ابتناءه علی ما ذکره من ملاحظة مقدار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ذلک بمثال،و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علمنا أنّ فی الدار حیوانا، لکن لا نعلم أنّه أیّ نوع هو،من الطیور أو البهائم أو الحشار أو الدیدان؟ثمّ غبنا عن ذلک مدّة،فلا یمکن لنا الحکم ببقائه فی مدّة یعیش فیها أطول الحیوان عمرا،فإذا احتمل کون الحیوان الخاصّ فی البیت عصفورا أو فأرة أو دود قزّ،فکیف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العلم بالقدر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باستصحابها </w:t>
      </w:r>
      <w:r>
        <w:rPr>
          <w:rStyle w:val="FootnoteAnchor"/>
          <w:rtl w:val="true"/>
        </w:rPr>
        <w:footnoteReference w:id="656"/>
      </w:r>
      <w:r>
        <w:rPr>
          <w:rFonts w:ascii="IRNazanin" w:hAnsi="IRNazanin" w:eastAsia="IRNazanin"/>
          <w:color w:val="111111"/>
          <w:sz w:val="28"/>
          <w:sz w:val="28"/>
          <w:szCs w:val="28"/>
          <w:rtl w:val="true"/>
          <w:lang w:bidi="fa-IR"/>
        </w:rPr>
        <w:t>إلی حصول زمان ظنّ بقاء أطول الحیوانات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بطل تمسّک الکتابیّ </w:t>
      </w:r>
      <w:r>
        <w:rPr>
          <w:rStyle w:val="FootnoteAnchor"/>
          <w:rtl w:val="true"/>
        </w:rPr>
        <w:footnoteReference w:id="6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10" w:name="__RefHeading___Toc5767277_3224264995"/>
      <w:bookmarkStart w:id="611" w:name="_Toc247"/>
      <w:bookmarkEnd w:id="610"/>
      <w:r>
        <w:rPr>
          <w:rtl w:val="true"/>
        </w:rPr>
        <w:t>المناقشة فیما أفاده المحقق القمی</w:t>
      </w:r>
      <w:r>
        <w:rPr>
          <w:rtl w:val="true"/>
        </w:rPr>
        <w:t>:</w:t>
      </w:r>
      <w:bookmarkEnd w:id="6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ملاحظة استعداد المستصحب و اعتباره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مستلزم لاختصاص اعتبار الاستصحاب بالشکّ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لعدم انضباط الاستصحاب؛لعدم استقامة إرادة استعداده من حیث شخصه </w:t>
      </w:r>
      <w:r>
        <w:rPr>
          <w:rStyle w:val="FootnoteAnchor"/>
          <w:rtl w:val="true"/>
        </w:rPr>
        <w:footnoteReference w:id="658"/>
      </w:r>
      <w:r>
        <w:rPr>
          <w:rFonts w:ascii="IRNazanin" w:hAnsi="IRNazanin" w:eastAsia="IRNazanin"/>
          <w:color w:val="111111"/>
          <w:sz w:val="28"/>
          <w:sz w:val="28"/>
          <w:szCs w:val="28"/>
          <w:rtl w:val="true"/>
          <w:lang w:bidi="fa-IR"/>
        </w:rPr>
        <w:t xml:space="preserve">،و لا أبعد الأجناس،و لا أقرب الأصناف،و لا ضابط لتعیین المتوسّط،و الإحالة علی الظنّ الشخصیّ قد عرفت ما فیه سابقا </w:t>
      </w:r>
      <w:r>
        <w:rPr>
          <w:rStyle w:val="FootnoteAnchor"/>
          <w:rtl w:val="true"/>
        </w:rPr>
        <w:footnoteReference w:id="659"/>
      </w:r>
      <w:r>
        <w:rPr>
          <w:rFonts w:ascii="IRNazanin" w:hAnsi="IRNazanin" w:eastAsia="IRNazanin"/>
          <w:color w:val="111111"/>
          <w:sz w:val="28"/>
          <w:sz w:val="28"/>
          <w:szCs w:val="28"/>
          <w:rtl w:val="true"/>
          <w:lang w:bidi="fa-IR"/>
        </w:rPr>
        <w:t xml:space="preserve">،مع أنّ اعتبار الاستصحاب عند هذا المحقّق لا یختصّ دلیله بالظنّ،کما اعترف به سابقا </w:t>
      </w:r>
      <w:r>
        <w:rPr>
          <w:rStyle w:val="FootnoteAnchor"/>
          <w:rtl w:val="true"/>
        </w:rPr>
        <w:footnoteReference w:id="660"/>
      </w:r>
      <w:r>
        <w:rPr>
          <w:rFonts w:ascii="IRNazanin" w:hAnsi="IRNazanin" w:eastAsia="IRNazanin"/>
          <w:color w:val="111111"/>
          <w:sz w:val="28"/>
          <w:sz w:val="28"/>
          <w:szCs w:val="28"/>
          <w:rtl w:val="true"/>
          <w:lang w:bidi="fa-IR"/>
        </w:rPr>
        <w:t>،فلا مانع من استصحاب وجود الحیوان فی الدار إذا ترتّب اثر شرعیّ علی وجود مطلق الحیوان فیها</w:t>
      </w:r>
      <w:r>
        <w:rPr>
          <w:rFonts w:eastAsia="IRNazanin" w:cs="IRNazanin"/>
          <w:color w:val="111111"/>
          <w:sz w:val="28"/>
          <w:szCs w:val="28"/>
          <w:rtl w:val="true"/>
          <w:lang w:bidi="fa-IR"/>
        </w:rPr>
        <w:t xml:space="preserve">. </w:t>
      </w:r>
      <w:bookmarkStart w:id="612" w:name="pg12985_125043"/>
    </w:p>
    <w:p>
      <w:pPr>
        <w:pStyle w:val="BookText"/>
        <w:rPr/>
      </w:pPr>
      <w:bookmarkEnd w:id="612"/>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ابتناء جواب الکتابیّ علی ما ذکره،سیجیء ما فیه مفصّلا </w:t>
      </w:r>
      <w:r>
        <w:rPr>
          <w:rStyle w:val="FootnoteAnchor"/>
          <w:rtl w:val="true"/>
        </w:rPr>
        <w:footnoteReference w:id="66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613" w:name="__RefHeading___Toc5767279_3224264995"/>
      <w:bookmarkStart w:id="614" w:name="_Toc248"/>
      <w:bookmarkEnd w:id="613"/>
      <w:r>
        <w:rPr>
          <w:rtl w:val="true"/>
        </w:rPr>
        <w:t>القسم الثالث من استصحاب الکلی و فیه قسمان</w:t>
      </w:r>
      <w:bookmarkEnd w:id="614"/>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الشکّ فی بقاء الکلّیّ مستندا إلی احتمال وجود فرد آخر غیر الفرد المعلوم حدوثه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قسمین؛لأنّ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یحتمل وجوده مع ذلک الفرد المعلوم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أن </w:t>
      </w:r>
      <w:r>
        <w:rPr>
          <w:rStyle w:val="FootnoteAnchor"/>
          <w:rtl w:val="true"/>
        </w:rPr>
        <w:footnoteReference w:id="662"/>
      </w:r>
      <w:r>
        <w:rPr>
          <w:rFonts w:ascii="IRNazanin" w:hAnsi="IRNazanin" w:eastAsia="IRNazanin"/>
          <w:color w:val="111111"/>
          <w:sz w:val="28"/>
          <w:sz w:val="28"/>
          <w:szCs w:val="28"/>
          <w:rtl w:val="true"/>
          <w:lang w:bidi="fa-IR"/>
        </w:rPr>
        <w:t>یحتمل حدوثه بعده،إمّا بتبدّله إلیه و إمّا بمجرّد حدوثه مقارنا لارتفاع ذلک الفرد</w:t>
      </w:r>
      <w:r>
        <w:rPr>
          <w:rFonts w:eastAsia="IRNazanin" w:cs="IRNazanin"/>
          <w:color w:val="111111"/>
          <w:sz w:val="28"/>
          <w:szCs w:val="28"/>
          <w:rtl w:val="true"/>
          <w:lang w:bidi="fa-IR"/>
        </w:rPr>
        <w:t>.</w:t>
      </w:r>
    </w:p>
    <w:p>
      <w:pPr>
        <w:pStyle w:val="Heading6"/>
        <w:numPr>
          <w:ilvl w:val="5"/>
          <w:numId w:val="1"/>
        </w:numPr>
        <w:rPr/>
      </w:pPr>
      <w:bookmarkStart w:id="615" w:name="__RefHeading___Toc5767281_3224264995"/>
      <w:bookmarkStart w:id="616" w:name="_Toc249"/>
      <w:bookmarkEnd w:id="615"/>
      <w:r>
        <w:rPr>
          <w:rtl w:val="true"/>
        </w:rPr>
        <w:t>هل یجری الاستصحاب فی القسمین أو لا یجری فی کلیهما أو فیه تفصیل؟</w:t>
      </w:r>
      <w:r>
        <w:rPr>
          <w:rtl w:val="true"/>
        </w:rPr>
        <w:t>:</w:t>
      </w:r>
      <w:bookmarkEnd w:id="616"/>
    </w:p>
    <w:p>
      <w:pPr>
        <w:pStyle w:val="BookText"/>
        <w:rPr/>
      </w:pPr>
      <w:r>
        <w:rPr>
          <w:rFonts w:ascii="IRNazanin" w:hAnsi="IRNazanin" w:eastAsia="IRNazanin"/>
          <w:color w:val="111111"/>
          <w:sz w:val="28"/>
          <w:sz w:val="28"/>
          <w:szCs w:val="28"/>
          <w:rtl w:val="true"/>
          <w:lang w:bidi="fa-IR"/>
        </w:rPr>
        <w:t>و فی جریان استصحاب الکلّیّ فی کلا القسمین؛نظرا إلی تیقّنه سابقا و عدم العلم بارتفاعه،و إن علم بارتفاع بعض وجوداته و شکّ فی حدوث ما عداه؛لأنّ ذلک مانع من إجراء الاستصحاب فی الأفراد دون الکلّیّ،کما تقدّم نظیره فی القسم الثانی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عدم جریانه فیهما؛لأنّ بقاء الکلّیّ فی الخارج عبارة عن استمرار وجوده الخارجیّ </w:t>
      </w:r>
      <w:r>
        <w:rPr>
          <w:rStyle w:val="FootnoteAnchor"/>
          <w:rtl w:val="true"/>
        </w:rPr>
        <w:footnoteReference w:id="663"/>
      </w:r>
      <w:r>
        <w:rPr>
          <w:rFonts w:ascii="IRNazanin" w:hAnsi="IRNazanin" w:eastAsia="IRNazanin"/>
          <w:color w:val="111111"/>
          <w:sz w:val="28"/>
          <w:sz w:val="28"/>
          <w:szCs w:val="28"/>
          <w:rtl w:val="true"/>
          <w:lang w:bidi="fa-IR"/>
        </w:rPr>
        <w:t xml:space="preserve">المتیقّن سابقا،و هو معلوم العدم،و هذا هو الفارق بین ما نحن فیه و القسم الثانی؛حیث إنّ الباقی فی الآن اللاحق بالاستصحاب </w:t>
      </w:r>
      <w:r>
        <w:rPr>
          <w:rStyle w:val="FootnoteAnchor"/>
          <w:rtl w:val="true"/>
        </w:rPr>
        <w:footnoteReference w:id="664"/>
      </w:r>
      <w:r>
        <w:rPr>
          <w:rFonts w:ascii="IRNazanin" w:hAnsi="IRNazanin" w:eastAsia="IRNazanin"/>
          <w:color w:val="111111"/>
          <w:sz w:val="28"/>
          <w:sz w:val="28"/>
          <w:szCs w:val="28"/>
          <w:rtl w:val="true"/>
          <w:lang w:bidi="fa-IR"/>
        </w:rPr>
        <w:t xml:space="preserve">هو عین الوجود </w:t>
      </w:r>
      <w:r>
        <w:rPr>
          <w:rStyle w:val="FootnoteAnchor"/>
          <w:rtl w:val="true"/>
        </w:rPr>
        <w:footnoteReference w:id="665"/>
      </w:r>
      <w:r>
        <w:rPr>
          <w:rFonts w:ascii="IRNazanin" w:hAnsi="IRNazanin" w:eastAsia="IRNazanin"/>
          <w:color w:val="111111"/>
          <w:sz w:val="28"/>
          <w:sz w:val="28"/>
          <w:szCs w:val="28"/>
          <w:rtl w:val="true"/>
          <w:lang w:bidi="fa-IR"/>
        </w:rPr>
        <w:t>المتیقّن سابقا</w:t>
      </w:r>
      <w:r>
        <w:rPr>
          <w:rFonts w:eastAsia="IRNazanin" w:cs="IRNazanin"/>
          <w:color w:val="111111"/>
          <w:sz w:val="28"/>
          <w:szCs w:val="28"/>
          <w:rtl w:val="true"/>
          <w:lang w:bidi="fa-IR"/>
        </w:rPr>
        <w:t xml:space="preserve">. </w:t>
      </w:r>
      <w:bookmarkStart w:id="617" w:name="pg12985_125044"/>
    </w:p>
    <w:p>
      <w:pPr>
        <w:pStyle w:val="Heading6"/>
        <w:numPr>
          <w:ilvl w:val="5"/>
          <w:numId w:val="1"/>
        </w:numPr>
        <w:rPr/>
      </w:pPr>
      <w:bookmarkStart w:id="618" w:name="__RefHeading___Toc5767283_3224264995"/>
      <w:bookmarkStart w:id="619" w:name="_Toc250"/>
      <w:bookmarkEnd w:id="617"/>
      <w:bookmarkEnd w:id="618"/>
      <w:r>
        <w:rPr>
          <w:rtl w:val="true"/>
        </w:rPr>
        <w:t>مختار المصنف هو التفصیل</w:t>
      </w:r>
      <w:r>
        <w:rPr>
          <w:rtl w:val="true"/>
        </w:rPr>
        <w:t>:</w:t>
      </w:r>
      <w:bookmarkEnd w:id="619"/>
    </w:p>
    <w:p>
      <w:pPr>
        <w:pStyle w:val="BookText"/>
        <w:rPr/>
      </w:pPr>
      <w:r>
        <w:rPr>
          <w:rFonts w:ascii="IRNazanin" w:hAnsi="IRNazanin" w:eastAsia="IRNazanin"/>
          <w:color w:val="111111"/>
          <w:sz w:val="28"/>
          <w:sz w:val="28"/>
          <w:szCs w:val="28"/>
          <w:rtl w:val="true"/>
          <w:lang w:bidi="fa-IR"/>
        </w:rPr>
        <w:t xml:space="preserve">أو التفصیل بین القسمین،فیجری فی الأوّل؛لاحتمال کون الثابت فی الآن اللاحق هو عین الموجود سابقا،فیتردّد الکلّیّ المعلوم سابقا بین أن یکون وجوده الخارجیّ علی نحو لا یرتفع بارتفاع </w:t>
      </w:r>
      <w:r>
        <w:rPr>
          <w:rStyle w:val="FootnoteAnchor"/>
          <w:rtl w:val="true"/>
        </w:rPr>
        <w:footnoteReference w:id="666"/>
      </w:r>
      <w:r>
        <w:rPr>
          <w:rFonts w:ascii="IRNazanin" w:hAnsi="IRNazanin" w:eastAsia="IRNazanin"/>
          <w:color w:val="111111"/>
          <w:sz w:val="28"/>
          <w:sz w:val="28"/>
          <w:szCs w:val="28"/>
          <w:rtl w:val="true"/>
          <w:lang w:bidi="fa-IR"/>
        </w:rPr>
        <w:t>الفرد المعلوم ارتفاعه،و أن یکون علی نحو یرتفع بارتفاع ذلک الفرد،فالشکّ حقیقة إنّما هو فی مقدار استعداد ذلک الکلّیّ،و استصحاب عدم حدوث الفرد المشکوک لا یثبت تعیین استعداد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وجوه،أقواها الأخیر</w:t>
      </w:r>
      <w:r>
        <w:rPr>
          <w:rFonts w:eastAsia="IRNazanin" w:cs="IRNazanin"/>
          <w:color w:val="111111"/>
          <w:sz w:val="28"/>
          <w:szCs w:val="28"/>
          <w:rtl w:val="true"/>
          <w:lang w:bidi="fa-IR"/>
        </w:rPr>
        <w:t>.</w:t>
      </w:r>
    </w:p>
    <w:p>
      <w:pPr>
        <w:pStyle w:val="Heading6"/>
        <w:numPr>
          <w:ilvl w:val="5"/>
          <w:numId w:val="1"/>
        </w:numPr>
        <w:rPr/>
      </w:pPr>
      <w:bookmarkStart w:id="620" w:name="__RefHeading___Toc5767285_3224264995"/>
      <w:bookmarkStart w:id="621" w:name="_Toc251"/>
      <w:bookmarkEnd w:id="620"/>
      <w:r>
        <w:rPr>
          <w:rtl w:val="true"/>
        </w:rPr>
        <w:t>استثناء مورد واحد من القسم الثانی</w:t>
      </w:r>
      <w:r>
        <w:rPr>
          <w:rtl w:val="true"/>
        </w:rPr>
        <w:t>:</w:t>
      </w:r>
      <w:bookmarkEnd w:id="621"/>
    </w:p>
    <w:p>
      <w:pPr>
        <w:pStyle w:val="BookText"/>
        <w:rPr/>
      </w:pPr>
      <w:r>
        <w:rPr>
          <w:rFonts w:ascii="IRNazanin" w:hAnsi="IRNazanin" w:eastAsia="IRNazanin"/>
          <w:color w:val="111111"/>
          <w:sz w:val="28"/>
          <w:sz w:val="28"/>
          <w:szCs w:val="28"/>
          <w:rtl w:val="true"/>
          <w:lang w:bidi="fa-IR"/>
        </w:rPr>
        <w:t xml:space="preserve">و یستثنی من عدم الجریان فی القسم الثانی،ما یتسامح فیه </w:t>
      </w:r>
      <w:r>
        <w:rPr>
          <w:rStyle w:val="FootnoteAnchor"/>
          <w:rtl w:val="true"/>
        </w:rPr>
        <w:footnoteReference w:id="667"/>
      </w:r>
      <w:r>
        <w:rPr>
          <w:rFonts w:ascii="IRNazanin" w:hAnsi="IRNazanin" w:eastAsia="IRNazanin"/>
          <w:color w:val="111111"/>
          <w:sz w:val="28"/>
          <w:sz w:val="28"/>
          <w:szCs w:val="28"/>
          <w:rtl w:val="true"/>
          <w:lang w:bidi="fa-IR"/>
        </w:rPr>
        <w:t>العرف فیعدّون الفرد اللاحق مع الفرد السابق کالمستمرّ الواحد،مثل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علم السواد الشدید فی محلّ و شکّ فی تبدّله بالبیاض أو بسواد أضعف من الأوّل،فإنّه یستصحب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الشخص فی مرتبة من کثرة الشکّ،ثمّ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اشتباه المفهوم أو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زوالها أو تبدّلها إلی مرتبة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إضافة المائع،ثمّ شکّ فی زوالها أو تبدّلها إلی فرد آخر من المضاف</w:t>
      </w:r>
      <w:r>
        <w:rPr>
          <w:rFonts w:eastAsia="IRNazanin" w:cs="IRNazanin"/>
          <w:color w:val="111111"/>
          <w:sz w:val="28"/>
          <w:szCs w:val="28"/>
          <w:rtl w:val="true"/>
          <w:lang w:bidi="fa-IR"/>
        </w:rPr>
        <w:t>.</w:t>
      </w:r>
    </w:p>
    <w:p>
      <w:pPr>
        <w:pStyle w:val="Heading6"/>
        <w:numPr>
          <w:ilvl w:val="5"/>
          <w:numId w:val="1"/>
        </w:numPr>
        <w:rPr/>
      </w:pPr>
      <w:bookmarkStart w:id="622" w:name="__RefHeading___Toc5767287_3224264995"/>
      <w:bookmarkStart w:id="623" w:name="_Toc252"/>
      <w:bookmarkEnd w:id="622"/>
      <w:r>
        <w:rPr>
          <w:rtl w:val="true"/>
        </w:rPr>
        <w:t>العبرة فی جریان الاستصحاب</w:t>
      </w:r>
      <w:r>
        <w:rPr>
          <w:rtl w:val="true"/>
        </w:rPr>
        <w:t>:</w:t>
      </w:r>
      <w:bookmarkEnd w:id="6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فالعبرة فی جریان الاستصحاب عدّ الموجود السابق مستمرّا إلی اللاحق،و لو کان الأمر اللاحق علی تقدیر وجوده مغایرا بحسب الدقّة للفرد السابق؛و لذا لا إشکال فی استصحاب الأعراض، حتّی علی القول فیها بتجدّد الأمثال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ما یوضح عدم ابتناء </w:t>
      </w:r>
      <w:bookmarkStart w:id="624" w:name="pg12985_125045"/>
    </w:p>
    <w:p>
      <w:pPr>
        <w:pStyle w:val="BookText"/>
        <w:rPr/>
      </w:pPr>
      <w:bookmarkEnd w:id="624"/>
      <w:r>
        <w:rPr>
          <w:rFonts w:ascii="IRNazanin" w:hAnsi="IRNazanin" w:eastAsia="IRNazanin"/>
          <w:color w:val="111111"/>
          <w:sz w:val="28"/>
          <w:sz w:val="28"/>
          <w:szCs w:val="28"/>
          <w:rtl w:val="true"/>
          <w:lang w:bidi="fa-IR"/>
        </w:rPr>
        <w:t xml:space="preserve">الاستصحاب علی المداقّة العقلیّة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5" w:name="__RefHeading___Toc5767289_3224264995"/>
      <w:bookmarkStart w:id="626" w:name="_Toc253"/>
      <w:bookmarkEnd w:id="625"/>
      <w:r>
        <w:rPr>
          <w:rtl w:val="true"/>
        </w:rPr>
        <w:t>کلام الفاضل التونی تأییدا لبعض ما ذکرنا</w:t>
      </w:r>
      <w:r>
        <w:rPr>
          <w:rtl w:val="true"/>
        </w:rPr>
        <w:t>:</w:t>
      </w:r>
      <w:bookmarkEnd w:id="626"/>
    </w:p>
    <w:p>
      <w:pPr>
        <w:pStyle w:val="BookText"/>
        <w:rPr/>
      </w:pPr>
      <w:r>
        <w:rPr>
          <w:rFonts w:ascii="IRNazanin" w:hAnsi="IRNazanin" w:eastAsia="IRNazanin"/>
          <w:color w:val="111111"/>
          <w:sz w:val="28"/>
          <w:sz w:val="28"/>
          <w:szCs w:val="28"/>
          <w:rtl w:val="true"/>
          <w:lang w:bidi="fa-IR"/>
        </w:rPr>
        <w:t>ثمّ إنّ للفاضل التونیّ کلاما یناسب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لبعض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یخل بعضه عن النظر بل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ردّ تمسّک المشهور فی نجاسة الجلد المطروح باستصحاب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المذبوحیّة لازم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الحیاة،و الموت 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للنجاسة لیس هذا اللازم من حیث هو،بل ملزومه الثانی،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حتف الأنف،فعدم المذبوحیّة لازم أعمّ لموجب النجاسة، فعدم المذبوحیّة اللازم </w:t>
      </w:r>
      <w:r>
        <w:rPr>
          <w:rStyle w:val="FootnoteAnchor"/>
          <w:rtl w:val="true"/>
        </w:rPr>
        <w:footnoteReference w:id="670"/>
      </w:r>
      <w:r>
        <w:rPr>
          <w:rFonts w:ascii="IRNazanin" w:hAnsi="IRNazanin" w:eastAsia="IRNazanin"/>
          <w:color w:val="111111"/>
          <w:sz w:val="28"/>
          <w:sz w:val="28"/>
          <w:szCs w:val="28"/>
          <w:rtl w:val="true"/>
          <w:lang w:bidi="fa-IR"/>
        </w:rPr>
        <w:t>للحیاة مغایر لعدم المذبوحیّة العارض للموت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ثبوته فی الزمان السابق هو الأوّل لا الثانی، و ظاهر أنّه غیر باق فی الزمان الثانی،ففی الحقیقة یخرج مثل هذه الصورة من الاستصحاب؛إذ شرطه بقاء الموضوع،و عدمه هنا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مثل المتمسّک بهذا الاستصحاب إلاّ مثل من تمسّک علی وجود عمرو فی الدار </w:t>
      </w:r>
      <w:r>
        <w:rPr>
          <w:rStyle w:val="FootnoteAnchor"/>
          <w:rtl w:val="true"/>
        </w:rPr>
        <w:footnoteReference w:id="671"/>
      </w:r>
      <w:r>
        <w:rPr>
          <w:rFonts w:ascii="IRNazanin" w:hAnsi="IRNazanin" w:eastAsia="IRNazanin"/>
          <w:color w:val="111111"/>
          <w:sz w:val="28"/>
          <w:sz w:val="28"/>
          <w:szCs w:val="28"/>
          <w:rtl w:val="true"/>
          <w:lang w:bidi="fa-IR"/>
        </w:rPr>
        <w:t>باستصحاب بقاء الضاحک المتحقّق بوجود زید فی الدار فی الوقت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فساده غنیّ عن البیان </w:t>
      </w:r>
      <w:r>
        <w:rPr>
          <w:rStyle w:val="FootnoteAnchor"/>
          <w:rtl w:val="true"/>
        </w:rPr>
        <w:footnoteReference w:id="6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27" w:name="__RefHeading___Toc5767291_3224264995"/>
      <w:bookmarkStart w:id="628" w:name="_Toc254"/>
      <w:bookmarkEnd w:id="627"/>
      <w:r>
        <w:rPr>
          <w:rtl w:val="true"/>
        </w:rPr>
        <w:t>بعض المناقشات فیما أفاد الفاضل التونی</w:t>
      </w:r>
      <w:r>
        <w:rPr>
          <w:rtl w:val="true"/>
        </w:rPr>
        <w:t>:</w:t>
      </w:r>
      <w:bookmarkEnd w:id="6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فیما أفاد،من عدم جواز الاستصحاب فی المثال المذکور و نظیره،إلاّ أنّ نظر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تمسّکهم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p>
    <w:p>
      <w:pPr>
        <w:pStyle w:val="BookText"/>
        <w:rPr/>
      </w:pPr>
      <w:r>
        <w:rPr>
          <w:rFonts w:ascii="Amiri" w:hAnsi="Amiri" w:eastAsia="Amiri" w:cs="Amiri"/>
          <w:color w:val="111111"/>
          <w:sz w:val="28"/>
          <w:sz w:val="28"/>
          <w:szCs w:val="28"/>
          <w:rtl w:val="true"/>
          <w:lang w:bidi="ar-SA"/>
        </w:rPr>
        <w:t>النجاسة إنّما رتّبت فی الشرع علی مجرّد عدم التذکیة،کما یرشد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Style w:val="FootnoteAnchor"/>
          <w:rtl w:val="true"/>
        </w:rPr>
        <w:footnoteReference w:id="673"/>
      </w:r>
      <w:r>
        <w:rPr>
          <w:rFonts w:ascii="Amiri" w:hAnsi="Amiri" w:eastAsia="Amiri" w:cs="Amiri"/>
          <w:color w:val="111111"/>
          <w:sz w:val="28"/>
          <w:sz w:val="28"/>
          <w:szCs w:val="28"/>
          <w:rtl w:val="true"/>
          <w:lang w:bidi="ar-SA"/>
        </w:rPr>
        <w:t>،الظاهر فی أنّ المحرّم إنّما هو لحم الحیوان الذی لم یقع علیه التذکیة واقعا أو بطریق شرعیّ و لو کان أصلا،و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Style w:val="FootnoteAnchor"/>
          <w:rtl w:val="true"/>
        </w:rPr>
        <w:footnoteReference w:id="67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w:t>
      </w:r>
      <w:r>
        <w:rPr>
          <w:rStyle w:val="FootnoteAnchor"/>
          <w:rtl w:val="true"/>
        </w:rPr>
        <w:footnoteReference w:id="675"/>
      </w:r>
      <w:r>
        <w:rPr>
          <w:rFonts w:ascii="IRNazanin" w:hAnsi="IRNazanin" w:eastAsia="IRNazanin"/>
          <w:color w:val="111111"/>
          <w:sz w:val="28"/>
          <w:sz w:val="28"/>
          <w:szCs w:val="28"/>
          <w:rtl w:val="true"/>
          <w:lang w:bidi="fa-IR"/>
        </w:rPr>
        <w:t>،و قوله علیه السّلام فی ذیل 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ذکیّا ذکّاه الذابح</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،و بعض الأخبار المعلّلة لحرمة الصید الذی ارسل إلیه کلاب و لم یعلم أنّه مات بأخذ المعلّم </w:t>
      </w:r>
      <w:r>
        <w:rPr>
          <w:rStyle w:val="FootnoteAnchor"/>
          <w:rtl w:val="true"/>
        </w:rPr>
        <w:footnoteReference w:id="677"/>
      </w:r>
      <w:r>
        <w:rPr>
          <w:rFonts w:ascii="IRNazanin" w:hAnsi="IRNazanin" w:eastAsia="IRNazanin"/>
          <w:color w:val="111111"/>
          <w:sz w:val="28"/>
          <w:sz w:val="28"/>
          <w:szCs w:val="28"/>
          <w:rtl w:val="true"/>
          <w:lang w:bidi="fa-IR"/>
        </w:rPr>
        <w:t xml:space="preserve">،بالشکّ فی استناد موته إلی المعلّم </w:t>
      </w:r>
      <w:r>
        <w:rPr>
          <w:rStyle w:val="FootnoteAnchor"/>
          <w:rtl w:val="true"/>
        </w:rPr>
        <w:footnoteReference w:id="678"/>
      </w:r>
      <w:r>
        <w:rPr>
          <w:rFonts w:ascii="IRNazanin" w:hAnsi="IRNazanin" w:eastAsia="IRNazanin"/>
          <w:color w:val="111111"/>
          <w:sz w:val="28"/>
          <w:sz w:val="28"/>
          <w:szCs w:val="28"/>
          <w:rtl w:val="true"/>
          <w:lang w:bidi="fa-IR"/>
        </w:rPr>
        <w:t>،إلی غیر ذلک ممّا اشترط فیه العلم باستناد القتل إلی الرمی،و النهی عن الأکل مع الشکّ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 ذلک ما دلّ </w:t>
      </w:r>
      <w:r>
        <w:rPr>
          <w:rStyle w:val="FootnoteAnchor"/>
          <w:rtl w:val="true"/>
        </w:rPr>
        <w:footnoteReference w:id="679"/>
      </w:r>
      <w:r>
        <w:rPr>
          <w:rFonts w:ascii="IRNazanin" w:hAnsi="IRNazanin" w:eastAsia="IRNazanin"/>
          <w:color w:val="111111"/>
          <w:sz w:val="28"/>
          <w:sz w:val="28"/>
          <w:szCs w:val="28"/>
          <w:rtl w:val="true"/>
          <w:lang w:bidi="fa-IR"/>
        </w:rPr>
        <w:t>علی کون حکم النجاسة مرتّبا علی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بمقتضی أدلّة نجاسة المیتة </w:t>
      </w:r>
      <w:r>
        <w:rPr>
          <w:rStyle w:val="FootnoteAnchor"/>
          <w:rtl w:val="true"/>
        </w:rPr>
        <w:footnoteReference w:id="681"/>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w:t>
      </w:r>
    </w:p>
    <w:p>
      <w:pPr>
        <w:pStyle w:val="BookText"/>
        <w:rPr/>
      </w:pPr>
      <w:r>
        <w:rPr>
          <w:rFonts w:ascii="Amiri" w:hAnsi="Amiri" w:eastAsia="Amiri" w:cs="Amiri"/>
          <w:color w:val="111111"/>
          <w:sz w:val="28"/>
          <w:sz w:val="28"/>
          <w:szCs w:val="28"/>
          <w:rtl w:val="true"/>
          <w:lang w:bidi="ar-SA"/>
        </w:rPr>
        <w:t xml:space="preserve">کلّ ما لم یذکّ؛لأنّ التذکیة أمر شرعیّ توقیفیّ،فما عدا المذکّی میتة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سبب للحلّ و الطهارة،فکلّما شکّ فیه أو فی مدخلیّة شیء فیه،فأصالة عدم تحقّق السبب الشرعیّ حاکمة علی أصالة الحلّ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الموضوع للحلّ و الطهارة و مقابلیهما هو اللحم أو المأکول، فمجرّد تحقّق عدم التذکیة فی اللحم یکفی فی الحرمة و النجاسة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علّق حکم النجاسة علی ما مات حتف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المیتة عبارة عن هذا المعنی،کما یراه بعض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أشکل إثبات </w:t>
      </w:r>
      <w:r>
        <w:rPr>
          <w:rStyle w:val="FootnoteAnchor"/>
          <w:rtl w:val="true"/>
        </w:rPr>
        <w:footnoteReference w:id="684"/>
      </w:r>
      <w:r>
        <w:rPr>
          <w:rFonts w:ascii="IRNazanin" w:hAnsi="IRNazanin" w:eastAsia="IRNazanin"/>
          <w:color w:val="111111"/>
          <w:sz w:val="28"/>
          <w:sz w:val="28"/>
          <w:szCs w:val="28"/>
          <w:rtl w:val="true"/>
          <w:lang w:bidi="fa-IR"/>
        </w:rPr>
        <w:t xml:space="preserve">الموضوع بمجرّد أصالة عدم التذکیة الثابتة </w:t>
      </w:r>
      <w:r>
        <w:rPr>
          <w:rStyle w:val="FootnoteAnchor"/>
          <w:rtl w:val="true"/>
        </w:rPr>
        <w:footnoteReference w:id="685"/>
      </w:r>
      <w:r>
        <w:rPr>
          <w:rFonts w:ascii="IRNazanin" w:hAnsi="IRNazanin" w:eastAsia="IRNazanin"/>
          <w:color w:val="111111"/>
          <w:sz w:val="28"/>
          <w:sz w:val="28"/>
          <w:szCs w:val="28"/>
          <w:rtl w:val="true"/>
          <w:lang w:bidi="fa-IR"/>
        </w:rPr>
        <w:t xml:space="preserve">حال الحیاة؛لأنّ عدم التذکیة السابق حال الحیاة،المستصحب إلی </w:t>
      </w:r>
      <w:r>
        <w:rPr>
          <w:rStyle w:val="FootnoteAnchor"/>
          <w:rtl w:val="true"/>
        </w:rPr>
        <w:footnoteReference w:id="686"/>
      </w:r>
      <w:r>
        <w:rPr>
          <w:rFonts w:ascii="IRNazanin" w:hAnsi="IRNazanin" w:eastAsia="IRNazanin"/>
          <w:color w:val="111111"/>
          <w:sz w:val="28"/>
          <w:sz w:val="28"/>
          <w:szCs w:val="28"/>
          <w:rtl w:val="true"/>
          <w:lang w:bidi="fa-IR"/>
        </w:rPr>
        <w:t>زمان خروج الروح لا یثبت کون الخروج حتف الأنف،فیبقی أصالة عدم حدوث سبب نجاسة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 حتف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سلیمة عن المعارض،و إن لم یثبت به التذکیة،کما زعمه السیّد الشارح للوافیة،فذکر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التذکیة تثبت الموت حتف الأنف،و أصالة عدم الموت </w:t>
      </w:r>
      <w:r>
        <w:rPr>
          <w:rStyle w:val="FootnoteAnchor"/>
          <w:rtl w:val="true"/>
        </w:rPr>
        <w:footnoteReference w:id="687"/>
      </w:r>
      <w:r>
        <w:rPr>
          <w:rFonts w:ascii="IRNazanin" w:hAnsi="IRNazanin" w:eastAsia="IRNazanin"/>
          <w:color w:val="111111"/>
          <w:sz w:val="28"/>
          <w:sz w:val="28"/>
          <w:szCs w:val="28"/>
          <w:rtl w:val="true"/>
          <w:lang w:bidi="fa-IR"/>
        </w:rPr>
        <w:t xml:space="preserve">حتف الأنف تثبت التذکیة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فیکون وجه الحاجة إلی إحراز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الإباحة و الطهارة لا تتوقّفان علیه،بل یکفی استصحابهما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التذکیة حاکم علی استصحابهما،فلو لا ثبوت التذکیة بأصالة عدم الموت حتف الأنف لم یکن مستند للإباحة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السیّد قدّس سرّه ذکر هذا؛لزعمه أنّ مبنی تمسّک المشهور علی إثبات الموت حتف الأنف بأصالة عدم التذکیة،فیستقیم حینئذ معارضتهم بما ذکره السیّد قدّس سرّه،فیرجع بعد التعارض إلی 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 مبنیّ علی ما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الحکم علی المیتة، و القول بأنّها ما زهق روحه بحتف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بتعلّق الحکم علی لحم لم یذکّ حیوانه </w:t>
      </w:r>
      <w:r>
        <w:rPr>
          <w:rStyle w:val="FootnoteAnchor"/>
          <w:rtl w:val="true"/>
        </w:rPr>
        <w:footnoteReference w:id="689"/>
      </w:r>
      <w:r>
        <w:rPr>
          <w:rFonts w:ascii="IRNazanin" w:hAnsi="IRNazanin" w:eastAsia="IRNazanin"/>
          <w:color w:val="111111"/>
          <w:sz w:val="28"/>
          <w:sz w:val="28"/>
          <w:szCs w:val="28"/>
          <w:rtl w:val="true"/>
          <w:lang w:bidi="fa-IR"/>
        </w:rPr>
        <w:t xml:space="preserve">أو لم یذکر اسم اللّه علیه،أو تعلّق الحلّ علی ذبیحة المسلم و </w:t>
      </w:r>
      <w:r>
        <w:rPr>
          <w:rStyle w:val="FootnoteAnchor"/>
          <w:rtl w:val="true"/>
        </w:rPr>
        <w:footnoteReference w:id="690"/>
      </w:r>
      <w:r>
        <w:rPr>
          <w:rFonts w:ascii="IRNazanin" w:hAnsi="IRNazanin" w:eastAsia="IRNazanin"/>
          <w:color w:val="111111"/>
          <w:sz w:val="28"/>
          <w:sz w:val="28"/>
          <w:szCs w:val="28"/>
          <w:rtl w:val="true"/>
          <w:lang w:bidi="fa-IR"/>
        </w:rPr>
        <w:t>ما ذکر اسم اللّه علیه المستلزم لانتفائه بانتفاء أحد الأمرین و لو بحکم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تعلّق الحکم فی بعض الأدلّة الأخر بالمیتة،و لا ما علّق فیه الحلّ علی ما لم یکن میتة،کما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المیتة هی ما زهق روحه مطلقا،خرج منه ما ذکّی،فإذا شکّ فی عنوان المخرج فالأصل عدمه،فلا محیص عن قول المشهور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إثبات عمرو </w:t>
      </w:r>
      <w:bookmarkStart w:id="629" w:name="pg12985_125049"/>
    </w:p>
    <w:p>
      <w:pPr>
        <w:pStyle w:val="BookText"/>
        <w:rPr/>
      </w:pPr>
      <w:bookmarkEnd w:id="629"/>
      <w:r>
        <w:rPr>
          <w:rFonts w:ascii="IRNazanin" w:hAnsi="IRNazanin" w:eastAsia="IRNazanin"/>
          <w:color w:val="111111"/>
          <w:sz w:val="28"/>
          <w:sz w:val="28"/>
          <w:szCs w:val="28"/>
          <w:rtl w:val="true"/>
          <w:lang w:bidi="fa-IR"/>
        </w:rPr>
        <w:t>باستصحاب الضاحک المحقّق فی ضمن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قد عرفت أنّ عدم جواز استصحاب نفس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یثبت به </w:t>
      </w:r>
      <w:r>
        <w:rPr>
          <w:rStyle w:val="FootnoteAnchor"/>
          <w:rtl w:val="true"/>
        </w:rPr>
        <w:footnoteReference w:id="692"/>
      </w:r>
      <w:r>
        <w:rPr>
          <w:rFonts w:ascii="Amiri" w:hAnsi="Amiri" w:eastAsia="Amiri" w:cs="Amiri"/>
          <w:color w:val="111111"/>
          <w:sz w:val="28"/>
          <w:sz w:val="28"/>
          <w:szCs w:val="28"/>
          <w:rtl w:val="true"/>
          <w:lang w:bidi="ar-SA"/>
        </w:rPr>
        <w:t xml:space="preserve">خصوصیّة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وجه،و إن کان الحقّ فیه التفصیل،کما عرفت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5767293_3224264995"/>
      <w:bookmarkStart w:id="631" w:name="_Toc255"/>
      <w:bookmarkEnd w:id="630"/>
      <w:r>
        <w:rPr>
          <w:rtl w:val="true"/>
        </w:rPr>
        <w:t>المناقشة فی ما مثل به الفاضل التونی لما نحن فیه</w:t>
      </w:r>
      <w:r>
        <w:rPr>
          <w:rtl w:val="true"/>
        </w:rPr>
        <w:t>:</w:t>
      </w:r>
      <w:bookmarkEnd w:id="631"/>
    </w:p>
    <w:p>
      <w:pPr>
        <w:pStyle w:val="BookText"/>
        <w:rPr/>
      </w:pPr>
      <w:r>
        <w:rPr>
          <w:rFonts w:ascii="IRNazanin" w:hAnsi="IRNazanin" w:eastAsia="IRNazanin"/>
          <w:color w:val="111111"/>
          <w:sz w:val="28"/>
          <w:sz w:val="28"/>
          <w:szCs w:val="28"/>
          <w:rtl w:val="true"/>
          <w:lang w:bidi="fa-IR"/>
        </w:rPr>
        <w:t>إلاّ أنّ کون عدم المذبوحیّة من قبیل الضاحک محلّ نظر؛من حیث إنّ العدم الأزلیّ مستمرّ مع حیاة الحیوان و موته حتف الأنف، فلا مانع من استصحابه و ترتیب أحکامه علیه عند الشکّ،و إن قطع بتبادل الوجودات المقارنة له،بل لو قلنا بعدم جریان الاستصحاب فی القسمین الأوّلین من الکلّیّ کان الاستصحاب فی الأمر العدمیّ المقارن للوجودات خالیا عن الإشکال إذا لم یرد به إثبات الموجود المتأخّر المقارن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إثبات الموت حتف الأنف بعدم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ارتباط الموجود المقارن له به،کما إذا فرض الدلیل علی أنّ کلّ ما تقذفه المرأة من الدم إذا لم یکن حیضا فهو استحاضة،فإنّ استصحاب عدم الحیض فی زمان خروج الدم المشکوک لا یوجب انطباق هذا السلب علی ذلک الدم و صدقه علیه،حتّی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الدم،فیحکم علیه بالاستحاضة؛إذ فرق بین الدم المقارن لعدم الحیض و بین الدم المنفیّ عنه الحیضیّة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695"/>
      </w:r>
      <w:r>
        <w:rPr>
          <w:rFonts w:ascii="IRNazanin" w:hAnsi="IRNazanin" w:eastAsia="IRNazanin"/>
          <w:color w:val="111111"/>
          <w:sz w:val="28"/>
          <w:sz w:val="28"/>
          <w:szCs w:val="28"/>
          <w:rtl w:val="true"/>
          <w:lang w:bidi="fa-IR"/>
        </w:rPr>
        <w:t xml:space="preserve">نظیر هذا الاستصحاب الوجودیّ و العدمیّ فی الفرق </w:t>
      </w:r>
    </w:p>
    <w:p>
      <w:pPr>
        <w:pStyle w:val="BookText"/>
        <w:rPr/>
      </w:pPr>
      <w:r>
        <w:rPr>
          <w:rFonts w:ascii="IRNazanin" w:hAnsi="IRNazanin" w:eastAsia="IRNazanin"/>
          <w:color w:val="111111"/>
          <w:sz w:val="28"/>
          <w:sz w:val="28"/>
          <w:szCs w:val="28"/>
          <w:rtl w:val="true"/>
          <w:lang w:bidi="fa-IR"/>
        </w:rPr>
        <w:t xml:space="preserve">بین الماء المقارن لوجود الکرّ و بین الماء </w:t>
      </w:r>
      <w:r>
        <w:rPr>
          <w:rStyle w:val="FootnoteAnchor"/>
          <w:rtl w:val="true"/>
        </w:rPr>
        <w:footnoteReference w:id="696"/>
      </w:r>
      <w:r>
        <w:rPr>
          <w:rFonts w:ascii="Amiri" w:hAnsi="Amiri" w:eastAsia="Amiri" w:cs="Amiri"/>
          <w:color w:val="111111"/>
          <w:sz w:val="28"/>
          <w:sz w:val="28"/>
          <w:szCs w:val="28"/>
          <w:rtl w:val="true"/>
          <w:lang w:bidi="ar-SA"/>
        </w:rPr>
        <w:t>المتّصف بالکرّیّة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الخلط بین المتّصف بوصف عنوانی و بین قیام ذلک الوصف بمحلّ؛فإنّ استصحاب وجود المتّصف أو عدمه لا یثبت کون المحلّ موردا لذلک </w:t>
      </w:r>
      <w:r>
        <w:rPr>
          <w:rStyle w:val="FootnoteAnchor"/>
          <w:rtl w:val="true"/>
        </w:rPr>
        <w:footnoteReference w:id="697"/>
      </w:r>
      <w:r>
        <w:rPr>
          <w:rFonts w:ascii="IRNazanin" w:hAnsi="IRNazanin" w:eastAsia="IRNazanin"/>
          <w:color w:val="111111"/>
          <w:sz w:val="28"/>
          <w:sz w:val="28"/>
          <w:szCs w:val="28"/>
          <w:rtl w:val="true"/>
          <w:lang w:bidi="fa-IR"/>
        </w:rPr>
        <w:t>الوصف العنوانیّ،فافهم</w:t>
      </w:r>
      <w:r>
        <w:rPr>
          <w:rFonts w:eastAsia="IRNazanin" w:cs="IRNazanin"/>
          <w:color w:val="111111"/>
          <w:sz w:val="28"/>
          <w:szCs w:val="28"/>
          <w:rtl w:val="true"/>
          <w:lang w:bidi="fa-IR"/>
        </w:rPr>
        <w:t xml:space="preserve">. </w:t>
      </w:r>
      <w:bookmarkStart w:id="632" w:name="pg12985_125051"/>
    </w:p>
    <w:p>
      <w:pPr>
        <w:pStyle w:val="Heading4"/>
        <w:numPr>
          <w:ilvl w:val="3"/>
          <w:numId w:val="1"/>
        </w:numPr>
        <w:rPr/>
      </w:pPr>
      <w:bookmarkStart w:id="633" w:name="__RefHeading___Toc5767295_3224264995"/>
      <w:bookmarkStart w:id="634" w:name="_Toc256"/>
      <w:bookmarkEnd w:id="632"/>
      <w:bookmarkEnd w:id="633"/>
      <w:r>
        <w:rPr>
          <w:rtl w:val="true"/>
        </w:rPr>
        <w:t xml:space="preserve">الأمر الثانی </w:t>
      </w:r>
      <w:r>
        <w:rPr>
          <w:rtl w:val="true"/>
        </w:rPr>
        <w:t>:</w:t>
      </w:r>
      <w:r>
        <w:rPr>
          <w:rtl w:val="true"/>
        </w:rPr>
        <w:t>هل یجری الاستصحاب فی الزمان و الزمانیّات؟</w:t>
      </w:r>
      <w:bookmarkEnd w:id="634"/>
    </w:p>
    <w:p>
      <w:pPr>
        <w:pStyle w:val="Heading5"/>
        <w:numPr>
          <w:ilvl w:val="4"/>
          <w:numId w:val="1"/>
        </w:numPr>
        <w:rPr/>
      </w:pPr>
      <w:bookmarkStart w:id="635" w:name="__RefHeading___Toc5767297_3224264995"/>
      <w:bookmarkStart w:id="636" w:name="_Toc257"/>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أنّه قد علم من تعریف الاستصحاب و أدلّته أنّ مورده الشکّ فی البقاء،و هو وجود ما کان موجودا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عدم جریان الاستصحاب فی نفس الزمان،و لا فی الزمانیّ الذی لا استقرار لوجوده بل یتجدّد شیئا فشیئا علی التدریج،و کذا فی المستقرّ الذی یؤخذ قیدا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یظهر من کلمات جماعة </w:t>
      </w:r>
      <w:r>
        <w:rPr>
          <w:rStyle w:val="FootnoteAnchor"/>
          <w:rtl w:val="true"/>
        </w:rPr>
        <w:footnoteReference w:id="698"/>
      </w:r>
      <w:r>
        <w:rPr>
          <w:rFonts w:ascii="IRNazanin" w:hAnsi="IRNazanin" w:eastAsia="IRNazanin"/>
          <w:color w:val="111111"/>
          <w:sz w:val="28"/>
          <w:sz w:val="28"/>
          <w:szCs w:val="28"/>
          <w:rtl w:val="true"/>
          <w:lang w:bidi="fa-IR"/>
        </w:rPr>
        <w:t>جریان الاستصحاب فی الزمان،فیجری فی القسمین الأخیرین بطریق أولی،بل تقدّم من بعض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اللیل و النهار من الضروریّات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767299_3224264995"/>
      <w:bookmarkStart w:id="638" w:name="_Toc258"/>
      <w:bookmarkEnd w:id="637"/>
      <w:r>
        <w:rPr>
          <w:rtl w:val="true"/>
        </w:rPr>
        <w:t>الأقسام ثلاثة</w:t>
      </w:r>
      <w:r>
        <w:rPr>
          <w:rtl w:val="true"/>
        </w:rPr>
        <w:t>:</w:t>
      </w:r>
      <w:bookmarkEnd w:id="638"/>
    </w:p>
    <w:p>
      <w:pPr>
        <w:pStyle w:val="Heading6"/>
        <w:numPr>
          <w:ilvl w:val="5"/>
          <w:numId w:val="1"/>
        </w:numPr>
        <w:rPr/>
      </w:pPr>
      <w:bookmarkStart w:id="639" w:name="__RefHeading___Toc5767301_3224264995"/>
      <w:bookmarkStart w:id="640" w:name="_Toc259"/>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أقساما ثلاثة</w:t>
      </w:r>
      <w:r>
        <w:rPr>
          <w:rFonts w:eastAsia="IRNazanin" w:cs="IRNazanin"/>
          <w:color w:val="111111"/>
          <w:sz w:val="28"/>
          <w:szCs w:val="28"/>
          <w:rtl w:val="true"/>
          <w:lang w:bidi="fa-IR"/>
        </w:rPr>
        <w:t>:</w:t>
      </w:r>
    </w:p>
    <w:p>
      <w:pPr>
        <w:pStyle w:val="Heading6"/>
        <w:numPr>
          <w:ilvl w:val="5"/>
          <w:numId w:val="1"/>
        </w:numPr>
        <w:rPr/>
      </w:pPr>
      <w:bookmarkStart w:id="641" w:name="__RefHeading___Toc5767303_3224264995"/>
      <w:bookmarkStart w:id="642" w:name="_Toc260"/>
      <w:bookmarkEnd w:id="641"/>
      <w:r>
        <w:rPr/>
        <w:t>1</w:t>
      </w:r>
      <w:r>
        <w:rPr>
          <w:rtl w:val="true"/>
        </w:rPr>
        <w:t>-</w:t>
      </w:r>
      <w:r>
        <w:rPr>
          <w:rtl w:val="true"/>
        </w:rPr>
        <w:t>استصحاب نفس الزمان</w:t>
      </w:r>
      <w:r>
        <w:rPr>
          <w:rtl w:val="true"/>
        </w:rPr>
        <w:t>:</w:t>
      </w:r>
      <w:bookmarkEnd w:id="6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نفس الزمان،فلا إشکال فی عدم جریان الاستصحاب فیه لتشخیص کون الجزء المشکوک فیه من أجزاء اللیل أو النهار؛لأنّ نفس الجزء لم یتحقّق فی السابق،فضلا عن وصف کونه نهارا أو 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اخذ المستصحب مجموع اللیل أو النهار،و لوحظ کونه أمرا خارجیّا واحدا،و جعل بقاؤه و ارتفاعه عبارة عن عدم تحقّق جزئه الأخیر و تحقّقه </w:t>
      </w:r>
      <w:r>
        <w:rPr>
          <w:rStyle w:val="FootnoteAnchor"/>
          <w:rtl w:val="true"/>
        </w:rPr>
        <w:footnoteReference w:id="700"/>
      </w:r>
      <w:r>
        <w:rPr>
          <w:rFonts w:ascii="IRNazanin" w:hAnsi="IRNazanin" w:eastAsia="IRNazanin"/>
          <w:color w:val="111111"/>
          <w:sz w:val="28"/>
          <w:sz w:val="28"/>
          <w:szCs w:val="28"/>
          <w:rtl w:val="true"/>
          <w:lang w:bidi="fa-IR"/>
        </w:rPr>
        <w:t xml:space="preserve">أو عن عدم تجدّد جزء مقابله و تجدّده،أمکن القول بالاستصحاب بهذا المعنی فیه أیضا </w:t>
      </w:r>
      <w:r>
        <w:rPr>
          <w:rStyle w:val="FootnoteAnchor"/>
          <w:rtl w:val="true"/>
        </w:rPr>
        <w:footnoteReference w:id="701"/>
      </w:r>
      <w:r>
        <w:rPr>
          <w:rFonts w:ascii="IRNazanin" w:hAnsi="IRNazanin" w:eastAsia="IRNazanin"/>
          <w:color w:val="111111"/>
          <w:sz w:val="28"/>
          <w:sz w:val="28"/>
          <w:szCs w:val="28"/>
          <w:rtl w:val="true"/>
          <w:lang w:bidi="fa-IR"/>
        </w:rPr>
        <w:t xml:space="preserve">لأنّ بقاء کلّ شیء فی العرف بحسب ما یتصوّره </w:t>
      </w:r>
      <w:r>
        <w:rPr>
          <w:rStyle w:val="FootnoteAnchor"/>
          <w:rtl w:val="true"/>
        </w:rPr>
        <w:footnoteReference w:id="702"/>
      </w:r>
      <w:r>
        <w:rPr>
          <w:rFonts w:ascii="IRNazanin" w:hAnsi="IRNazanin" w:eastAsia="IRNazanin"/>
          <w:color w:val="111111"/>
          <w:sz w:val="28"/>
          <w:sz w:val="28"/>
          <w:szCs w:val="28"/>
          <w:rtl w:val="true"/>
          <w:lang w:bidi="fa-IR"/>
        </w:rPr>
        <w:t xml:space="preserve">العرف له </w:t>
      </w:r>
      <w:r>
        <w:rPr>
          <w:rStyle w:val="FootnoteAnchor"/>
          <w:rtl w:val="true"/>
        </w:rPr>
        <w:footnoteReference w:id="703"/>
      </w:r>
      <w:r>
        <w:rPr>
          <w:rFonts w:ascii="IRNazanin" w:hAnsi="IRNazanin" w:eastAsia="IRNazanin"/>
          <w:color w:val="111111"/>
          <w:sz w:val="28"/>
          <w:sz w:val="28"/>
          <w:szCs w:val="28"/>
          <w:rtl w:val="true"/>
          <w:lang w:bidi="fa-IR"/>
        </w:rPr>
        <w:t>من الوجود،فیصدق أنّ الشخص کان علی یقین من وجود اللیل فشکّ فیه،فالعبرة بالشکّ فی وجوده و العلم بتحقّقه قبل زمان الشکّ و إن کان تحقّقه بنفس تحقّق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وقع التعبیر بالبقاء فی تعریف الاستصحاب بملاحظة هذا المعنی فی الزمانیّات،حیث جعلوا الکلام فی استصحاب الحال،أو لتعمیم </w:t>
      </w:r>
      <w:r>
        <w:rPr>
          <w:rStyle w:val="FootnoteAnchor"/>
          <w:rtl w:val="true"/>
        </w:rPr>
        <w:footnoteReference w:id="704"/>
      </w:r>
      <w:r>
        <w:rPr>
          <w:rFonts w:ascii="Amiri" w:hAnsi="Amiri" w:eastAsia="Amiri" w:cs="Amiri"/>
          <w:color w:val="111111"/>
          <w:sz w:val="28"/>
          <w:sz w:val="28"/>
          <w:szCs w:val="28"/>
          <w:rtl w:val="true"/>
          <w:lang w:bidi="ar-SA"/>
        </w:rPr>
        <w:t>البقاء لمثل هذا مسامحة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 و الإغماض عمّا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یجدی فی إثبات کون الجزء المشکوک فیه متّصفا بکونه من النهار أو من اللیل،حتّی یصدق علی الفعل الواقع فیه أنّه واقع فی اللیل أو النهار،إلاّ علی القول بالأصل المثبت مطلقا أو علی بعض الوجوه الآتیة </w:t>
      </w:r>
      <w:r>
        <w:rPr>
          <w:rStyle w:val="FootnoteAnchor"/>
          <w:rtl w:val="true"/>
        </w:rPr>
        <w:footnoteReference w:id="705"/>
      </w:r>
      <w:r>
        <w:rPr>
          <w:rFonts w:ascii="IRNazanin" w:hAnsi="IRNazanin" w:eastAsia="IRNazanin"/>
          <w:color w:val="111111"/>
          <w:sz w:val="28"/>
          <w:sz w:val="28"/>
          <w:szCs w:val="28"/>
          <w:rtl w:val="true"/>
          <w:lang w:bidi="fa-IR"/>
        </w:rPr>
        <w:t xml:space="preserve">،و لو بنینا علی ذلک أغنانا عمّا ذکر من التوجیه </w:t>
      </w:r>
      <w:r>
        <w:rPr>
          <w:rStyle w:val="FootnoteAnchor"/>
          <w:rtl w:val="true"/>
        </w:rPr>
        <w:footnoteReference w:id="706"/>
      </w:r>
      <w:r>
        <w:rPr>
          <w:rFonts w:ascii="IRNazanin" w:hAnsi="IRNazanin" w:eastAsia="IRNazanin"/>
          <w:color w:val="111111"/>
          <w:sz w:val="28"/>
          <w:sz w:val="28"/>
          <w:szCs w:val="28"/>
          <w:rtl w:val="true"/>
          <w:lang w:bidi="fa-IR"/>
        </w:rPr>
        <w:t xml:space="preserve">استصحابات </w:t>
      </w:r>
      <w:bookmarkStart w:id="643" w:name="pg12985_125053"/>
    </w:p>
    <w:p>
      <w:pPr>
        <w:pStyle w:val="BookText"/>
        <w:rPr/>
      </w:pPr>
      <w:bookmarkEnd w:id="643"/>
      <w:r>
        <w:rPr>
          <w:rFonts w:ascii="IRNazanin" w:hAnsi="IRNazanin" w:eastAsia="IRNazanin"/>
          <w:color w:val="111111"/>
          <w:sz w:val="28"/>
          <w:sz w:val="28"/>
          <w:szCs w:val="28"/>
          <w:rtl w:val="true"/>
          <w:lang w:bidi="fa-IR"/>
        </w:rPr>
        <w:t xml:space="preserve">آخر فی </w:t>
      </w:r>
      <w:r>
        <w:rPr>
          <w:rStyle w:val="FootnoteAnchor"/>
          <w:rtl w:val="true"/>
        </w:rPr>
        <w:footnoteReference w:id="707"/>
      </w:r>
      <w:r>
        <w:rPr>
          <w:rFonts w:ascii="IRNazanin" w:hAnsi="IRNazanin" w:eastAsia="IRNazanin"/>
          <w:color w:val="111111"/>
          <w:sz w:val="28"/>
          <w:sz w:val="28"/>
          <w:szCs w:val="28"/>
          <w:rtl w:val="true"/>
          <w:lang w:bidi="fa-IR"/>
        </w:rPr>
        <w:t>امور متلازمة مع الزمان،کطلوع الفجر،و غروب الشمس، و ذهاب الحمرة،و عدم وصول القمر إلی درجة یمکن رؤیته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فی هذا المقام باستصحاب الحکم المترتّب علی الزمان </w:t>
      </w:r>
      <w:r>
        <w:rPr>
          <w:rStyle w:val="FootnoteAnchor"/>
          <w:rtl w:val="true"/>
        </w:rPr>
        <w:footnoteReference w:id="708"/>
      </w:r>
      <w:r>
        <w:rPr>
          <w:rFonts w:ascii="IRNazanin" w:hAnsi="IRNazanin" w:eastAsia="IRNazanin"/>
          <w:color w:val="111111"/>
          <w:sz w:val="28"/>
          <w:sz w:val="28"/>
          <w:szCs w:val="28"/>
          <w:rtl w:val="true"/>
          <w:lang w:bidi="fa-IR"/>
        </w:rPr>
        <w:t xml:space="preserve">لو کان جاریا فیه،کعدم تحقّق حکم الصوم و الإفطار عند الشکّ فی هلال رمضان أو شوّال،و لعلّه المراد بقوله علیه السّلام فی المکاتبة المتقدّمة </w:t>
      </w:r>
      <w:r>
        <w:rPr>
          <w:rStyle w:val="FootnoteAnchor"/>
          <w:rtl w:val="true"/>
        </w:rPr>
        <w:footnoteReference w:id="709"/>
      </w:r>
      <w:r>
        <w:rPr>
          <w:rFonts w:ascii="IRNazanin" w:hAnsi="IRNazanin" w:eastAsia="IRNazanin"/>
          <w:color w:val="111111"/>
          <w:sz w:val="28"/>
          <w:sz w:val="28"/>
          <w:szCs w:val="28"/>
          <w:rtl w:val="true"/>
          <w:lang w:bidi="fa-IR"/>
        </w:rPr>
        <w:t>فی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جواز الإفطار </w:t>
      </w:r>
      <w:r>
        <w:rPr>
          <w:rStyle w:val="FootnoteAnchor"/>
          <w:rtl w:val="true"/>
        </w:rPr>
        <w:footnoteReference w:id="710"/>
      </w:r>
      <w:r>
        <w:rPr>
          <w:rFonts w:ascii="IRNazanin" w:hAnsi="IRNazanin" w:eastAsia="IRNazanin"/>
          <w:color w:val="111111"/>
          <w:sz w:val="28"/>
          <w:sz w:val="28"/>
          <w:szCs w:val="28"/>
          <w:rtl w:val="true"/>
          <w:lang w:bidi="fa-IR"/>
        </w:rPr>
        <w:t>للرؤیة لا یتفرّع علی الاستصحاب الحکمیّ،إلاّ بناء علی جریان استصحاب الاشتغال و التکلیف بصوم رمضان،مع أنّ الحقّ فی مثله التمسّک بالبراءة؛لکون صوم کلّ یوم واجبا مستقلا</w:t>
      </w:r>
      <w:r>
        <w:rPr>
          <w:rFonts w:eastAsia="IRNazanin" w:cs="IRNazanin"/>
          <w:color w:val="111111"/>
          <w:sz w:val="28"/>
          <w:szCs w:val="28"/>
          <w:rtl w:val="true"/>
          <w:lang w:bidi="fa-IR"/>
        </w:rPr>
        <w:t>.</w:t>
      </w:r>
    </w:p>
    <w:p>
      <w:pPr>
        <w:pStyle w:val="Heading6"/>
        <w:numPr>
          <w:ilvl w:val="5"/>
          <w:numId w:val="1"/>
        </w:numPr>
        <w:rPr/>
      </w:pPr>
      <w:bookmarkStart w:id="644" w:name="__RefHeading___Toc5767305_3224264995"/>
      <w:bookmarkStart w:id="645" w:name="_Toc261"/>
      <w:bookmarkEnd w:id="644"/>
      <w:r>
        <w:rPr/>
        <w:t>2</w:t>
      </w:r>
      <w:r>
        <w:rPr>
          <w:rtl w:val="true"/>
        </w:rPr>
        <w:t>-</w:t>
      </w:r>
      <w:r>
        <w:rPr>
          <w:rtl w:val="true"/>
        </w:rPr>
        <w:t>استصحاب الامور التدریجیّة غیر القارّة</w:t>
      </w:r>
      <w:r>
        <w:rPr>
          <w:rtl w:val="true"/>
        </w:rPr>
        <w:t>:</w:t>
      </w:r>
      <w:bookmarkEnd w:id="6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التدریجیّة </w:t>
      </w:r>
      <w:r>
        <w:rPr>
          <w:rStyle w:val="FootnoteAnchor"/>
          <w:rtl w:val="true"/>
        </w:rPr>
        <w:footnoteReference w:id="711"/>
      </w:r>
      <w:r>
        <w:rPr>
          <w:rFonts w:ascii="IRNazanin" w:hAnsi="IRNazanin" w:eastAsia="IRNazanin"/>
          <w:color w:val="111111"/>
          <w:sz w:val="28"/>
          <w:sz w:val="28"/>
          <w:szCs w:val="28"/>
          <w:rtl w:val="true"/>
          <w:lang w:bidi="fa-IR"/>
        </w:rPr>
        <w:t>الغیر القارّة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کالتکلّم و الکتابة و المشی و نبع الماء من العین و سیلان دم الحیض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جواز إجراء الاستصحاب فیما یمکن أن یفرض فیها </w:t>
      </w:r>
      <w:r>
        <w:rPr>
          <w:rStyle w:val="FootnoteAnchor"/>
          <w:rtl w:val="true"/>
        </w:rPr>
        <w:footnoteReference w:id="712"/>
      </w:r>
      <w:r>
        <w:rPr>
          <w:rFonts w:ascii="IRNazanin" w:hAnsi="IRNazanin" w:eastAsia="IRNazanin"/>
          <w:color w:val="111111"/>
          <w:sz w:val="28"/>
          <w:sz w:val="28"/>
          <w:szCs w:val="28"/>
          <w:rtl w:val="true"/>
          <w:lang w:bidi="fa-IR"/>
        </w:rPr>
        <w:t>أمرا واحدا مستمرّا،نظیر ما ذکرناه فی نفس الزمان،فیفرض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أجزائه أمرا واحدا،و الشکّ فی بقائه لأجل الشکّ فی قلّة أجزاء </w:t>
      </w:r>
    </w:p>
    <w:p>
      <w:pPr>
        <w:pStyle w:val="BookText"/>
        <w:rPr/>
      </w:pPr>
      <w:r>
        <w:rPr>
          <w:rFonts w:ascii="IRNazanin" w:hAnsi="IRNazanin" w:eastAsia="IRNazanin"/>
          <w:color w:val="111111"/>
          <w:sz w:val="28"/>
          <w:sz w:val="28"/>
          <w:szCs w:val="28"/>
          <w:rtl w:val="true"/>
          <w:lang w:bidi="fa-IR"/>
        </w:rPr>
        <w:t>ذلک الفرد الموجود منه فی الخارج و کثرتها،فیستصحب القدر المشترک المردّد بین قلیل الأجزاء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 بقاء القدر المشترک ناش عن حدوث جزء آخر من الکلام،و الأصل عدمه المستلزم لارتفاع القدر المشترک،فهو من قبیل </w:t>
      </w:r>
      <w:r>
        <w:rPr>
          <w:rStyle w:val="FootnoteAnchor"/>
          <w:rtl w:val="true"/>
        </w:rPr>
        <w:footnoteReference w:id="713"/>
      </w:r>
      <w:r>
        <w:rPr>
          <w:rFonts w:ascii="IRNazanin" w:hAnsi="IRNazanin" w:eastAsia="IRNazanin"/>
          <w:color w:val="111111"/>
          <w:sz w:val="28"/>
          <w:sz w:val="28"/>
          <w:szCs w:val="28"/>
          <w:rtl w:val="true"/>
          <w:lang w:bidi="fa-IR"/>
        </w:rPr>
        <w:t>القسم الثالث من الأقسام المذکورة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کونه من قبیل الأوّل من تلک الأقسام الثلاثة؛لأنّ المفروض فی توجیه الاستصحاب جعل کلّ فرد من التکلّم مجموع ما یقع فی الخارج من الأجزاء التی یجمعها رابطة توجب عدّها شیئا واحدا و فردا من الطبیعة،لا جعل کلّ قطعة من الکلام الواحد فردا واحدا حتّی یکون بقاء الطبیعة بتبادل أفراده،غایة الأمر کون المراد بالبقاء هنا وجود المجموع فی الزمان الأوّل بوجود جزء منه و وجوده فی الزمان الثانی بوجود جزء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کون کلّ قطعة جزء من الکلّ،لا جزئیّا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السابق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الاستصحاب فیما کان من القسم الثالث فیما إذا لم یعدّ الفرد اللاحق علی تقدیر وجوده موجودا آخر مغایرا للموجود الأوّل،کما فی السواد الضعیف الباقی بعد ارتفاع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القبیل،فافهم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الرابطة الموجبة لعدّ المجموع </w:t>
      </w:r>
      <w:r>
        <w:rPr>
          <w:rStyle w:val="FootnoteAnchor"/>
          <w:rtl w:val="true"/>
        </w:rPr>
        <w:footnoteReference w:id="715"/>
      </w:r>
      <w:r>
        <w:rPr>
          <w:rFonts w:ascii="IRNazanin" w:hAnsi="IRNazanin" w:eastAsia="IRNazanin"/>
          <w:color w:val="111111"/>
          <w:sz w:val="28"/>
          <w:sz w:val="28"/>
          <w:szCs w:val="28"/>
          <w:rtl w:val="true"/>
          <w:lang w:bidi="fa-IR"/>
        </w:rPr>
        <w:t xml:space="preserve">أمرا واحدا موکولة إلی </w:t>
      </w:r>
    </w:p>
    <w:p>
      <w:pPr>
        <w:pStyle w:val="BookText"/>
        <w:rPr/>
      </w:pPr>
      <w:r>
        <w:rPr>
          <w:rFonts w:ascii="IRNazanin" w:hAnsi="IRNazanin" w:eastAsia="IRNazanin"/>
          <w:color w:val="111111"/>
          <w:sz w:val="28"/>
          <w:sz w:val="28"/>
          <w:szCs w:val="28"/>
          <w:rtl w:val="true"/>
          <w:lang w:bidi="fa-IR"/>
        </w:rPr>
        <w:t>العرف،فإنّ المشتغل بقراءة القرآن لداع،یعدّ جمیع ما یحصل منه فی الخارج بذلک الداعی أمرا واحدا،فإذا شکّ فی بقاء اشتغاله بها فی زمان لأجل الشکّ فی حدوث الصارف أو لأجل الشکّ فی مقدار اقتضاء الداعی،فالأصل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تکلّم لداع أو لدواع ثمّ شکّ فی بقائه علی صفة التکلّم لداع آخر،فالأصل عدم حدوث </w:t>
      </w:r>
      <w:r>
        <w:rPr>
          <w:rStyle w:val="FootnoteAnchor"/>
          <w:rtl w:val="true"/>
        </w:rPr>
        <w:footnoteReference w:id="716"/>
      </w:r>
      <w:r>
        <w:rPr>
          <w:rFonts w:ascii="IRNazanin" w:hAnsi="IRNazanin" w:eastAsia="IRNazanin"/>
          <w:color w:val="111111"/>
          <w:sz w:val="28"/>
          <w:sz w:val="28"/>
          <w:szCs w:val="28"/>
          <w:rtl w:val="true"/>
          <w:lang w:bidi="fa-IR"/>
        </w:rPr>
        <w:t>الزائد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شکّ بعد انقطاع دم الحیض فی عوده فی زمان یحکم علیه بالحیضیّة أم لا،فیمکن إجراء الاستصحاب؛نظرا إلی أنّ الشکّ فی اقتضاء طبیعتها </w:t>
      </w:r>
      <w:r>
        <w:rPr>
          <w:rStyle w:val="FootnoteAnchor"/>
          <w:rtl w:val="true"/>
        </w:rPr>
        <w:footnoteReference w:id="717"/>
      </w:r>
      <w:r>
        <w:rPr>
          <w:rFonts w:ascii="IRNazanin" w:hAnsi="IRNazanin" w:eastAsia="IRNazanin"/>
          <w:color w:val="111111"/>
          <w:sz w:val="28"/>
          <w:sz w:val="28"/>
          <w:szCs w:val="28"/>
          <w:rtl w:val="true"/>
          <w:lang w:bidi="fa-IR"/>
        </w:rPr>
        <w:t xml:space="preserve">لقذف الرحم </w:t>
      </w:r>
      <w:r>
        <w:rPr>
          <w:rStyle w:val="FootnoteAnchor"/>
          <w:rtl w:val="true"/>
        </w:rPr>
        <w:footnoteReference w:id="718"/>
      </w:r>
      <w:r>
        <w:rPr>
          <w:rFonts w:ascii="IRNazanin" w:hAnsi="IRNazanin" w:eastAsia="IRNazanin"/>
          <w:color w:val="111111"/>
          <w:sz w:val="28"/>
          <w:sz w:val="28"/>
          <w:szCs w:val="28"/>
          <w:rtl w:val="true"/>
          <w:lang w:bidi="fa-IR"/>
        </w:rPr>
        <w:t>الدم فی أیّ مقدار من الزمان، فالأصل عدم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فی الیأس،فرأت الدم،فإنّه قد یقال باستصحاب الحیض؛نظرا إلی کون الشکّ فی انقضاء ما اقتضته الطبیعة من قذف الحیض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وجه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کون الشکّ فی استمرار الأمر الواحد الذی اقتضاه السبب الواحد،و إذا لوحظ کلّ واحد من أجزاء هذا الأمر حادثا مستقلا،فالأصل عدم الزائد علی المتیقّن و عدم حدوث سببه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اختلاف بعض العلماء فی إجراء الاستصحاب فی هذه </w:t>
      </w:r>
      <w:bookmarkStart w:id="646" w:name="pg12985_125056"/>
    </w:p>
    <w:p>
      <w:pPr>
        <w:pStyle w:val="BookText"/>
        <w:rPr/>
      </w:pPr>
      <w:bookmarkEnd w:id="646"/>
      <w:r>
        <w:rPr>
          <w:rFonts w:ascii="IRNazanin" w:hAnsi="IRNazanin" w:eastAsia="IRNazanin"/>
          <w:color w:val="111111"/>
          <w:sz w:val="28"/>
          <w:sz w:val="28"/>
          <w:szCs w:val="28"/>
          <w:rtl w:val="true"/>
          <w:lang w:bidi="fa-IR"/>
        </w:rPr>
        <w:t>الموارد اختلاف أنظارهم فی ملاحظة ذلک المستمرّ حادثا واحدا أو حوادث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الوحدة فی بعض الموارد،و عدمها فی بعض، و التباس الأمر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الهادی إلی سواء السبیل،فتدبّر</w:t>
      </w:r>
      <w:r>
        <w:rPr>
          <w:rFonts w:eastAsia="IRNazanin" w:cs="IRNazanin"/>
          <w:color w:val="111111"/>
          <w:sz w:val="28"/>
          <w:szCs w:val="28"/>
          <w:rtl w:val="true"/>
          <w:lang w:bidi="fa-IR"/>
        </w:rPr>
        <w:t>.</w:t>
      </w:r>
    </w:p>
    <w:p>
      <w:pPr>
        <w:pStyle w:val="Heading6"/>
        <w:numPr>
          <w:ilvl w:val="5"/>
          <w:numId w:val="1"/>
        </w:numPr>
        <w:rPr/>
      </w:pPr>
      <w:bookmarkStart w:id="647" w:name="__RefHeading___Toc5767307_3224264995"/>
      <w:bookmarkStart w:id="648" w:name="_Toc262"/>
      <w:bookmarkEnd w:id="647"/>
      <w:r>
        <w:rPr/>
        <w:t>3</w:t>
      </w:r>
      <w:r>
        <w:rPr>
          <w:rtl w:val="true"/>
        </w:rPr>
        <w:t>-</w:t>
      </w:r>
      <w:r>
        <w:rPr>
          <w:rtl w:val="true"/>
        </w:rPr>
        <w:t>استصحاب الامور المقیّدة بالزمان</w:t>
      </w:r>
      <w:r>
        <w:rPr>
          <w:rtl w:val="true"/>
        </w:rPr>
        <w:t>:</w:t>
      </w:r>
      <w:bookmarkEnd w:id="648"/>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مقیّدا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القطع بعدم جریان 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المقیّد بزمان خاصّ لا یعقل فیه البقاء؛لأنّ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الموجود الأوّل فی الآن الثانی، و قد تقدّم الاستشکال </w:t>
      </w:r>
      <w:r>
        <w:rPr>
          <w:rStyle w:val="FootnoteAnchor"/>
          <w:rtl w:val="true"/>
        </w:rPr>
        <w:footnoteReference w:id="719"/>
      </w:r>
      <w:r>
        <w:rPr>
          <w:rFonts w:ascii="IRNazanin" w:hAnsi="IRNazanin" w:eastAsia="IRNazanin"/>
          <w:color w:val="111111"/>
          <w:sz w:val="28"/>
          <w:sz w:val="28"/>
          <w:szCs w:val="28"/>
          <w:rtl w:val="true"/>
          <w:lang w:bidi="fa-IR"/>
        </w:rPr>
        <w:t>فی جریان الاستصحاب فی الأحکام التکلیفیّة؛ لکون متعلّقاتها هی الأفعال المتشخّصة بالمشخّصات التی لها دخل وجودا و عدما فی تعلّق الحکم،و من جملتها الزمان</w:t>
      </w:r>
      <w:r>
        <w:rPr>
          <w:rFonts w:eastAsia="IRNazanin" w:cs="IRNazanin"/>
          <w:color w:val="111111"/>
          <w:sz w:val="28"/>
          <w:szCs w:val="28"/>
          <w:rtl w:val="true"/>
          <w:lang w:bidi="fa-IR"/>
        </w:rPr>
        <w:t>.</w:t>
      </w:r>
    </w:p>
    <w:p>
      <w:pPr>
        <w:pStyle w:val="Heading6"/>
        <w:numPr>
          <w:ilvl w:val="5"/>
          <w:numId w:val="1"/>
        </w:numPr>
        <w:rPr/>
      </w:pPr>
      <w:bookmarkStart w:id="649" w:name="__RefHeading___Toc5767309_3224264995"/>
      <w:bookmarkStart w:id="650" w:name="_Toc263"/>
      <w:bookmarkEnd w:id="649"/>
      <w:r>
        <w:rPr>
          <w:rtl w:val="true"/>
        </w:rPr>
        <w:t>ما ذکره الفاضل النراقی</w:t>
      </w:r>
      <w:r>
        <w:rPr>
          <w:rtl w:val="true"/>
        </w:rPr>
        <w:t>:</w:t>
      </w:r>
      <w:r>
        <w:rPr>
          <w:rtl w:val="true"/>
        </w:rPr>
        <w:t>من معارضة استصحاب عدم الأمر الوجودی المتیقّن سابقا مع استصحاب وجوده</w:t>
      </w:r>
      <w:r>
        <w:rPr>
          <w:rtl w:val="true"/>
        </w:rPr>
        <w:t>:</w:t>
      </w:r>
      <w:bookmarkEnd w:id="650"/>
    </w:p>
    <w:p>
      <w:pPr>
        <w:pStyle w:val="BookText"/>
        <w:rPr/>
      </w:pPr>
      <w:r>
        <w:rPr>
          <w:rFonts w:ascii="IRNazanin" w:hAnsi="IRNazanin" w:eastAsia="IRNazanin"/>
          <w:color w:val="111111"/>
          <w:sz w:val="28"/>
          <w:sz w:val="28"/>
          <w:szCs w:val="28"/>
          <w:rtl w:val="true"/>
          <w:lang w:bidi="fa-IR"/>
        </w:rPr>
        <w:t xml:space="preserve">و ممّا ذکرنا یظهر فساد ما وقع لبعض المعاصرین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تخیّل جریان استصحاب عدم الأمر الوجودیّ المتیقّن سابقا،و معارضته مع استصحاب وجوده؛بزعم أنّ المتیقّن وجود ذلک الأمر فی القطعة الاولی من الزمان،و الأصل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العدم الأزلیّ الذی لم یعلم انقلابه إلی الوجود إلاّ فی القطعة السابقة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تقریب ما ذکره من تعارض الاستصحابین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إذا علم أنّ الشارع أمر بالجلوس یوم الجمعة،و علم أنّه واجب إلی الزوال،و لم یعلم وجوبه فیما بعده،فنقول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عدم التکلیف بالجلوس قبل یوم الجمعة و فیه إلی الزوال،و بعده معلوما قبل </w:t>
      </w:r>
    </w:p>
    <w:p>
      <w:pPr>
        <w:pStyle w:val="BookText"/>
        <w:rPr/>
      </w:pPr>
      <w:r>
        <w:rPr>
          <w:rFonts w:ascii="IRNazanin" w:hAnsi="IRNazanin" w:eastAsia="IRNazanin"/>
          <w:color w:val="111111"/>
          <w:sz w:val="28"/>
          <w:sz w:val="28"/>
          <w:szCs w:val="28"/>
          <w:rtl w:val="true"/>
          <w:lang w:bidi="fa-IR"/>
        </w:rPr>
        <w:t>ورود أمر الشارع،و علم بقاء ذلک العدم قبل یوم الجمعة،و علم ارتفاعه و التکلیف بالجلوس فیه قبل الزوال،و صار بعده موضع الشکّ، فهنا شکّ و یقینان،و لیس إبقاء حکم أحد الیقینین أولی من إبقاء 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ببقاء </w:t>
      </w:r>
      <w:r>
        <w:rPr>
          <w:rStyle w:val="FootnoteAnchor"/>
          <w:rtl w:val="true"/>
        </w:rPr>
        <w:footnoteReference w:id="721"/>
      </w:r>
      <w:r>
        <w:rPr>
          <w:rFonts w:ascii="IRNazanin" w:hAnsi="IRNazanin" w:eastAsia="IRNazanin"/>
          <w:color w:val="111111"/>
          <w:sz w:val="28"/>
          <w:sz w:val="28"/>
          <w:szCs w:val="28"/>
          <w:rtl w:val="true"/>
          <w:lang w:bidi="fa-IR"/>
        </w:rPr>
        <w:t>الیقین المتّصل بالشکّ،و هو الیقین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تکلیف ما بعد الزوال حاصل قبل مجیء یوم الجمعة وقت ملاحظة أمر الشارع،فشکّ فی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مثلا،حال ورود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الجلوس غدا هل هو المکلّف به بعد الزوال أیضا أم لا؟و الیقین المتّصل به هو عدم التکلیف،فیستصحب و یستمرّ ذلک إلی وقت الزوال </w:t>
      </w:r>
      <w:r>
        <w:rPr>
          <w:rStyle w:val="FootnoteAnchor"/>
          <w:rtl w:val="true"/>
        </w:rPr>
        <w:footnoteReference w:id="7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أجری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استصحابی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إذا عرض مرض یشکّ فی بقاء وجوب الصوم معه،و فی الطهارة إذا حصل الشکّ فیها لأجل المذی،و فی طهارة الثوب النجس إذا غسل مرّة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فحکم فی الأوّل بتعارض استصحاب وجوب الصوم قبل عروض الحمّی و استصحاب عدمه الأصلی قبل وجوب الصوم،و فی الثانی بتعارض استصحاب الطهارة قبل المذی و استصحاب عدم جعل الشارع الوضوء سببا للطهارة بعد المذی،و فی الثالث بتعارض استصحاب </w:t>
      </w:r>
      <w:bookmarkStart w:id="651" w:name="pg12985_125058"/>
    </w:p>
    <w:p>
      <w:pPr>
        <w:pStyle w:val="BookText"/>
        <w:rPr/>
      </w:pPr>
      <w:bookmarkEnd w:id="651"/>
      <w:r>
        <w:rPr>
          <w:rFonts w:ascii="IRNazanin" w:hAnsi="IRNazanin" w:eastAsia="IRNazanin"/>
          <w:color w:val="111111"/>
          <w:sz w:val="28"/>
          <w:sz w:val="28"/>
          <w:szCs w:val="28"/>
          <w:rtl w:val="true"/>
          <w:lang w:bidi="fa-IR"/>
        </w:rPr>
        <w:t xml:space="preserve">النجاسة قبل الغسل و استصحاب عدم کون ملاقاة البول سببا للنجاسة بعد الغسل مرّة،فیتساقط الاستصحابان </w:t>
      </w:r>
      <w:r>
        <w:rPr>
          <w:rStyle w:val="FootnoteAnchor"/>
          <w:rtl w:val="true"/>
        </w:rPr>
        <w:footnoteReference w:id="723"/>
      </w:r>
      <w:r>
        <w:rPr>
          <w:rFonts w:ascii="IRNazanin" w:hAnsi="IRNazanin" w:eastAsia="IRNazanin"/>
          <w:color w:val="111111"/>
          <w:sz w:val="28"/>
          <w:sz w:val="28"/>
          <w:szCs w:val="28"/>
          <w:rtl w:val="true"/>
          <w:lang w:bidi="fa-IR"/>
        </w:rPr>
        <w:t xml:space="preserve">فی هذه الصور،إلاّ أن </w:t>
      </w:r>
      <w:r>
        <w:rPr>
          <w:rStyle w:val="FootnoteAnchor"/>
          <w:rtl w:val="true"/>
        </w:rPr>
        <w:footnoteReference w:id="724"/>
      </w:r>
      <w:r>
        <w:rPr>
          <w:rFonts w:ascii="IRNazanin" w:hAnsi="IRNazanin" w:eastAsia="IRNazanin"/>
          <w:color w:val="111111"/>
          <w:sz w:val="28"/>
          <w:sz w:val="28"/>
          <w:szCs w:val="28"/>
          <w:rtl w:val="true"/>
          <w:lang w:bidi="fa-IR"/>
        </w:rPr>
        <w:t>یرجع إلی استصحاب آخر حاکم علی استصحاب العدم،و هو عدم الرافع و عدم جعل الشارع مشکوک الرافعیّة رافعا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أنّ الطهارة ممّا لا یرتفع إلاّ برافع،لم نقل فیه باستصحاب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الامور الشرعیّة،و أمّا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کالیوم و اللیل و الحیاة و الرطوبة و الجفاف و نحوها ممّا لا دخل لجعل الشارع فی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فاستصحاب </w:t>
      </w:r>
      <w:r>
        <w:rPr>
          <w:rStyle w:val="FootnoteAnchor"/>
          <w:rtl w:val="true"/>
        </w:rPr>
        <w:footnoteReference w:id="725"/>
      </w:r>
      <w:r>
        <w:rPr>
          <w:rFonts w:ascii="IRNazanin" w:hAnsi="IRNazanin" w:eastAsia="IRNazanin"/>
          <w:color w:val="111111"/>
          <w:sz w:val="28"/>
          <w:sz w:val="28"/>
          <w:szCs w:val="28"/>
          <w:rtl w:val="true"/>
          <w:lang w:bidi="fa-IR"/>
        </w:rPr>
        <w:t xml:space="preserve">الوجود فیها حجّة بلا معارض؛لعدم تحقّق استصحاب حال عقل معارض باستصحاب وجودها </w:t>
      </w:r>
      <w:r>
        <w:rPr>
          <w:rStyle w:val="FootnoteAnchor"/>
          <w:rtl w:val="true"/>
        </w:rPr>
        <w:footnoteReference w:id="7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52" w:name="__RefHeading___Toc5767311_3224264995"/>
      <w:bookmarkStart w:id="653" w:name="_Toc264"/>
      <w:bookmarkEnd w:id="652"/>
      <w:r>
        <w:rPr>
          <w:rtl w:val="true"/>
        </w:rPr>
        <w:t>مناقشات فی ما أفاده الفاضل النراقی</w:t>
      </w:r>
      <w:r>
        <w:rPr>
          <w:rtl w:val="true"/>
        </w:rPr>
        <w:t>:</w:t>
      </w:r>
      <w:bookmarkEnd w:id="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التباس الأمر علیه</w:t>
      </w:r>
      <w:r>
        <w:rPr>
          <w:rFonts w:eastAsia="IRNazanin" w:cs="IRNazanin"/>
          <w:color w:val="111111"/>
          <w:sz w:val="28"/>
          <w:szCs w:val="28"/>
          <w:rtl w:val="true"/>
          <w:lang w:bidi="fa-IR"/>
        </w:rPr>
        <w:t>.</w:t>
      </w:r>
    </w:p>
    <w:p>
      <w:pPr>
        <w:pStyle w:val="Heading6"/>
        <w:numPr>
          <w:ilvl w:val="5"/>
          <w:numId w:val="1"/>
        </w:numPr>
        <w:rPr/>
      </w:pPr>
      <w:bookmarkStart w:id="654" w:name="__RefHeading___Toc5767313_3224264995"/>
      <w:bookmarkStart w:id="655" w:name="_Toc265"/>
      <w:bookmarkEnd w:id="654"/>
      <w:r>
        <w:rPr>
          <w:rtl w:val="true"/>
        </w:rPr>
        <w:t>مناقشة أولی</w:t>
      </w:r>
      <w:r>
        <w:rPr>
          <w:rtl w:val="true"/>
        </w:rPr>
        <w:t>:</w:t>
      </w:r>
      <w:r>
        <w:rPr>
          <w:rtl w:val="true"/>
        </w:rPr>
        <w:t>الزمان قد یؤخذ قیدا و قد یؤخذ ظرفا</w:t>
      </w:r>
      <w:r>
        <w:rPr>
          <w:rtl w:val="true"/>
        </w:rPr>
        <w:t>:</w:t>
      </w:r>
      <w:bookmarkEnd w:id="6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الوجودیّ المجعول،إن لوحظ الزمان قیدا له أو لمتعلّقه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لوحظ وجوب الجلوس المقیّد بکونه إلی الزوال شیئا، و المقیّد بکونه بعد الزوال شیئا آخر متعلّقا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لاستصحاب الوجوب؛للقطع بارتفاع ما علم وجوده و الشکّ فی حدوث ما عداه؛و لذا لا یجوز الاستصحاب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وجوب صوم یوم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لوحظ الزمان ظرفا لوجوب الجلوس فلا مجال لاستصحاب العدم؛لأنّه إذا انقلب العدم إلی الوجود المردّد بین کونه فی قطعة خاصّة من الزمان و کونه أزید،و المفروض تسلیم حکم الشارع بأنّ المتیقّن فی زمان لا بدّ من إبقائه،فلا وجه لاعتبار العدم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الشکّ فی وجوب الجلوس بعد الزوال کان ثابتا حال الیقین بالعدم یوم الخمیس،مدفوع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w:t>
      </w:r>
      <w:r>
        <w:rPr>
          <w:rStyle w:val="FootnoteAnchor"/>
          <w:rtl w:val="true"/>
        </w:rPr>
        <w:footnoteReference w:id="72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مفروضا بعد الیقین بوجوب الجلوس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بحکم الشارع بإبقاء کلّ حادث لا یعلم مدّة بقائه،کما لو شکّ قبل حدوث حادث فی مدّة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الموجود فی الزمان الأوّل،إن لوحظ مغایرا من حیث القیود المأخوذة فیه للموجود الثانی،فیکون الموجود الثانی حادثا مغایرا للحادث الأوّل،فلا مجال لاستصحاب الموجود </w:t>
      </w:r>
      <w:r>
        <w:rPr>
          <w:rStyle w:val="FootnoteAnchor"/>
          <w:rtl w:val="true"/>
        </w:rPr>
        <w:footnoteReference w:id="728"/>
      </w:r>
      <w:r>
        <w:rPr>
          <w:rFonts w:ascii="IRNazanin" w:hAnsi="IRNazanin" w:eastAsia="IRNazanin"/>
          <w:color w:val="111111"/>
          <w:sz w:val="28"/>
          <w:sz w:val="28"/>
          <w:szCs w:val="28"/>
          <w:rtl w:val="true"/>
          <w:lang w:bidi="fa-IR"/>
        </w:rPr>
        <w:t>إذ لا یتصوّر البقاء لذلک الموجود بعد فرض کون الزمان الأوّل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متّحدا مع الثانی لا مغایرا له إلاّ من حیث ظرفه الزمانیّ،فلا معنی لاستصحاب عدم ذلک الموجود؛لأنّه انقلب إلی الوجود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المتوهّم ینظر فی دعوی جریان استصحاب الوجود إلی کون الموجود أمرا واحدا قابلا للاستمرار بعد زمان الشکّ،و فی دعوی جریان استصحاب العدم إلی تقطیع وجودات ذلک الموجود و جعل کلّ </w:t>
      </w:r>
      <w:bookmarkStart w:id="656" w:name="pg12985_125060"/>
    </w:p>
    <w:p>
      <w:pPr>
        <w:pStyle w:val="BookText"/>
        <w:rPr/>
      </w:pPr>
      <w:bookmarkEnd w:id="656"/>
      <w:r>
        <w:rPr>
          <w:rFonts w:ascii="IRNazanin" w:hAnsi="IRNazanin" w:eastAsia="IRNazanin"/>
          <w:color w:val="111111"/>
          <w:sz w:val="28"/>
          <w:sz w:val="28"/>
          <w:szCs w:val="28"/>
          <w:rtl w:val="true"/>
          <w:lang w:bidi="fa-IR"/>
        </w:rPr>
        <w:t xml:space="preserve">واحد منها بملاحظة تحقّقه فی زمان مغایرا للآخر،فیؤخذ بالمتیقّن منها و یحکم علی المشکوک منها </w:t>
      </w:r>
      <w:r>
        <w:rPr>
          <w:rStyle w:val="FootnoteAnchor"/>
          <w:rtl w:val="true"/>
        </w:rPr>
        <w:footnoteReference w:id="729"/>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الزمان إن اخذ ظرفا للشیء فلا یجری إلاّ استصحاب وجوده؛لأنّ العدم انتقض بالوجود المطلق، و قد حکم علیه بالاستمرار بمقتضی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اخذ قیدا له فلا یجری إلاّ استصحاب العدم؛لأنّ انتقاض عدم الوجود المقیّد لا یستلزم انتقاض المطلق </w:t>
      </w:r>
      <w:r>
        <w:rPr>
          <w:rStyle w:val="FootnoteAnchor"/>
          <w:rtl w:val="true"/>
        </w:rPr>
        <w:footnoteReference w:id="730"/>
      </w:r>
      <w:r>
        <w:rPr>
          <w:rFonts w:ascii="IRNazanin" w:hAnsi="IRNazanin" w:eastAsia="IRNazanin"/>
          <w:color w:val="111111"/>
          <w:sz w:val="28"/>
          <w:sz w:val="28"/>
          <w:szCs w:val="28"/>
          <w:rtl w:val="true"/>
          <w:lang w:bidi="fa-IR"/>
        </w:rPr>
        <w:t>،و الأصل عدم الانتقاض،کما إذا ثبت وجوب صوم یوم الجمعة و لم یثبت غیره</w:t>
      </w:r>
      <w:r>
        <w:rPr>
          <w:rFonts w:eastAsia="IRNazanin" w:cs="IRNazanin"/>
          <w:color w:val="111111"/>
          <w:sz w:val="28"/>
          <w:szCs w:val="28"/>
          <w:rtl w:val="true"/>
          <w:lang w:bidi="fa-IR"/>
        </w:rPr>
        <w:t>.</w:t>
      </w:r>
    </w:p>
    <w:p>
      <w:pPr>
        <w:pStyle w:val="Heading6"/>
        <w:numPr>
          <w:ilvl w:val="5"/>
          <w:numId w:val="1"/>
        </w:numPr>
        <w:rPr/>
      </w:pPr>
      <w:bookmarkStart w:id="657" w:name="__RefHeading___Toc5767315_3224264995"/>
      <w:bookmarkStart w:id="658" w:name="_Toc266"/>
      <w:bookmarkEnd w:id="657"/>
      <w:r>
        <w:rPr>
          <w:rtl w:val="true"/>
        </w:rPr>
        <w:t>مناقشة ثانیة فیما أفاده النراقی</w:t>
      </w:r>
      <w:r>
        <w:rPr>
          <w:rtl w:val="true"/>
        </w:rPr>
        <w:t>:</w:t>
      </w:r>
      <w:bookmarkEnd w:id="658"/>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ذکره،من استصحاب عدم الجعل و السببیّة فی صورة الشکّ فی الرافع،غیر مستقیم؛لأنّا إذا علمنا أنّ الشارع جعل الوضوء علّة تامّة لوجود الطهارة،و شککنا فی أنّ المذی رافع لهذه الطهارة الموجودة المستمرّة بمقتضی استعدادها،فلیس الشکّ متعلّقا بمقدار سببیّة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سببیّة ملاقاة البول للنجاسة عند الشکّ فی ارتفاعها بالغسل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أنّ الطهارة بعد الوضوء قبل الشرع لم تکن مجعولة أصلا،و علمنا بحدوث هذا الأمر الشرعیّ قبل المذی،و شککنا فی الحکم بوجودها بعده،و الأصل عدم ثبوتها بالشرع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أن یلاحظ حینئذ أنّ منشأ الشکّ فی ثبوت </w:t>
      </w:r>
      <w:bookmarkStart w:id="659" w:name="pg12985_125061"/>
    </w:p>
    <w:p>
      <w:pPr>
        <w:pStyle w:val="BookText"/>
        <w:rPr/>
      </w:pPr>
      <w:bookmarkEnd w:id="659"/>
      <w:r>
        <w:rPr>
          <w:rFonts w:ascii="IRNazanin" w:hAnsi="IRNazanin" w:eastAsia="IRNazanin"/>
          <w:color w:val="111111"/>
          <w:sz w:val="28"/>
          <w:sz w:val="28"/>
          <w:szCs w:val="28"/>
          <w:rtl w:val="true"/>
          <w:lang w:bidi="fa-IR"/>
        </w:rPr>
        <w:t>الطهارة بعد المذی،الشکّ فی مقدار تأثیر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المتیقّن تأثیره مع عدم المذی لا مع وجوده،أو أنّا نعلم قطعا تأثیر الوضوء فی إحداث أمر مستمرّ لو لا ما جعله الشارع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الأوّل،لا معنی لاستصحاب عدم جعل الشیء رافعا؛لأنّ المتیقّن تأثیر السبب مع عدم ذلک الشیء،و الأصل عدم التأثیر مع وجوده،إلاّ أن یتمسّک باستصحاب وجود المسبّب،فهو نظیر ما لو شکّ فی بقاء تأثیر الوضوء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کوضوء التقیّة بعد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قبیل الشکّ فی ناقضیّة المذی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الثانی،لا معنی لاستصحاب العدم؛إذ لا شکّ فی مقدار تأثیر المؤثّر حتّی یؤخذ بالمتیقّن</w:t>
      </w:r>
      <w:r>
        <w:rPr>
          <w:rFonts w:eastAsia="IRNazanin" w:cs="IRNazanin"/>
          <w:color w:val="111111"/>
          <w:sz w:val="28"/>
          <w:szCs w:val="28"/>
          <w:rtl w:val="true"/>
          <w:lang w:bidi="fa-IR"/>
        </w:rPr>
        <w:t>.</w:t>
      </w:r>
    </w:p>
    <w:p>
      <w:pPr>
        <w:pStyle w:val="Heading6"/>
        <w:numPr>
          <w:ilvl w:val="5"/>
          <w:numId w:val="1"/>
        </w:numPr>
        <w:rPr/>
      </w:pPr>
      <w:bookmarkStart w:id="660" w:name="__RefHeading___Toc5767317_3224264995"/>
      <w:bookmarkStart w:id="661" w:name="_Toc267"/>
      <w:bookmarkEnd w:id="660"/>
      <w:r>
        <w:rPr>
          <w:rtl w:val="true"/>
        </w:rPr>
        <w:t>مناقشة ثالثة فیما أفاده النراقی</w:t>
      </w:r>
      <w:r>
        <w:rPr>
          <w:rtl w:val="true"/>
        </w:rPr>
        <w:t>:</w:t>
      </w:r>
      <w:bookmarkEnd w:id="6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جریان استصحاب العدم حینئذ،لکن لیس استصحاب عدم جعل الشیء رافعا حاکما علی هذا الاستصحاب؛لأنّ الشکّ فی أحدهما لیس مسبّبا عن الشکّ فی الآخر،بل مرجع الشکّ فیهما إلی شیء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فی حقّ المکلّف فی هذه الحالة هو الحدث أو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نعم،یستقیم ذلک فیما إذا کان الشکّ فی الموضوع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وجود المزیل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الشکّ فی کون المکلّف حال الشکّ مجعولا فی حقّه الطهارة أو الحدث مسبّب عن الشکّ فی تحقّق الرافع،إلاّ أنّ الاستصحاب مع هذا العلم الإجمالیّ بجعل أحد الأمرین فی حقّ المکلّف غیر جار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2985_125063"/>
      <w:bookmarkStart w:id="663" w:name="pg12985_125063"/>
      <w:bookmarkEnd w:id="663"/>
    </w:p>
    <w:p>
      <w:pPr>
        <w:pStyle w:val="Heading4"/>
        <w:numPr>
          <w:ilvl w:val="3"/>
          <w:numId w:val="1"/>
        </w:numPr>
        <w:rPr/>
      </w:pPr>
      <w:bookmarkStart w:id="664" w:name="pg12985_125063"/>
      <w:bookmarkStart w:id="665" w:name="__RefHeading___Toc5767319_3224264995"/>
      <w:bookmarkStart w:id="666" w:name="_Toc268"/>
      <w:bookmarkEnd w:id="664"/>
      <w:bookmarkEnd w:id="665"/>
      <w:r>
        <w:rPr>
          <w:rtl w:val="true"/>
        </w:rPr>
        <w:t xml:space="preserve">الأمر الثالث </w:t>
      </w:r>
      <w:r>
        <w:rPr>
          <w:rtl w:val="true"/>
        </w:rPr>
        <w:t>:</w:t>
      </w:r>
      <w:r>
        <w:rPr>
          <w:rtl w:val="true"/>
        </w:rPr>
        <w:t>عدم جریان الاستصحاب فی الأحکام العقلیّة</w:t>
      </w:r>
      <w:bookmarkEnd w:id="666"/>
    </w:p>
    <w:p>
      <w:pPr>
        <w:pStyle w:val="Heading5"/>
        <w:numPr>
          <w:ilvl w:val="4"/>
          <w:numId w:val="1"/>
        </w:numPr>
        <w:rPr/>
      </w:pPr>
      <w:bookmarkStart w:id="667" w:name="__RefHeading___Toc5767321_3224264995"/>
      <w:bookmarkStart w:id="668" w:name="_Toc269"/>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أنّ المتیقّن السابق إذا کان ممّا یستقلّ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الظلم و قبح التکلیف بما لا یطاق و نحوهما من المحسّنات و المقبّحات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استصحابه؛لأنّ الاستصحاب إبقاء ما کان،و الحکم العقلیّ موضوعه معلوم تفصیلا للعقل الحاکم به،فإن أدرک العقل بقاء الموضوع فی الآن الثانی حکم به حکما قطعیّا کما حکم أوّلا،و إن أدرک ارتفاعه قطع بارتفاع ذلک الحکم،و لو ثبت مثله بدلیل لکان حکما جدیدا حادثا فی موضوع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بقاء الموضوع،فإن کان لاشتباه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بقاء الإضرار فی السمّ الذی حکم العقل بقبح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خارج عمّا نحن فیه،و سیأتی الکلام فیه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لعدم تعیین الموضوع تفصیلا و احتمال مدخلیّة موجود مرتفع أو معدوم حادث فی موضوعیّة الموضوع،فهذا غیر متصوّر فی المستقلاّت العقلیّة؛لأنّ العقل لا یستقلّ بالحکم إلاّ بعد إحراز الموضوع </w:t>
      </w:r>
      <w:bookmarkStart w:id="669" w:name="pg12985_125064"/>
    </w:p>
    <w:p>
      <w:pPr>
        <w:pStyle w:val="BookText"/>
        <w:rPr/>
      </w:pPr>
      <w:bookmarkEnd w:id="669"/>
      <w:r>
        <w:rPr>
          <w:rFonts w:ascii="IRNazanin" w:hAnsi="IRNazanin" w:eastAsia="IRNazanin"/>
          <w:color w:val="111111"/>
          <w:sz w:val="28"/>
          <w:sz w:val="28"/>
          <w:szCs w:val="28"/>
          <w:rtl w:val="true"/>
          <w:lang w:bidi="fa-IR"/>
        </w:rPr>
        <w:t xml:space="preserve">و معرفته تفصیلا؛لأنّ القضایا العقلیّة إمّا ضروریّة لا یحتاج العقل فی حکمه إلی أزید من تصوّر الموضوع بجمیع ما له دخل فی موضوعیّته من قیوده،و إمّا نظریّة تنتهی إلی ضروریّة کذلک،فلا یعقل إجمال الموضوع فی حکم العقل،مع أنّک ستعرف فی مسألة اشتراط بقاء الموضوع </w:t>
      </w:r>
      <w:r>
        <w:rPr>
          <w:rStyle w:val="FootnoteAnchor"/>
          <w:rtl w:val="true"/>
        </w:rPr>
        <w:footnoteReference w:id="733"/>
      </w:r>
      <w:r>
        <w:rPr>
          <w:rFonts w:ascii="IRNazanin" w:hAnsi="IRNazanin" w:eastAsia="IRNazanin"/>
          <w:color w:val="111111"/>
          <w:sz w:val="28"/>
          <w:sz w:val="28"/>
          <w:szCs w:val="28"/>
          <w:rtl w:val="true"/>
          <w:lang w:bidi="fa-IR"/>
        </w:rPr>
        <w:t>،أنّ الشکّ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لأجل مدخلیّة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إجراء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یستصحب الحکم الشرعیّ مع أنّه کاشف عن حکم عقلیّ مستقلّ؟فإنّه إذا ثبت حکم العقل بردّ الودیعة،و حکم الشارع طبقه بوجوب الردّ،ثمّ عرض ما یوجب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الاضطرار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فیستصحب الحکم </w:t>
      </w:r>
      <w:r>
        <w:rPr>
          <w:rStyle w:val="FootnoteAnchor"/>
          <w:rtl w:val="true"/>
        </w:rPr>
        <w:footnoteReference w:id="734"/>
      </w:r>
      <w:r>
        <w:rPr>
          <w:rFonts w:ascii="IRNazanin" w:hAnsi="IRNazanin" w:eastAsia="IRNazanin"/>
          <w:color w:val="111111"/>
          <w:sz w:val="28"/>
          <w:sz w:val="28"/>
          <w:szCs w:val="28"/>
          <w:rtl w:val="true"/>
          <w:lang w:bidi="fa-IR"/>
        </w:rPr>
        <w:t>مع أنّه کان تابعا للحکم العقلیّ</w:t>
      </w:r>
      <w:r>
        <w:rPr>
          <w:rFonts w:eastAsia="IRNazanin" w:cs="IRNazanin"/>
          <w:color w:val="111111"/>
          <w:sz w:val="28"/>
          <w:szCs w:val="28"/>
          <w:rtl w:val="true"/>
          <w:lang w:bidi="fa-IR"/>
        </w:rPr>
        <w:t>.</w:t>
      </w:r>
    </w:p>
    <w:p>
      <w:pPr>
        <w:pStyle w:val="Heading5"/>
        <w:numPr>
          <w:ilvl w:val="4"/>
          <w:numId w:val="1"/>
        </w:numPr>
        <w:rPr/>
      </w:pPr>
      <w:bookmarkStart w:id="670" w:name="__RefHeading___Toc5767323_3224264995"/>
      <w:bookmarkStart w:id="671" w:name="_Toc270"/>
      <w:bookmarkEnd w:id="670"/>
      <w:r>
        <w:rPr>
          <w:rtl w:val="true"/>
        </w:rPr>
        <w:t>عدم جریان الاستصحاب فی الحکم الشرعی المستند إلی الحکم العقلی أیضا</w:t>
      </w:r>
      <w:r>
        <w:rPr>
          <w:rtl w:val="true"/>
        </w:rPr>
        <w:t>:</w:t>
      </w:r>
      <w:bookmarkEnd w:id="671"/>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الحکم الشرعیّ المستند إلی الحکم العقلیّ،فحاله حال الحکم العقلیّ فی عدم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ورد فی مورد حکم العقل حکم شرعیّ من غیر جهة العقل،و حصل التغیّر فی حال من أحوال موضوعه ممّا یحتمل مدخلیّته وجودا أو عدما فی الحکم،جری الاستصحاب و حکم بأنّ موضوعه أعمّ من موضوع حکم العقل؛و من هنا یجری استصحاب عدم التکلیف فی حال یستقلّ العقل بقبح التکلیف فیه،لکنّ </w:t>
      </w:r>
      <w:r>
        <w:rPr>
          <w:rStyle w:val="FootnoteAnchor"/>
          <w:rtl w:val="true"/>
        </w:rPr>
        <w:footnoteReference w:id="735"/>
      </w:r>
      <w:r>
        <w:rPr>
          <w:rFonts w:ascii="IRNazanin" w:hAnsi="IRNazanin" w:eastAsia="IRNazanin"/>
          <w:color w:val="111111"/>
          <w:sz w:val="28"/>
          <w:sz w:val="28"/>
          <w:szCs w:val="28"/>
          <w:rtl w:val="true"/>
          <w:lang w:bidi="fa-IR"/>
        </w:rPr>
        <w:t>العدم الأزلیّ لیس مستندا إلی القبح و إن کان موردا للقبح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نفس الحکم العقلی</w:t>
      </w:r>
      <w:r>
        <w:rPr>
          <w:rFonts w:eastAsia="IRNazanin" w:cs="IRNazanin"/>
          <w:color w:val="111111"/>
          <w:sz w:val="28"/>
          <w:szCs w:val="28"/>
          <w:rtl w:val="true"/>
          <w:lang w:bidi="fa-IR"/>
        </w:rPr>
        <w:t xml:space="preserve">. </w:t>
      </w:r>
      <w:bookmarkStart w:id="672" w:name="pg12985_125065"/>
    </w:p>
    <w:p>
      <w:pPr>
        <w:pStyle w:val="Heading5"/>
        <w:numPr>
          <w:ilvl w:val="4"/>
          <w:numId w:val="1"/>
        </w:numPr>
        <w:rPr/>
      </w:pPr>
      <w:bookmarkStart w:id="673" w:name="__RefHeading___Toc5767325_3224264995"/>
      <w:bookmarkStart w:id="674" w:name="_Toc271"/>
      <w:bookmarkEnd w:id="672"/>
      <w:bookmarkEnd w:id="673"/>
      <w:r>
        <w:rPr>
          <w:rtl w:val="true"/>
        </w:rPr>
        <w:t>هل یجری الاستصحاب فی موضوع الحکم العقلی؟</w:t>
      </w:r>
      <w:r>
        <w:rPr>
          <w:rtl w:val="true"/>
        </w:rPr>
        <w:t>:</w:t>
      </w:r>
      <w:bookmarkEnd w:id="674"/>
    </w:p>
    <w:p>
      <w:pPr>
        <w:pStyle w:val="BookText"/>
        <w:rPr/>
      </w:pPr>
      <w:r>
        <w:rPr>
          <w:rFonts w:ascii="IRNazanin" w:hAnsi="IRNazanin" w:eastAsia="IRNazanin"/>
          <w:color w:val="111111"/>
          <w:sz w:val="28"/>
          <w:sz w:val="28"/>
          <w:szCs w:val="28"/>
          <w:rtl w:val="true"/>
          <w:lang w:bidi="fa-IR"/>
        </w:rPr>
        <w:t>و أمّا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کالضرر المشکوک بقاؤه فی 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ینبغی أن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الاستصحاب إن اعتبر من باب الظنّ عمل به هنا؛لأنّه یظنّ الضرر بالاستصحاب،فیحمل علیه الحکم العقلیّ إن کان موضوعه أعمّ من القطع و الظنّ،کما فی مثال الضرر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اعتبر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العمل به؛ للقطع بانتفاء حکم العقل مع الشکّ فی الموضوع الذی کان یحکم علیه مع القطع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بقاء الضرر فی السمّ فی المثال المتقدّم بالاستصحاب، فمعنی ذلک ترتیب الآثار الشرعیّة المجعولة للضرر علی مورد الشکّ،و أمّا الحکم العقلی </w:t>
      </w:r>
      <w:r>
        <w:rPr>
          <w:rStyle w:val="FootnoteAnchor"/>
          <w:rtl w:val="true"/>
        </w:rPr>
        <w:footnoteReference w:id="738"/>
      </w:r>
      <w:r>
        <w:rPr>
          <w:rFonts w:ascii="Amiri" w:hAnsi="Amiri" w:eastAsia="Amiri" w:cs="Amiri"/>
          <w:color w:val="111111"/>
          <w:sz w:val="28"/>
          <w:sz w:val="28"/>
          <w:szCs w:val="28"/>
          <w:rtl w:val="true"/>
          <w:lang w:bidi="ar-SA"/>
        </w:rPr>
        <w:t xml:space="preserve">بالقبح و الحرمة </w:t>
      </w:r>
      <w:r>
        <w:rPr>
          <w:rStyle w:val="FootnoteAnchor"/>
          <w:rtl w:val="true"/>
        </w:rPr>
        <w:footnoteReference w:id="739"/>
      </w:r>
      <w:r>
        <w:rPr>
          <w:rFonts w:ascii="IRNazanin" w:hAnsi="IRNazanin" w:eastAsia="IRNazanin"/>
          <w:color w:val="111111"/>
          <w:sz w:val="28"/>
          <w:sz w:val="28"/>
          <w:szCs w:val="28"/>
          <w:rtl w:val="true"/>
          <w:lang w:bidi="fa-IR"/>
        </w:rPr>
        <w:t xml:space="preserve">فلا یثبت إلاّ مع إحراز الضرر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یثبت الحرمة الشرعیّة بمعنی نهی الشارع ظاهرا </w:t>
      </w:r>
      <w:r>
        <w:rPr>
          <w:rStyle w:val="FootnoteAnchor"/>
          <w:rtl w:val="true"/>
        </w:rPr>
        <w:footnoteReference w:id="741"/>
      </w:r>
      <w:r>
        <w:rPr>
          <w:rFonts w:ascii="IRNazanin" w:hAnsi="IRNazanin" w:eastAsia="IRNazanin"/>
          <w:color w:val="111111"/>
          <w:sz w:val="28"/>
          <w:sz w:val="28"/>
          <w:szCs w:val="28"/>
          <w:rtl w:val="true"/>
          <w:lang w:bidi="fa-IR"/>
        </w:rPr>
        <w:t xml:space="preserve">،و لا منافاة بین انتفاء </w:t>
      </w:r>
      <w:bookmarkStart w:id="675" w:name="pg12985_125066"/>
    </w:p>
    <w:p>
      <w:pPr>
        <w:pStyle w:val="BookText"/>
        <w:rPr/>
      </w:pPr>
      <w:bookmarkEnd w:id="675"/>
      <w:r>
        <w:rPr>
          <w:rFonts w:ascii="IRNazanin" w:hAnsi="IRNazanin" w:eastAsia="IRNazanin"/>
          <w:color w:val="111111"/>
          <w:sz w:val="28"/>
          <w:sz w:val="28"/>
          <w:szCs w:val="28"/>
          <w:rtl w:val="true"/>
          <w:lang w:bidi="fa-IR"/>
        </w:rPr>
        <w:t xml:space="preserve">الحکم العقلیّ و ثبوت الحکم الشرعیّ؛لأنّ عدم حکم العقل </w:t>
      </w:r>
      <w:r>
        <w:rPr>
          <w:rStyle w:val="FootnoteAnchor"/>
          <w:rtl w:val="true"/>
        </w:rPr>
        <w:footnoteReference w:id="742"/>
      </w:r>
      <w:r>
        <w:rPr>
          <w:rFonts w:ascii="IRNazanin" w:hAnsi="IRNazanin" w:eastAsia="IRNazanin"/>
          <w:color w:val="111111"/>
          <w:sz w:val="28"/>
          <w:sz w:val="28"/>
          <w:szCs w:val="28"/>
          <w:rtl w:val="true"/>
          <w:lang w:bidi="fa-IR"/>
        </w:rPr>
        <w:t>مع الشکّ إنّما هو لاشتباه الموضوع عنده،و باشتباهه یشتبه الحکم الشرعیّ الواقعیّ أیضا،إلاّ أنّ الشارع حکم علی هذا المشتبه الحکم الواقعیّ بحکم ظاهریّ هی الحرمة</w:t>
      </w:r>
      <w:r>
        <w:rPr>
          <w:rFonts w:eastAsia="IRNazanin" w:cs="IRNazanin"/>
          <w:color w:val="111111"/>
          <w:sz w:val="28"/>
          <w:szCs w:val="28"/>
          <w:rtl w:val="true"/>
          <w:lang w:bidi="fa-IR"/>
        </w:rPr>
        <w:t>.</w:t>
      </w:r>
    </w:p>
    <w:p>
      <w:pPr>
        <w:pStyle w:val="Heading5"/>
        <w:numPr>
          <w:ilvl w:val="4"/>
          <w:numId w:val="1"/>
        </w:numPr>
        <w:rPr/>
      </w:pPr>
      <w:bookmarkStart w:id="676" w:name="__RefHeading___Toc5767327_3224264995"/>
      <w:bookmarkStart w:id="677" w:name="_Toc272"/>
      <w:bookmarkEnd w:id="676"/>
      <w:r>
        <w:rPr>
          <w:rtl w:val="true"/>
        </w:rPr>
        <w:t>ما یظهر مما ذکرنا</w:t>
      </w:r>
      <w:bookmarkEnd w:id="677"/>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الاستصحاب فی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تمسّک بعضهم </w:t>
      </w:r>
      <w:r>
        <w:rPr>
          <w:rStyle w:val="FootnoteAnchor"/>
          <w:rtl w:val="true"/>
        </w:rPr>
        <w:footnoteReference w:id="743"/>
      </w:r>
      <w:r>
        <w:rPr>
          <w:rFonts w:ascii="IRNazanin" w:hAnsi="IRNazanin" w:eastAsia="IRNazanin"/>
          <w:color w:val="111111"/>
          <w:sz w:val="28"/>
          <w:sz w:val="28"/>
          <w:szCs w:val="28"/>
          <w:rtl w:val="true"/>
          <w:lang w:bidi="fa-IR"/>
        </w:rPr>
        <w:t>لإجزاء ما فعله الناسی لجزء من العبادة أو شرطها،باستصحاب عدم التکلیف الثابت حال النسیان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اعتراض بعض المعاصرین </w:t>
      </w:r>
      <w:r>
        <w:rPr>
          <w:rStyle w:val="FootnoteAnchor"/>
          <w:rtl w:val="true"/>
        </w:rPr>
        <w:footnoteReference w:id="744"/>
      </w:r>
      <w:r>
        <w:rPr>
          <w:rFonts w:ascii="IRNazanin" w:hAnsi="IRNazanin" w:eastAsia="IRNazanin"/>
          <w:color w:val="111111"/>
          <w:sz w:val="28"/>
          <w:sz w:val="28"/>
          <w:szCs w:val="28"/>
          <w:rtl w:val="true"/>
          <w:lang w:bidi="fa-IR"/>
        </w:rPr>
        <w:t>علی من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القدماء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العقل باستصحاب العدم،بأنّه لا وجه للتخصیص؛فإنّ حکم العقل المستصحب قد یکون وجودیّا تکلیفیّا کاستصحاب تحریم التصرّف فی مال الغیر و وجوب ردّ الأمانة إذا عرض هناک ما یحتمل معه زوالهما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کالاضطرار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وضعیّا کشرطیّة العلم للتکلیف إذا عرض ما یوجب الشکّ فی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حال المثالین الأوّلین ممّا ذکرنا سابقا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المثال الثالث،فلم یتصوّر فیه الشکّ فی بقاء شرطیّة العلم للتکلیف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نعم،ربما یستصحب التکلیف فیما کان المکلّف به معلوما بالتفصیل ثمّ اشتبه و صار معلوما </w:t>
      </w:r>
    </w:p>
    <w:p>
      <w:pPr>
        <w:pStyle w:val="BookText"/>
        <w:rPr/>
      </w:pPr>
      <w:r>
        <w:rPr>
          <w:rFonts w:ascii="IRNazanin" w:hAnsi="IRNazanin" w:eastAsia="IRNazanin"/>
          <w:color w:val="111111"/>
          <w:sz w:val="28"/>
          <w:sz w:val="28"/>
          <w:szCs w:val="28"/>
          <w:rtl w:val="true"/>
          <w:lang w:bidi="fa-IR"/>
        </w:rPr>
        <w:t xml:space="preserve">بالإجمال،لکنّه خارج عمّا نحن فیه،مع عدم جریان الاستصحاب فیه،کما سننبّه علیه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أیضا فساد التمسّک باستصحاب البراءة و الاشتغال الثابتین بقاعدتی البراءة و الاشتغال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قطع بالبراءة عن وجوب غسل الجمعة و الدعاء عند رؤیة الهلال قبل الشرع أو العثور علیه،فإنّ مجرّد الشکّ فی حصول الاشتغال کاف فی حکم العقل بالبراءة،و لا حاجة إلی إبقاء البراءة السابقة و الحکم بعدم ارتفاعها ظاهرا،فلا فرق بین الحالة السابقة و اللاحقة فی استقلال العقل بقبح التکلیف فیهما؛لکون المناط فی القبح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ارید إثبات عدم الحکم أمکن إثباته باستصحاب عدمه،لکنّ المقصود من استصحابه لیس إلاّ ترتیب آثار عدم الحکم، و لیس إلاّ عدم الاشتغال الذی یحکم به العقل فی زمان الشکّ،فهو من آثار الشکّ لا المشکوک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السورة فی الصلاة،و وجوب الصلاة إلی أربع جهات،و وجوب الاجتناب عن کلا المشتبهین فی الشبهة المحصورة،ففعل ما یحتمل معه بقاء التکلیف الواقعیّ و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صلّی بلا سورة أو إلی بعض الجهات أو اجتنب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یتمسّک حینئذ باستصحاب الاشتغال المتیقّن سابقا</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السابق لم یکن إلاّ بحکم العقل الحاکم بوجوب تحصیل الیقین بالبراءة عن التکلیف المعلوم فی زمان،و هو بعینه موجود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 هذا الزمان و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بوجود التکلیف فعلا بالواقع فی السابق و عدم العلم به فی هذا الزمان،و هذا لا یؤثّر فی حکم العقل المذکور؛إذ یکفی فیه العلم بالتکلیف الواقعی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استصحاب عدم فعل الواجب الواقعیّ و عدم سقوطه عنه،لکنّه لا یقضی بوجوب الإتیان بالصلاة مع السورة و الصلاة إلی الجهة الباقیة و اجتناب المشتبه الباقی،بل یقضی بوجوب تحصیل البراءة من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مجرّد ذلک لا یثبت وجوب الإتیان بما یقتضی الیقین بالبراءة،إلاّ علی القول بالأصل المثبت،أو بضمیمة حکم العقل بوجوب تحصیل الیقین،و الأوّل لا نقول به،و الثانی بعینه موجود فی محلّ الشکّ من دون الاستصحاب</w:t>
      </w:r>
      <w:r>
        <w:rPr>
          <w:rFonts w:eastAsia="IRNazanin" w:cs="IRNazanin"/>
          <w:color w:val="111111"/>
          <w:sz w:val="28"/>
          <w:szCs w:val="28"/>
          <w:rtl w:val="true"/>
          <w:lang w:bidi="fa-IR"/>
        </w:rPr>
        <w:t xml:space="preserve">. </w:t>
      </w:r>
      <w:bookmarkStart w:id="678" w:name="pg12985_125069"/>
    </w:p>
    <w:p>
      <w:pPr>
        <w:pStyle w:val="Heading4"/>
        <w:numPr>
          <w:ilvl w:val="3"/>
          <w:numId w:val="1"/>
        </w:numPr>
        <w:rPr/>
      </w:pPr>
      <w:bookmarkStart w:id="679" w:name="__RefHeading___Toc5767329_3224264995"/>
      <w:bookmarkStart w:id="680" w:name="_Toc273"/>
      <w:bookmarkEnd w:id="678"/>
      <w:bookmarkEnd w:id="679"/>
      <w:r>
        <w:rPr>
          <w:rtl w:val="true"/>
        </w:rPr>
        <w:t xml:space="preserve">الأمر الرابع </w:t>
      </w:r>
      <w:r>
        <w:rPr>
          <w:rtl w:val="true"/>
        </w:rPr>
        <w:t>:</w:t>
      </w:r>
      <w:r>
        <w:rPr>
          <w:rtl w:val="true"/>
        </w:rPr>
        <w:t>هل یجری الاستصحاب التعلیقی؟</w:t>
      </w:r>
      <w:bookmarkEnd w:id="680"/>
    </w:p>
    <w:p>
      <w:pPr>
        <w:pStyle w:val="Heading5"/>
        <w:numPr>
          <w:ilvl w:val="4"/>
          <w:numId w:val="1"/>
        </w:numPr>
        <w:rPr/>
      </w:pPr>
      <w:bookmarkStart w:id="681" w:name="__RefHeading___Toc5767331_3224264995"/>
      <w:bookmarkStart w:id="682" w:name="_Toc274"/>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قد یطلق علی بعض الاستصحابات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التقدیریّ تارة، و التعلیقیّ اخری؛باعتبار کون القضیّة المستصحبة قضیّة تعلیقیّة حکم فیها بوجود حکم علی تقدیر وجود آخر،فربما یتوهّم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اعتباره،بل منعه و الرجوع فیه إلی استصحاب مخالف له</w:t>
      </w:r>
      <w:r>
        <w:rPr>
          <w:rFonts w:eastAsia="IRNazanin" w:cs="IRNazanin"/>
          <w:color w:val="111111"/>
          <w:sz w:val="28"/>
          <w:szCs w:val="28"/>
          <w:rtl w:val="true"/>
          <w:lang w:bidi="fa-IR"/>
        </w:rPr>
        <w:t>.</w:t>
      </w:r>
    </w:p>
    <w:p>
      <w:pPr>
        <w:pStyle w:val="Heading5"/>
        <w:numPr>
          <w:ilvl w:val="4"/>
          <w:numId w:val="1"/>
        </w:numPr>
        <w:rPr/>
      </w:pPr>
      <w:bookmarkStart w:id="683" w:name="__RefHeading___Toc5767333_3224264995"/>
      <w:bookmarkStart w:id="684" w:name="_Toc275"/>
      <w:bookmarkEnd w:id="683"/>
      <w:r>
        <w:rPr>
          <w:rtl w:val="true"/>
        </w:rPr>
        <w:t>توضیح هذا الاستصحاب</w:t>
      </w:r>
      <w:r>
        <w:rPr>
          <w:rtl w:val="true"/>
        </w:rPr>
        <w:t>:</w:t>
      </w:r>
      <w:bookmarkEnd w:id="684"/>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قد یکون أمرا موجودا فی السابق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وجب الصلاة فعلا أو حرم العصیر العنبیّ بالفعل فی زمان،ثمّ شکّ فی بقائه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جریان الاستصحاب فیه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أمرا موجودا علی تقدیر وجود أمر،فالمستصحب هو وجوده التعلیقیّ،مثل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العنب کان حرمة مائه معلّقة علی غلیانه، فالحرمة ثابتة علی تقدیر الغلیان </w:t>
      </w:r>
      <w:r>
        <w:rPr>
          <w:rStyle w:val="FootnoteAnchor"/>
          <w:rtl w:val="true"/>
        </w:rPr>
        <w:footnoteReference w:id="749"/>
      </w:r>
      <w:r>
        <w:rPr>
          <w:rFonts w:ascii="IRNazanin" w:hAnsi="IRNazanin" w:eastAsia="IRNazanin"/>
          <w:color w:val="111111"/>
          <w:sz w:val="28"/>
          <w:sz w:val="28"/>
          <w:szCs w:val="28"/>
          <w:rtl w:val="true"/>
          <w:lang w:bidi="fa-IR"/>
        </w:rPr>
        <w:t xml:space="preserve">،فإذا جفّ و صار زبیبا فهل یبقی بالاستصحاب حرمة مائه المعلّقة علی الغلیان،فیحرم عند تحقّق الغلیان </w:t>
      </w:r>
      <w:bookmarkStart w:id="685" w:name="pg12985_125070"/>
    </w:p>
    <w:p>
      <w:pPr>
        <w:pStyle w:val="BookText"/>
        <w:rPr/>
      </w:pPr>
      <w:bookmarkEnd w:id="685"/>
      <w:r>
        <w:rPr>
          <w:rFonts w:ascii="IRNazanin" w:hAnsi="IRNazanin" w:eastAsia="IRNazanin"/>
          <w:color w:val="111111"/>
          <w:sz w:val="28"/>
          <w:sz w:val="28"/>
          <w:szCs w:val="28"/>
          <w:rtl w:val="true"/>
          <w:lang w:bidi="fa-IR"/>
        </w:rPr>
        <w:t>أم لا،بل یستصحب الإباحة السابقة لماء الزبیب قبل الغلیان؟</w:t>
      </w:r>
    </w:p>
    <w:p>
      <w:pPr>
        <w:pStyle w:val="BookText"/>
        <w:rPr/>
      </w:pPr>
      <w:r>
        <w:rPr>
          <w:rFonts w:ascii="IRNazanin" w:hAnsi="IRNazanin" w:eastAsia="IRNazanin"/>
          <w:color w:val="111111"/>
          <w:sz w:val="28"/>
          <w:sz w:val="28"/>
          <w:szCs w:val="28"/>
          <w:rtl w:val="true"/>
          <w:lang w:bidi="fa-IR"/>
        </w:rPr>
        <w:t xml:space="preserve">ظاهر سیّد مشایخنا </w:t>
      </w:r>
      <w:r>
        <w:rPr>
          <w:rStyle w:val="FootnoteAnchor"/>
          <w:rtl w:val="true"/>
        </w:rPr>
        <w:footnoteReference w:id="750"/>
      </w:r>
      <w:r>
        <w:rPr>
          <w:rFonts w:ascii="IRNazanin" w:hAnsi="IRNazanin" w:eastAsia="IRNazanin"/>
          <w:color w:val="111111"/>
          <w:sz w:val="28"/>
          <w:sz w:val="28"/>
          <w:szCs w:val="28"/>
          <w:rtl w:val="true"/>
          <w:lang w:bidi="fa-IR"/>
        </w:rPr>
        <w:t>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لما حکاه عن والده قدّس سرّه </w:t>
      </w:r>
      <w:r>
        <w:rPr>
          <w:rStyle w:val="FootnoteAnchor"/>
          <w:rtl w:val="true"/>
        </w:rPr>
        <w:footnoteReference w:id="751"/>
      </w:r>
      <w:r>
        <w:rPr>
          <w:rFonts w:ascii="IRNazanin" w:hAnsi="IRNazanin" w:eastAsia="IRNazanin"/>
          <w:color w:val="111111"/>
          <w:sz w:val="28"/>
          <w:sz w:val="28"/>
          <w:szCs w:val="28"/>
          <w:rtl w:val="true"/>
          <w:lang w:bidi="fa-IR"/>
        </w:rPr>
        <w:t>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الاستصحاب الأوّل،و الرجوع إلی الاستصحاب الثانی</w:t>
      </w:r>
      <w:r>
        <w:rPr>
          <w:rFonts w:eastAsia="IRNazanin" w:cs="IRNazanin"/>
          <w:color w:val="111111"/>
          <w:sz w:val="28"/>
          <w:szCs w:val="28"/>
          <w:rtl w:val="true"/>
          <w:lang w:bidi="fa-IR"/>
        </w:rPr>
        <w:t>.</w:t>
      </w:r>
    </w:p>
    <w:p>
      <w:pPr>
        <w:pStyle w:val="Heading5"/>
        <w:numPr>
          <w:ilvl w:val="4"/>
          <w:numId w:val="1"/>
        </w:numPr>
        <w:rPr/>
      </w:pPr>
      <w:bookmarkStart w:id="686" w:name="__RefHeading___Toc5767335_3224264995"/>
      <w:bookmarkStart w:id="687" w:name="_Toc276"/>
      <w:bookmarkEnd w:id="686"/>
      <w:r>
        <w:rPr>
          <w:rtl w:val="true"/>
        </w:rPr>
        <w:t>کلام صاحب المناهل فی عدم جریان الاستصحاب التعلیقی</w:t>
      </w:r>
      <w:r>
        <w:rPr>
          <w:rtl w:val="true"/>
        </w:rPr>
        <w:t>:</w:t>
      </w:r>
      <w:bookmarkEnd w:id="687"/>
    </w:p>
    <w:p>
      <w:pPr>
        <w:pStyle w:val="Heading6"/>
        <w:numPr>
          <w:ilvl w:val="5"/>
          <w:numId w:val="1"/>
        </w:numPr>
        <w:rPr/>
      </w:pPr>
      <w:bookmarkStart w:id="688" w:name="__RefHeading___Toc5767337_3224264995"/>
      <w:bookmarkStart w:id="689" w:name="_Toc277"/>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قال فی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ردّ تمسّک السیّد العلاّمة الطباطبائیّ </w:t>
      </w:r>
      <w:r>
        <w:rPr>
          <w:rStyle w:val="FootnoteAnchor"/>
          <w:rtl w:val="true"/>
        </w:rPr>
        <w:footnoteReference w:id="752"/>
      </w:r>
      <w:r>
        <w:rPr>
          <w:rFonts w:ascii="IRNazanin" w:hAnsi="IRNazanin" w:eastAsia="IRNazanin"/>
          <w:color w:val="111111"/>
          <w:sz w:val="28"/>
          <w:sz w:val="28"/>
          <w:szCs w:val="28"/>
          <w:rtl w:val="true"/>
          <w:lang w:bidi="fa-IR"/>
        </w:rPr>
        <w:t>علی حرمة العصیر من الزبیب إذا غلا بالاستصحاب،و دعوی تقدیمه علی استصحاب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یشترط فی حجّیّة الاستصحاب ثبوت أمر أو </w:t>
      </w:r>
      <w:r>
        <w:rPr>
          <w:rStyle w:val="FootnoteAnchor"/>
          <w:rtl w:val="true"/>
        </w:rPr>
        <w:footnoteReference w:id="753"/>
      </w:r>
      <w:r>
        <w:rPr>
          <w:rFonts w:ascii="Amiri" w:hAnsi="Amiri" w:eastAsia="Amiri" w:cs="Amiri"/>
          <w:color w:val="111111"/>
          <w:sz w:val="28"/>
          <w:sz w:val="28"/>
          <w:szCs w:val="28"/>
          <w:rtl w:val="true"/>
          <w:lang w:bidi="ar-SA"/>
        </w:rPr>
        <w:t xml:space="preserve">حکم وضعیّ أو تکلیفیّ </w:t>
      </w:r>
      <w:r>
        <w:rPr>
          <w:rStyle w:val="FootnoteAnchor"/>
          <w:rtl w:val="true"/>
        </w:rPr>
        <w:footnoteReference w:id="754"/>
      </w:r>
      <w:r>
        <w:rPr>
          <w:rFonts w:ascii="IRNazanin" w:hAnsi="IRNazanin" w:eastAsia="IRNazanin"/>
          <w:color w:val="111111"/>
          <w:sz w:val="28"/>
          <w:sz w:val="28"/>
          <w:szCs w:val="28"/>
          <w:rtl w:val="true"/>
          <w:lang w:bidi="fa-IR"/>
        </w:rPr>
        <w:t xml:space="preserve">فی زمان من الأزمنة قطعا،ثمّ یحصل الشکّ فی ارتفاعه بسبب من الأسباب،و لا </w:t>
      </w:r>
      <w:r>
        <w:rPr>
          <w:rStyle w:val="FootnoteAnchor"/>
          <w:rtl w:val="true"/>
        </w:rPr>
        <w:footnoteReference w:id="755"/>
      </w:r>
      <w:r>
        <w:rPr>
          <w:rFonts w:ascii="IRNazanin" w:hAnsi="IRNazanin" w:eastAsia="IRNazanin"/>
          <w:color w:val="111111"/>
          <w:sz w:val="28"/>
          <w:sz w:val="28"/>
          <w:szCs w:val="28"/>
          <w:rtl w:val="true"/>
          <w:lang w:bidi="fa-IR"/>
        </w:rPr>
        <w:t xml:space="preserve">یکفی مجرّد قابلیّة الثبوت باعتبار من الاعتبارات،فالاستصحاب التقدیریّ باطل،و قد صرّح بذلک الوالد العلاّمة قدّس سرّه فی أثناء الدرس،فلا وجه للتمسّک باستصحاب التحریم فی المسألة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690" w:name="__RefHeading___Toc5767339_3224264995"/>
      <w:bookmarkStart w:id="691" w:name="_Toc278"/>
      <w:bookmarkEnd w:id="690"/>
      <w:r>
        <w:rPr>
          <w:rtl w:val="true"/>
        </w:rPr>
        <w:t>المناقشة فی ما أفاده صاحب المناهل</w:t>
      </w:r>
      <w:r>
        <w:rPr>
          <w:rtl w:val="true"/>
        </w:rPr>
        <w:t>:</w:t>
      </w:r>
      <w:bookmarkEnd w:id="6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أنّه یعتبر فی الاستصحاب تحقّق المستصحب </w:t>
      </w:r>
      <w:bookmarkStart w:id="692" w:name="pg12985_125071"/>
    </w:p>
    <w:p>
      <w:pPr>
        <w:pStyle w:val="BookText"/>
        <w:rPr/>
      </w:pPr>
      <w:bookmarkEnd w:id="692"/>
      <w:r>
        <w:rPr>
          <w:rFonts w:ascii="IRNazanin" w:hAnsi="IRNazanin" w:eastAsia="IRNazanin"/>
          <w:color w:val="111111"/>
          <w:sz w:val="28"/>
          <w:sz w:val="28"/>
          <w:szCs w:val="28"/>
          <w:rtl w:val="true"/>
          <w:lang w:bidi="fa-IR"/>
        </w:rPr>
        <w:t>سابقا،و الشکّ فی ارتفاع ذلک المحقّق،و لا إشکال أیضا فی عدم اعتبار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تحقّق کلّ شیء بحسبه،فإذا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ماؤه إذا غلا أو بسبب الغلیان،فهناک لازم،و ملزوم،و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الغلیان لتحریم ماء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متحقّقه بالفعل من دون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وجود مقیّد بکونه علی تقدیر الملزوم،و هذا الوجود التقدیریّ أمر متحقّق فی نفسه فی مقابل عدمه، و حینئذ فإذا شککنا فی أنّ وصف العنبیّة له مدخل فی تأثیر الغلیان فی حرمة مائه،فلا أثر للغلیان فی التحریم بعد جفاف العنب و صیرورته زبیبا،فأیّ فرق بین هذا و بین سائر الأحکام الثابتة للعنب إذا شکّ فی بقائها بعد صیرورته زبیبا؟</w:t>
      </w:r>
    </w:p>
    <w:p>
      <w:pPr>
        <w:pStyle w:val="Heading5"/>
        <w:numPr>
          <w:ilvl w:val="4"/>
          <w:numId w:val="1"/>
        </w:numPr>
        <w:rPr/>
      </w:pPr>
      <w:bookmarkStart w:id="693" w:name="__RefHeading___Toc5767341_3224264995"/>
      <w:bookmarkStart w:id="694" w:name="_Toc279"/>
      <w:bookmarkEnd w:id="693"/>
      <w:r>
        <w:rPr>
          <w:rtl w:val="true"/>
        </w:rPr>
        <w:t>بعض المناقشات فی الاستصحاب التعلیقی و دفعها</w:t>
      </w:r>
      <w:r>
        <w:rPr>
          <w:rtl w:val="true"/>
        </w:rPr>
        <w:t>:</w:t>
      </w:r>
      <w:bookmarkEnd w:id="694"/>
    </w:p>
    <w:p>
      <w:pPr>
        <w:pStyle w:val="BookText"/>
        <w:rPr/>
      </w:pPr>
      <w:r>
        <w:rPr>
          <w:rFonts w:ascii="IRNazanin" w:hAnsi="IRNazanin" w:eastAsia="IRNazanin"/>
          <w:color w:val="111111"/>
          <w:sz w:val="28"/>
          <w:sz w:val="28"/>
          <w:szCs w:val="28"/>
          <w:rtl w:val="true"/>
          <w:lang w:bidi="fa-IR"/>
        </w:rPr>
        <w:t>نعم ربما یناقش فی الاستصحاب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بانتفاء الموضوع و هو العنب،و اخری بمعارضته باستصحاب الإباحة قبل الغلیان،بل ترجیحه علیه بمثل الشهرة و العمومات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 لا دخل له فی الفرق بین الآثار الثابتة للعنب بالفعل و الثابتة له علی تقدیر دون آخر،و الثانی فاسد؛لحکومة استصحاب الحرمة علی تقدیر الغلیان علی استصحاب الإباحة قبل الغلیان</w:t>
      </w:r>
      <w:r>
        <w:rPr>
          <w:rFonts w:eastAsia="IRNazanin" w:cs="IRNazanin"/>
          <w:color w:val="111111"/>
          <w:sz w:val="28"/>
          <w:szCs w:val="28"/>
          <w:rtl w:val="true"/>
          <w:lang w:bidi="fa-IR"/>
        </w:rPr>
        <w:t>.</w:t>
      </w:r>
    </w:p>
    <w:p>
      <w:pPr>
        <w:pStyle w:val="Heading5"/>
        <w:numPr>
          <w:ilvl w:val="4"/>
          <w:numId w:val="1"/>
        </w:numPr>
        <w:rPr/>
      </w:pPr>
      <w:bookmarkStart w:id="695" w:name="__RefHeading___Toc5767343_3224264995"/>
      <w:bookmarkStart w:id="696" w:name="_Toc280"/>
      <w:bookmarkEnd w:id="695"/>
      <w:r>
        <w:rPr>
          <w:rtl w:val="true"/>
        </w:rPr>
        <w:t>مختار المصنّف فی المسألة</w:t>
      </w:r>
      <w:r>
        <w:rPr>
          <w:rtl w:val="true"/>
        </w:rPr>
        <w:t>:</w:t>
      </w:r>
      <w:bookmarkEnd w:id="6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فرق فی جریان الاستصحاب و لا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الأخبار أو من حیث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أنحاء تحقّق المستصحب،فکلّ نحو من التحقّق ثبت للمستصحب و شکّ فی ارتفاعه،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بقاؤه،مع أنّک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و سببیّة الملزوم للاّزم موجود بالفعل،وجد الملزوم أم لم یوجد؛لأنّ صدق الشرطیّة لا یتوقّف علی صدق الشرط،و هذا الاستصحاب غیر متوقّف علی وجود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ارید إثبات وجود الحکم فعلا فی الزمان الثانی اعتبر إحراز الملزوم فیه؛لیترتّب علیه بحکم الاستصحاب لازمه،و قد یقع الشکّ فی وجود الملزوم فی الآن اللاحق؛لعدم تعیّنه و احتمال مدخلیّة شیء فی تأثیر ما یتراءی أنّه ملزوم</w:t>
      </w:r>
      <w:r>
        <w:rPr>
          <w:rFonts w:eastAsia="IRNazanin" w:cs="IRNazanin"/>
          <w:color w:val="111111"/>
          <w:sz w:val="28"/>
          <w:szCs w:val="28"/>
          <w:rtl w:val="true"/>
          <w:lang w:bidi="fa-IR"/>
        </w:rPr>
        <w:t xml:space="preserve">. </w:t>
      </w:r>
      <w:bookmarkStart w:id="697" w:name="pg12985_125073"/>
    </w:p>
    <w:p>
      <w:pPr>
        <w:pStyle w:val="Heading4"/>
        <w:numPr>
          <w:ilvl w:val="3"/>
          <w:numId w:val="1"/>
        </w:numPr>
        <w:rPr/>
      </w:pPr>
      <w:bookmarkStart w:id="698" w:name="__RefHeading___Toc5767345_3224264995"/>
      <w:bookmarkStart w:id="699" w:name="_Toc281"/>
      <w:bookmarkEnd w:id="697"/>
      <w:bookmarkEnd w:id="698"/>
      <w:r>
        <w:rPr>
          <w:rtl w:val="true"/>
        </w:rPr>
        <w:t xml:space="preserve">الأمر الخامس </w:t>
      </w:r>
      <w:r>
        <w:rPr>
          <w:rtl w:val="true"/>
        </w:rPr>
        <w:t>:</w:t>
      </w:r>
      <w:r>
        <w:rPr>
          <w:rtl w:val="true"/>
        </w:rPr>
        <w:t>استصحاب أحکام الشرائع السابقة</w:t>
      </w:r>
      <w:bookmarkEnd w:id="699"/>
    </w:p>
    <w:p>
      <w:pPr>
        <w:pStyle w:val="Heading5"/>
        <w:numPr>
          <w:ilvl w:val="4"/>
          <w:numId w:val="1"/>
        </w:numPr>
        <w:rPr/>
      </w:pPr>
      <w:bookmarkStart w:id="700" w:name="__RefHeading___Toc5767347_3224264995"/>
      <w:bookmarkStart w:id="701" w:name="_Toc282"/>
      <w:bookmarkEnd w:id="700"/>
      <w:r>
        <w:rPr>
          <w:rtl w:val="true"/>
        </w:rPr>
        <w:t>اشارة</w:t>
      </w:r>
      <w:bookmarkEnd w:id="701"/>
    </w:p>
    <w:p>
      <w:pPr>
        <w:pStyle w:val="BookText"/>
        <w:rPr/>
      </w:pPr>
      <w:r>
        <w:rPr>
          <w:rFonts w:ascii="IRNazanin" w:hAnsi="IRNazanin" w:eastAsia="IRNazanin"/>
          <w:color w:val="111111"/>
          <w:sz w:val="28"/>
          <w:sz w:val="28"/>
          <w:szCs w:val="28"/>
          <w:rtl w:val="true"/>
          <w:lang w:bidi="fa-IR"/>
        </w:rPr>
        <w:t>أنّه لا فرق فی المستصحب بین أن یکون حکما ثابتا فی هذه الشریعة أم حکما من أحکام الشریعة السابقة؛إذ المقتضی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جریان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ما یصلح مانعا،عدا امور</w:t>
      </w:r>
      <w:r>
        <w:rPr>
          <w:rFonts w:eastAsia="IRNazanin" w:cs="IRNazanin"/>
          <w:color w:val="111111"/>
          <w:sz w:val="28"/>
          <w:szCs w:val="28"/>
          <w:rtl w:val="true"/>
          <w:lang w:bidi="fa-IR"/>
        </w:rPr>
        <w:t>:</w:t>
      </w:r>
    </w:p>
    <w:p>
      <w:pPr>
        <w:pStyle w:val="Heading5"/>
        <w:numPr>
          <w:ilvl w:val="4"/>
          <w:numId w:val="1"/>
        </w:numPr>
        <w:rPr/>
      </w:pPr>
      <w:bookmarkStart w:id="702" w:name="__RefHeading___Toc5767349_3224264995"/>
      <w:bookmarkStart w:id="703" w:name="_Toc283"/>
      <w:bookmarkEnd w:id="702"/>
      <w:r>
        <w:rPr>
          <w:rtl w:val="true"/>
        </w:rPr>
        <w:t>ما ذکره صاحب الفصول فی وجه المنع عن هذا الاستصحاب</w:t>
      </w:r>
      <w:r>
        <w:rPr>
          <w:rtl w:val="true"/>
        </w:rPr>
        <w:t>:</w:t>
      </w:r>
      <w:bookmarkEnd w:id="703"/>
    </w:p>
    <w:p>
      <w:pPr>
        <w:pStyle w:val="Heading6"/>
        <w:numPr>
          <w:ilvl w:val="5"/>
          <w:numId w:val="1"/>
        </w:numPr>
        <w:rPr/>
      </w:pPr>
      <w:bookmarkStart w:id="704" w:name="__RefHeading___Toc5767351_3224264995"/>
      <w:bookmarkStart w:id="705" w:name="_Toc284"/>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758"/>
      </w:r>
      <w:r>
        <w:rPr>
          <w:rFonts w:ascii="IRNazanin" w:hAnsi="IRNazanin" w:eastAsia="IRNazanin"/>
          <w:color w:val="111111"/>
          <w:sz w:val="28"/>
          <w:sz w:val="28"/>
          <w:szCs w:val="28"/>
          <w:rtl w:val="true"/>
          <w:lang w:bidi="fa-IR"/>
        </w:rPr>
        <w:t xml:space="preserve">،من أنّ الحکم الثابت فی حقّ جماعة لا یمکن استصحابه فی حقّ آخرین؛لتغایر الموضوع؛فإنّ ما ثبت فی حقّهم مثله لا نفسه،و لذا یتمسّک </w:t>
      </w:r>
      <w:r>
        <w:rPr>
          <w:rStyle w:val="FootnoteAnchor"/>
          <w:rtl w:val="true"/>
        </w:rPr>
        <w:footnoteReference w:id="759"/>
      </w:r>
      <w:r>
        <w:rPr>
          <w:rFonts w:ascii="IRNazanin" w:hAnsi="IRNazanin" w:eastAsia="IRNazanin"/>
          <w:color w:val="111111"/>
          <w:sz w:val="28"/>
          <w:sz w:val="28"/>
          <w:szCs w:val="28"/>
          <w:rtl w:val="true"/>
          <w:lang w:bidi="fa-IR"/>
        </w:rPr>
        <w:t>فی تسریة الأحکام الثابتة للحاضرین أو الموجودین إلی الغائبین أو المعدومین،بالإجماع و الأخبار الدالّة علی الشرکة،لا بالاستصحاب</w:t>
      </w:r>
      <w:r>
        <w:rPr>
          <w:rFonts w:eastAsia="IRNazanin" w:cs="IRNazanin"/>
          <w:color w:val="111111"/>
          <w:sz w:val="28"/>
          <w:szCs w:val="28"/>
          <w:rtl w:val="true"/>
          <w:lang w:bidi="fa-IR"/>
        </w:rPr>
        <w:t>.</w:t>
      </w:r>
    </w:p>
    <w:p>
      <w:pPr>
        <w:pStyle w:val="Heading6"/>
        <w:numPr>
          <w:ilvl w:val="5"/>
          <w:numId w:val="1"/>
        </w:numPr>
        <w:rPr/>
      </w:pPr>
      <w:bookmarkStart w:id="706" w:name="__RefHeading___Toc5767353_3224264995"/>
      <w:bookmarkStart w:id="707" w:name="_Toc285"/>
      <w:bookmarkEnd w:id="706"/>
      <w:r>
        <w:rPr>
          <w:rtl w:val="true"/>
        </w:rPr>
        <w:t>المناقشة فی ما أفاده صاحب الفصول</w:t>
      </w:r>
      <w:r>
        <w:rPr>
          <w:rtl w:val="true"/>
        </w:rPr>
        <w:t>:</w:t>
      </w:r>
      <w:bookmarkEnd w:id="7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نفرض الشخص الواحد مدرکا للشریعتین،فإذا حرم فی حقّه شیء سابقا،و شکّ فی بقاء الحرمة فی الشریعة اللاحقة، فلا مانع عن الاستصحاب أصلا؛فإنّ الشریعة اللاحقة لا تحدث عند </w:t>
      </w:r>
    </w:p>
    <w:p>
      <w:pPr>
        <w:pStyle w:val="BookText"/>
        <w:rPr/>
      </w:pPr>
      <w:r>
        <w:rPr>
          <w:rFonts w:ascii="IRNazanin" w:hAnsi="IRNazanin" w:eastAsia="IRNazanin"/>
          <w:color w:val="111111"/>
          <w:sz w:val="28"/>
          <w:sz w:val="28"/>
          <w:szCs w:val="28"/>
          <w:rtl w:val="true"/>
          <w:lang w:bidi="fa-IR"/>
        </w:rPr>
        <w:t xml:space="preserve">انقراض أهل الشریعة الاولی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الأشخاص لا یمنع عن الاستصحاب،و إلاّ لم یجر 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المستصحب هو الحکم الکلّیّ الثابت للجماعة علی وجه لا مدخل لأشخاصهم فیه </w:t>
      </w:r>
      <w:r>
        <w:rPr>
          <w:rStyle w:val="FootnoteAnchor"/>
          <w:rtl w:val="true"/>
        </w:rPr>
        <w:footnoteReference w:id="761"/>
      </w:r>
      <w:r>
        <w:rPr>
          <w:rFonts w:ascii="IRNazanin" w:hAnsi="IRNazanin" w:eastAsia="IRNazanin"/>
          <w:color w:val="111111"/>
          <w:sz w:val="28"/>
          <w:sz w:val="28"/>
          <w:szCs w:val="28"/>
          <w:rtl w:val="true"/>
          <w:lang w:bidi="fa-IR"/>
        </w:rPr>
        <w:t xml:space="preserve">إذ لو فرض وجود اللاحقین فی السابق عمّهم الحکم قطعا،غایة الأمر احتمال مدخلیّة بعض أوصافهم المعتبرة </w:t>
      </w:r>
      <w:r>
        <w:rPr>
          <w:rStyle w:val="FootnoteAnchor"/>
          <w:rtl w:val="true"/>
        </w:rPr>
        <w:footnoteReference w:id="762"/>
      </w:r>
      <w:r>
        <w:rPr>
          <w:rFonts w:ascii="IRNazanin" w:hAnsi="IRNazanin" w:eastAsia="IRNazanin"/>
          <w:color w:val="111111"/>
          <w:sz w:val="28"/>
          <w:sz w:val="28"/>
          <w:szCs w:val="28"/>
          <w:rtl w:val="true"/>
          <w:lang w:bidi="fa-IR"/>
        </w:rPr>
        <w:t>فی موضوع الحکم،و مثل هذا لو أثّر فی الاستصحاب لقدح فی أکثر الاستصحابات،بل فی جمیع موارد الشکّ من غیر جهة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فی تسریة الحکم من الحاضرین إلی الغائبین،فلیس مجری للاستصحاب حتّی یتمسّک به؛لأنّ تغایر الحاضرین المشافهین و الغائبین لیس بالزمان،و لعلّه سهو من قلمه قدّس سرّه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التسریة من الموجودین إلی المعدومین،فیمکن التمسّک فیها بالاستصحاب بالتقریب المتقدّم </w:t>
      </w:r>
      <w:r>
        <w:rPr>
          <w:rStyle w:val="FootnoteAnchor"/>
          <w:rtl w:val="true"/>
        </w:rPr>
        <w:footnoteReference w:id="763"/>
      </w:r>
      <w:r>
        <w:rPr>
          <w:rFonts w:ascii="IRNazanin" w:hAnsi="IRNazanin" w:eastAsia="IRNazanin"/>
          <w:color w:val="111111"/>
          <w:sz w:val="28"/>
          <w:sz w:val="28"/>
          <w:szCs w:val="28"/>
          <w:rtl w:val="true"/>
          <w:lang w:bidi="fa-IR"/>
        </w:rPr>
        <w:t xml:space="preserve">،أو بإجرائه فی من بقی من الموجودین </w:t>
      </w:r>
      <w:bookmarkStart w:id="708" w:name="pg12985_125075"/>
    </w:p>
    <w:p>
      <w:pPr>
        <w:pStyle w:val="BookText"/>
        <w:rPr/>
      </w:pPr>
      <w:bookmarkEnd w:id="708"/>
      <w:r>
        <w:rPr>
          <w:rFonts w:ascii="IRNazanin" w:hAnsi="IRNazanin" w:eastAsia="IRNazanin"/>
          <w:color w:val="111111"/>
          <w:sz w:val="28"/>
          <w:sz w:val="28"/>
          <w:szCs w:val="28"/>
          <w:rtl w:val="true"/>
          <w:lang w:bidi="fa-IR"/>
        </w:rPr>
        <w:t>إلی زمان وجود المعدومین،و یتمّ الحکم فی المعدومین بقیام الضرورة علی اشتراک أهل الزمان الواحد فی الشریعة الواحدة</w:t>
      </w:r>
      <w:r>
        <w:rPr>
          <w:rFonts w:eastAsia="IRNazanin" w:cs="IRNazanin"/>
          <w:color w:val="111111"/>
          <w:sz w:val="28"/>
          <w:szCs w:val="28"/>
          <w:rtl w:val="true"/>
          <w:lang w:bidi="fa-IR"/>
        </w:rPr>
        <w:t>.</w:t>
      </w:r>
    </w:p>
    <w:p>
      <w:pPr>
        <w:pStyle w:val="Heading5"/>
        <w:numPr>
          <w:ilvl w:val="4"/>
          <w:numId w:val="1"/>
        </w:numPr>
        <w:rPr/>
      </w:pPr>
      <w:bookmarkStart w:id="709" w:name="__RefHeading___Toc5767355_3224264995"/>
      <w:bookmarkStart w:id="710" w:name="_Toc286"/>
      <w:bookmarkEnd w:id="709"/>
      <w:r>
        <w:rPr>
          <w:rtl w:val="true"/>
        </w:rPr>
        <w:t>وجه آخر للمنع و دفعه</w:t>
      </w:r>
      <w:r>
        <w:rPr>
          <w:rtl w:val="true"/>
        </w:rPr>
        <w:t>:</w:t>
      </w:r>
      <w:bookmarkEnd w:id="71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اشتهر من أنّ هذه الشریعة ناسخة لغیرها من الشرائع، فلا یجوز الحکم بالبقاء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نسخ کلّ حکم إلهیّ من أحکام الشریعة السابقة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نسخ البعض فالمتیقّن من المنسوخ ما علم بالدلیل، فیبقی غیره علی ما کان علیه و لو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قطعا بنسخ کثیر من الأحکام السابقة، و المعلوم تفصیلا منها قلیل فی الغایة،فیعلم بوجود المنسوخ فی غیره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ذلک،لم یقدح فی إجراء أصالة عدم النسخ فی المشکوکات؛لأنّ الأحکام المعلومة فی شرعنا بالأدلّة واجبة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موارد النسخ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فأصالة عدم النسخ فیها غیر محتاج إلیها،فیبقی أصالة عدم النسخ فی محلّ الحاجة سلیمة عن المعارض </w:t>
      </w:r>
      <w:r>
        <w:rPr>
          <w:rStyle w:val="FootnoteAnchor"/>
          <w:rtl w:val="true"/>
        </w:rPr>
        <w:footnoteReference w:id="765"/>
      </w:r>
      <w:r>
        <w:rPr>
          <w:rFonts w:ascii="IRNazanin" w:hAnsi="IRNazanin" w:eastAsia="IRNazanin"/>
          <w:color w:val="111111"/>
          <w:sz w:val="28"/>
          <w:sz w:val="28"/>
          <w:szCs w:val="28"/>
          <w:rtl w:val="true"/>
          <w:lang w:bidi="fa-IR"/>
        </w:rPr>
        <w:t xml:space="preserve">لما تقرّر فی الشبهة المحصورة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الأصل فی بعض </w:t>
      </w:r>
      <w:bookmarkStart w:id="711" w:name="pg12985_125076"/>
    </w:p>
    <w:p>
      <w:pPr>
        <w:pStyle w:val="BookText"/>
        <w:rPr/>
      </w:pPr>
      <w:bookmarkEnd w:id="711"/>
      <w:r>
        <w:rPr>
          <w:rFonts w:ascii="IRNazanin" w:hAnsi="IRNazanin" w:eastAsia="IRNazanin"/>
          <w:color w:val="111111"/>
          <w:sz w:val="28"/>
          <w:sz w:val="28"/>
          <w:szCs w:val="28"/>
          <w:rtl w:val="true"/>
          <w:lang w:bidi="fa-IR"/>
        </w:rPr>
        <w:t>أطراف الشبهة إذا لم یکن جاریا أو لم یحتج إلیه،فلا ضیر فی إجراء الأصل فی البعض الآخر،و لأجل ما ذکرنا استمرّ بناء المسلمین فی أوّل البعثة علی الاستمرار علی ما کانوا علیه حتّی یطّلعوا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قبل إکمال شریعتنا،و أمّا بعده فقد جاء النبیّ صلی اللّه علیه و آله و سلّم بجمیع ما یحتاج إلیه الامّة إلی یوم القیامة،سواء خالف الشریعة السابقة أم وافقها،فنحن مکلّفون بتحصیل ذلک الحکم موافقا أم مخالفا؛لأنّه مقتضی التدیّن بهذا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حصول الظنّ المعتبر من الاستصحاب ببقاء حکم اللّه السابق فی هذه الشریعة،فیظنّ بکونه ممّا جاء به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بنینا علی الاستصحاب تعبّدا فالأمر أوضح؛لکونه حکما کلّیّا فی شریعتنا بإبقاء ما ثبت فی السابق</w:t>
      </w:r>
      <w:r>
        <w:rPr>
          <w:rFonts w:eastAsia="IRNazanin" w:cs="IRNazanin"/>
          <w:color w:val="111111"/>
          <w:sz w:val="28"/>
          <w:szCs w:val="28"/>
          <w:rtl w:val="true"/>
          <w:lang w:bidi="fa-IR"/>
        </w:rPr>
        <w:t>.</w:t>
      </w:r>
    </w:p>
    <w:p>
      <w:pPr>
        <w:pStyle w:val="Heading5"/>
        <w:numPr>
          <w:ilvl w:val="4"/>
          <w:numId w:val="1"/>
        </w:numPr>
        <w:rPr/>
      </w:pPr>
      <w:bookmarkStart w:id="712" w:name="__RefHeading___Toc5767357_3224264995"/>
      <w:bookmarkStart w:id="713" w:name="_Toc287"/>
      <w:bookmarkEnd w:id="712"/>
      <w:r>
        <w:rPr>
          <w:rtl w:val="true"/>
        </w:rPr>
        <w:t>ما ذکره المحقّق القمّی فی وجه المنع</w:t>
      </w:r>
      <w:r>
        <w:rPr>
          <w:rtl w:val="true"/>
        </w:rPr>
        <w:t>:</w:t>
      </w:r>
      <w:bookmarkEnd w:id="713"/>
    </w:p>
    <w:p>
      <w:pPr>
        <w:pStyle w:val="Heading6"/>
        <w:numPr>
          <w:ilvl w:val="5"/>
          <w:numId w:val="1"/>
        </w:numPr>
        <w:rPr/>
      </w:pPr>
      <w:bookmarkStart w:id="714" w:name="__RefHeading___Toc5767359_3224264995"/>
      <w:bookmarkStart w:id="715" w:name="_Toc288"/>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القوانین،من أنّ جریان الاستصحاب مبنیّ علی القول بکون حسن الأشیاء ذاتیّا،و هو ممنوع،بل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بالوجوه و الاعتبارات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5767361_3224264995"/>
      <w:bookmarkStart w:id="717" w:name="_Toc289"/>
      <w:bookmarkEnd w:id="716"/>
      <w:r>
        <w:rPr>
          <w:rtl w:val="true"/>
        </w:rPr>
        <w:t>الجواب عمّا ذکره المحقّق القمّی</w:t>
      </w:r>
      <w:r>
        <w:rPr>
          <w:rtl w:val="true"/>
        </w:rPr>
        <w:t>:</w:t>
      </w:r>
      <w:bookmarkEnd w:id="71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ینافیه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أبطلوه بوقوع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لیس مبنی الاستصحاب،بل هو مانع عنه؛للقطع بعدم النسخ حینئذ،فلا یحتمل الارتفاع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غیره فلا فرق بین القول به و القول بالوجوه و الاعتبارات؛ فإنّ القول بالوجوه لو کان مانعا عن الاستصحاب لم یجر الاستصحاب فی هذه الشریعة</w:t>
      </w:r>
      <w:r>
        <w:rPr>
          <w:rFonts w:eastAsia="IRNazanin" w:cs="IRNazanin"/>
          <w:color w:val="111111"/>
          <w:sz w:val="28"/>
          <w:szCs w:val="28"/>
          <w:rtl w:val="true"/>
          <w:lang w:bidi="fa-IR"/>
        </w:rPr>
        <w:t xml:space="preserve">. </w:t>
      </w:r>
      <w:bookmarkStart w:id="718" w:name="pg12985_125077"/>
    </w:p>
    <w:p>
      <w:pPr>
        <w:pStyle w:val="Heading5"/>
        <w:numPr>
          <w:ilvl w:val="4"/>
          <w:numId w:val="1"/>
        </w:numPr>
        <w:rPr/>
      </w:pPr>
      <w:bookmarkStart w:id="719" w:name="__RefHeading___Toc5767363_3224264995"/>
      <w:bookmarkStart w:id="720" w:name="_Toc290"/>
      <w:bookmarkEnd w:id="718"/>
      <w:bookmarkEnd w:id="719"/>
      <w:r>
        <w:rPr>
          <w:rtl w:val="true"/>
        </w:rPr>
        <w:t>الثمرات المذکورة لهذه المسألة و مناقشتها</w:t>
      </w:r>
      <w:r>
        <w:rPr>
          <w:rtl w:val="true"/>
        </w:rPr>
        <w:t>:</w:t>
      </w:r>
      <w:bookmarkEnd w:id="720"/>
    </w:p>
    <w:p>
      <w:pPr>
        <w:pStyle w:val="Heading6"/>
        <w:numPr>
          <w:ilvl w:val="5"/>
          <w:numId w:val="1"/>
        </w:numPr>
        <w:rPr/>
      </w:pPr>
      <w:bookmarkStart w:id="721" w:name="__RefHeading___Toc5767365_3224264995"/>
      <w:bookmarkStart w:id="722" w:name="_Toc291"/>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ثمّ إنّ جماعة </w:t>
      </w:r>
      <w:r>
        <w:rPr>
          <w:rStyle w:val="FootnoteAnchor"/>
          <w:rtl w:val="true"/>
        </w:rPr>
        <w:footnoteReference w:id="768"/>
      </w:r>
      <w:r>
        <w:rPr>
          <w:rFonts w:ascii="IRNazanin" w:hAnsi="IRNazanin" w:eastAsia="IRNazanin"/>
          <w:color w:val="111111"/>
          <w:sz w:val="28"/>
          <w:sz w:val="28"/>
          <w:szCs w:val="28"/>
          <w:rtl w:val="true"/>
          <w:lang w:bidi="fa-IR"/>
        </w:rPr>
        <w:t xml:space="preserve">رتّبوا علی إبقاء الشرع السابق فی مورد </w:t>
      </w:r>
      <w:r>
        <w:rPr>
          <w:rStyle w:val="FootnoteAnchor"/>
          <w:rtl w:val="true"/>
        </w:rPr>
        <w:footnoteReference w:id="769"/>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لتمهید القواعد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p>
    <w:p>
      <w:pPr>
        <w:pStyle w:val="Heading6"/>
        <w:numPr>
          <w:ilvl w:val="5"/>
          <w:numId w:val="1"/>
        </w:numPr>
        <w:rPr/>
      </w:pPr>
      <w:bookmarkStart w:id="723" w:name="__RefHeading___Toc5767367_3224264995"/>
      <w:bookmarkStart w:id="724" w:name="_Toc292"/>
      <w:bookmarkEnd w:id="723"/>
      <w:r>
        <w:rPr>
          <w:rtl w:val="true"/>
        </w:rPr>
        <w:t>الثمرة الأولی</w:t>
      </w:r>
      <w:r>
        <w:rPr>
          <w:rtl w:val="true"/>
        </w:rPr>
        <w:t>:</w:t>
      </w:r>
      <w:bookmarkEnd w:id="72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وجوب نیّة الإخلاص فی العبادة بقوله تعالی حکایة عن تکلیف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الإغماض عن عدم دلالة الآیة علی وجوب الإخلاص بمعنی القربة فی کلّ واجب،و إنّما تدلّ علی وجوب عبادة اللّه خالصة عن الشرک،و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التوحید،کما أوضحنا ذلک فی باب النیّة من الفقه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إنّما تدلّ علی اعتبار الإخلاص فی واجباتهم،لا علی وجوب </w:t>
      </w:r>
      <w:r>
        <w:rPr>
          <w:rStyle w:val="FootnoteAnchor"/>
          <w:rtl w:val="true"/>
        </w:rPr>
        <w:footnoteReference w:id="773"/>
      </w:r>
      <w:r>
        <w:rPr>
          <w:rFonts w:ascii="IRNazanin" w:hAnsi="IRNazanin" w:eastAsia="IRNazanin"/>
          <w:color w:val="111111"/>
          <w:sz w:val="28"/>
          <w:sz w:val="28"/>
          <w:szCs w:val="28"/>
          <w:rtl w:val="true"/>
          <w:lang w:bidi="fa-IR"/>
        </w:rPr>
        <w:t>الإخلاص علیهم فی کلّ واجب،و فرق بین وجوب کلّ شیء علیهم لغایة الإخلاص،و بین وجوب قصد الإخلاص علیهم فی کلّ واجب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الآیة هو الأوّل،و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الواجبات لأجل تحقّق العبادة علی وجه الإخلاص،و مرجع ذلک إلی کونها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 </w:t>
      </w:r>
      <w:bookmarkStart w:id="725" w:name="pg12985_125078"/>
    </w:p>
    <w:p>
      <w:pPr>
        <w:pStyle w:val="BookText"/>
        <w:rPr/>
      </w:pPr>
      <w:bookmarkEnd w:id="725"/>
      <w:r>
        <w:rPr>
          <w:rFonts w:ascii="IRNazanin" w:hAnsi="IRNazanin" w:eastAsia="IRNazanin"/>
          <w:color w:val="111111"/>
          <w:sz w:val="28"/>
          <w:sz w:val="28"/>
          <w:szCs w:val="28"/>
          <w:rtl w:val="true"/>
          <w:lang w:bidi="fa-IR"/>
        </w:rPr>
        <w:t>ذلک کون بعضها بل کلّها توصّلیّا لا یعتبر فی سقوطه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الإخلاص واجبا شرطیّا فی کلّ واجب </w:t>
      </w:r>
      <w:r>
        <w:rPr>
          <w:rStyle w:val="FootnoteAnchor"/>
          <w:rtl w:val="true"/>
        </w:rPr>
        <w:footnoteReference w:id="774"/>
      </w:r>
      <w:r>
        <w:rPr>
          <w:rFonts w:ascii="IRNazanin" w:hAnsi="IRNazanin" w:eastAsia="IRNazanin"/>
          <w:color w:val="111111"/>
          <w:sz w:val="28"/>
          <w:sz w:val="28"/>
          <w:szCs w:val="28"/>
          <w:rtl w:val="true"/>
          <w:lang w:bidi="fa-IR"/>
        </w:rPr>
        <w:t xml:space="preserve">، و هو المطلوب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کلّه،مع أنّه یکفی فی ثبوت الحکم فی شرعنا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دِینُ الْقَیِّمَةِ، بناء علی تفسیرها بالثابتة التی لا تنسخ</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5767369_3224264995"/>
      <w:bookmarkStart w:id="727" w:name="_Toc293"/>
      <w:bookmarkEnd w:id="726"/>
      <w:r>
        <w:rPr>
          <w:rtl w:val="true"/>
        </w:rPr>
        <w:t>الثمرة الثانیة</w:t>
      </w:r>
      <w:r>
        <w:rPr>
          <w:rtl w:val="true"/>
        </w:rPr>
        <w:t>:</w:t>
      </w:r>
      <w:bookmarkEnd w:id="7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مؤذّن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بَعِیرٍ وَ أَنَا بِهِ زَعِیمٌ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علی جواز الجهالة فی مال الجعالة،و علی جواز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البعیر لعلّه کان معلوم المقدار عندهم،مع احتمال کونه مجرّد وعد لا جعالة،مع أنّه لا یثبت الشرع بمجرّد فعل المؤذّن؛ لأنّه غیر حجّة،و لم یثبت إذن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 لا تقریره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عدم ثبوت شرعیّة الضمان المذکور،خصوصا مع کون کلّ من الجعالة و الضمان صوریّا قصد بهما تلبیس الأمر علی إخوة یوسف علیه السّلام،و لا بأس بذکر معاملة فاسدة یحصل به الغرض،مع احتمال إرادة أنّ الحمل فی ماله و أنّه الملتزم به؛فإنّ الزعیم هو الکفیل و الضامن،و هما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الالتزام،و لم یثبت کونهما فی ذلک الزمان </w:t>
      </w:r>
      <w:bookmarkStart w:id="728" w:name="pg12985_125079"/>
    </w:p>
    <w:p>
      <w:pPr>
        <w:pStyle w:val="BookText"/>
        <w:rPr/>
      </w:pPr>
      <w:bookmarkEnd w:id="728"/>
      <w:r>
        <w:rPr>
          <w:rFonts w:ascii="IRNazanin" w:hAnsi="IRNazanin" w:eastAsia="IRNazanin"/>
          <w:color w:val="111111"/>
          <w:sz w:val="28"/>
          <w:sz w:val="28"/>
          <w:szCs w:val="28"/>
          <w:rtl w:val="true"/>
          <w:lang w:bidi="fa-IR"/>
        </w:rPr>
        <w:t>حقیقة فی الالتزام عن الغیر،فیکون الفقرة الثانیة تأکیدا لظاهر الاولی، و دفعا لتوهّم کونه من الملک فیصعب تحصیله</w:t>
      </w:r>
      <w:r>
        <w:rPr>
          <w:rFonts w:eastAsia="IRNazanin" w:cs="IRNazanin"/>
          <w:color w:val="111111"/>
          <w:sz w:val="28"/>
          <w:szCs w:val="28"/>
          <w:rtl w:val="true"/>
          <w:lang w:bidi="fa-IR"/>
        </w:rPr>
        <w:t>.</w:t>
      </w:r>
    </w:p>
    <w:p>
      <w:pPr>
        <w:pStyle w:val="Heading6"/>
        <w:numPr>
          <w:ilvl w:val="5"/>
          <w:numId w:val="1"/>
        </w:numPr>
        <w:rPr/>
      </w:pPr>
      <w:bookmarkStart w:id="729" w:name="__RefHeading___Toc5767371_3224264995"/>
      <w:bookmarkStart w:id="730" w:name="_Toc294"/>
      <w:bookmarkEnd w:id="729"/>
      <w:r>
        <w:rPr>
          <w:rtl w:val="true"/>
        </w:rPr>
        <w:t>الثمرة الثالثة</w:t>
      </w:r>
      <w:r>
        <w:rPr>
          <w:rtl w:val="true"/>
        </w:rPr>
        <w:t>:</w:t>
      </w:r>
      <w:bookmarkEnd w:id="73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أحوال یحیی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سَیِّداً وَ حَصُوراً وَ نَبِیًّا مِنَ الصّٰالِحِینَ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یدّل علی مدح یحیی علیه السّلام بکونه حصورا ممتنعا عن مباشرة النسوان،فیمکن أن یرجّح فی شریعتنا التعفّف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فیه؛أنّ الآیة لا تدلّ إلاّ علی حسن هذه الصفة لما فیها من المصالح و التخلّص عمّا یترتّب علیه،و لا دلیل فیها علی رجحان هذه الصفة علی صفة اخری،أعنی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لبعض المصالح الاخرویّة؛فإنّ مدح زید بکونه صائم النهار متهجّدا لا یدلّ علی رجحان هاتین الصفتین علی الإفطار فی النهار و ترک التهجّد فی اللیل للاشتغال بما هو أهمّ منهما</w:t>
      </w:r>
      <w:r>
        <w:rPr>
          <w:rFonts w:eastAsia="IRNazanin" w:cs="IRNazanin"/>
          <w:color w:val="111111"/>
          <w:sz w:val="28"/>
          <w:szCs w:val="28"/>
          <w:rtl w:val="true"/>
          <w:lang w:bidi="fa-IR"/>
        </w:rPr>
        <w:t>.</w:t>
      </w:r>
    </w:p>
    <w:p>
      <w:pPr>
        <w:pStyle w:val="Heading6"/>
        <w:numPr>
          <w:ilvl w:val="5"/>
          <w:numId w:val="1"/>
        </w:numPr>
        <w:rPr/>
      </w:pPr>
      <w:bookmarkStart w:id="731" w:name="__RefHeading___Toc5767373_3224264995"/>
      <w:bookmarkStart w:id="732" w:name="_Toc295"/>
      <w:bookmarkEnd w:id="731"/>
      <w:r>
        <w:rPr>
          <w:rtl w:val="true"/>
        </w:rPr>
        <w:t>الثمرة الرابعة</w:t>
      </w:r>
      <w:r>
        <w:rPr>
          <w:rtl w:val="true"/>
        </w:rPr>
        <w:t>:</w:t>
      </w:r>
      <w:bookmarkEnd w:id="7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جواز برّ الیمین علی ضرب المستحقّ مائة بالضرب بالضّغث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Heading6"/>
        <w:numPr>
          <w:ilvl w:val="5"/>
          <w:numId w:val="1"/>
        </w:numPr>
        <w:rPr/>
      </w:pPr>
      <w:bookmarkStart w:id="733" w:name="__RefHeading___Toc5767375_3224264995"/>
      <w:bookmarkStart w:id="734" w:name="_Toc296"/>
      <w:bookmarkEnd w:id="733"/>
      <w:r>
        <w:rPr>
          <w:rtl w:val="true"/>
        </w:rPr>
        <w:t>الثمرة الخامسة</w:t>
      </w:r>
      <w:r>
        <w:rPr>
          <w:rtl w:val="true"/>
        </w:rPr>
        <w:t>:</w:t>
      </w:r>
      <w:bookmarkEnd w:id="73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بِالنَّفْسِ 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بها فی حکم من قلع عین ذی العین الواحدة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735" w:name="pg12985_125080"/>
    </w:p>
    <w:p>
      <w:pPr>
        <w:pStyle w:val="Heading6"/>
        <w:numPr>
          <w:ilvl w:val="5"/>
          <w:numId w:val="1"/>
        </w:numPr>
        <w:rPr/>
      </w:pPr>
      <w:bookmarkStart w:id="736" w:name="__RefHeading___Toc5767377_3224264995"/>
      <w:bookmarkStart w:id="737" w:name="_Toc297"/>
      <w:bookmarkEnd w:id="735"/>
      <w:bookmarkEnd w:id="736"/>
      <w:r>
        <w:rPr>
          <w:rtl w:val="true"/>
        </w:rPr>
        <w:t>الثمرة السادسة</w:t>
      </w:r>
      <w:r>
        <w:rPr>
          <w:rtl w:val="true"/>
        </w:rPr>
        <w:t>:</w:t>
      </w:r>
      <w:bookmarkEnd w:id="7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أُنْکِحَکَ إِحْدَی ابْنَتَیَّ هٰاتَیْنِ عَلیٰ أَنْ تَأْجُرَنِی ثَمٰانِیَ حِجَجٍ فَإِنْ أَتْمَمْتَ عَشْراً فَمِنْ عِنْدِکَ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المسألة قد علم من العمومات و الخصوصات </w:t>
      </w:r>
      <w:r>
        <w:rPr>
          <w:rStyle w:val="FootnoteAnchor"/>
          <w:rtl w:val="true"/>
        </w:rPr>
        <w:footnoteReference w:id="782"/>
      </w:r>
      <w:r>
        <w:rPr>
          <w:rFonts w:ascii="IRNazanin" w:hAnsi="IRNazanin" w:eastAsia="IRNazanin"/>
          <w:color w:val="111111"/>
          <w:sz w:val="28"/>
          <w:sz w:val="28"/>
          <w:szCs w:val="28"/>
          <w:rtl w:val="true"/>
          <w:lang w:bidi="fa-IR"/>
        </w:rPr>
        <w:t>الواردة فیها،فلا ثمرة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بعض تلک الأخبار إشعار بجواز العمل بالحکم الثابت فی الشرع السابق،لو لا المنع عنه، فراجع و تأمّل</w:t>
      </w:r>
      <w:r>
        <w:rPr>
          <w:rFonts w:eastAsia="IRNazanin" w:cs="IRNazanin"/>
          <w:color w:val="111111"/>
          <w:sz w:val="28"/>
          <w:szCs w:val="28"/>
          <w:rtl w:val="true"/>
          <w:lang w:bidi="fa-IR"/>
        </w:rPr>
        <w:t xml:space="preserve">. </w:t>
      </w:r>
      <w:bookmarkStart w:id="738" w:name="pg12985_125081"/>
    </w:p>
    <w:p>
      <w:pPr>
        <w:pStyle w:val="Heading4"/>
        <w:numPr>
          <w:ilvl w:val="3"/>
          <w:numId w:val="1"/>
        </w:numPr>
        <w:rPr/>
      </w:pPr>
      <w:bookmarkStart w:id="739" w:name="__RefHeading___Toc5767379_3224264995"/>
      <w:bookmarkStart w:id="740" w:name="_Toc298"/>
      <w:bookmarkEnd w:id="738"/>
      <w:bookmarkEnd w:id="739"/>
      <w:r>
        <w:rPr>
          <w:rtl w:val="true"/>
        </w:rPr>
        <w:t xml:space="preserve">الأمر السادس </w:t>
      </w:r>
      <w:r>
        <w:rPr>
          <w:rtl w:val="true"/>
        </w:rPr>
        <w:t>:</w:t>
      </w:r>
      <w:r>
        <w:rPr>
          <w:rtl w:val="true"/>
        </w:rPr>
        <w:t>عدم ترتّب الآثار غیر الشرعیّة علی الاستصحاب و الدلیل علیه</w:t>
      </w:r>
      <w:bookmarkEnd w:id="740"/>
    </w:p>
    <w:p>
      <w:pPr>
        <w:pStyle w:val="Heading5"/>
        <w:numPr>
          <w:ilvl w:val="4"/>
          <w:numId w:val="1"/>
        </w:numPr>
        <w:rPr/>
      </w:pPr>
      <w:bookmarkStart w:id="741" w:name="__RefHeading___Toc5767381_3224264995"/>
      <w:bookmarkStart w:id="742" w:name="_Toc299"/>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قد عرفت أنّ معنی عدم نقض الیقین و المضیّ علیه،هو ترتیب آثار الیقین السابق الثابتة بواسطته للمتیقّن،و وجوب ترتیب تلک الآثار من جانب الشارع لا یعقل إلاّ فی الآثار الشرعیّة المجعولة من الشارع لذلک الشیء؛لأنّها القابلة للجعل دون غیرها من الآثار العقلیّة و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فالمعقول من حکم الشارع بحیاة زید و إیجابه ترتیب آثار الحیاة فی زمان الشکّ،هو حکمه بحرمة تزویج زوجته و التصرّف فی ماله،لا حکمه بنموّه و نبات لحیته؛لأنّ هذه غیر قابلة لجعل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وقع نفس النموّ و نبات اللحیة موردا للاستصحاب أو غیره من التنزیلات الشرعیّة أفاد ذلک جعل آثارهما الشرعیّة دون العقلیّة و العادیّة،لکنّ المفروض ورود الحیاة موردا للاستصحاب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الشارع المشکوک منزلة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التنزیلات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یفید ترتیب الأحکام و الآثار الشرعیّة المحمولة علی المتیقّن السابق،فلا دلالة فیها </w:t>
      </w:r>
      <w:r>
        <w:rPr>
          <w:rStyle w:val="FootnoteAnchor"/>
          <w:rtl w:val="true"/>
        </w:rPr>
        <w:footnoteReference w:id="783"/>
      </w:r>
      <w:r>
        <w:rPr>
          <w:rFonts w:ascii="IRNazanin" w:hAnsi="IRNazanin" w:eastAsia="IRNazanin"/>
          <w:color w:val="111111"/>
          <w:sz w:val="28"/>
          <w:sz w:val="28"/>
          <w:szCs w:val="28"/>
          <w:rtl w:val="true"/>
          <w:lang w:bidi="fa-IR"/>
        </w:rPr>
        <w:t xml:space="preserve">علی جعل غیرها من الآثار العقلیّة </w:t>
      </w:r>
      <w:bookmarkStart w:id="743" w:name="pg12985_125082"/>
    </w:p>
    <w:p>
      <w:pPr>
        <w:pStyle w:val="BookText"/>
        <w:rPr/>
      </w:pPr>
      <w:bookmarkEnd w:id="743"/>
      <w:r>
        <w:rPr>
          <w:rFonts w:ascii="IRNazanin" w:hAnsi="IRNazanin" w:eastAsia="IRNazanin"/>
          <w:color w:val="111111"/>
          <w:sz w:val="28"/>
          <w:sz w:val="28"/>
          <w:szCs w:val="28"/>
          <w:rtl w:val="true"/>
          <w:lang w:bidi="fa-IR"/>
        </w:rPr>
        <w:t>و العادیّة؛لعدم قابلیّتها للجعل،و لا علی جعل الآثار الشرعیّة المترتّبة علی تلک الآثار؛لأنّها لیست آثارا لنفس المتیقّن،و لم یقع ذوها موردا لتنزیل الشارع حتّی تترتّب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المستصحب إمّا أن یکون حکما </w:t>
      </w:r>
      <w:r>
        <w:rPr>
          <w:rStyle w:val="FootnoteAnchor"/>
          <w:rtl w:val="true"/>
        </w:rPr>
        <w:footnoteReference w:id="784"/>
      </w:r>
      <w:r>
        <w:rPr>
          <w:rFonts w:ascii="IRNazanin" w:hAnsi="IRNazanin" w:eastAsia="IRNazanin"/>
          <w:color w:val="111111"/>
          <w:sz w:val="28"/>
          <w:sz w:val="28"/>
          <w:szCs w:val="28"/>
          <w:rtl w:val="true"/>
          <w:lang w:bidi="fa-IR"/>
        </w:rPr>
        <w:t>من الأحکام الشرعیّة المجعولة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التحریم و الإباحة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من غیر المجعولات،کالموضوعات الخارجیّة و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الأحکام الشرعیّة فالمجعول فی زمان الشکّ حکم ظاهریّ مساو للمتیقّن السابق فی جمیع ما یترتّب علیه؛لأنّه مفاد وجوب ترتیب آثار المتیقّن السابق و وجوب المضیّ علیه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غیرها فالمجعول فی زمان الشکّ هی لوازمه الشرعیّة،دون العقلیّة و العادیّة،و دون ملزومه شرعیّا کان أو غیره، و دون ما هو ملازم معه لملزوم ثالث</w:t>
      </w:r>
      <w:r>
        <w:rPr>
          <w:rFonts w:eastAsia="IRNazanin" w:cs="IRNazanin"/>
          <w:color w:val="111111"/>
          <w:sz w:val="28"/>
          <w:szCs w:val="28"/>
          <w:rtl w:val="true"/>
          <w:lang w:bidi="fa-IR"/>
        </w:rPr>
        <w:t>.</w:t>
      </w:r>
    </w:p>
    <w:p>
      <w:pPr>
        <w:pStyle w:val="Heading5"/>
        <w:numPr>
          <w:ilvl w:val="4"/>
          <w:numId w:val="1"/>
        </w:numPr>
        <w:rPr/>
      </w:pPr>
      <w:bookmarkStart w:id="744" w:name="__RefHeading___Toc5767383_3224264995"/>
      <w:bookmarkStart w:id="745" w:name="_Toc300"/>
      <w:bookmarkEnd w:id="744"/>
      <w:r>
        <w:rPr>
          <w:rtl w:val="true"/>
        </w:rPr>
        <w:t>المراد من نفی الاصول المثبتة</w:t>
      </w:r>
      <w:r>
        <w:rPr>
          <w:rtl w:val="true"/>
        </w:rPr>
        <w:t>:</w:t>
      </w:r>
      <w:bookmarkEnd w:id="745"/>
    </w:p>
    <w:p>
      <w:pPr>
        <w:pStyle w:val="BookText"/>
        <w:rPr/>
      </w:pPr>
      <w:r>
        <w:rPr>
          <w:rFonts w:ascii="IRNazanin" w:hAnsi="IRNazanin" w:eastAsia="IRNazanin"/>
          <w:color w:val="111111"/>
          <w:sz w:val="28"/>
          <w:sz w:val="28"/>
          <w:szCs w:val="28"/>
          <w:rtl w:val="true"/>
          <w:lang w:bidi="fa-IR"/>
        </w:rPr>
        <w:t xml:space="preserve">و لعلّ هذا هو المراد بما اشتهر علی ألسنة أهل العصر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الاصول المثبتة،فیریدون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لا یثبت أمرا فی الخارج حتّی یترتّب علیه حکمه الشرعیّ،بل مؤدّاه أمر الشارع بالعمل علی طبق مجراه شرعا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الأخبار وجوب أن یعمل الشاکّ عمل المتیقّن،بأن یفرض نفسه متیقّنا و یعمل کلّ عمل ینشأ من تیقّنه بذلک </w:t>
      </w:r>
      <w:bookmarkStart w:id="746" w:name="pg12985_125083"/>
    </w:p>
    <w:p>
      <w:pPr>
        <w:pStyle w:val="BookText"/>
        <w:rPr/>
      </w:pPr>
      <w:bookmarkEnd w:id="746"/>
      <w:r>
        <w:rPr>
          <w:rFonts w:ascii="IRNazanin" w:hAnsi="IRNazanin" w:eastAsia="IRNazanin"/>
          <w:color w:val="111111"/>
          <w:sz w:val="28"/>
          <w:sz w:val="28"/>
          <w:szCs w:val="28"/>
          <w:rtl w:val="true"/>
          <w:lang w:bidi="fa-IR"/>
        </w:rPr>
        <w:t>المشکوک،سواء کان ترتّبه علیه بلا واسطة أو بواسطة أمر عادیّ أو عقلیّ مترتّب علی ذلک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الشاکّ عمل المتیقّن بالمستصحب من حیث تیقّنه به،و أمّا ما یجب علیه من حیث تیقّنه بأمر یلازم ذلک المتیقّن عقلا أو عادة،فلا یجب علیه؛لأنّ وجوبه علیه یتوقّف علی وجود واقعیّ لذلک الأمر العقلیّ أو العادیّ،أو وجود جعلیّ بأن یقع موردا لجعل الشارع حتّی یرجع جعله الغیر المعقول إلی جعل أحکامه الشرعیّة،و حیث فرض عدم الوجود الواقعیّ و الجعلیّ لذلک الأمر،کان الأصل عدم وجوده و عدم ترتّب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المسألة نظیر </w:t>
      </w:r>
      <w:r>
        <w:rPr>
          <w:rStyle w:val="FootnoteAnchor"/>
          <w:rtl w:val="true"/>
        </w:rPr>
        <w:footnoteReference w:id="786"/>
      </w:r>
      <w:r>
        <w:rPr>
          <w:rFonts w:ascii="IRNazanin" w:hAnsi="IRNazanin" w:eastAsia="IRNazanin"/>
          <w:color w:val="111111"/>
          <w:sz w:val="28"/>
          <w:sz w:val="28"/>
          <w:szCs w:val="28"/>
          <w:rtl w:val="true"/>
          <w:lang w:bidi="fa-IR"/>
        </w:rPr>
        <w:t>ما هو المشهور فی باب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ثبت بالرضاع عنوان ملازم لعنوان محرّم من المحرّمات لم یوجب التحریم؛لأنّ الحکم تابع لذلک العنوان الحاصل بالنسب أو بالرضاع، فلا یترتّب علی غیره المتّحد معه وجودا</w:t>
      </w:r>
      <w:r>
        <w:rPr>
          <w:rFonts w:eastAsia="IRNazanin" w:cs="IRNazanin"/>
          <w:color w:val="111111"/>
          <w:sz w:val="28"/>
          <w:szCs w:val="28"/>
          <w:rtl w:val="true"/>
          <w:lang w:bidi="fa-IR"/>
        </w:rPr>
        <w:t>.</w:t>
      </w:r>
    </w:p>
    <w:p>
      <w:pPr>
        <w:pStyle w:val="Heading5"/>
        <w:numPr>
          <w:ilvl w:val="4"/>
          <w:numId w:val="1"/>
        </w:numPr>
        <w:rPr/>
      </w:pPr>
      <w:bookmarkStart w:id="747" w:name="__RefHeading___Toc5767385_3224264995"/>
      <w:bookmarkStart w:id="748" w:name="_Toc301"/>
      <w:bookmarkEnd w:id="747"/>
      <w:r>
        <w:rPr>
          <w:rtl w:val="true"/>
        </w:rPr>
        <w:t>عدم ترتّب الآثار و اللوازم غیر الشرعیّة مطلقا</w:t>
      </w:r>
      <w:r>
        <w:rPr>
          <w:rtl w:val="true"/>
        </w:rPr>
        <w:t>:</w:t>
      </w:r>
      <w:bookmarkEnd w:id="748"/>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الأمر العادیّ بین کونه متّحد الوجود مع المستصحب بحیث لا یتغایران إلاّ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بقاء الکرّ فی الحوض عند الشکّ فی کریّة الماء الباقی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تغایرهما فی الوجود،کما لو علم بوجود المقتضی لحادث علی وجه لو لا المانع لحدث،و شکّ فی وجود المانع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فرق بین أن یکون اللزوم بینها </w:t>
      </w:r>
      <w:r>
        <w:rPr>
          <w:rStyle w:val="FootnoteAnchor"/>
          <w:rtl w:val="true"/>
        </w:rPr>
        <w:footnoteReference w:id="787"/>
      </w:r>
      <w:r>
        <w:rPr>
          <w:rFonts w:ascii="Amiri" w:hAnsi="Amiri" w:eastAsia="Amiri" w:cs="Amiri"/>
          <w:color w:val="111111"/>
          <w:sz w:val="28"/>
          <w:sz w:val="28"/>
          <w:szCs w:val="28"/>
          <w:rtl w:val="true"/>
          <w:lang w:bidi="ar-SA"/>
        </w:rPr>
        <w:t xml:space="preserve">و بین المستصحب کلّیّا </w:t>
      </w:r>
      <w:bookmarkStart w:id="749" w:name="pg12985_125084"/>
    </w:p>
    <w:p>
      <w:pPr>
        <w:pStyle w:val="BookText"/>
        <w:rPr/>
      </w:pPr>
      <w:bookmarkEnd w:id="749"/>
      <w:r>
        <w:rPr>
          <w:rFonts w:ascii="IRNazanin" w:hAnsi="IRNazanin" w:eastAsia="IRNazanin"/>
          <w:color w:val="111111"/>
          <w:sz w:val="28"/>
          <w:sz w:val="28"/>
          <w:szCs w:val="28"/>
          <w:rtl w:val="true"/>
          <w:lang w:bidi="fa-IR"/>
        </w:rPr>
        <w:t>لعلاقة،و بین أن یکون اتفاقیّا فی قضیّة جزئیّة،کما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العلم الإجمالیّ الحاصل بموت زید أو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بقاء حیاة زید ملازم لموت عمرو،و کذا بقاء حیاة عمرو،ففی الحقیقة عدم الانفکاک اتفاقیّ من دون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فرق بین أن یثبت بالمستصحب تمام ذلک الأمر العادیّ کالمثالین،أو قید له عدمیّ أو وجودیّ،کاستصحاب الحیاة للمقطوع نصفین،فیثبت به </w:t>
      </w:r>
      <w:r>
        <w:rPr>
          <w:rStyle w:val="FootnoteAnchor"/>
          <w:rtl w:val="true"/>
        </w:rPr>
        <w:footnoteReference w:id="788"/>
      </w:r>
      <w:r>
        <w:rPr>
          <w:rFonts w:ascii="IRNazanin" w:hAnsi="IRNazanin" w:eastAsia="IRNazanin"/>
          <w:color w:val="111111"/>
          <w:sz w:val="28"/>
          <w:sz w:val="28"/>
          <w:szCs w:val="28"/>
          <w:rtl w:val="true"/>
          <w:lang w:bidi="fa-IR"/>
        </w:rPr>
        <w:t>القتل الذی هو إزهاق الحیاة،و کاستصحاب عدم الاستحاضة المثبت لکون الدم الموجود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کلّ دم لیس باستحاضة حیض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کاستصحاب عدم الفصل الطویل المثبت لاتّصاف الأجزاء المتفاصلة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یعلم معه فوات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بالتوالی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5767387_3224264995"/>
      <w:bookmarkStart w:id="751" w:name="_Toc302"/>
      <w:bookmarkEnd w:id="750"/>
      <w:r>
        <w:rPr>
          <w:rtl w:val="true"/>
        </w:rPr>
        <w:t>ما استدلّ به صاحب الفصول علی عدم حجّیة الأصل المثبت</w:t>
      </w:r>
      <w:r>
        <w:rPr>
          <w:rtl w:val="true"/>
        </w:rPr>
        <w:t>:</w:t>
      </w:r>
      <w:bookmarkEnd w:id="751"/>
    </w:p>
    <w:p>
      <w:pPr>
        <w:pStyle w:val="Heading6"/>
        <w:numPr>
          <w:ilvl w:val="5"/>
          <w:numId w:val="1"/>
        </w:numPr>
        <w:rPr/>
      </w:pPr>
      <w:bookmarkStart w:id="752" w:name="__RefHeading___Toc5767389_3224264995"/>
      <w:bookmarkStart w:id="753" w:name="_Toc303"/>
      <w:bookmarkEnd w:id="752"/>
      <w:r>
        <w:rPr>
          <w:rtl w:val="true"/>
        </w:rPr>
        <w:t>اشارة</w:t>
      </w:r>
      <w:bookmarkEnd w:id="7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بعض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لکاشف الغطاء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الأصل المثبت،بتعارض الأصل فی جانب الثابت و المثبت،فکما أنّ الأصل بقاء الأوّل،کذلک الأصل عدم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754" w:name="pg12985_125085"/>
    </w:p>
    <w:p>
      <w:pPr>
        <w:pStyle w:val="BookText"/>
        <w:rPr/>
      </w:pPr>
      <w:bookmarkEnd w:id="754"/>
      <w:r>
        <w:rPr>
          <w:rFonts w:ascii="IRNazanin" w:hAnsi="IRNazanin" w:eastAsia="IRNazanin"/>
          <w:color w:val="111111"/>
          <w:sz w:val="28"/>
          <w:sz w:val="28"/>
          <w:szCs w:val="28"/>
          <w:rtl w:val="true"/>
          <w:lang w:bidi="fa-IR"/>
        </w:rPr>
        <w:t xml:space="preserve">و لیس فی أخبار الباب ما یدلّ علی حجّیّته بالنسبة إلی ذلک؛ لأنّها مسوقة لتفریع الأحکام الشرعیّة،دون العادیّة و إن استتبعت أحکاما شرعیّة </w:t>
      </w:r>
      <w:r>
        <w:rPr>
          <w:rStyle w:val="FootnoteAnchor"/>
          <w:rtl w:val="true"/>
        </w:rPr>
        <w:footnoteReference w:id="7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755" w:name="__RefHeading___Toc5767391_3224264995"/>
      <w:bookmarkStart w:id="756" w:name="_Toc304"/>
      <w:bookmarkEnd w:id="755"/>
      <w:r>
        <w:rPr>
          <w:rtl w:val="true"/>
        </w:rPr>
        <w:t>المناقشة فی ما أفاده صاحب الفصول</w:t>
      </w:r>
      <w:r>
        <w:rPr>
          <w:rtl w:val="true"/>
        </w:rPr>
        <w:t>:</w:t>
      </w:r>
      <w:bookmarkEnd w:id="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أنّه لو بنی علی أنّ الأصل فی الملزوم قابل لإثبات اللازم العادیّ لم یکن وجه لإجراء أصالة عدم اللازم؛لأنّه حاکم علیها،فلا معنی للتعارض علی ما هو الحقّ و اعترف به هذا المستدلّ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الأصل فی الملزوم علی الأصل فی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أصالة الطهارة لأصالة </w:t>
      </w:r>
      <w:r>
        <w:rPr>
          <w:rStyle w:val="FootnoteAnchor"/>
          <w:rtl w:val="true"/>
        </w:rPr>
        <w:footnoteReference w:id="794"/>
      </w:r>
      <w:r>
        <w:rPr>
          <w:rFonts w:ascii="IRNazanin" w:hAnsi="IRNazanin" w:eastAsia="IRNazanin"/>
          <w:color w:val="111111"/>
          <w:sz w:val="28"/>
          <w:sz w:val="28"/>
          <w:szCs w:val="28"/>
          <w:rtl w:val="true"/>
          <w:lang w:bidi="fa-IR"/>
        </w:rPr>
        <w:t xml:space="preserve">عدم التذکیة،فلو </w:t>
      </w:r>
      <w:r>
        <w:rPr>
          <w:rStyle w:val="FootnoteAnchor"/>
          <w:rtl w:val="true"/>
        </w:rPr>
        <w:footnoteReference w:id="795"/>
      </w:r>
      <w:r>
        <w:rPr>
          <w:rFonts w:ascii="IRNazanin" w:hAnsi="IRNazanin" w:eastAsia="IRNazanin"/>
          <w:color w:val="111111"/>
          <w:sz w:val="28"/>
          <w:sz w:val="28"/>
          <w:szCs w:val="28"/>
          <w:rtl w:val="true"/>
          <w:lang w:bidi="fa-IR"/>
        </w:rPr>
        <w:t>بنی علی المعارضة لم یکن فرق بین اللوازم الشرعیّة و العادیّة؛لأنّ الکلّ أحکام للمستصحب مسبوقة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بذلک عدم دلالة الأخبار علی ترتّب اللوازم الغیر الشرعیّة،فهو مناف لما ذکره من التعارض؛إذ یبقی حینئذ أصالة عدم اللازم الغیر الشرعیّ سلیما عن المعارض</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تتمیم الدلیل الأوّل،بأن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دلیل الاستصحاب إن کان غیر الأخبار فالأصل یتعارض من الجانبین،و إن کانت الأخبار </w:t>
      </w:r>
      <w:bookmarkStart w:id="757" w:name="pg12985_125086"/>
    </w:p>
    <w:p>
      <w:pPr>
        <w:pStyle w:val="BookText"/>
        <w:rPr/>
      </w:pPr>
      <w:bookmarkEnd w:id="757"/>
      <w:r>
        <w:rPr>
          <w:rFonts w:ascii="IRNazanin" w:hAnsi="IRNazanin" w:eastAsia="IRNazanin"/>
          <w:color w:val="111111"/>
          <w:sz w:val="28"/>
          <w:sz w:val="28"/>
          <w:szCs w:val="28"/>
          <w:rtl w:val="true"/>
          <w:lang w:bidi="fa-IR"/>
        </w:rPr>
        <w:t>فلا دلالة فیها،ففیه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إذا کان مدرکه غیر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الظنّ النوعیّ الحاصل ببقاء ما کان 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إشکال فی أنّ الظنّ بالملزوم یوجب الظنّ باللازم و لو کان عادیّا،و لا یمکن حصول الظنّ بعدم اللازم بعد حصول الظنّ بوجود ملزومه،کیف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الظنّ بعدم اللازم اقتضی الظنّ بعدم الملزوم،فلا یؤثّر فی ترتّب اللوازم الشرعیّة أیضا</w:t>
      </w:r>
      <w:r>
        <w:rPr>
          <w:rFonts w:eastAsia="IRNazanin" w:cs="IRNazanin"/>
          <w:color w:val="111111"/>
          <w:sz w:val="28"/>
          <w:szCs w:val="28"/>
          <w:rtl w:val="true"/>
          <w:lang w:bidi="fa-IR"/>
        </w:rPr>
        <w:t>.</w:t>
      </w:r>
    </w:p>
    <w:p>
      <w:pPr>
        <w:pStyle w:val="Heading5"/>
        <w:numPr>
          <w:ilvl w:val="4"/>
          <w:numId w:val="1"/>
        </w:numPr>
        <w:rPr/>
      </w:pPr>
      <w:bookmarkStart w:id="758" w:name="__RefHeading___Toc5767393_3224264995"/>
      <w:bookmarkStart w:id="759" w:name="_Toc305"/>
      <w:bookmarkEnd w:id="758"/>
      <w:r>
        <w:rPr>
          <w:rtl w:val="true"/>
        </w:rPr>
        <w:t>وجوب الالتزام بالاصول المثبتة بناء علی اعتبار الاستصحاب من باب الظنّ</w:t>
      </w:r>
      <w:r>
        <w:rPr>
          <w:rtl w:val="true"/>
        </w:rPr>
        <w:t>:</w:t>
      </w:r>
      <w:bookmarkEnd w:id="759"/>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باعتبار الاستصحاب من باب الظنّ لم یکن مناص عن الالتزام بالاصول المثبتة؛لعدم انفکاک الظنّ بالملزوم عن الظنّ باللازم،شرعیّا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الحاصل من الحالة السابقة حجّة فی لوازمه الشرعیّة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إنّما یتمّ إذا کان دلیل اعتبار الظنّ مقتصرا فیه علی ترتّب بعض اللوازم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الدلیل علی أنّه یجب الصوم عند الشکّ فی هلال رمضان بشهادة عدل،فلا یلزم منه جواز الإفطار بعد مضیّ ثلاثین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بعض الآثار ممّا لا یعتبر فیه مجرّد الظنّ،إمّا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حصل من الخبر الوارد فی المسألة الفرعیّة ظنّ بمسألة اصولیّة،فإنّه لا یعمل فیه بذلک الظنّ؛بناء علی عدم العمل بالظنّ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فی خصوص المقام،کما إذا ظنّ بالقبلة مع تعذّر العلم بها،فلزم منه الظنّ بدخول الوقت مع عدم العذر المسوّغ للعمل بالظنّ فی الوقت</w:t>
      </w:r>
      <w:r>
        <w:rPr>
          <w:rFonts w:eastAsia="IRNazanin" w:cs="IRNazanin"/>
          <w:color w:val="111111"/>
          <w:sz w:val="28"/>
          <w:szCs w:val="28"/>
          <w:rtl w:val="true"/>
          <w:lang w:bidi="fa-IR"/>
        </w:rPr>
        <w:t>.</w:t>
      </w:r>
    </w:p>
    <w:p>
      <w:pPr>
        <w:pStyle w:val="Heading5"/>
        <w:numPr>
          <w:ilvl w:val="4"/>
          <w:numId w:val="1"/>
        </w:numPr>
        <w:rPr/>
      </w:pPr>
      <w:bookmarkStart w:id="760" w:name="__RefHeading___Toc5767395_3224264995"/>
      <w:bookmarkStart w:id="761" w:name="_Toc306"/>
      <w:bookmarkEnd w:id="760"/>
      <w:r>
        <w:rPr>
          <w:rtl w:val="true"/>
        </w:rPr>
        <w:t>فروع تمسّکوا فیها بالاصول المثبتة</w:t>
      </w:r>
      <w:r>
        <w:rPr>
          <w:rtl w:val="true"/>
        </w:rPr>
        <w:t>:</w:t>
      </w:r>
      <w:bookmarkEnd w:id="761"/>
    </w:p>
    <w:p>
      <w:pPr>
        <w:pStyle w:val="Heading6"/>
        <w:numPr>
          <w:ilvl w:val="5"/>
          <w:numId w:val="1"/>
        </w:numPr>
        <w:rPr/>
      </w:pPr>
      <w:bookmarkStart w:id="762" w:name="__RefHeading___Toc5767397_3224264995"/>
      <w:bookmarkStart w:id="763" w:name="_Toc307"/>
      <w:bookmarkEnd w:id="762"/>
      <w:r>
        <w:rPr>
          <w:rtl w:val="true"/>
        </w:rPr>
        <w:t>اشارة</w:t>
      </w:r>
      <w:bookmarkEnd w:id="7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ذکرنا هو الوجه فی عمل جماعة من القدماء و المتأخّرین بالاصول المثبتة فی کثیر من الموارد</w:t>
      </w:r>
      <w:r>
        <w:rPr>
          <w:rFonts w:eastAsia="IRNazanin" w:cs="IRNazanin"/>
          <w:color w:val="111111"/>
          <w:sz w:val="28"/>
          <w:szCs w:val="28"/>
          <w:rtl w:val="true"/>
          <w:lang w:bidi="fa-IR"/>
        </w:rPr>
        <w:t xml:space="preserve">: </w:t>
      </w:r>
      <w:bookmarkStart w:id="764" w:name="pg12985_125087"/>
    </w:p>
    <w:p>
      <w:pPr>
        <w:pStyle w:val="Heading6"/>
        <w:numPr>
          <w:ilvl w:val="5"/>
          <w:numId w:val="1"/>
        </w:numPr>
        <w:rPr/>
      </w:pPr>
      <w:bookmarkStart w:id="765" w:name="__RefHeading___Toc5767399_3224264995"/>
      <w:bookmarkStart w:id="766" w:name="_Toc308"/>
      <w:bookmarkEnd w:id="764"/>
      <w:bookmarkEnd w:id="765"/>
      <w:r>
        <w:rPr>
          <w:rtl w:val="true"/>
        </w:rPr>
        <w:t>الفرع الأول</w:t>
      </w:r>
      <w:r>
        <w:rPr>
          <w:rtl w:val="true"/>
        </w:rPr>
        <w:t>:</w:t>
      </w:r>
      <w:bookmarkEnd w:id="7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المحقّق فی الشرائع </w:t>
      </w:r>
      <w:r>
        <w:rPr>
          <w:rStyle w:val="FootnoteAnchor"/>
          <w:rtl w:val="true"/>
        </w:rPr>
        <w:footnoteReference w:id="796"/>
      </w:r>
      <w:r>
        <w:rPr>
          <w:rFonts w:ascii="Amiri" w:hAnsi="Amiri" w:eastAsia="Amiri" w:cs="Amiri"/>
          <w:color w:val="111111"/>
          <w:sz w:val="28"/>
          <w:sz w:val="28"/>
          <w:szCs w:val="28"/>
          <w:rtl w:val="true"/>
          <w:lang w:bidi="ar-SA"/>
        </w:rPr>
        <w:t xml:space="preserve">و جماعة ممّن تقدّم علیه </w:t>
      </w:r>
      <w:r>
        <w:rPr>
          <w:rStyle w:val="FootnoteAnchor"/>
          <w:rtl w:val="true"/>
        </w:rPr>
        <w:footnoteReference w:id="797"/>
      </w:r>
      <w:r>
        <w:rPr>
          <w:rFonts w:ascii="Amiri" w:hAnsi="Amiri" w:eastAsia="Amiri" w:cs="Amiri"/>
          <w:color w:val="111111"/>
          <w:sz w:val="28"/>
          <w:sz w:val="28"/>
          <w:szCs w:val="28"/>
          <w:rtl w:val="true"/>
          <w:lang w:bidi="ar-SA"/>
        </w:rPr>
        <w:t xml:space="preserve">و تأخّر عنه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اتّفق الوارثان علی إسلام أحدهما المعیّن فی أوّل شعبان و الآخر فی غرّة رمضان،و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أحدهما موت المورّث فی شعبان و الآخر موته فی أثناء رمضان،کان المال بینهما نصفین؛لأصالة بقاء حیاة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الإرث مترتّب علی موت المورّث عن وارث مسلم،و بقاء حیاة المورّث إلی غرّة رمضان لا یستلزم بنفسه موت المورّث فی حال إسلام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علم بإسلام الوارث فی غرّة رمضان لم ینفکّ بقاء حیاته حال الإسلام عن موته بعد الإسلام الذی هو سبب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یوجّه بأنّ المقصود فی المقام إحراز إسلام الوارث فی حیاة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یعلم من الفرع الذی ذکره قبل هذا الفرع فی الشرائع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ثبوت الإسلام حال الحیاة المستصحبة،فی تحقّق سبب الإرث و حدوث علاقة الوارثیّة بین الولد و والده فی حال الحیاة</w:t>
      </w:r>
      <w:r>
        <w:rPr>
          <w:rFonts w:eastAsia="IRNazanin" w:cs="IRNazanin"/>
          <w:color w:val="111111"/>
          <w:sz w:val="28"/>
          <w:szCs w:val="28"/>
          <w:rtl w:val="true"/>
          <w:lang w:bidi="fa-IR"/>
        </w:rPr>
        <w:t>.</w:t>
      </w:r>
    </w:p>
    <w:p>
      <w:pPr>
        <w:pStyle w:val="Heading6"/>
        <w:numPr>
          <w:ilvl w:val="5"/>
          <w:numId w:val="1"/>
        </w:numPr>
        <w:rPr/>
      </w:pPr>
      <w:bookmarkStart w:id="767" w:name="__RefHeading___Toc5767401_3224264995"/>
      <w:bookmarkStart w:id="768" w:name="_Toc309"/>
      <w:bookmarkEnd w:id="767"/>
      <w:r>
        <w:rPr>
          <w:rtl w:val="true"/>
        </w:rPr>
        <w:t>الفرع الثانی</w:t>
      </w:r>
      <w:r>
        <w:rPr>
          <w:rtl w:val="true"/>
        </w:rPr>
        <w:t>:</w:t>
      </w:r>
      <w:bookmarkEnd w:id="7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للمحقّق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 وجد فیه </w:t>
      </w:r>
      <w:bookmarkStart w:id="769" w:name="pg12985_125088"/>
    </w:p>
    <w:p>
      <w:pPr>
        <w:pStyle w:val="BookText"/>
        <w:rPr/>
      </w:pPr>
      <w:bookmarkEnd w:id="769"/>
      <w:r>
        <w:rPr>
          <w:rFonts w:ascii="IRNazanin" w:hAnsi="IRNazanin" w:eastAsia="IRNazanin"/>
          <w:color w:val="111111"/>
          <w:sz w:val="28"/>
          <w:sz w:val="28"/>
          <w:szCs w:val="28"/>
          <w:rtl w:val="true"/>
          <w:lang w:bidi="fa-IR"/>
        </w:rPr>
        <w:t>نجاسة لا یعلم سبقها علی الکرّیّة و تأخّرها،فإنّهم حکموا بأنّ استصحاب عدم الکریّة قبل الملاقاة الراجع إلی استصحاب عدم المانع عن الانفعال حین وجود المقتضی له،معارض باستصحاب عدم الملاقاة قبل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الملاقاة معلومة،فإن کان اللازم فی الحکم بالنجاسة إحراز وقوعها فی زمان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فالأصل عدم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وجه لمعارضة الاستصحاب الثانی بالاستصحاب الأوّل؛لأنّ أصالة عدم الکرّیّة قبل الملاقاة </w:t>
      </w:r>
      <w:r>
        <w:rPr>
          <w:rStyle w:val="FootnoteAnchor"/>
          <w:rtl w:val="true"/>
        </w:rPr>
        <w:footnoteReference w:id="802"/>
      </w:r>
      <w:r>
        <w:rPr>
          <w:rFonts w:ascii="IRNazanin" w:hAnsi="IRNazanin" w:eastAsia="IRNazanin"/>
          <w:color w:val="111111"/>
          <w:sz w:val="28"/>
          <w:sz w:val="28"/>
          <w:szCs w:val="28"/>
          <w:rtl w:val="true"/>
          <w:lang w:bidi="fa-IR"/>
        </w:rPr>
        <w:t>لا یثبت کون الملاقاة قبل الکرّیّة و فی زمان القلّة، حتّی یثبت النجاسة،إلاّ من باب عدم انفکاک عدم الکرّیّة حین الملاقاة عن وقوع الملاقاة حین القلّة،نظیر عدم انفکاک عدم الموت حین الإسلام لوقوع الموت بعد الإسلام،فافهم</w:t>
      </w:r>
      <w:r>
        <w:rPr>
          <w:rFonts w:eastAsia="IRNazanin" w:cs="IRNazanin"/>
          <w:color w:val="111111"/>
          <w:sz w:val="28"/>
          <w:szCs w:val="28"/>
          <w:rtl w:val="true"/>
          <w:lang w:bidi="fa-IR"/>
        </w:rPr>
        <w:t>.</w:t>
      </w:r>
    </w:p>
    <w:p>
      <w:pPr>
        <w:pStyle w:val="Heading6"/>
        <w:numPr>
          <w:ilvl w:val="5"/>
          <w:numId w:val="1"/>
        </w:numPr>
        <w:rPr/>
      </w:pPr>
      <w:bookmarkStart w:id="770" w:name="__RefHeading___Toc5767403_3224264995"/>
      <w:bookmarkStart w:id="771" w:name="_Toc310"/>
      <w:bookmarkEnd w:id="770"/>
      <w:r>
        <w:rPr>
          <w:rtl w:val="true"/>
        </w:rPr>
        <w:t>الفرع الثالث</w:t>
      </w:r>
      <w:r>
        <w:rPr>
          <w:rtl w:val="true"/>
        </w:rPr>
        <w:t>:</w:t>
      </w:r>
      <w:bookmarkEnd w:id="77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الشرائع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للمحکیّ عن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لو ادّعی الجانی أنّ المجنیّ علیه شرب سمّا فمات بالسمّ،و ادّعی الولیّ أنّه مات بالسرایة،فالاحتمالان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الملفوف فی الکساء إذا قدّة بنصفین،فادّعی الولیّ أنّه کان حیّا،و الجانی أنّه کان میتا،فالاحتمالان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عن المبسوط التردّد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 قول الجانی؛لأنّ الأصل عدم الضمان،و فیه احتمال آخر ضعیف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772" w:name="pg12985_125089"/>
    </w:p>
    <w:p>
      <w:pPr>
        <w:pStyle w:val="BookText"/>
        <w:rPr/>
      </w:pPr>
      <w:bookmarkEnd w:id="772"/>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الضمان من جانبه و استمرار الحیاة من جانب الملفوف،فیرجّح قول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مراده النظر فی عدم الضمان؛من حیث إنّ بقاء الحیاة بالاستصحاب إلی زمان القدّ سبب فی الضمان،فلا یجری أصالة عدمه، و هو الذی ضعّفه المحقّق،لکن قوّاه بعض محشّیه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المستفاد من الکلّ نهوض استصحاب الحیاة لإثبات القتل الذی هو سبب الضمان،لکنّه مقدّم علی ما عداه عند العلاّمة </w:t>
      </w:r>
      <w:r>
        <w:rPr>
          <w:rStyle w:val="FootnoteAnchor"/>
          <w:rtl w:val="true"/>
        </w:rPr>
        <w:footnoteReference w:id="807"/>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808"/>
      </w:r>
      <w:r>
        <w:rPr>
          <w:rFonts w:ascii="IRNazanin" w:hAnsi="IRNazanin" w:eastAsia="IRNazanin"/>
          <w:color w:val="111111"/>
          <w:sz w:val="28"/>
          <w:sz w:val="28"/>
          <w:szCs w:val="28"/>
          <w:rtl w:val="true"/>
          <w:lang w:bidi="fa-IR"/>
        </w:rPr>
        <w:t xml:space="preserve">،و مکافئ لأصالة عدم الضمان من غیر ترجیح عند الشیخ فی المبسوط،و یرجّح علیه أصالة عدم الضمان عند المحقّق و الشهید فی المسالک </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5767405_3224264995"/>
      <w:bookmarkStart w:id="774" w:name="_Toc311"/>
      <w:bookmarkEnd w:id="773"/>
      <w:r>
        <w:rPr>
          <w:rtl w:val="true"/>
        </w:rPr>
        <w:t>الفرع الرابع</w:t>
      </w:r>
      <w:r>
        <w:rPr>
          <w:rtl w:val="true"/>
        </w:rPr>
        <w:t>:</w:t>
      </w:r>
      <w:bookmarkEnd w:id="7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الجانی نقصان ید المجنیّ علیه بإصبع،احتمل تقدیم قوله عملا بأصالة عدم القصاص،و تقدیم قول المجنیّ علیه إذ الأصل السلامة،هذا إن ادّعی </w:t>
      </w:r>
      <w:bookmarkStart w:id="775" w:name="pg12985_125090"/>
    </w:p>
    <w:p>
      <w:pPr>
        <w:pStyle w:val="BookText"/>
        <w:rPr/>
      </w:pPr>
      <w:bookmarkEnd w:id="775"/>
      <w:r>
        <w:rPr>
          <w:rFonts w:ascii="IRNazanin" w:hAnsi="IRNazanin" w:eastAsia="IRNazanin"/>
          <w:color w:val="111111"/>
          <w:sz w:val="28"/>
          <w:sz w:val="28"/>
          <w:szCs w:val="28"/>
          <w:rtl w:val="true"/>
          <w:lang w:bidi="fa-IR"/>
        </w:rPr>
        <w:t>الجانی نفی السلامة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ادّعی زوالها طارئا،فالأقرب أنّ القول قول المجنیّ علیه </w:t>
      </w:r>
      <w:r>
        <w:rPr>
          <w:rStyle w:val="FootnoteAnchor"/>
          <w:rtl w:val="true"/>
        </w:rPr>
        <w:footnoteReference w:id="8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صراحته فی العمل بأصالة عدم زوال الإصبع فی إثبات الجنایة علی الید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مقابل الأقرب ما یظهر من الشیخ رحمه اللّه فی الخلاف </w:t>
      </w:r>
      <w:r>
        <w:rPr>
          <w:rStyle w:val="FootnoteAnchor"/>
          <w:rtl w:val="true"/>
        </w:rPr>
        <w:footnoteReference w:id="812"/>
      </w:r>
      <w:r>
        <w:rPr>
          <w:rFonts w:ascii="IRNazanin" w:hAnsi="IRNazanin" w:eastAsia="IRNazanin"/>
          <w:color w:val="111111"/>
          <w:sz w:val="28"/>
          <w:sz w:val="28"/>
          <w:szCs w:val="28"/>
          <w:rtl w:val="true"/>
          <w:lang w:bidi="fa-IR"/>
        </w:rPr>
        <w:t>فی نظیر المسألة،و هو ما إذا اختلف الجانی و المجنیّ علیه فی صحّة العضو المقطوع و عیبه،فإنّه قوّی عدم ضمان الصحیح</w:t>
      </w:r>
      <w:r>
        <w:rPr>
          <w:rFonts w:eastAsia="IRNazanin" w:cs="IRNazanin"/>
          <w:color w:val="111111"/>
          <w:sz w:val="28"/>
          <w:szCs w:val="28"/>
          <w:rtl w:val="true"/>
          <w:lang w:bidi="fa-IR"/>
        </w:rPr>
        <w:t>.</w:t>
      </w:r>
    </w:p>
    <w:p>
      <w:pPr>
        <w:pStyle w:val="Heading6"/>
        <w:numPr>
          <w:ilvl w:val="5"/>
          <w:numId w:val="1"/>
        </w:numPr>
        <w:rPr/>
      </w:pPr>
      <w:bookmarkStart w:id="776" w:name="__RefHeading___Toc5767407_3224264995"/>
      <w:bookmarkStart w:id="777" w:name="_Toc312"/>
      <w:bookmarkEnd w:id="776"/>
      <w:r>
        <w:rPr>
          <w:rtl w:val="true"/>
        </w:rPr>
        <w:t>الفرع الخامس</w:t>
      </w:r>
      <w:r>
        <w:rPr>
          <w:rtl w:val="true"/>
        </w:rPr>
        <w:t>:</w:t>
      </w:r>
      <w:bookmarkEnd w:id="77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للمبسوط </w:t>
      </w:r>
      <w:r>
        <w:rPr>
          <w:rStyle w:val="FootnoteAnchor"/>
          <w:rtl w:val="true"/>
        </w:rPr>
        <w:footnoteReference w:id="814"/>
      </w:r>
      <w:r>
        <w:rPr>
          <w:rFonts w:ascii="IRNazanin" w:hAnsi="IRNazanin" w:eastAsia="IRNazanin"/>
          <w:color w:val="111111"/>
          <w:sz w:val="28"/>
          <w:sz w:val="28"/>
          <w:szCs w:val="28"/>
          <w:rtl w:val="true"/>
          <w:lang w:bidi="fa-IR"/>
        </w:rPr>
        <w:t xml:space="preserve">و الشرائع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الجانی و الولیّ فی موت المجنیّ علیه بعد الاندمال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یقف علیه المتتبّع فی کتب الفقه،خصوصا کتب الشیخ و الفاضلین و الشهیدین</w:t>
      </w:r>
      <w:r>
        <w:rPr>
          <w:rFonts w:eastAsia="IRNazanin" w:cs="IRNazanin"/>
          <w:color w:val="111111"/>
          <w:sz w:val="28"/>
          <w:szCs w:val="28"/>
          <w:rtl w:val="true"/>
          <w:lang w:bidi="fa-IR"/>
        </w:rPr>
        <w:t>.</w:t>
      </w:r>
    </w:p>
    <w:p>
      <w:pPr>
        <w:pStyle w:val="Heading5"/>
        <w:numPr>
          <w:ilvl w:val="4"/>
          <w:numId w:val="1"/>
        </w:numPr>
        <w:rPr/>
      </w:pPr>
      <w:bookmarkStart w:id="778" w:name="__RefHeading___Toc5767409_3224264995"/>
      <w:bookmarkStart w:id="779" w:name="_Toc313"/>
      <w:bookmarkEnd w:id="778"/>
      <w:r>
        <w:rPr>
          <w:rtl w:val="true"/>
        </w:rPr>
        <w:t>عدم عمل الأصحاب بکلّ أصل مثبت</w:t>
      </w:r>
      <w:r>
        <w:rPr>
          <w:rtl w:val="true"/>
        </w:rPr>
        <w:t>:</w:t>
      </w:r>
      <w:bookmarkEnd w:id="779"/>
    </w:p>
    <w:p>
      <w:pPr>
        <w:pStyle w:val="BookText"/>
        <w:rPr/>
      </w:pPr>
      <w:r>
        <w:rPr>
          <w:rFonts w:ascii="IRNazanin" w:hAnsi="IRNazanin" w:eastAsia="IRNazanin"/>
          <w:color w:val="111111"/>
          <w:sz w:val="28"/>
          <w:sz w:val="28"/>
          <w:szCs w:val="28"/>
          <w:rtl w:val="true"/>
          <w:lang w:bidi="fa-IR"/>
        </w:rPr>
        <w:t>لکنّ المعلوم منهم و من غیرهم من الأصحاب عدم العمل بکلّ أصل مثبت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تسالم الخصمان فی بعض الفروع المتقدّمة علی ضرب اللّفاف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بالسیف علی وجه لو کان زید الملفوف به سابقا باقیا علی اللفاف لقتله،إلاّ أنّهما اختلفا فی بقائه ملفوفا أو خروجه عن اللفّ،فهل تجد من نفسک رمی أحد من الأصحاب بالحکم بأنّ الأصل بقاء لفّه،فیثبت القتل إلاّ أن یثبت الآخر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تجد فرقا بین بقاء زید علی اللفّ و بقائه علی الحیاة؛لتوقّف تحقّق عنوان القتل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وقع الثوب النجس فی حوض کان فیه الماء سابقا،ثمّ شکّ فی بقائه فیه،فهل یحکم أحد بطهارة الثوب بثبوت انغساله بأصالة بقاء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صیدا أو شخصا علی وجه لو لم یطرأ حائل لأصابه،فهل یحکم بقتل الصید أو الشخص بأصالة عدم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یحصی من الأمثلة التی نقطع بعدم جریان الأصل لإثبات الموضوعات الخارجیّة التی یترتّب علیها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کان،فالمتّبع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817"/>
      </w:r>
      <w:r>
        <w:rPr>
          <w:rFonts w:ascii="IRNazanin" w:hAnsi="IRNazanin" w:eastAsia="IRNazanin"/>
          <w:color w:val="111111"/>
          <w:sz w:val="28"/>
          <w:sz w:val="28"/>
          <w:szCs w:val="28"/>
          <w:rtl w:val="true"/>
          <w:lang w:bidi="fa-IR"/>
        </w:rPr>
        <w:t xml:space="preserve">أنّ الاستصحاب إن قلنا به من باب الظنّ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أکثر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کإحدی الأمارات الاجتهادیّة یثبت به کلّ موضوع یکون نظیر المستصحب فی جواز العمل فیه بالظنّ الاستصحابیّ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اعتباره من باب الأخبار،فلا یثبت به ما عدا الآثار الشرعیّة المترتّبة علی نفس المستصحب</w:t>
      </w:r>
      <w:r>
        <w:rPr>
          <w:rFonts w:eastAsia="IRNazanin" w:cs="IRNazanin"/>
          <w:color w:val="111111"/>
          <w:sz w:val="28"/>
          <w:szCs w:val="28"/>
          <w:rtl w:val="true"/>
          <w:lang w:bidi="fa-IR"/>
        </w:rPr>
        <w:t xml:space="preserve">. </w:t>
      </w:r>
      <w:bookmarkStart w:id="780" w:name="pg12985_125092"/>
    </w:p>
    <w:p>
      <w:pPr>
        <w:pStyle w:val="Heading5"/>
        <w:numPr>
          <w:ilvl w:val="4"/>
          <w:numId w:val="1"/>
        </w:numPr>
        <w:rPr/>
      </w:pPr>
      <w:bookmarkStart w:id="781" w:name="__RefHeading___Toc5767411_3224264995"/>
      <w:bookmarkStart w:id="782" w:name="_Toc314"/>
      <w:bookmarkEnd w:id="780"/>
      <w:bookmarkEnd w:id="781"/>
      <w:r>
        <w:rPr>
          <w:rtl w:val="true"/>
        </w:rPr>
        <w:t>حجّیة الأصل المثبت مع خفاء الواسطة</w:t>
      </w:r>
      <w:r>
        <w:rPr>
          <w:rtl w:val="true"/>
        </w:rPr>
        <w:t>:</w:t>
      </w:r>
      <w:bookmarkEnd w:id="782"/>
    </w:p>
    <w:p>
      <w:pPr>
        <w:pStyle w:val="Heading6"/>
        <w:numPr>
          <w:ilvl w:val="5"/>
          <w:numId w:val="1"/>
        </w:numPr>
        <w:rPr/>
      </w:pPr>
      <w:bookmarkStart w:id="783" w:name="__RefHeading___Toc5767413_3224264995"/>
      <w:bookmarkStart w:id="784" w:name="_Toc315"/>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نعم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بعض الموضوعات الخارجیّة المتوسّطة بین المستصحب و بین الحکم الشرعیّ،من الوسائط الخفیّة،بحیث یعدّ فی العرف الأحکام الشرعیّة المترتّبة علیها أحکاما لنفس المستصحب،و هذا المعنی یختلف وضوحا و خفاء باختلاف مراتب خفاء الوسائط عن أنظار العرف</w:t>
      </w:r>
      <w:r>
        <w:rPr>
          <w:rFonts w:eastAsia="IRNazanin" w:cs="IRNazanin"/>
          <w:color w:val="111111"/>
          <w:sz w:val="28"/>
          <w:szCs w:val="28"/>
          <w:rtl w:val="true"/>
          <w:lang w:bidi="fa-IR"/>
        </w:rPr>
        <w:t>.</w:t>
      </w:r>
    </w:p>
    <w:p>
      <w:pPr>
        <w:pStyle w:val="Heading6"/>
        <w:numPr>
          <w:ilvl w:val="5"/>
          <w:numId w:val="1"/>
        </w:numPr>
        <w:rPr/>
      </w:pPr>
      <w:bookmarkStart w:id="785" w:name="__RefHeading___Toc5767415_3224264995"/>
      <w:bookmarkStart w:id="786" w:name="_Toc316"/>
      <w:bookmarkEnd w:id="785"/>
      <w:r>
        <w:rPr>
          <w:rtl w:val="true"/>
        </w:rPr>
        <w:t>نماذج من خفاء الواسطة</w:t>
      </w:r>
      <w:r>
        <w:rPr>
          <w:rtl w:val="true"/>
        </w:rPr>
        <w:t>:</w:t>
      </w:r>
      <w:bookmarkEnd w:id="78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استصحب رطوبة النجس من المتلاقیین مع جفاف الآخر،فإنّه لا یبعد الحکم بنجاسته،مع أنّ تنجّسه لیس من أحکام ملاقاته للنجس رطبا،بل من أحکام سرایة رطوبة النجاسة إلیه و تأثّره بها،بحیث یوجد فی الثوب رطوبة متنجّسة،و من المعلوم أنّ استصحاب رطوبة النجس الراجع إلی بقاء جزء مائیّ قابل للتأثیر لا یثبت تأثّر الثوب و تنجّسه بها،فهو أشبه مثال بمسألة بقاء الماء فی الحوض،المثبت لانغسال الثوب 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الذکری عن المحقّق </w:t>
      </w:r>
      <w:r>
        <w:rPr>
          <w:rStyle w:val="FootnoteAnchor"/>
          <w:rtl w:val="true"/>
        </w:rPr>
        <w:footnoteReference w:id="818"/>
      </w:r>
      <w:r>
        <w:rPr>
          <w:rFonts w:ascii="IRNazanin" w:hAnsi="IRNazanin" w:eastAsia="IRNazanin"/>
          <w:color w:val="111111"/>
          <w:sz w:val="28"/>
          <w:sz w:val="28"/>
          <w:szCs w:val="28"/>
          <w:rtl w:val="true"/>
          <w:lang w:bidi="fa-IR"/>
        </w:rPr>
        <w:t>تعلیل الحکم بطهارة الثوب الذی طارت الذبابة عن النجاسة إلیه،بعدم الجزم ببقاء رطوبة الذبابة، و ارتضاه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لعدم إثبات الاستصحاب لوصول الرطوبة إلی الثوب کما ذکرنا،و یحتمل أن یکون لمعارضته باستصحاب طهارة الثوب إغماضا عن قاعدة حکومة بعض الاستصحابات علی بعض کما یظهر من المحقّق </w:t>
      </w:r>
      <w:r>
        <w:rPr>
          <w:rStyle w:val="FootnoteAnchor"/>
          <w:rtl w:val="true"/>
        </w:rPr>
        <w:footnoteReference w:id="819"/>
      </w:r>
      <w:r>
        <w:rPr>
          <w:rFonts w:ascii="IRNazanin" w:hAnsi="IRNazanin" w:eastAsia="IRNazanin"/>
          <w:color w:val="111111"/>
          <w:sz w:val="28"/>
          <w:sz w:val="28"/>
          <w:szCs w:val="28"/>
          <w:rtl w:val="true"/>
          <w:lang w:bidi="fa-IR"/>
        </w:rPr>
        <w:t xml:space="preserve">حیث عارض استصحاب طهارة الشاکّ فی الحدث باستصحاب اشتغال ذمّته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دخول هلال شوّال فی یوم الشکّ،المثبت لکون غده یوم العید،فیترتّب علیه أحکام العید،من الصلاة و الغسل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مجرّد عدم الهلال فی یوم لا یثبت آخریّته </w:t>
      </w:r>
      <w:r>
        <w:rPr>
          <w:rStyle w:val="FootnoteAnchor"/>
          <w:rtl w:val="true"/>
        </w:rPr>
        <w:footnoteReference w:id="821"/>
      </w:r>
      <w:r>
        <w:rPr>
          <w:rFonts w:ascii="IRNazanin" w:hAnsi="IRNazanin" w:eastAsia="IRNazanin"/>
          <w:color w:val="111111"/>
          <w:sz w:val="28"/>
          <w:sz w:val="28"/>
          <w:szCs w:val="28"/>
          <w:rtl w:val="true"/>
          <w:lang w:bidi="fa-IR"/>
        </w:rPr>
        <w:t>،و لا أوّلیّة غده للشهر اللاحق،لکنّ العرف لا یفهمون من وجوب ترتیب آثار عدم انقضاء رمضان و عدم دخول شوّال،إلاّ ترتیب أحکام آخریّة ذلک الیوم لشهر و أوّلیّة غده لشهر آخر،فالأوّل عندهم ما لم یسبق بمثله و الآخر ما اتّصل بزمان حکم بکونه أوّل الشهر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کان،فالمعیار خفاء توسّط الأمر العادیّ و العقلیّ بحیث یعدّ آثاره آثارا لنفس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یتمسّک </w:t>
      </w:r>
      <w:r>
        <w:rPr>
          <w:rStyle w:val="FootnoteAnchor"/>
          <w:rtl w:val="true"/>
        </w:rPr>
        <w:footnoteReference w:id="822"/>
      </w:r>
      <w:r>
        <w:rPr>
          <w:rFonts w:ascii="IRNazanin" w:hAnsi="IRNazanin" w:eastAsia="IRNazanin"/>
          <w:color w:val="111111"/>
          <w:sz w:val="28"/>
          <w:sz w:val="28"/>
          <w:szCs w:val="28"/>
          <w:rtl w:val="true"/>
          <w:lang w:bidi="fa-IR"/>
        </w:rPr>
        <w:t>فی بعض موارد الاصول المثبتة،بجریان السیرة أو الإجماع علی اعتباره هناک،مثل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أصالة عدم الحاجب عند الشکّ فی وجوده علی محلّ الغسل أو المسح،لإثبات غسل البشرة و مسحها المأمور بهما فی الوضوء و الغسل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2985_125095"/>
      <w:bookmarkStart w:id="788" w:name="pg12985_125095"/>
      <w:bookmarkEnd w:id="788"/>
    </w:p>
    <w:p>
      <w:pPr>
        <w:pStyle w:val="Heading4"/>
        <w:numPr>
          <w:ilvl w:val="3"/>
          <w:numId w:val="1"/>
        </w:numPr>
        <w:rPr/>
      </w:pPr>
      <w:bookmarkStart w:id="789" w:name="pg12985_125095"/>
      <w:bookmarkStart w:id="790" w:name="__RefHeading___Toc5767417_3224264995"/>
      <w:bookmarkStart w:id="791" w:name="_Toc317"/>
      <w:bookmarkEnd w:id="789"/>
      <w:bookmarkEnd w:id="790"/>
      <w:r>
        <w:rPr>
          <w:rtl w:val="true"/>
        </w:rPr>
        <w:t xml:space="preserve">الأمر السابع </w:t>
      </w:r>
      <w:r>
        <w:rPr>
          <w:rtl w:val="true"/>
        </w:rPr>
        <w:t>:</w:t>
      </w:r>
      <w:r>
        <w:rPr>
          <w:rtl w:val="true"/>
        </w:rPr>
        <w:t>هل تجری أصالة تأخّر الحادث؟</w:t>
      </w:r>
      <w:bookmarkEnd w:id="791"/>
    </w:p>
    <w:p>
      <w:pPr>
        <w:pStyle w:val="Heading5"/>
        <w:numPr>
          <w:ilvl w:val="4"/>
          <w:numId w:val="1"/>
        </w:numPr>
        <w:rPr/>
      </w:pPr>
      <w:bookmarkStart w:id="792" w:name="__RefHeading___Toc5767419_3224264995"/>
      <w:bookmarkStart w:id="793" w:name="_Toc318"/>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لا فرق فی المستصحب بین أن یکون مشکوک الارتفاع فی الزمان اللاحق رأسا،و بین أن یکون مشکوک الارتفاع فی جزء من الزمان اللاحق مع القطع بارتفاعه بعد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بقاء حیاة زید فی جزء من الزمان اللاحق، فلا یقدح فی جریان استصحاب حیاته علمنا بموته بعد ذلک الجزء من الزمان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یعبّر عنه بأصالة تأخّر الحادث،یریدون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بوجود حادث فی زمان و شکّ فی وجوده قبل ذلک الزمان، فیحکم باستصحاب عدمه قبل ذلک،و یلزمه عقلا تأخّر حدوث ذلک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مبدأ موت زید مع القطع بکونه یوم الجمعة میّتا، فحیاته قبل الجمعة الثابتة بالاستصحاب مستلزمة عقلا لکون مبدأ موته یوم الجمعة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تقدّم فی الأمر السابق </w:t>
      </w:r>
      <w:r>
        <w:rPr>
          <w:rStyle w:val="FootnoteAnchor"/>
          <w:rtl w:val="true"/>
        </w:rPr>
        <w:footnoteReference w:id="823"/>
      </w:r>
      <w:r>
        <w:rPr>
          <w:rFonts w:ascii="IRNazanin" w:hAnsi="IRNazanin" w:eastAsia="IRNazanin"/>
          <w:color w:val="111111"/>
          <w:sz w:val="28"/>
          <w:sz w:val="28"/>
          <w:szCs w:val="28"/>
          <w:rtl w:val="true"/>
          <w:lang w:bidi="fa-IR"/>
        </w:rPr>
        <w:t>أنّه لا یثبت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w:t>
      </w:r>
      <w:bookmarkStart w:id="794" w:name="pg12985_125096"/>
    </w:p>
    <w:p>
      <w:pPr>
        <w:pStyle w:val="BookText"/>
        <w:rPr/>
      </w:pPr>
      <w:bookmarkEnd w:id="794"/>
      <w:r>
        <w:rPr>
          <w:rFonts w:ascii="IRNazanin" w:hAnsi="IRNazanin" w:eastAsia="IRNazanin"/>
          <w:color w:val="111111"/>
          <w:sz w:val="28"/>
          <w:sz w:val="28"/>
          <w:szCs w:val="28"/>
          <w:rtl w:val="true"/>
          <w:lang w:bidi="fa-IR"/>
        </w:rPr>
        <w:t>علی العمل به من باب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لوازمه العقلیّة،فلو ترتّب علی حدوث موت زید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مجرّد حیاته قبل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لم یترتّب علی ذلک</w:t>
      </w:r>
      <w:r>
        <w:rPr>
          <w:rFonts w:eastAsia="IRNazanin" w:cs="IRNazanin"/>
          <w:color w:val="111111"/>
          <w:sz w:val="28"/>
          <w:szCs w:val="28"/>
          <w:rtl w:val="true"/>
          <w:lang w:bidi="fa-IR"/>
        </w:rPr>
        <w:t>.</w:t>
      </w:r>
    </w:p>
    <w:p>
      <w:pPr>
        <w:pStyle w:val="Heading5"/>
        <w:numPr>
          <w:ilvl w:val="4"/>
          <w:numId w:val="1"/>
        </w:numPr>
        <w:rPr/>
      </w:pPr>
      <w:bookmarkStart w:id="795" w:name="__RefHeading___Toc5767421_3224264995"/>
      <w:bookmarkStart w:id="796" w:name="_Toc319"/>
      <w:bookmarkEnd w:id="795"/>
      <w:r>
        <w:rPr>
          <w:rtl w:val="true"/>
        </w:rPr>
        <w:t>صور تأخّر الحادث</w:t>
      </w:r>
      <w:r>
        <w:rPr>
          <w:rtl w:val="true"/>
        </w:rPr>
        <w:t>:</w:t>
      </w:r>
      <w:bookmarkEnd w:id="796"/>
    </w:p>
    <w:p>
      <w:pPr>
        <w:pStyle w:val="Heading6"/>
        <w:numPr>
          <w:ilvl w:val="5"/>
          <w:numId w:val="1"/>
        </w:numPr>
        <w:rPr/>
      </w:pPr>
      <w:bookmarkStart w:id="797" w:name="__RefHeading___Toc5767423_3224264995"/>
      <w:bookmarkStart w:id="798" w:name="_Toc320"/>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 xml:space="preserve">نعم،لو قلنا باعتبار الاستصحاب من باب الظنّ،أو کان اللازم العقلیّ من اللوازم الخفیّة،جری فیه ما تقدّم ذکره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المقام و توضیحه</w:t>
      </w:r>
      <w:r>
        <w:rPr>
          <w:rFonts w:eastAsia="IRNazanin" w:cs="IRNazanin"/>
          <w:color w:val="111111"/>
          <w:sz w:val="28"/>
          <w:szCs w:val="28"/>
          <w:rtl w:val="true"/>
          <w:lang w:bidi="fa-IR"/>
        </w:rPr>
        <w:t>:</w:t>
      </w:r>
    </w:p>
    <w:p>
      <w:pPr>
        <w:pStyle w:val="Heading6"/>
        <w:numPr>
          <w:ilvl w:val="5"/>
          <w:numId w:val="1"/>
        </w:numPr>
        <w:rPr/>
      </w:pPr>
      <w:bookmarkStart w:id="799" w:name="__RefHeading___Toc5767425_3224264995"/>
      <w:bookmarkStart w:id="800" w:name="_Toc321"/>
      <w:bookmarkEnd w:id="799"/>
      <w:r>
        <w:rPr/>
        <w:t>1</w:t>
      </w:r>
      <w:r>
        <w:rPr>
          <w:rtl w:val="true"/>
        </w:rPr>
        <w:t>-</w:t>
      </w:r>
      <w:r>
        <w:rPr>
          <w:rtl w:val="true"/>
        </w:rPr>
        <w:t>إذا لوحظ تأخّر الحادث بالقیاس إلی ما قبله من أجزاء الزمان</w:t>
      </w:r>
      <w:r>
        <w:rPr>
          <w:rtl w:val="true"/>
        </w:rPr>
        <w:t>:</w:t>
      </w:r>
      <w:bookmarkEnd w:id="800"/>
    </w:p>
    <w:p>
      <w:pPr>
        <w:pStyle w:val="BookText"/>
        <w:rPr/>
      </w:pPr>
      <w:r>
        <w:rPr>
          <w:rFonts w:ascii="IRNazanin" w:hAnsi="IRNazanin" w:eastAsia="IRNazanin"/>
          <w:color w:val="111111"/>
          <w:sz w:val="28"/>
          <w:sz w:val="28"/>
          <w:szCs w:val="28"/>
          <w:rtl w:val="true"/>
          <w:lang w:bidi="fa-IR"/>
        </w:rPr>
        <w:t>أنّ تأخّر الحادث قد یلاحظ بالقیاس إلی ما قبله من أجزاء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موت زید قبل الجمعة، فیترتّب علیه جمیع أحکام ذلک العدم،لا أحکام حدوثه یوم الجمعة؛إذ المتیقّن بالوجدان تحقّق الموت یوم الجمعة لا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الحدوث هو الوجود المسبوق بالعدم،و إذا ثبت بالأصل عدم الشیء سابقا،و علم بوجوده بعد ذلک،فوجوده المطلق فی الزمان اللاحق إذا انضمّ إلی عدمه قبل ذلک الثابت بالأصل،تحقّق مفهوم الحدوث،و قد عرفت </w:t>
      </w:r>
      <w:r>
        <w:rPr>
          <w:rStyle w:val="FootnoteAnchor"/>
          <w:rtl w:val="true"/>
        </w:rPr>
        <w:footnoteReference w:id="825"/>
      </w:r>
      <w:r>
        <w:rPr>
          <w:rFonts w:ascii="IRNazanin" w:hAnsi="IRNazanin" w:eastAsia="IRNazanin"/>
          <w:color w:val="111111"/>
          <w:sz w:val="28"/>
          <w:sz w:val="28"/>
          <w:szCs w:val="28"/>
          <w:rtl w:val="true"/>
          <w:lang w:bidi="fa-IR"/>
        </w:rPr>
        <w:t>حال الموضوع الخارجیّ الثابت أحد جزئی مفهومه بالأصل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الحادث ممّا نعلم بارتفاعه بعد حدوثه فلا یترتّب علیه أحکام الوجود فی الزمان المتأخّر أیضا؛لأنّ وجوده مساو لحدوثه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نعم،یترتّب علیه أحکام وجوده المطلق فی زمان </w:t>
      </w:r>
      <w:r>
        <w:rPr>
          <w:rStyle w:val="FootnoteAnchor"/>
          <w:rtl w:val="true"/>
        </w:rPr>
        <w:footnoteReference w:id="826"/>
      </w:r>
      <w:r>
        <w:rPr>
          <w:rFonts w:ascii="IRNazanin" w:hAnsi="IRNazanin" w:eastAsia="IRNazanin"/>
          <w:color w:val="111111"/>
          <w:sz w:val="28"/>
          <w:sz w:val="28"/>
          <w:szCs w:val="28"/>
          <w:rtl w:val="true"/>
          <w:lang w:bidi="fa-IR"/>
        </w:rPr>
        <w:t xml:space="preserve">من الزمانین،کما إذا علمنا أنّ الماء لم یکن کرّا قبل الخمیس، </w:t>
      </w:r>
      <w:bookmarkStart w:id="801" w:name="pg12985_125097"/>
    </w:p>
    <w:p>
      <w:pPr>
        <w:pStyle w:val="BookText"/>
        <w:rPr/>
      </w:pPr>
      <w:bookmarkEnd w:id="801"/>
      <w:r>
        <w:rPr>
          <w:rFonts w:ascii="IRNazanin" w:hAnsi="IRNazanin" w:eastAsia="IRNazanin"/>
          <w:color w:val="111111"/>
          <w:sz w:val="28"/>
          <w:sz w:val="28"/>
          <w:szCs w:val="28"/>
          <w:rtl w:val="true"/>
          <w:lang w:bidi="fa-IR"/>
        </w:rPr>
        <w:t>فعلم أنّه صار کرّا بعده و ارتفع کرّیّته بعد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کرّیّته فی یوم الخمیس،و لا یثبت بذلک کرّیّته یوم الجمعة،فلا یحکم بطهارة ثوب نجس وقع فیه فی أحد الیومین؛لأصالة بقاء نجاسته و عدم أصل حاکم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فیه فی کلّ من الیومین حکم بطهارته من باب انغسال الثوب بماءین مشتبهین</w:t>
      </w:r>
      <w:r>
        <w:rPr>
          <w:rFonts w:eastAsia="IRNazanin" w:cs="IRNazanin"/>
          <w:color w:val="111111"/>
          <w:sz w:val="28"/>
          <w:szCs w:val="28"/>
          <w:rtl w:val="true"/>
          <w:lang w:bidi="fa-IR"/>
        </w:rPr>
        <w:t>.</w:t>
      </w:r>
    </w:p>
    <w:p>
      <w:pPr>
        <w:pStyle w:val="Heading6"/>
        <w:numPr>
          <w:ilvl w:val="5"/>
          <w:numId w:val="1"/>
        </w:numPr>
        <w:rPr/>
      </w:pPr>
      <w:bookmarkStart w:id="802" w:name="__RefHeading___Toc5767427_3224264995"/>
      <w:bookmarkStart w:id="803" w:name="_Toc322"/>
      <w:bookmarkEnd w:id="802"/>
      <w:r>
        <w:rPr/>
        <w:t>2</w:t>
      </w:r>
      <w:r>
        <w:rPr>
          <w:rtl w:val="true"/>
        </w:rPr>
        <w:t>-</w:t>
      </w:r>
      <w:r>
        <w:rPr>
          <w:rtl w:val="true"/>
        </w:rPr>
        <w:t>إذا لوحظ بالقیاس إلی حادث آخر و جهل تأریخهما</w:t>
      </w:r>
      <w:r>
        <w:rPr>
          <w:rtl w:val="true"/>
        </w:rPr>
        <w:t>:</w:t>
      </w:r>
      <w:bookmarkEnd w:id="803"/>
    </w:p>
    <w:p>
      <w:pPr>
        <w:pStyle w:val="BookText"/>
        <w:rPr/>
      </w:pPr>
      <w:r>
        <w:rPr>
          <w:rFonts w:ascii="IRNazanin" w:hAnsi="IRNazanin" w:eastAsia="IRNazanin"/>
          <w:color w:val="111111"/>
          <w:sz w:val="28"/>
          <w:sz w:val="28"/>
          <w:szCs w:val="28"/>
          <w:rtl w:val="true"/>
          <w:lang w:bidi="fa-IR"/>
        </w:rPr>
        <w:t>و قد یلاحظ تأخّر الحادث بالقیاس إلی حادث آخر،کما إذا علم بحدوث حادثین و شکّ فی تقدّم أحدهما علی الآخر،فإمّا أن یجهل تأریخهما أو یعلم تأریخ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جهل تأریخهما فلا یحکم بتأخّر أحدهما المعیّن عن الآخر؛ لأنّ التأخّر فی نفسه لیس مجری الاستصحاب؛لعدم مسبوقیّته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أصالة عدم أحدهما فی زمان حدوث الآخر فهی معارضة بالمثل، و حکمه التساقط مع ترتّب الأثر علی کلّ واحد من الأصلین،و سیجیء تحقیقه </w:t>
      </w:r>
      <w:r>
        <w:rPr>
          <w:rStyle w:val="FootnoteAnchor"/>
          <w:rtl w:val="true"/>
        </w:rPr>
        <w:footnoteReference w:id="82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بتقارنهما فی مقام یتصوّر التقارن؛لأصالة عدم کلّ منهما قبل وجود الآخر؟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کون التقارن أمرا وجودیّا لازما لعدم </w:t>
      </w:r>
      <w:r>
        <w:rPr>
          <w:rStyle w:val="FootnoteAnchor"/>
          <w:rtl w:val="true"/>
        </w:rPr>
        <w:footnoteReference w:id="828"/>
      </w:r>
      <w:r>
        <w:rPr>
          <w:rFonts w:ascii="IRNazanin" w:hAnsi="IRNazanin" w:eastAsia="IRNazanin"/>
          <w:color w:val="111111"/>
          <w:sz w:val="28"/>
          <w:sz w:val="28"/>
          <w:szCs w:val="28"/>
          <w:rtl w:val="true"/>
          <w:lang w:bidi="fa-IR"/>
        </w:rPr>
        <w:t>کلّ منهما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کونه من اللوازم الخفیّة حتّی کاد یتوهّم أنّه عبارة عن عدم تقدّم أحدهما علی الآخر فی الوجود</w:t>
      </w:r>
      <w:r>
        <w:rPr>
          <w:rFonts w:eastAsia="IRNazanin" w:cs="IRNazanin"/>
          <w:color w:val="111111"/>
          <w:sz w:val="28"/>
          <w:szCs w:val="28"/>
          <w:rtl w:val="true"/>
          <w:lang w:bidi="fa-IR"/>
        </w:rPr>
        <w:t>.</w:t>
      </w:r>
    </w:p>
    <w:p>
      <w:pPr>
        <w:pStyle w:val="Heading6"/>
        <w:numPr>
          <w:ilvl w:val="5"/>
          <w:numId w:val="1"/>
        </w:numPr>
        <w:rPr/>
      </w:pPr>
      <w:bookmarkStart w:id="804" w:name="__RefHeading___Toc5767429_3224264995"/>
      <w:bookmarkStart w:id="805" w:name="_Toc323"/>
      <w:bookmarkEnd w:id="804"/>
      <w:r>
        <w:rPr>
          <w:rtl w:val="true"/>
        </w:rPr>
        <w:t>لو کان أحدهما معلوم التأریخ</w:t>
      </w:r>
      <w:r>
        <w:rPr>
          <w:rtl w:val="true"/>
        </w:rPr>
        <w:t>:</w:t>
      </w:r>
      <w:bookmarkEnd w:id="8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أحدهما معلوم التأریخ فلا یحکم علی مجهول التأریخ إلاّ بأصالة عدم وجوده فی تأریخ ذلک،لا تأخّر وجوده عنه بمعنی حدوثه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نعم،یثبت ذلک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علم تأریخ </w:t>
      </w:r>
      <w:bookmarkStart w:id="806" w:name="pg12985_125098"/>
    </w:p>
    <w:p>
      <w:pPr>
        <w:pStyle w:val="BookText"/>
        <w:rPr/>
      </w:pPr>
      <w:bookmarkEnd w:id="806"/>
      <w:r>
        <w:rPr>
          <w:rFonts w:ascii="IRNazanin" w:hAnsi="IRNazanin" w:eastAsia="IRNazanin"/>
          <w:color w:val="111111"/>
          <w:sz w:val="28"/>
          <w:sz w:val="28"/>
          <w:szCs w:val="28"/>
          <w:rtl w:val="true"/>
          <w:lang w:bidi="fa-IR"/>
        </w:rPr>
        <w:t>ملاقاة الثوب للحوض و جهل تأریخ صیرورته کرّا،فیقال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بقاء قلّته و عدم کرّیّته فی 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علم تأریخ الکریّة حکم أیضا بأصالة عدم تقدّم </w:t>
      </w:r>
      <w:r>
        <w:rPr>
          <w:rStyle w:val="FootnoteAnchor"/>
          <w:rtl w:val="true"/>
        </w:rPr>
        <w:footnoteReference w:id="829"/>
      </w:r>
      <w:r>
        <w:rPr>
          <w:rFonts w:ascii="IRNazanin" w:hAnsi="IRNazanin" w:eastAsia="IRNazanin"/>
          <w:color w:val="111111"/>
          <w:sz w:val="28"/>
          <w:sz w:val="28"/>
          <w:szCs w:val="28"/>
          <w:rtl w:val="true"/>
          <w:lang w:bidi="fa-IR"/>
        </w:rPr>
        <w:t>الملاقاة فی زمان الکرّیّة،و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یتوهّم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الأصل فی طرف المعلوم أیضا </w:t>
      </w:r>
      <w:r>
        <w:rPr>
          <w:rStyle w:val="FootnoteAnchor"/>
          <w:rtl w:val="true"/>
        </w:rPr>
        <w:footnoteReference w:id="831"/>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وجوده فی الزمان الواقعیّ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نفس وجوده غیر مشکوک فی زمان،و أمّا وجوده فی زمان الآخر فلیس مسبوقا بالعدم</w:t>
      </w:r>
      <w:r>
        <w:rPr>
          <w:rFonts w:eastAsia="IRNazanin" w:cs="IRNazanin"/>
          <w:color w:val="111111"/>
          <w:sz w:val="28"/>
          <w:szCs w:val="28"/>
          <w:rtl w:val="true"/>
          <w:lang w:bidi="fa-IR"/>
        </w:rPr>
        <w:t>.</w:t>
      </w:r>
    </w:p>
    <w:p>
      <w:pPr>
        <w:pStyle w:val="Heading6"/>
        <w:numPr>
          <w:ilvl w:val="5"/>
          <w:numId w:val="1"/>
        </w:numPr>
        <w:rPr/>
      </w:pPr>
      <w:bookmarkStart w:id="807" w:name="__RefHeading___Toc5767431_3224264995"/>
      <w:bookmarkStart w:id="808" w:name="_Toc324"/>
      <w:bookmarkEnd w:id="807"/>
      <w:r>
        <w:rPr>
          <w:rtl w:val="true"/>
        </w:rPr>
        <w:t>قولان آخران فی هذه الصورة</w:t>
      </w:r>
      <w:r>
        <w:rPr>
          <w:rtl w:val="true"/>
        </w:rPr>
        <w:t>:</w:t>
      </w:r>
      <w:bookmarkEnd w:id="808"/>
    </w:p>
    <w:p>
      <w:pPr>
        <w:pStyle w:val="BookText"/>
        <w:rPr/>
      </w:pPr>
      <w:r>
        <w:rPr>
          <w:rFonts w:ascii="IRNazanin" w:hAnsi="IRNazanin" w:eastAsia="IRNazanin"/>
          <w:color w:val="111111"/>
          <w:sz w:val="28"/>
          <w:sz w:val="28"/>
          <w:szCs w:val="28"/>
          <w:rtl w:val="true"/>
          <w:lang w:bidi="fa-IR"/>
        </w:rPr>
        <w:t>ثمّ إنّه یظهر من الأصحاب هنا قولان آخران</w:t>
      </w:r>
      <w:r>
        <w:rPr>
          <w:rFonts w:eastAsia="IRNazanin" w:cs="IRNazanin"/>
          <w:color w:val="111111"/>
          <w:sz w:val="28"/>
          <w:szCs w:val="28"/>
          <w:rtl w:val="true"/>
          <w:lang w:bidi="fa-IR"/>
        </w:rPr>
        <w:t>:</w:t>
      </w:r>
    </w:p>
    <w:p>
      <w:pPr>
        <w:pStyle w:val="Heading6"/>
        <w:numPr>
          <w:ilvl w:val="5"/>
          <w:numId w:val="1"/>
        </w:numPr>
        <w:rPr/>
      </w:pPr>
      <w:bookmarkStart w:id="809" w:name="__RefHeading___Toc5767433_3224264995"/>
      <w:bookmarkStart w:id="810" w:name="_Toc325"/>
      <w:bookmarkEnd w:id="809"/>
      <w:r>
        <w:rPr>
          <w:rtl w:val="true"/>
        </w:rPr>
        <w:t>أحدهما</w:t>
      </w:r>
      <w:r>
        <w:rPr>
          <w:rtl w:val="true"/>
        </w:rPr>
        <w:t>:</w:t>
      </w:r>
      <w:r>
        <w:rPr>
          <w:rtl w:val="true"/>
        </w:rPr>
        <w:t>جریان هذا الأصل فی طرف مجهول التأریخ</w:t>
      </w:r>
      <w:bookmarkEnd w:id="81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تأخّره عن معلوم التأریخ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المشهور،و قد صرّح بالعمل به الشیخ </w:t>
      </w:r>
      <w:r>
        <w:rPr>
          <w:rStyle w:val="FootnoteAnchor"/>
          <w:rtl w:val="true"/>
        </w:rPr>
        <w:footnoteReference w:id="832"/>
      </w:r>
      <w:r>
        <w:rPr>
          <w:rFonts w:ascii="Amiri" w:hAnsi="Amiri" w:eastAsia="Amiri" w:cs="Amiri"/>
          <w:color w:val="111111"/>
          <w:sz w:val="28"/>
          <w:sz w:val="28"/>
          <w:szCs w:val="28"/>
          <w:rtl w:val="true"/>
          <w:lang w:bidi="ar-SA"/>
        </w:rPr>
        <w:t xml:space="preserve">و ابن حمزة </w:t>
      </w:r>
      <w:r>
        <w:rPr>
          <w:rStyle w:val="FootnoteAnchor"/>
          <w:rtl w:val="true"/>
        </w:rPr>
        <w:footnoteReference w:id="833"/>
      </w:r>
      <w:r>
        <w:rPr>
          <w:rFonts w:ascii="Amiri" w:hAnsi="Amiri" w:eastAsia="Amiri" w:cs="Amiri"/>
          <w:color w:val="111111"/>
          <w:sz w:val="28"/>
          <w:sz w:val="28"/>
          <w:szCs w:val="28"/>
          <w:rtl w:val="true"/>
          <w:lang w:bidi="ar-SA"/>
        </w:rPr>
        <w:t xml:space="preserve">و المحقّق </w:t>
      </w:r>
      <w:r>
        <w:rPr>
          <w:rStyle w:val="FootnoteAnchor"/>
          <w:rtl w:val="true"/>
        </w:rPr>
        <w:footnoteReference w:id="834"/>
      </w:r>
      <w:r>
        <w:rPr>
          <w:rFonts w:ascii="Amiri" w:hAnsi="Amiri" w:eastAsia="Amiri" w:cs="Amiri"/>
          <w:color w:val="111111"/>
          <w:sz w:val="28"/>
          <w:sz w:val="28"/>
          <w:szCs w:val="28"/>
          <w:rtl w:val="true"/>
          <w:lang w:bidi="ar-SA"/>
        </w:rPr>
        <w:t xml:space="preserve">و العلاّمة </w:t>
      </w:r>
      <w:r>
        <w:rPr>
          <w:rStyle w:val="FootnoteAnchor"/>
          <w:rtl w:val="true"/>
        </w:rPr>
        <w:footnoteReference w:id="835"/>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836"/>
      </w:r>
      <w:r>
        <w:rPr>
          <w:rFonts w:ascii="IRNazanin" w:hAnsi="IRNazanin" w:eastAsia="IRNazanin"/>
          <w:color w:val="111111"/>
          <w:sz w:val="28"/>
          <w:sz w:val="28"/>
          <w:szCs w:val="28"/>
          <w:rtl w:val="true"/>
          <w:lang w:bidi="fa-IR"/>
        </w:rPr>
        <w:t xml:space="preserve">و غیرهم </w:t>
      </w:r>
      <w:r>
        <w:rPr>
          <w:rStyle w:val="FootnoteAnchor"/>
          <w:rtl w:val="true"/>
        </w:rPr>
        <w:footnoteReference w:id="837"/>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بعض الموارد،منها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اتّفاق الوارثین علی إسلام أحدهما فی غرّة رمضان و اختلافهما فی موت المورّث قبل الغرّة أو بعدها،فإنّهم حکموا بأنّ القول قول مدّعی تأخّر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یظهر من إطلاقهم التوقّف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تفصیل بین العلم بتأریخ أحد الحادثین و بین الجهل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بالأصل فی المجهول مع علم تأریخ الآخر،کمسألة اشتباه تقدّم الطهارة أو الحدث،و مسألة اشتباه الجمعتین،و اشتباه موت المتوارثین،و مسألة اشتباه تقدّم رجوع المرتهن عن الإذن فی البیع علی وقوع البیع أو تأخّره عنه،و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الوثوق بهذا الإطلاق،بل هو إمّا محمول علی صورة الجهل بتأریخهما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أحالوا صورة العلم بتأریخ أحدهما علی ما صرّحوا به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محامل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کان،فحکمهم فی مسألة الاختلاف فی تقدّم الموت علی الإسلام و تأخّره مع إطلاقهم فی تلک الموارد،من قبیل النصّ و الظاهر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جماعة منهم نصّوا علی تقیید هذا الإطلاق فی موارد،کالشهیدین فی الدروس </w:t>
      </w:r>
      <w:r>
        <w:rPr>
          <w:rStyle w:val="FootnoteAnchor"/>
          <w:rtl w:val="true"/>
        </w:rPr>
        <w:footnoteReference w:id="838"/>
      </w:r>
      <w:r>
        <w:rPr>
          <w:rFonts w:ascii="IRNazanin" w:hAnsi="IRNazanin" w:eastAsia="IRNazanin"/>
          <w:color w:val="111111"/>
          <w:sz w:val="28"/>
          <w:sz w:val="28"/>
          <w:szCs w:val="28"/>
          <w:rtl w:val="true"/>
          <w:lang w:bidi="fa-IR"/>
        </w:rPr>
        <w:t xml:space="preserve">و المسالک </w:t>
      </w:r>
      <w:r>
        <w:rPr>
          <w:rStyle w:val="FootnoteAnchor"/>
          <w:rtl w:val="true"/>
        </w:rPr>
        <w:footnoteReference w:id="839"/>
      </w:r>
      <w:r>
        <w:rPr>
          <w:rFonts w:ascii="IRNazanin" w:hAnsi="IRNazanin" w:eastAsia="IRNazanin"/>
          <w:color w:val="111111"/>
          <w:sz w:val="28"/>
          <w:sz w:val="28"/>
          <w:szCs w:val="28"/>
          <w:rtl w:val="true"/>
          <w:lang w:bidi="fa-IR"/>
        </w:rPr>
        <w:t xml:space="preserve">فی مسألة الاختلاف فی تقدّم الرجوع عن الإذن فی بیع الرهن علی بیعه و تأخّره،و العلاّمة الطباطبائیّ </w:t>
      </w:r>
      <w:r>
        <w:rPr>
          <w:rStyle w:val="FootnoteAnchor"/>
          <w:rtl w:val="true"/>
        </w:rPr>
        <w:footnoteReference w:id="840"/>
      </w:r>
      <w:r>
        <w:rPr>
          <w:rFonts w:ascii="IRNazanin" w:hAnsi="IRNazanin" w:eastAsia="IRNazanin"/>
          <w:color w:val="111111"/>
          <w:sz w:val="28"/>
          <w:sz w:val="28"/>
          <w:szCs w:val="28"/>
          <w:rtl w:val="true"/>
          <w:lang w:bidi="fa-IR"/>
        </w:rPr>
        <w:t xml:space="preserve">فی مسألة </w:t>
      </w:r>
      <w:bookmarkStart w:id="811" w:name="pg12985_125100"/>
    </w:p>
    <w:p>
      <w:pPr>
        <w:pStyle w:val="BookText"/>
        <w:rPr/>
      </w:pPr>
      <w:bookmarkEnd w:id="811"/>
      <w:r>
        <w:rPr>
          <w:rFonts w:ascii="Amiri" w:hAnsi="Amiri" w:eastAsia="Amiri" w:cs="Amiri"/>
          <w:color w:val="111111"/>
          <w:sz w:val="28"/>
          <w:sz w:val="28"/>
          <w:szCs w:val="28"/>
          <w:rtl w:val="true"/>
          <w:lang w:bidi="ar-SA"/>
        </w:rPr>
        <w:t>اشتباه السابق من الحدث و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هذا،مع أنّه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متتبّع موارد هذه المسائل و شبهها ممّا یرجع فی حکمها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غفلة بعضهم بل أکثرهم عن مجاری الاصول فی بعض شقوق المسألة غیر عزیزة</w:t>
      </w:r>
      <w:r>
        <w:rPr>
          <w:rFonts w:eastAsia="IRNazanin" w:cs="IRNazanin"/>
          <w:color w:val="111111"/>
          <w:sz w:val="28"/>
          <w:szCs w:val="28"/>
          <w:rtl w:val="true"/>
          <w:lang w:bidi="fa-IR"/>
        </w:rPr>
        <w:t>.</w:t>
      </w:r>
    </w:p>
    <w:p>
      <w:pPr>
        <w:pStyle w:val="Heading6"/>
        <w:numPr>
          <w:ilvl w:val="5"/>
          <w:numId w:val="1"/>
        </w:numPr>
        <w:rPr/>
      </w:pPr>
      <w:bookmarkStart w:id="812" w:name="__RefHeading___Toc5767435_3224264995"/>
      <w:bookmarkStart w:id="813" w:name="_Toc326"/>
      <w:bookmarkEnd w:id="812"/>
      <w:r>
        <w:rPr>
          <w:rtl w:val="true"/>
        </w:rPr>
        <w:t>الثانی</w:t>
      </w:r>
      <w:r>
        <w:rPr>
          <w:rtl w:val="true"/>
        </w:rPr>
        <w:t>:</w:t>
      </w:r>
      <w:r>
        <w:rPr>
          <w:rtl w:val="true"/>
        </w:rPr>
        <w:t>عدم العمل بالأصل و إلحاق صورة جهل تأریخ أحدهما بصورة جهل تأریخهما</w:t>
      </w:r>
      <w:r>
        <w:rPr>
          <w:rtl w:val="true"/>
        </w:rPr>
        <w:t>.</w:t>
      </w:r>
      <w:bookmarkEnd w:id="813"/>
    </w:p>
    <w:p>
      <w:pPr>
        <w:pStyle w:val="BookText"/>
        <w:rPr/>
      </w:pPr>
      <w:r>
        <w:rPr>
          <w:rFonts w:ascii="IRNazanin" w:hAnsi="IRNazanin" w:eastAsia="IRNazanin"/>
          <w:color w:val="111111"/>
          <w:sz w:val="28"/>
          <w:sz w:val="28"/>
          <w:szCs w:val="28"/>
          <w:rtl w:val="true"/>
          <w:lang w:bidi="fa-IR"/>
        </w:rPr>
        <w:t xml:space="preserve">و قد صرّح به بعض المعاصرین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لبعض الأساطین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علی ذلک بعدم تفصیل الجماعة فی مسألة الجمعتین و الطهارة و الحدث و موت المتوارثین،مستدلا علی ذلک بأنّ التأخّر لیس أمرا مطابقا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استدلاله إرادة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ترتیب أحکام صفة التأخّر و کون المجهول متحقّقا بعد </w:t>
      </w:r>
      <w:r>
        <w:rPr>
          <w:rStyle w:val="FootnoteAnchor"/>
          <w:rtl w:val="true"/>
        </w:rPr>
        <w:footnoteReference w:id="843"/>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استشهاده بعدم تفصیل الأصحاب فی المسائل المذکورة إرادة عدم ثمرة مترتّبة علی العلم بتأریخ أحدهما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العلم بموت زید فی یوم الجمعة،و شککنا فی حیاة ولده فی ذلک الزمان، فالأصل بقاء حیاة ولده،فیحکم له بإرث أبیه،و ظاهر هذا القائل عدم الحکم بذلک،و کون حکمه حکم الجهل بتأریخ موت زید أیضا فی عدم التوارث بینهما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کان،فإن أراد هذا القائل ترتیب آثار تأخّر ذلک الحادث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عدم جواز التمسّک باستصحاب عدم ذلک الحادث و وجود ضدّه و ترتیب جمیع آثاره الشرعیّة فی زمان الشکّ،فلا وجه لإنکاره؛إذ لا یعقل </w:t>
      </w:r>
      <w:r>
        <w:rPr>
          <w:rStyle w:val="FootnoteAnchor"/>
          <w:rtl w:val="true"/>
        </w:rPr>
        <w:footnoteReference w:id="844"/>
      </w:r>
      <w:r>
        <w:rPr>
          <w:rFonts w:ascii="IRNazanin" w:hAnsi="IRNazanin" w:eastAsia="IRNazanin"/>
          <w:color w:val="111111"/>
          <w:sz w:val="28"/>
          <w:sz w:val="28"/>
          <w:szCs w:val="28"/>
          <w:rtl w:val="true"/>
          <w:lang w:bidi="fa-IR"/>
        </w:rPr>
        <w:t>الفرق بین مستصحب علم بارتفاعه فی زمان و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تفصیل الأصحاب فی مسألة الجمعتین و أخواتها،فقد عرفت ما فیه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مورد الشکّ فی تأخّر حادث عن آخر استصحاب عدم الحادث فی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زمان حدوثه معلوما فیجری أحکام بقاء المستصحب فی زمان الحادث المعلوم لا غیرها،فإذا علم بتطهّره فی الساعة الاولی من النهار،و شکّ فی تحقّق الحدث قبل تلک الساعة أو بعدها،فالأصل عدم الحدث فیما قبل الساعة </w:t>
      </w:r>
      <w:r>
        <w:rPr>
          <w:rStyle w:val="FootnoteAnchor"/>
          <w:rtl w:val="true"/>
        </w:rPr>
        <w:footnoteReference w:id="846"/>
      </w:r>
      <w:r>
        <w:rPr>
          <w:rFonts w:ascii="IRNazanin" w:hAnsi="IRNazanin" w:eastAsia="IRNazanin"/>
          <w:color w:val="111111"/>
          <w:sz w:val="28"/>
          <w:sz w:val="28"/>
          <w:szCs w:val="28"/>
          <w:rtl w:val="true"/>
          <w:lang w:bidi="fa-IR"/>
        </w:rPr>
        <w:t xml:space="preserve">،لکن لا یلزم من ذلک ارتفاع الطهارة المتحقّقة فی الساعة الاولی،کما تخیّله بعض الفحول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مجهولا کان حکمه حکم أحد الحادثین المعلوم حدوث أحدهما إجمالا،و سیجیء توضیحه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814" w:name="pg12985_125102"/>
    </w:p>
    <w:p>
      <w:pPr>
        <w:pStyle w:val="Heading5"/>
        <w:numPr>
          <w:ilvl w:val="4"/>
          <w:numId w:val="1"/>
        </w:numPr>
        <w:rPr/>
      </w:pPr>
      <w:bookmarkStart w:id="815" w:name="__RefHeading___Toc5767437_3224264995"/>
      <w:bookmarkStart w:id="816" w:name="_Toc327"/>
      <w:bookmarkEnd w:id="814"/>
      <w:bookmarkEnd w:id="815"/>
      <w:r>
        <w:rPr>
          <w:rtl w:val="true"/>
        </w:rPr>
        <w:t>صحّة الاستصحاب القهقری بناء علی الأصل المثبت</w:t>
      </w:r>
      <w:r>
        <w:rPr>
          <w:rtl w:val="true"/>
        </w:rPr>
        <w:t>:</w:t>
      </w:r>
      <w:bookmarkEnd w:id="816"/>
    </w:p>
    <w:p>
      <w:pPr>
        <w:pStyle w:val="Heading6"/>
        <w:numPr>
          <w:ilvl w:val="5"/>
          <w:numId w:val="1"/>
        </w:numPr>
        <w:rPr/>
      </w:pPr>
      <w:bookmarkStart w:id="817" w:name="__RefHeading___Toc5767439_3224264995"/>
      <w:bookmarkStart w:id="818" w:name="_Toc328"/>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یوجد شیء فی زمان و یشکّ فی مبدئه،و یحکم بتقدّمه؛لأنّ تأخّره لازم لحدوث حادث آخر قبله و الأصل عدمه،و قد یسمّی ذلک بالاستصحاب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أنّ صیغة الأمر حقیقة فی الوجوب فی عرفنا، و شکّ فی کونها کذلک قبل ذلک حتّی تحمل خطابات الشارع علی ذلک،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الأصل کون الصیغة حقیقة فیه فی ذلک الزمان،بل قبله؛ إذ لو کان </w:t>
      </w:r>
      <w:r>
        <w:rPr>
          <w:rStyle w:val="FootnoteAnchor"/>
          <w:rtl w:val="true"/>
        </w:rPr>
        <w:footnoteReference w:id="849"/>
      </w:r>
      <w:r>
        <w:rPr>
          <w:rFonts w:ascii="IRNazanin" w:hAnsi="IRNazanin" w:eastAsia="IRNazanin"/>
          <w:color w:val="111111"/>
          <w:sz w:val="28"/>
          <w:sz w:val="28"/>
          <w:szCs w:val="28"/>
          <w:rtl w:val="true"/>
          <w:lang w:bidi="fa-IR"/>
        </w:rPr>
        <w:t>فی ذلک الزمان حقیقة فی غیره لزم النقل و تعدّد الوضع، و الأصل عدمه</w:t>
      </w:r>
      <w:r>
        <w:rPr>
          <w:rFonts w:eastAsia="IRNazanin" w:cs="IRNazanin"/>
          <w:color w:val="111111"/>
          <w:sz w:val="28"/>
          <w:szCs w:val="28"/>
          <w:rtl w:val="true"/>
          <w:lang w:bidi="fa-IR"/>
        </w:rPr>
        <w:t>.</w:t>
      </w:r>
    </w:p>
    <w:p>
      <w:pPr>
        <w:pStyle w:val="Heading6"/>
        <w:numPr>
          <w:ilvl w:val="5"/>
          <w:numId w:val="1"/>
        </w:numPr>
        <w:rPr/>
      </w:pPr>
      <w:bookmarkStart w:id="819" w:name="__RefHeading___Toc5767441_3224264995"/>
      <w:bookmarkStart w:id="820" w:name="_Toc329"/>
      <w:bookmarkEnd w:id="819"/>
      <w:r>
        <w:rPr>
          <w:rtl w:val="true"/>
        </w:rPr>
        <w:t>الاتفاق علی هذا الاستصحاب فی الاصول اللفظیّة</w:t>
      </w:r>
      <w:r>
        <w:rPr>
          <w:rtl w:val="true"/>
        </w:rPr>
        <w:t>:</w:t>
      </w:r>
      <w:bookmarkEnd w:id="8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إنّما یصحّ بناء علی الأصل المثبت،و قد استظهرنا سابقا </w:t>
      </w:r>
      <w:r>
        <w:rPr>
          <w:rStyle w:val="FootnoteAnchor"/>
          <w:rtl w:val="true"/>
        </w:rPr>
        <w:footnoteReference w:id="850"/>
      </w:r>
      <w:r>
        <w:rPr>
          <w:rFonts w:ascii="IRNazanin" w:hAnsi="IRNazanin" w:eastAsia="IRNazanin"/>
          <w:color w:val="111111"/>
          <w:sz w:val="28"/>
          <w:sz w:val="28"/>
          <w:szCs w:val="28"/>
          <w:rtl w:val="true"/>
          <w:lang w:bidi="fa-IR"/>
        </w:rPr>
        <w:t>أنّه متّفق علیه فی الاصول اللفظیّة،و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الشکّ فی وحدة المعنی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علم التعدّد و شکّ فی مبدأ حدوث الوضع المعلوم فی زماننا،فمقتضی الأصل عدم ثبوته قبل الزمان المعلوم؛و لذا اتّفقوا فی مسألة الحقیقة الشرعیّة علی أنّ الأصل فیها عدم الثبوت</w:t>
      </w:r>
      <w:r>
        <w:rPr>
          <w:rFonts w:eastAsia="IRNazanin" w:cs="IRNazanin"/>
          <w:color w:val="111111"/>
          <w:sz w:val="28"/>
          <w:szCs w:val="28"/>
          <w:rtl w:val="true"/>
          <w:lang w:bidi="fa-IR"/>
        </w:rPr>
        <w:t xml:space="preserve">. </w:t>
      </w:r>
      <w:bookmarkStart w:id="821" w:name="pg12985_125103"/>
    </w:p>
    <w:p>
      <w:pPr>
        <w:pStyle w:val="Heading4"/>
        <w:numPr>
          <w:ilvl w:val="3"/>
          <w:numId w:val="1"/>
        </w:numPr>
        <w:rPr/>
      </w:pPr>
      <w:bookmarkStart w:id="822" w:name="__RefHeading___Toc5767443_3224264995"/>
      <w:bookmarkStart w:id="823" w:name="_Toc330"/>
      <w:bookmarkEnd w:id="821"/>
      <w:bookmarkEnd w:id="822"/>
      <w:r>
        <w:rPr>
          <w:rtl w:val="true"/>
        </w:rPr>
        <w:t xml:space="preserve">الأمر الثامن </w:t>
      </w:r>
      <w:r>
        <w:rPr>
          <w:rtl w:val="true"/>
        </w:rPr>
        <w:t>:</w:t>
      </w:r>
      <w:r>
        <w:rPr>
          <w:rtl w:val="true"/>
        </w:rPr>
        <w:t>هل یجری استصحاب صحّة العبادة عند الشکّ فی طروء مفسد؟</w:t>
      </w:r>
      <w:bookmarkEnd w:id="823"/>
    </w:p>
    <w:p>
      <w:pPr>
        <w:pStyle w:val="Heading5"/>
        <w:numPr>
          <w:ilvl w:val="4"/>
          <w:numId w:val="1"/>
        </w:numPr>
        <w:rPr/>
      </w:pPr>
      <w:bookmarkStart w:id="824" w:name="__RefHeading___Toc5767445_3224264995"/>
      <w:bookmarkStart w:id="825" w:name="_Toc331"/>
      <w:bookmarkEnd w:id="824"/>
      <w:r>
        <w:rPr>
          <w:rtl w:val="true"/>
        </w:rPr>
        <w:t>اشارة</w:t>
      </w:r>
      <w:bookmarkEnd w:id="825"/>
    </w:p>
    <w:p>
      <w:pPr>
        <w:pStyle w:val="BookText"/>
        <w:rPr/>
      </w:pPr>
      <w:r>
        <w:rPr>
          <w:rFonts w:ascii="IRNazanin" w:hAnsi="IRNazanin" w:eastAsia="IRNazanin"/>
          <w:color w:val="111111"/>
          <w:sz w:val="28"/>
          <w:sz w:val="28"/>
          <w:szCs w:val="28"/>
          <w:rtl w:val="true"/>
          <w:lang w:bidi="fa-IR"/>
        </w:rPr>
        <w:t>قد یستصحب صحّة العبادة عند الشکّ فی طروّ مفسد،کفقد ما یشکّ فی اعتبار وجوده فی العبادة،أو وجود ما یشکّ فی اعتبار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اشتهر التمسّک بها بین الأصحاب،کالشیخ </w:t>
      </w:r>
      <w:r>
        <w:rPr>
          <w:rStyle w:val="FootnoteAnchor"/>
          <w:rtl w:val="true"/>
        </w:rPr>
        <w:footnoteReference w:id="851"/>
      </w:r>
      <w:r>
        <w:rPr>
          <w:rFonts w:ascii="Amiri" w:hAnsi="Amiri" w:eastAsia="Amiri" w:cs="Amiri"/>
          <w:color w:val="111111"/>
          <w:sz w:val="28"/>
          <w:sz w:val="28"/>
          <w:szCs w:val="28"/>
          <w:rtl w:val="true"/>
          <w:lang w:bidi="ar-SA"/>
        </w:rPr>
        <w:t xml:space="preserve">و الحلّی </w:t>
      </w:r>
      <w:r>
        <w:rPr>
          <w:rStyle w:val="FootnoteAnchor"/>
          <w:rtl w:val="true"/>
        </w:rPr>
        <w:footnoteReference w:id="852"/>
      </w:r>
      <w:r>
        <w:rPr>
          <w:rFonts w:ascii="Amiri" w:hAnsi="Amiri" w:eastAsia="Amiri" w:cs="Amiri"/>
          <w:color w:val="111111"/>
          <w:sz w:val="28"/>
          <w:sz w:val="28"/>
          <w:szCs w:val="28"/>
          <w:rtl w:val="true"/>
          <w:lang w:bidi="ar-SA"/>
        </w:rPr>
        <w:t xml:space="preserve">و المحقّق </w:t>
      </w:r>
      <w:r>
        <w:rPr>
          <w:rStyle w:val="FootnoteAnchor"/>
          <w:rtl w:val="true"/>
        </w:rPr>
        <w:footnoteReference w:id="853"/>
      </w:r>
      <w:r>
        <w:rPr>
          <w:rFonts w:ascii="Amiri" w:hAnsi="Amiri" w:eastAsia="Amiri" w:cs="Amiri"/>
          <w:color w:val="111111"/>
          <w:sz w:val="28"/>
          <w:sz w:val="28"/>
          <w:szCs w:val="28"/>
          <w:rtl w:val="true"/>
          <w:lang w:bidi="ar-SA"/>
        </w:rPr>
        <w:t xml:space="preserve">و العلاّمة </w:t>
      </w:r>
      <w:r>
        <w:rPr>
          <w:rStyle w:val="FootnoteAnchor"/>
          <w:rtl w:val="true"/>
        </w:rPr>
        <w:footnoteReference w:id="854"/>
      </w:r>
      <w:r>
        <w:rPr>
          <w:rFonts w:ascii="IRNazanin" w:hAnsi="IRNazanin" w:eastAsia="IRNazanin"/>
          <w:color w:val="111111"/>
          <w:sz w:val="28"/>
          <w:sz w:val="28"/>
          <w:szCs w:val="28"/>
          <w:rtl w:val="true"/>
          <w:lang w:bidi="fa-IR"/>
        </w:rPr>
        <w:t xml:space="preserve">و غیرهم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تحقیقه و توضیح مورد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و لا ریب فی أنّ المراد بالصحّة المستصحبة لیس صحّة مجموع العمل؛لأنّ الفرض التمسّک به عند الشکّ فی الأثناء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صحّة الأجزاء السابقة فالمراد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موافقتها للأمر المتعلّق بها،و إمّا ترتّب الأثر علیها</w:t>
      </w:r>
      <w:r>
        <w:rPr>
          <w:rFonts w:eastAsia="IRNazanin" w:cs="IRNazanin"/>
          <w:color w:val="111111"/>
          <w:sz w:val="28"/>
          <w:szCs w:val="28"/>
          <w:rtl w:val="true"/>
          <w:lang w:bidi="fa-IR"/>
        </w:rPr>
        <w:t xml:space="preserve">: </w:t>
      </w:r>
      <w:bookmarkStart w:id="826" w:name="pg12985_125104"/>
    </w:p>
    <w:p>
      <w:pPr>
        <w:pStyle w:val="BookText"/>
        <w:rPr/>
      </w:pPr>
      <w:bookmarkEnd w:id="826"/>
      <w:r>
        <w:rPr>
          <w:rFonts w:ascii="IRNazanin" w:hAnsi="IRNazanin" w:eastAsia="IRNazanin"/>
          <w:color w:val="111111"/>
          <w:sz w:val="28"/>
          <w:sz w:val="28"/>
          <w:szCs w:val="28"/>
          <w:rtl w:val="true"/>
          <w:lang w:bidi="fa-IR"/>
        </w:rPr>
        <w:t>أمّا موافقتها للأمر المتعلّق بها،فالمفروض أنّها متیقّنة،سواء فسد العمل أم لا؛لأنّ فساد العمل لا یوجب خروج الأجزاء المأتیّ بها علی طبق الأمر المتعلّق بها عن کونها کذلک؛ضرورة عدم انقلاب الشیء عمّا وجد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ترتّب الأثر،فلیس الثابت منه للجزء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کونه بحیث لو ضمّ إلیه الأجزاء الباقیة مع الشرائط المعتبرة لالتأم الکلّ،فی مقابل الجزء الفاسد،و هو الذی لا یلزم من ضمّ باقی الأجزاء و الشرائط إلیه وجود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الأثر موجود فی الجزء دائما،سواء قطع بضمّ الأجزاء الباقیة،أم قطع بعدمه،أم 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حصول الفساد من غیر جهة تلک الأجزاء،فالقطع ببقاء صحّة تلک الأجزاء لا ینفع فی تحقّق الکلّ مع وصف هذا الشکّ،فضلا عن استصحاب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الشکّ فی بقاء صحّة تلک الأجزاء، بأیّ معنی اعتبر من معانی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هنا،ردّ هذا الاستصحاب جماعة من المعاصرین </w:t>
      </w:r>
      <w:r>
        <w:rPr>
          <w:rStyle w:val="FootnoteAnchor"/>
          <w:rtl w:val="true"/>
        </w:rPr>
        <w:footnoteReference w:id="857"/>
      </w:r>
      <w:r>
        <w:rPr>
          <w:rFonts w:ascii="Amiri" w:hAnsi="Amiri" w:eastAsia="Amiri" w:cs="Amiri"/>
          <w:color w:val="111111"/>
          <w:sz w:val="28"/>
          <w:sz w:val="28"/>
          <w:szCs w:val="28"/>
          <w:rtl w:val="true"/>
          <w:lang w:bidi="ar-SA"/>
        </w:rPr>
        <w:t>ممّن یری حجّیّة الاستصحاب مطلقا</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5767447_3224264995"/>
      <w:bookmarkStart w:id="828" w:name="_Toc332"/>
      <w:bookmarkEnd w:id="827"/>
      <w:r>
        <w:rPr>
          <w:rtl w:val="true"/>
        </w:rPr>
        <w:t>مختار المصنّف التفصیل</w:t>
      </w:r>
      <w:r>
        <w:rPr>
          <w:rtl w:val="true"/>
        </w:rPr>
        <w:t>:</w:t>
      </w:r>
      <w:bookmarkEnd w:id="828"/>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موارد التمسّک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یکون الشکّ فی الفساد من جهة احتمال فقد أمر معتبر أو وجود أمر مانع،و هذا هو الذی لا یعتنی فی نفیه باستصحاب </w:t>
      </w:r>
      <w:bookmarkStart w:id="829" w:name="pg12985_125105"/>
    </w:p>
    <w:p>
      <w:pPr>
        <w:pStyle w:val="BookText"/>
        <w:rPr/>
      </w:pPr>
      <w:bookmarkEnd w:id="829"/>
      <w:r>
        <w:rPr>
          <w:rFonts w:ascii="Amiri" w:hAnsi="Amiri" w:eastAsia="Amiri" w:cs="Amiri"/>
          <w:color w:val="111111"/>
          <w:sz w:val="28"/>
          <w:sz w:val="28"/>
          <w:szCs w:val="28"/>
          <w:rtl w:val="true"/>
          <w:lang w:bidi="ar-SA"/>
        </w:rPr>
        <w:t xml:space="preserve">الصحّة؛لما عرفت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فقد بعض ما یعتبر من الامور اللاحقة لا یقدح فی صحّة الأجزاء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عروض ما ینقطع معه الهیئة الاتّصالیّة المعتبرة فی الصلاة،فإنّا استکشفنا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الشارع عن بعض ما یعتبر عدمه فی الصلاة بالقواطع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للصلاة هیئة اتصالیّة ینافیها توسّط بعض الأشیاء فی خلال أجزائها،الموجب لخروج الأجزاء اللاحقة عن قابلیّة الانضمام و الأجزاء السابقة عن قابلیّة الانضمام إلیها،فإذا شکّ فی شیء من ذلک وجودا أو صفة جری استصحاب صحّة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بقائها علی القابلیّة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علی ذلک عدم وجوب استئنافها، أو استصحاب الاتصال الملحوظ بین الأجزاء السابقة و ما یلحقها من الأجزاء الباقیة،فیتفرّع علیه بقاء الأمر بالإتمام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قابلا للنقض و الإبرام،إلاّ أنّ الأظهر بحسب المسامحة العرفیّة فی کثیر من الاستصحابات جریان الاستصحاب فی المقام</w:t>
      </w:r>
      <w:r>
        <w:rPr>
          <w:rFonts w:eastAsia="IRNazanin" w:cs="IRNazanin"/>
          <w:color w:val="111111"/>
          <w:sz w:val="28"/>
          <w:szCs w:val="28"/>
          <w:rtl w:val="true"/>
          <w:lang w:bidi="fa-IR"/>
        </w:rPr>
        <w:t>.</w:t>
      </w:r>
    </w:p>
    <w:p>
      <w:pPr>
        <w:pStyle w:val="Heading5"/>
        <w:numPr>
          <w:ilvl w:val="4"/>
          <w:numId w:val="1"/>
        </w:numPr>
        <w:rPr/>
      </w:pPr>
      <w:bookmarkStart w:id="830" w:name="__RefHeading___Toc5767449_3224264995"/>
      <w:bookmarkStart w:id="831" w:name="_Toc333"/>
      <w:bookmarkEnd w:id="830"/>
      <w:r>
        <w:rPr>
          <w:rtl w:val="true"/>
        </w:rPr>
        <w:t>التمسّک فی مطلق الشکّ فی الفساد باستصحاب حرمة القطع و غیر ذلک و مناقشتها</w:t>
      </w:r>
      <w:r>
        <w:rPr>
          <w:rtl w:val="true"/>
        </w:rPr>
        <w:t>:</w:t>
      </w:r>
      <w:bookmarkEnd w:id="831"/>
    </w:p>
    <w:p>
      <w:pPr>
        <w:pStyle w:val="BookText"/>
        <w:rPr/>
      </w:pPr>
      <w:r>
        <w:rPr>
          <w:rFonts w:ascii="IRNazanin" w:hAnsi="IRNazanin" w:eastAsia="IRNazanin"/>
          <w:color w:val="111111"/>
          <w:sz w:val="28"/>
          <w:sz w:val="28"/>
          <w:szCs w:val="28"/>
          <w:rtl w:val="true"/>
          <w:lang w:bidi="fa-IR"/>
        </w:rPr>
        <w:t xml:space="preserve">و ربما یتمسّک </w:t>
      </w:r>
      <w:r>
        <w:rPr>
          <w:rStyle w:val="FootnoteAnchor"/>
          <w:rtl w:val="true"/>
        </w:rPr>
        <w:footnoteReference w:id="859"/>
      </w:r>
      <w:r>
        <w:rPr>
          <w:rFonts w:ascii="IRNazanin" w:hAnsi="IRNazanin" w:eastAsia="IRNazanin"/>
          <w:color w:val="111111"/>
          <w:sz w:val="28"/>
          <w:sz w:val="28"/>
          <w:szCs w:val="28"/>
          <w:rtl w:val="true"/>
          <w:lang w:bidi="fa-IR"/>
        </w:rPr>
        <w:t>فی مطلق الشکّ فی الفساد،باستصحاب حرمة القطع و وجوب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هذا المستصحب هو الفعل الصحیح لا محالة، و المفروض الشکّ فی الصحّة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یتمسّک فی إثبات الصحّة فی محلّ الشکّ،بقوله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تُبْطِلُوا أَعْمٰالَکُمْ</w:t>
      </w:r>
    </w:p>
    <w:p>
      <w:pPr>
        <w:pStyle w:val="BookText"/>
        <w:rPr/>
      </w:pP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بیّنا عدم دلالة الآیة علی هذا المطلب فی أصالة البراءة عند الکلام فی مسألة الشکّ فی الشرطیّة </w:t>
      </w:r>
      <w:r>
        <w:rPr>
          <w:rStyle w:val="FootnoteAnchor"/>
          <w:rtl w:val="true"/>
        </w:rPr>
        <w:footnoteReference w:id="861"/>
      </w:r>
      <w:r>
        <w:rPr>
          <w:rFonts w:ascii="IRNazanin" w:hAnsi="IRNazanin" w:eastAsia="IRNazanin"/>
          <w:color w:val="111111"/>
          <w:sz w:val="28"/>
          <w:sz w:val="28"/>
          <w:szCs w:val="28"/>
          <w:rtl w:val="true"/>
          <w:lang w:bidi="fa-IR"/>
        </w:rPr>
        <w:t>،و کذلک التمسّک بما عداها من العمومات المقتضیة للصحّة</w:t>
      </w:r>
      <w:r>
        <w:rPr>
          <w:rFonts w:eastAsia="IRNazanin" w:cs="IRNazanin"/>
          <w:color w:val="111111"/>
          <w:sz w:val="28"/>
          <w:szCs w:val="28"/>
          <w:rtl w:val="true"/>
          <w:lang w:bidi="fa-IR"/>
        </w:rPr>
        <w:t xml:space="preserve">. </w:t>
      </w:r>
      <w:bookmarkStart w:id="832" w:name="pg12985_125107"/>
    </w:p>
    <w:p>
      <w:pPr>
        <w:pStyle w:val="Heading4"/>
        <w:numPr>
          <w:ilvl w:val="3"/>
          <w:numId w:val="1"/>
        </w:numPr>
        <w:rPr/>
      </w:pPr>
      <w:bookmarkStart w:id="833" w:name="__RefHeading___Toc5767451_3224264995"/>
      <w:bookmarkStart w:id="834" w:name="_Toc334"/>
      <w:bookmarkEnd w:id="832"/>
      <w:bookmarkEnd w:id="833"/>
      <w:r>
        <w:rPr>
          <w:rtl w:val="true"/>
        </w:rPr>
        <w:t xml:space="preserve">الأمر التاسع </w:t>
      </w:r>
      <w:r>
        <w:rPr>
          <w:rtl w:val="true"/>
        </w:rPr>
        <w:t>:</w:t>
      </w:r>
      <w:r>
        <w:rPr>
          <w:rtl w:val="true"/>
        </w:rPr>
        <w:t>عدم جریان الاستصحاب فی الامور الاعتقادیّة</w:t>
      </w:r>
      <w:bookmarkEnd w:id="834"/>
    </w:p>
    <w:p>
      <w:pPr>
        <w:pStyle w:val="Heading5"/>
        <w:numPr>
          <w:ilvl w:val="4"/>
          <w:numId w:val="1"/>
        </w:numPr>
        <w:rPr/>
      </w:pPr>
      <w:bookmarkStart w:id="835" w:name="__RefHeading___Toc5767453_3224264995"/>
      <w:bookmarkStart w:id="836" w:name="_Toc335"/>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لا فرق فی المستصحب بین أن یکون من الموضوعات الخارجیّة أو اللغویّة أو الأحکام الشرعیّة العملیّة،اصولیّة کانت أو 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الشرعیّة الاعتقادیّة،فلا یعتبر الاستصحاب فیها؛لأنّه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من باب الأخبار فلیس مؤدّاها إلاّ الحکم علی ما کان </w:t>
      </w:r>
      <w:r>
        <w:rPr>
          <w:rStyle w:val="FootnoteAnchor"/>
          <w:rtl w:val="true"/>
        </w:rPr>
        <w:footnoteReference w:id="862"/>
      </w:r>
      <w:r>
        <w:rPr>
          <w:rFonts w:ascii="IRNazanin" w:hAnsi="IRNazanin" w:eastAsia="IRNazanin"/>
          <w:color w:val="111111"/>
          <w:sz w:val="28"/>
          <w:sz w:val="28"/>
          <w:szCs w:val="28"/>
          <w:rtl w:val="true"/>
          <w:lang w:bidi="fa-IR"/>
        </w:rPr>
        <w:t xml:space="preserve">معمولا به علی تقدیر الیقین </w:t>
      </w:r>
      <w:r>
        <w:rPr>
          <w:rStyle w:val="FootnoteAnchor"/>
          <w:rtl w:val="true"/>
        </w:rPr>
        <w:footnoteReference w:id="863"/>
      </w:r>
      <w:r>
        <w:rPr>
          <w:rFonts w:ascii="IRNazanin" w:hAnsi="IRNazanin" w:eastAsia="IRNazanin"/>
          <w:color w:val="111111"/>
          <w:sz w:val="28"/>
          <w:sz w:val="28"/>
          <w:szCs w:val="28"/>
          <w:rtl w:val="true"/>
          <w:lang w:bidi="fa-IR"/>
        </w:rPr>
        <w:t>،و المفروض أنّ وجوب الاعتقاد بشیء علی تقدیر الیقین به لا یمکن الحکم به عند الشکّ؛لزوال الاعتقاد فلا یعقل التکلیف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باب الظنّ فهو مبنیّ علی اعتبار الظنّ فی اصول الدین،بل الظنّ غیر حاصل فیما کان المستصحب من العقائد الثابتة بالعقل أو النقل القطعیّ؛لأنّ الشکّ إنّما ینشأ من تغیّر بعض ما یحتمل مدخلیّته وجودا أو عدما فی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شکّ فی نسخة أمکن دعوی الظنّ،لو لم یکن احتمال النسخ ناشئا عن احتمال نسخ أصل </w:t>
      </w:r>
      <w:bookmarkStart w:id="837" w:name="pg12985_125108"/>
    </w:p>
    <w:p>
      <w:pPr>
        <w:pStyle w:val="BookText"/>
        <w:rPr/>
      </w:pPr>
      <w:bookmarkEnd w:id="837"/>
      <w:r>
        <w:rPr>
          <w:rFonts w:ascii="IRNazanin" w:hAnsi="IRNazanin" w:eastAsia="IRNazanin"/>
          <w:color w:val="111111"/>
          <w:sz w:val="28"/>
          <w:sz w:val="28"/>
          <w:szCs w:val="28"/>
          <w:rtl w:val="true"/>
          <w:lang w:bidi="fa-IR"/>
        </w:rPr>
        <w:t>الشریعة،لا نسخ الحکم فی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الناشئ عن احتمال نسخ الشریعة فلا یحصل الظنّ بعدمه؛لأنّ نسخ الشرائع شائع،بخلاف نسخ الحکم فی شریعة واحدة؛ فإنّ الغالب بقاء الأحکام</w:t>
      </w:r>
      <w:r>
        <w:rPr>
          <w:rFonts w:eastAsia="IRNazanin" w:cs="IRNazanin"/>
          <w:color w:val="111111"/>
          <w:sz w:val="28"/>
          <w:szCs w:val="28"/>
          <w:rtl w:val="true"/>
          <w:lang w:bidi="fa-IR"/>
        </w:rPr>
        <w:t>.</w:t>
      </w:r>
    </w:p>
    <w:p>
      <w:pPr>
        <w:pStyle w:val="Heading5"/>
        <w:numPr>
          <w:ilvl w:val="4"/>
          <w:numId w:val="1"/>
        </w:numPr>
        <w:rPr/>
      </w:pPr>
      <w:bookmarkStart w:id="838" w:name="__RefHeading___Toc5767455_3224264995"/>
      <w:bookmarkStart w:id="839" w:name="_Toc336"/>
      <w:bookmarkEnd w:id="838"/>
      <w:r>
        <w:rPr>
          <w:rtl w:val="true"/>
        </w:rPr>
        <w:t>لو شکّ فی نسخ أصل الشریعة؟</w:t>
      </w:r>
      <w:r>
        <w:rPr>
          <w:rtl w:val="true"/>
        </w:rPr>
        <w:t>:</w:t>
      </w:r>
      <w:bookmarkEnd w:id="839"/>
    </w:p>
    <w:p>
      <w:pPr>
        <w:pStyle w:val="BookText"/>
        <w:rPr/>
      </w:pPr>
      <w:r>
        <w:rPr>
          <w:rFonts w:ascii="IRNazanin" w:hAnsi="IRNazanin" w:eastAsia="IRNazanin"/>
          <w:color w:val="111111"/>
          <w:sz w:val="28"/>
          <w:sz w:val="28"/>
          <w:szCs w:val="28"/>
          <w:rtl w:val="true"/>
          <w:lang w:bidi="fa-IR"/>
        </w:rPr>
        <w:t>و ممّا ذکرنا یظهر أنّه لو شکّ فی نسخ أصل الشریعة لم یجز التمسّک بالاستصحاب لإثبات بقائها،مع أنّه لو سلّمنا حصول الظنّ فلا دلیل علی حجّیّته حینئذ؛لعدم مساعدة العقل علیه و إن انسدّ باب العلم؛لإمکان الاحتیاط إلاّ فیما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النقلیّ الدالّ علیه لا یجدی؛لعدم ثبوت الشریعة السابقة و لا اللاحقة</w:t>
      </w:r>
      <w:r>
        <w:rPr>
          <w:rFonts w:eastAsia="IRNazanin" w:cs="IRNazanin"/>
          <w:color w:val="111111"/>
          <w:sz w:val="28"/>
          <w:szCs w:val="28"/>
          <w:rtl w:val="true"/>
          <w:lang w:bidi="fa-IR"/>
        </w:rPr>
        <w:t>.</w:t>
      </w:r>
    </w:p>
    <w:p>
      <w:pPr>
        <w:pStyle w:val="Heading5"/>
        <w:numPr>
          <w:ilvl w:val="4"/>
          <w:numId w:val="1"/>
        </w:numPr>
        <w:rPr/>
      </w:pPr>
      <w:bookmarkStart w:id="840" w:name="__RefHeading___Toc5767457_3224264995"/>
      <w:bookmarkStart w:id="841" w:name="_Toc337"/>
      <w:bookmarkEnd w:id="840"/>
      <w:r>
        <w:rPr>
          <w:rtl w:val="true"/>
        </w:rPr>
        <w:t>تمسّک بعض أهل الکتاب باستصحاب شرعه</w:t>
      </w:r>
      <w:r>
        <w:rPr>
          <w:rtl w:val="true"/>
        </w:rPr>
        <w:t>:</w:t>
      </w:r>
      <w:bookmarkEnd w:id="841"/>
    </w:p>
    <w:p>
      <w:pPr>
        <w:pStyle w:val="Heading6"/>
        <w:numPr>
          <w:ilvl w:val="5"/>
          <w:numId w:val="1"/>
        </w:numPr>
        <w:rPr/>
      </w:pPr>
      <w:bookmarkStart w:id="842" w:name="__RefHeading___Toc5767459_3224264995"/>
      <w:bookmarkStart w:id="843" w:name="_Toc338"/>
      <w:bookmarkEnd w:id="842"/>
      <w:r>
        <w:rPr>
          <w:rtl w:val="true"/>
        </w:rPr>
        <w:t>اشارة</w:t>
      </w:r>
      <w:bookmarkEnd w:id="8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ممّا ذکرنا أنّ ما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بعض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مناظرة بعض الفضلاء السادة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باستصحاب شرعه،ممّا لا وجه له، إلاّ أن یرید جعل البیّنة علی المسلمین فی دعوی الشریعة الناسخة،إمّا لدفع کلفة الاستدلال عن نفسه،و إمّا لإبطال دعوی المدّعی؛بناء علی أنّ مدّعی الدین الجدید کمدّعی النبوّة یحتاج إلی برهان قاطع،فعدم الدلیل القاطع للعذر علی الدین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قطعیّ </w:t>
      </w:r>
      <w:bookmarkStart w:id="844" w:name="pg12985_125109"/>
    </w:p>
    <w:p>
      <w:pPr>
        <w:pStyle w:val="BookText"/>
        <w:rPr/>
      </w:pPr>
      <w:bookmarkEnd w:id="844"/>
      <w:r>
        <w:rPr>
          <w:rFonts w:ascii="IRNazanin" w:hAnsi="IRNazanin" w:eastAsia="IRNazanin"/>
          <w:color w:val="111111"/>
          <w:sz w:val="28"/>
          <w:sz w:val="28"/>
          <w:szCs w:val="28"/>
          <w:rtl w:val="true"/>
          <w:lang w:bidi="fa-IR"/>
        </w:rPr>
        <w:t>علی عدمه بحکم العادة،بل العقل،فغرض الکتابیّ إثبات حقّیة دینه بأسهل الوجهین</w:t>
      </w:r>
      <w:r>
        <w:rPr>
          <w:rFonts w:eastAsia="IRNazanin" w:cs="IRNazanin"/>
          <w:color w:val="111111"/>
          <w:sz w:val="28"/>
          <w:szCs w:val="28"/>
          <w:rtl w:val="true"/>
          <w:lang w:bidi="fa-IR"/>
        </w:rPr>
        <w:t>.</w:t>
      </w:r>
    </w:p>
    <w:p>
      <w:pPr>
        <w:pStyle w:val="Heading6"/>
        <w:numPr>
          <w:ilvl w:val="5"/>
          <w:numId w:val="1"/>
        </w:numPr>
        <w:rPr/>
      </w:pPr>
      <w:bookmarkStart w:id="845" w:name="__RefHeading___Toc5767461_3224264995"/>
      <w:bookmarkStart w:id="846" w:name="_Toc339"/>
      <w:bookmarkEnd w:id="845"/>
      <w:r>
        <w:rPr>
          <w:rtl w:val="true"/>
        </w:rPr>
        <w:t>بعض الأجوبة عن استصحاب الکتابی و مناقشتها</w:t>
      </w:r>
      <w:r>
        <w:rPr>
          <w:rtl w:val="true"/>
        </w:rPr>
        <w:t>:</w:t>
      </w:r>
      <w:bookmarkEnd w:id="846"/>
    </w:p>
    <w:p>
      <w:pPr>
        <w:pStyle w:val="BookText"/>
        <w:rPr/>
      </w:pPr>
      <w:r>
        <w:rPr>
          <w:rFonts w:ascii="IRNazanin" w:hAnsi="IRNazanin" w:eastAsia="IRNazanin"/>
          <w:color w:val="111111"/>
          <w:sz w:val="28"/>
          <w:sz w:val="28"/>
          <w:szCs w:val="28"/>
          <w:rtl w:val="true"/>
          <w:lang w:bidi="fa-IR"/>
        </w:rPr>
        <w:t>ثمّ إنّه قد اجیب عن استصحاب الکتابیّ المذکور بأجوبة</w:t>
      </w:r>
      <w:r>
        <w:rPr>
          <w:rFonts w:eastAsia="IRNazanin" w:cs="IRNazanin"/>
          <w:color w:val="111111"/>
          <w:sz w:val="28"/>
          <w:szCs w:val="28"/>
          <w:rtl w:val="true"/>
          <w:lang w:bidi="fa-IR"/>
        </w:rPr>
        <w:t>:</w:t>
      </w:r>
    </w:p>
    <w:p>
      <w:pPr>
        <w:pStyle w:val="Heading6"/>
        <w:numPr>
          <w:ilvl w:val="5"/>
          <w:numId w:val="1"/>
        </w:numPr>
        <w:rPr/>
      </w:pPr>
      <w:bookmarkStart w:id="847" w:name="__RefHeading___Toc5767463_3224264995"/>
      <w:bookmarkStart w:id="848" w:name="_Toc340"/>
      <w:bookmarkEnd w:id="847"/>
      <w:r>
        <w:rPr/>
        <w:t>1</w:t>
      </w:r>
      <w:r>
        <w:rPr>
          <w:rtl w:val="true"/>
        </w:rPr>
        <w:t>-</w:t>
      </w:r>
      <w:r>
        <w:rPr>
          <w:rtl w:val="true"/>
        </w:rPr>
        <w:t>ما ذکره بعض الفضلاء</w:t>
      </w:r>
      <w:r>
        <w:rPr>
          <w:rtl w:val="true"/>
        </w:rPr>
        <w:t>:</w:t>
      </w:r>
      <w:bookmarkEnd w:id="84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w:t>
      </w:r>
      <w:r>
        <w:rPr>
          <w:rStyle w:val="FootnoteAnchor"/>
          <w:rtl w:val="true"/>
        </w:rPr>
        <w:footnoteReference w:id="865"/>
      </w:r>
      <w:r>
        <w:rPr>
          <w:rFonts w:ascii="IRNazanin" w:hAnsi="IRNazanin" w:eastAsia="IRNazanin"/>
          <w:color w:val="111111"/>
          <w:sz w:val="28"/>
          <w:sz w:val="28"/>
          <w:szCs w:val="28"/>
          <w:rtl w:val="true"/>
          <w:lang w:bidi="fa-IR"/>
        </w:rPr>
        <w:t>عن بعض الفضلاء المناظرین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أنّا نؤمن و نعترف بنبوّة کلّ موسی و عیسی أقرّ بنبوّة نبیّنا صلی اللّه علیه و آله، و کافر </w:t>
      </w:r>
      <w:r>
        <w:rPr>
          <w:rStyle w:val="FootnoteAnchor"/>
          <w:rtl w:val="true"/>
        </w:rPr>
        <w:footnoteReference w:id="866"/>
      </w:r>
      <w:r>
        <w:rPr>
          <w:rFonts w:ascii="IRNazanin" w:hAnsi="IRNazanin" w:eastAsia="IRNazanin"/>
          <w:color w:val="111111"/>
          <w:sz w:val="28"/>
          <w:sz w:val="28"/>
          <w:szCs w:val="28"/>
          <w:rtl w:val="true"/>
          <w:lang w:bidi="fa-IR"/>
        </w:rPr>
        <w:t>بنبوّة کلّ من لم یقرّ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مضمون ما ذکره مولانا الرضا علیه السّلام فی جواب الجاثلیق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بظاهره مخدوش بما عن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موسی بن عمران أو عیسی بن مریم شخص واحد و جزئیّ حقیقیّ اعترف المسلمون و أهل الکتاب بنبوّته،فعلی المسلمین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الإمام علیه السّلام </w:t>
      </w:r>
      <w:r>
        <w:rPr>
          <w:rStyle w:val="FootnoteAnchor"/>
          <w:rtl w:val="true"/>
        </w:rPr>
        <w:footnoteReference w:id="868"/>
      </w:r>
      <w:r>
        <w:rPr>
          <w:rFonts w:ascii="IRNazanin" w:hAnsi="IRNazanin" w:eastAsia="IRNazanin"/>
          <w:color w:val="111111"/>
          <w:sz w:val="28"/>
          <w:sz w:val="28"/>
          <w:szCs w:val="28"/>
          <w:rtl w:val="true"/>
          <w:lang w:bidi="fa-IR"/>
        </w:rPr>
        <w:t>،فلعلّه أراد به غیر ظاهره،بقرینة ظاهرة بینه و بین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یمکن أن یؤوّل به</w:t>
      </w:r>
      <w:r>
        <w:rPr>
          <w:rFonts w:eastAsia="IRNazanin" w:cs="IRNazanin"/>
          <w:color w:val="111111"/>
          <w:sz w:val="28"/>
          <w:szCs w:val="28"/>
          <w:rtl w:val="true"/>
          <w:lang w:bidi="fa-IR"/>
        </w:rPr>
        <w:t>.</w:t>
      </w:r>
    </w:p>
    <w:p>
      <w:pPr>
        <w:pStyle w:val="Heading6"/>
        <w:numPr>
          <w:ilvl w:val="5"/>
          <w:numId w:val="1"/>
        </w:numPr>
        <w:rPr/>
      </w:pPr>
      <w:bookmarkStart w:id="849" w:name="__RefHeading___Toc5767465_3224264995"/>
      <w:bookmarkStart w:id="850" w:name="_Toc341"/>
      <w:bookmarkEnd w:id="849"/>
      <w:r>
        <w:rPr/>
        <w:t>2</w:t>
      </w:r>
      <w:r>
        <w:rPr>
          <w:rtl w:val="true"/>
        </w:rPr>
        <w:t>-</w:t>
      </w:r>
      <w:r>
        <w:rPr>
          <w:rtl w:val="true"/>
        </w:rPr>
        <w:t>ما ذکره الفاضل النراقی</w:t>
      </w:r>
      <w:r>
        <w:rPr>
          <w:rtl w:val="true"/>
        </w:rPr>
        <w:t>:</w:t>
      </w:r>
      <w:bookmarkEnd w:id="85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استصحاب النبوّة معارض باستصحاب عدمها الثابت قبل حدوث أصل النبوّة؛بناء علی أصل فاسد تقدّم حکایته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الشرعیّ الموجود یقتصر فیه علی القدر المتیقّن،و بعده یتعارض استصحاب وجوده </w:t>
      </w:r>
      <w:bookmarkStart w:id="851" w:name="pg12985_125110"/>
    </w:p>
    <w:p>
      <w:pPr>
        <w:pStyle w:val="BookText"/>
        <w:rPr/>
      </w:pPr>
      <w:bookmarkEnd w:id="851"/>
      <w:r>
        <w:rPr>
          <w:rFonts w:ascii="IRNazanin" w:hAnsi="IRNazanin" w:eastAsia="IRNazanin"/>
          <w:color w:val="111111"/>
          <w:sz w:val="28"/>
          <w:sz w:val="28"/>
          <w:szCs w:val="28"/>
          <w:rtl w:val="true"/>
          <w:lang w:bidi="fa-IR"/>
        </w:rPr>
        <w:t>و 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أوضحنا فساده بما لا مزید علیه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5767467_3224264995"/>
      <w:bookmarkStart w:id="853" w:name="_Toc342"/>
      <w:bookmarkEnd w:id="852"/>
      <w:r>
        <w:rPr/>
        <w:t>3</w:t>
      </w:r>
      <w:r>
        <w:rPr>
          <w:rtl w:val="true"/>
        </w:rPr>
        <w:t>-</w:t>
      </w:r>
      <w:r>
        <w:rPr>
          <w:rtl w:val="true"/>
        </w:rPr>
        <w:t>ما ذکره المحقّق القمّی</w:t>
      </w:r>
      <w:r>
        <w:rPr>
          <w:rtl w:val="true"/>
        </w:rPr>
        <w:t>:</w:t>
      </w:r>
      <w:bookmarkEnd w:id="8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 له علی ما تقدّم منه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مشروط بمعرفة استعداد المستصحب،فلا یجوز استصحاب حیاة الحیوان المردّد بین حیوانین مختلفین فی الاستعداد بعد انقضاء مدّة استعداد أقلّهما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الاستصحاب لا بدّ أن یکون متعیّنا حتّی یجری علی منواله،و لم یتعیّن هنا إلاّ النبوّة فی الجملة،و هی کلّیّ من حیث إنّها قابلة للنبوّة إلی آخر الأبد،بأن یقول اللّه جلّ ذکره لموسی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صاحب دینی إلی آخر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یکون إلی زمان محمّد صلی اللّه علیه و آله،بأن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دینک باق إلی زمان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یکون غیر مغیّا بغایة،بأن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أحد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الخصم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التصریح بالامتداد إلی آخر الأبد، أو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إلی الأوّل،مع أنّه یخرج عن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إلی الثانی؛لأنّ الإطلاق فی معنی القید،فلا بدّ من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مطلق النبوّة غیر النبوّة المطلقة،و الذی یمکن استصحابه هو الثانی دون الأوّل؛إذ الکلّی لا یمکن استصحابه إلاّ بما یمکن من بقاء أقلّ أفراده </w:t>
      </w:r>
      <w:r>
        <w:rPr>
          <w:rStyle w:val="FootnoteAnchor"/>
          <w:rtl w:val="true"/>
        </w:rPr>
        <w:footnoteReference w:id="871"/>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Heading6"/>
        <w:numPr>
          <w:ilvl w:val="5"/>
          <w:numId w:val="1"/>
        </w:numPr>
        <w:rPr/>
      </w:pPr>
      <w:bookmarkStart w:id="854" w:name="__RefHeading___Toc5767469_3224264995"/>
      <w:bookmarkStart w:id="855" w:name="_Toc343"/>
      <w:bookmarkEnd w:id="854"/>
      <w:r>
        <w:rPr>
          <w:rtl w:val="true"/>
        </w:rPr>
        <w:t>المناقشة فی ما أفاده المحقّق القمّی</w:t>
      </w:r>
      <w:r>
        <w:rPr>
          <w:rtl w:val="true"/>
        </w:rPr>
        <w:t>:</w:t>
      </w:r>
      <w:bookmarkEnd w:id="8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bookmarkStart w:id="856" w:name="pg12985_125111"/>
    </w:p>
    <w:p>
      <w:pPr>
        <w:pStyle w:val="BookText"/>
        <w:rPr/>
      </w:pPr>
      <w:bookmarkEnd w:id="85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872"/>
      </w:r>
      <w:r>
        <w:rPr>
          <w:rFonts w:ascii="IRNazanin" w:hAnsi="IRNazanin" w:eastAsia="IRNazanin"/>
          <w:color w:val="111111"/>
          <w:sz w:val="28"/>
          <w:sz w:val="28"/>
          <w:szCs w:val="28"/>
          <w:rtl w:val="true"/>
          <w:lang w:bidi="fa-IR"/>
        </w:rPr>
        <w:t>،من عدم توقّف جریان الاستصحاب علی إحراز استعداد المستصحب</w:t>
      </w:r>
      <w:r>
        <w:rPr>
          <w:rFonts w:eastAsia="IRNazanin" w:cs="IRNazanin"/>
          <w:color w:val="111111"/>
          <w:sz w:val="28"/>
          <w:szCs w:val="28"/>
          <w:rtl w:val="true"/>
          <w:lang w:bidi="fa-IR"/>
        </w:rPr>
        <w:t>.</w:t>
      </w:r>
    </w:p>
    <w:p>
      <w:pPr>
        <w:pStyle w:val="Heading6"/>
        <w:numPr>
          <w:ilvl w:val="5"/>
          <w:numId w:val="1"/>
        </w:numPr>
        <w:rPr/>
      </w:pPr>
      <w:bookmarkStart w:id="857" w:name="__RefHeading___Toc5767471_3224264995"/>
      <w:bookmarkStart w:id="858" w:name="_Toc344"/>
      <w:bookmarkEnd w:id="857"/>
      <w:r>
        <w:rPr>
          <w:rtl w:val="true"/>
        </w:rPr>
        <w:t>المناقشه فی ما افاده المحقق القمی</w:t>
      </w:r>
      <w:bookmarkEnd w:id="858"/>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الإطلاق غیر ثابت،لأنّه فی معنی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عدم التقیید مطابق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نعم،المخالف للأصل الإطلاق بمعنی العموم الراجع إلی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فی الواقع و نفس الأمر نبوّة مستدامة إلی آخر الأبد،و نبوّة مغیّاة إلی وقت خاصّ،و لا ثالث لهما فی الواقع،فالنبوّة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غیر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النبوّة سیّان فی التردّد بین الاستمرار و التوقیت،فلا وجه لإجراء الاستصحاب علی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ما ذکره بعد ذلک،من أنّ المراد من مطلقات کلّ شریعة بحکم الاستقراء الدوام و الاستمرار إلی أن یثبت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فی حکم الاستمرار،فالشکّ فیه شکّ فی الرافع،بخلاف مطلق النبوّة؛فإنّ استعداده غیر محرز عند الشکّ،فهو من قبیل الحیوان المردّد بین مختلفی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منقوض بالاستصحاب فی الأحکام الشرعیّة؛ لجریان ما ذکره فی کثیر منها،بل فی أکثرها</w:t>
      </w:r>
      <w:r>
        <w:rPr>
          <w:rFonts w:eastAsia="IRNazanin" w:cs="IRNazanin"/>
          <w:color w:val="111111"/>
          <w:sz w:val="28"/>
          <w:szCs w:val="28"/>
          <w:rtl w:val="true"/>
          <w:lang w:bidi="fa-IR"/>
        </w:rPr>
        <w:t>.</w:t>
      </w:r>
    </w:p>
    <w:p>
      <w:pPr>
        <w:pStyle w:val="Heading6"/>
        <w:numPr>
          <w:ilvl w:val="5"/>
          <w:numId w:val="1"/>
        </w:numPr>
        <w:rPr/>
      </w:pPr>
      <w:bookmarkStart w:id="859" w:name="__RefHeading___Toc5767473_3224264995"/>
      <w:bookmarkStart w:id="860" w:name="_Toc345"/>
      <w:bookmarkEnd w:id="859"/>
      <w:r>
        <w:rPr>
          <w:rtl w:val="true"/>
        </w:rPr>
        <w:t>کلام آخر للمحقق القمی</w:t>
      </w:r>
      <w:r>
        <w:rPr>
          <w:rtl w:val="true"/>
        </w:rPr>
        <w:t>:</w:t>
      </w:r>
      <w:bookmarkEnd w:id="860"/>
    </w:p>
    <w:p>
      <w:pPr>
        <w:pStyle w:val="BookText"/>
        <w:rPr/>
      </w:pPr>
      <w:r>
        <w:rPr>
          <w:rFonts w:ascii="IRNazanin" w:hAnsi="IRNazanin" w:eastAsia="IRNazanin"/>
          <w:color w:val="111111"/>
          <w:sz w:val="28"/>
          <w:sz w:val="28"/>
          <w:szCs w:val="28"/>
          <w:rtl w:val="true"/>
          <w:lang w:bidi="fa-IR"/>
        </w:rPr>
        <w:t>و قد تفطّن لورود هذا علیه،و دفعه بما لا یندفع به،فقال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التتبّع و الاستقراء یحکمان بأنّ غالب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ثبت فی الشرع 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بآنیّة،و لا محدودة إلی حدّ معیّن،و أنّ الشارع اکتفی فیها فیما ورد عنه مطلقا فی استمراره،و یظهر </w:t>
      </w:r>
      <w:bookmarkStart w:id="861" w:name="pg12985_125112"/>
    </w:p>
    <w:p>
      <w:pPr>
        <w:pStyle w:val="BookText"/>
        <w:rPr/>
      </w:pPr>
      <w:bookmarkEnd w:id="861"/>
      <w:r>
        <w:rPr>
          <w:rFonts w:ascii="IRNazanin" w:hAnsi="IRNazanin" w:eastAsia="IRNazanin"/>
          <w:color w:val="111111"/>
          <w:sz w:val="28"/>
          <w:sz w:val="28"/>
          <w:szCs w:val="28"/>
          <w:rtl w:val="true"/>
          <w:lang w:bidi="fa-IR"/>
        </w:rPr>
        <w:t xml:space="preserve">من الخارج أنّه أراد منه الاستمرار؛فإنّ من </w:t>
      </w:r>
      <w:r>
        <w:rPr>
          <w:rStyle w:val="FootnoteAnchor"/>
          <w:rtl w:val="true"/>
        </w:rPr>
        <w:footnoteReference w:id="873"/>
      </w:r>
      <w:r>
        <w:rPr>
          <w:rFonts w:ascii="IRNazanin" w:hAnsi="IRNazanin" w:eastAsia="IRNazanin"/>
          <w:color w:val="111111"/>
          <w:sz w:val="28"/>
          <w:sz w:val="28"/>
          <w:szCs w:val="28"/>
          <w:rtl w:val="true"/>
          <w:lang w:bidi="fa-IR"/>
        </w:rPr>
        <w:t xml:space="preserve">تتبّع أکثر الموارد و استقرأها </w:t>
      </w:r>
      <w:r>
        <w:rPr>
          <w:rStyle w:val="FootnoteAnchor"/>
          <w:rtl w:val="true"/>
        </w:rPr>
        <w:footnoteReference w:id="874"/>
      </w:r>
      <w:r>
        <w:rPr>
          <w:rFonts w:ascii="IRNazanin" w:hAnsi="IRNazanin" w:eastAsia="IRNazanin"/>
          <w:color w:val="111111"/>
          <w:sz w:val="28"/>
          <w:sz w:val="28"/>
          <w:szCs w:val="28"/>
          <w:rtl w:val="true"/>
          <w:lang w:bidi="fa-IR"/>
        </w:rPr>
        <w:t xml:space="preserve">یحصّل الظنّ القویّ بأنّ مراده من تلک المطلقات هو الاستمرار إلی أن یثبت الرافع من دلیل عقلیّ أو نقلیّ </w:t>
      </w:r>
      <w:r>
        <w:rPr>
          <w:rStyle w:val="FootnoteAnchor"/>
          <w:rtl w:val="true"/>
        </w:rPr>
        <w:footnoteReference w:id="8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Heading6"/>
        <w:numPr>
          <w:ilvl w:val="5"/>
          <w:numId w:val="1"/>
        </w:numPr>
        <w:rPr/>
      </w:pPr>
      <w:bookmarkStart w:id="862" w:name="__RefHeading___Toc5767475_3224264995"/>
      <w:bookmarkStart w:id="863" w:name="_Toc346"/>
      <w:bookmarkEnd w:id="862"/>
      <w:r>
        <w:rPr>
          <w:rtl w:val="true"/>
        </w:rPr>
        <w:t>المناقشه فی هذا الکلام ایضا</w:t>
      </w:r>
      <w:bookmarkEnd w:id="863"/>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مورد النقض لا یختصّ بما شکّ فی رفع الحکم الشرعیّ الکلّیّ،بل قد یکون الشکّ لتبدّل ما یحتمل مدخلیّته فی بقاء الحکم،کتغیّر الماء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الشکّ فی رفع الحکم الشرعیّ إنّما هو بحسب ظاهر دلیله الظاهر فی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بمعونة القرائن،مثل الاستقراء الذی ذکره فی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 الشرعیّ الکلّی فی الحقیقة إنّما یرتفع بتمام استعداده،حتّی فی النسخ،فضلا عن نحو الخیار المردّد بین کونه علی الفور أو التراخی،و النسخ أیضا رفع صوریّ،و حقیقته انتهاء استعداد الحکم،فالشکّ فی بقاء الحکم الشرعیّ لا یکون إلاّ من جهة الشکّ فی مقدار استعداده،نظیر الحیوان المجهول استعداده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الظنّ بإرادة الاستمرار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تمّ،یکون دلیلا اجتهادیّا مغنیا عن التمسّک بالاستصحاب؛ فإنّ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نسخ الحکم المدلول علیه بدلیل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864" w:name="pg12985_125113"/>
    </w:p>
    <w:p>
      <w:pPr>
        <w:pStyle w:val="BookText"/>
        <w:rPr/>
      </w:pPr>
      <w:bookmarkEnd w:id="864"/>
      <w:r>
        <w:rPr>
          <w:rFonts w:ascii="IRNazanin" w:hAnsi="IRNazanin" w:eastAsia="IRNazanin"/>
          <w:color w:val="111111"/>
          <w:sz w:val="28"/>
          <w:sz w:val="28"/>
          <w:szCs w:val="28"/>
          <w:rtl w:val="true"/>
          <w:lang w:bidi="fa-IR"/>
        </w:rPr>
        <w:t>نفسه أو بمعونة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الاستمرار،لیس موردا للاستصحاب؛ لوجود الدلیل الاجتهادیّ فی مورد الشکّ،و هو ظنّ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قبیل استصحاب حکم العامّ إلی أن یرد المخصّص،و هو لیس استصحابا فی حکم شرعیّ،کما لا یخفی</w:t>
      </w:r>
      <w:r>
        <w:rPr>
          <w:rFonts w:eastAsia="IRNazanin" w:cs="IRNazanin"/>
          <w:color w:val="111111"/>
          <w:sz w:val="28"/>
          <w:szCs w:val="28"/>
          <w:rtl w:val="true"/>
          <w:lang w:bidi="fa-IR"/>
        </w:rPr>
        <w:t>.</w:t>
      </w:r>
    </w:p>
    <w:p>
      <w:pPr>
        <w:pStyle w:val="Heading6"/>
        <w:numPr>
          <w:ilvl w:val="5"/>
          <w:numId w:val="1"/>
        </w:numPr>
        <w:rPr/>
      </w:pPr>
      <w:bookmarkStart w:id="865" w:name="__RefHeading___Toc5767477_3224264995"/>
      <w:bookmarkStart w:id="866" w:name="_Toc347"/>
      <w:bookmarkEnd w:id="865"/>
      <w:r>
        <w:rPr>
          <w:rtl w:val="true"/>
        </w:rPr>
        <w:t>ما اورده المحقق القمی علی نفسه و اجاب عنه</w:t>
      </w:r>
      <w:bookmarkEnd w:id="866"/>
    </w:p>
    <w:p>
      <w:pPr>
        <w:pStyle w:val="BookText"/>
        <w:rPr/>
      </w:pPr>
      <w:r>
        <w:rPr>
          <w:rFonts w:ascii="Amiri" w:hAnsi="Amiri" w:eastAsia="Amiri" w:cs="Amiri"/>
          <w:color w:val="111111"/>
          <w:sz w:val="28"/>
          <w:sz w:val="28"/>
          <w:szCs w:val="28"/>
          <w:rtl w:val="true"/>
          <w:lang w:bidi="ar-SA"/>
        </w:rPr>
        <w:t>ثمّ إنّه قدّس سرّه أورد علی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قضاء التتبّع </w:t>
      </w:r>
      <w:r>
        <w:rPr>
          <w:rStyle w:val="FootnoteAnchor"/>
          <w:rtl w:val="true"/>
        </w:rPr>
        <w:footnoteReference w:id="876"/>
      </w:r>
      <w:r>
        <w:rPr>
          <w:rFonts w:ascii="IRNazanin" w:hAnsi="IRNazanin" w:eastAsia="IRNazanin"/>
          <w:color w:val="111111"/>
          <w:sz w:val="28"/>
          <w:sz w:val="28"/>
          <w:szCs w:val="28"/>
          <w:rtl w:val="true"/>
          <w:lang w:bidi="fa-IR"/>
        </w:rPr>
        <w:t>بغلبة الاستمرار فی ما ظاهره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النبوّة أیضا من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غالب النبوّات محدودة،و الذی ثبت علینا استمراره نبوّة نبیّنا صلی اللّه علیه و آله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نسخ أکثر النبوّات لا یستلزم تحدیدها،فللخصم أن یدّعی ظهور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أنفسها أو بمعونة الاستقراء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 فانکشف نسخ ما نسخ و بقی ما لم یثبت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غلبة التحدید فی النبوّات غیر مجدیة؛للقطع بکون إحداها </w:t>
      </w:r>
      <w:r>
        <w:rPr>
          <w:rStyle w:val="FootnoteAnchor"/>
          <w:rtl w:val="true"/>
        </w:rPr>
        <w:footnoteReference w:id="878"/>
      </w:r>
      <w:r>
        <w:rPr>
          <w:rFonts w:ascii="IRNazanin" w:hAnsi="IRNazanin" w:eastAsia="IRNazanin"/>
          <w:color w:val="111111"/>
          <w:sz w:val="28"/>
          <w:sz w:val="28"/>
          <w:szCs w:val="28"/>
          <w:rtl w:val="true"/>
          <w:lang w:bidi="fa-IR"/>
        </w:rPr>
        <w:t>مستمرّة،فلیس ما وقع الکلام فی استمراره أمرا ثالثا یتردّد بین إلحاقه بالغالب و إلحاقه بالنادر،بل یشکّ فی أنّه الفرد النادر أو النادر غیره،فیکون هذا ملحقا بالغالب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هنا أفرادا غالبة و فردا نادرا،و لیس هنا مشکوک قابل اللحوق بأحدهما،بل الأمر یدور بین کون هذا الفرد هو الأخیر </w:t>
      </w:r>
      <w:bookmarkStart w:id="867" w:name="pg12985_125114"/>
    </w:p>
    <w:p>
      <w:pPr>
        <w:pStyle w:val="BookText"/>
        <w:rPr/>
      </w:pPr>
      <w:bookmarkEnd w:id="867"/>
      <w:r>
        <w:rPr>
          <w:rFonts w:ascii="IRNazanin" w:hAnsi="IRNazanin" w:eastAsia="IRNazanin"/>
          <w:color w:val="111111"/>
          <w:sz w:val="28"/>
          <w:sz w:val="28"/>
          <w:szCs w:val="28"/>
          <w:rtl w:val="true"/>
          <w:lang w:bidi="fa-IR"/>
        </w:rPr>
        <w:t xml:space="preserve">النادر،أو ما قبله الغالب،بل قد یثبت بأصالة عدم ما عداه </w:t>
      </w:r>
      <w:r>
        <w:rPr>
          <w:rStyle w:val="FootnoteAnchor"/>
          <w:rtl w:val="true"/>
        </w:rPr>
        <w:footnoteReference w:id="879"/>
      </w:r>
      <w:r>
        <w:rPr>
          <w:rFonts w:ascii="IRNazanin" w:hAnsi="IRNazanin" w:eastAsia="IRNazanin"/>
          <w:color w:val="111111"/>
          <w:sz w:val="28"/>
          <w:sz w:val="28"/>
          <w:szCs w:val="28"/>
          <w:rtl w:val="true"/>
          <w:lang w:bidi="fa-IR"/>
        </w:rPr>
        <w:t>کون هذا هو الأخیر المغایر للباقی</w:t>
      </w:r>
      <w:r>
        <w:rPr>
          <w:rFonts w:eastAsia="IRNazanin" w:cs="IRNazanin"/>
          <w:color w:val="111111"/>
          <w:sz w:val="28"/>
          <w:szCs w:val="28"/>
          <w:rtl w:val="true"/>
          <w:lang w:bidi="fa-IR"/>
        </w:rPr>
        <w:t>.</w:t>
      </w:r>
    </w:p>
    <w:p>
      <w:pPr>
        <w:pStyle w:val="Heading6"/>
        <w:numPr>
          <w:ilvl w:val="5"/>
          <w:numId w:val="1"/>
        </w:numPr>
        <w:rPr/>
      </w:pPr>
      <w:bookmarkStart w:id="868" w:name="__RefHeading___Toc5767479_3224264995"/>
      <w:bookmarkStart w:id="869" w:name="_Toc348"/>
      <w:bookmarkEnd w:id="868"/>
      <w:r>
        <w:rPr>
          <w:rtl w:val="true"/>
        </w:rPr>
        <w:t>ما اورده علی نفسه ثانیا و اجاب عنه</w:t>
      </w:r>
      <w:bookmarkEnd w:id="869"/>
    </w:p>
    <w:p>
      <w:pPr>
        <w:pStyle w:val="BookText"/>
        <w:rPr/>
      </w:pPr>
      <w:r>
        <w:rPr>
          <w:rFonts w:ascii="IRNazanin" w:hAnsi="IRNazanin" w:eastAsia="IRNazanin"/>
          <w:color w:val="111111"/>
          <w:sz w:val="28"/>
          <w:sz w:val="28"/>
          <w:szCs w:val="28"/>
          <w:rtl w:val="true"/>
          <w:lang w:bidi="fa-IR"/>
        </w:rPr>
        <w:t>ثمّ أورد قدّس سرّه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استصحاب أحکام الشریعة السابقة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إطلاق الأحکام مع اقترانها ببشارة مجیء نبیّنا صلی اللّه علیه و آله لا ینفعهم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الکتابیّ لا یسلّم البشارة المذکورة حتّی یضرّه فی التمسّک بالاستصحاب أو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أنّه إذا </w:t>
      </w:r>
      <w:r>
        <w:rPr>
          <w:rStyle w:val="FootnoteAnchor"/>
          <w:rtl w:val="true"/>
        </w:rPr>
        <w:footnoteReference w:id="881"/>
      </w:r>
      <w:r>
        <w:rPr>
          <w:rFonts w:ascii="IRNazanin" w:hAnsi="IRNazanin" w:eastAsia="IRNazanin"/>
          <w:color w:val="111111"/>
          <w:sz w:val="28"/>
          <w:sz w:val="28"/>
          <w:szCs w:val="28"/>
          <w:rtl w:val="true"/>
          <w:lang w:bidi="fa-IR"/>
        </w:rPr>
        <w:t>لم ینفع الإطلاق مع اقترانها بالبشارة،فإذا فرض قضیّة نبوّته مهملة غیر دالّة إلاّ علی مطلق النبوّة،فلا ینفع الإطلاق بعد العلم بتبعیّة تلک الأحکام لمدّة النبوّة؛فإنّها تصیر أیضا حینئذ مهملة</w:t>
      </w:r>
      <w:r>
        <w:rPr>
          <w:rFonts w:eastAsia="IRNazanin" w:cs="IRNazanin"/>
          <w:color w:val="111111"/>
          <w:sz w:val="28"/>
          <w:szCs w:val="28"/>
          <w:rtl w:val="true"/>
          <w:lang w:bidi="fa-IR"/>
        </w:rPr>
        <w:t>.</w:t>
      </w:r>
    </w:p>
    <w:p>
      <w:pPr>
        <w:pStyle w:val="Heading6"/>
        <w:numPr>
          <w:ilvl w:val="5"/>
          <w:numId w:val="1"/>
        </w:numPr>
        <w:rPr/>
      </w:pPr>
      <w:bookmarkStart w:id="870" w:name="__RefHeading___Toc5767481_3224264995"/>
      <w:bookmarkStart w:id="871" w:name="_Toc349"/>
      <w:bookmarkEnd w:id="870"/>
      <w:r>
        <w:rPr>
          <w:rtl w:val="true"/>
        </w:rPr>
        <w:t>الجواب عن استصحاب الکتابی بوجوه أخر</w:t>
      </w:r>
      <w:r>
        <w:rPr>
          <w:rtl w:val="true"/>
        </w:rPr>
        <w:t>:</w:t>
      </w:r>
      <w:bookmarkEnd w:id="871"/>
    </w:p>
    <w:p>
      <w:pPr>
        <w:pStyle w:val="BookText"/>
        <w:rPr/>
      </w:pPr>
      <w:r>
        <w:rPr>
          <w:rFonts w:ascii="IRNazanin" w:hAnsi="IRNazanin" w:eastAsia="IRNazanin"/>
          <w:color w:val="111111"/>
          <w:sz w:val="28"/>
          <w:sz w:val="28"/>
          <w:szCs w:val="28"/>
          <w:rtl w:val="true"/>
          <w:lang w:bidi="fa-IR"/>
        </w:rPr>
        <w:t>ثمّ إنّه یمکن الجواب عن الاستصحاب المذکور بوجوه</w:t>
      </w:r>
      <w:r>
        <w:rPr>
          <w:rFonts w:eastAsia="IRNazanin" w:cs="IRNazanin"/>
          <w:color w:val="111111"/>
          <w:sz w:val="28"/>
          <w:szCs w:val="28"/>
          <w:rtl w:val="true"/>
          <w:lang w:bidi="fa-IR"/>
        </w:rPr>
        <w:t>:</w:t>
      </w:r>
    </w:p>
    <w:p>
      <w:pPr>
        <w:pStyle w:val="Heading6"/>
        <w:numPr>
          <w:ilvl w:val="5"/>
          <w:numId w:val="1"/>
        </w:numPr>
        <w:rPr/>
      </w:pPr>
      <w:bookmarkStart w:id="872" w:name="__RefHeading___Toc5767483_3224264995"/>
      <w:bookmarkStart w:id="873" w:name="_Toc350"/>
      <w:bookmarkEnd w:id="872"/>
      <w:r>
        <w:rPr>
          <w:rtl w:val="true"/>
        </w:rPr>
        <w:t>الوجه الأوّل</w:t>
      </w:r>
      <w:r>
        <w:rPr>
          <w:rtl w:val="true"/>
        </w:rPr>
        <w:t>:</w:t>
      </w:r>
      <w:r>
        <w:rPr>
          <w:rtl w:val="true"/>
        </w:rPr>
        <w:t>أنّ المقصود من التمسّک به</w:t>
      </w:r>
      <w:r>
        <w:rPr>
          <w:rtl w:val="true"/>
        </w:rPr>
        <w:t>:</w:t>
      </w:r>
      <w:bookmarkEnd w:id="8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الاقتناع به فی العمل عند الشکّ،فهو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للمحکیّ عنه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غرضه الإسکات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جدّا؛لأنّ العمل به علی تقدیر تسلیم جوازه غیر جائز إلاّ بعد الفحص و البحث،و حینئذ یحصل العلم بأحد الطرفین </w:t>
      </w:r>
      <w:bookmarkStart w:id="874" w:name="pg12985_125115"/>
    </w:p>
    <w:p>
      <w:pPr>
        <w:pStyle w:val="BookText"/>
        <w:rPr/>
      </w:pPr>
      <w:bookmarkEnd w:id="874"/>
      <w:r>
        <w:rPr>
          <w:rFonts w:ascii="IRNazanin" w:hAnsi="IRNazanin" w:eastAsia="IRNazanin"/>
          <w:color w:val="111111"/>
          <w:sz w:val="28"/>
          <w:sz w:val="28"/>
          <w:szCs w:val="28"/>
          <w:rtl w:val="true"/>
          <w:lang w:bidi="fa-IR"/>
        </w:rPr>
        <w:t>بناء علی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انفتاح باب العلم فی مثل هذه المسألة،کما یدلّ علیه النصّ الدالّ علی تعذیب الکفّار </w:t>
      </w:r>
      <w:r>
        <w:rPr>
          <w:rStyle w:val="FootnoteAnchor"/>
          <w:rtl w:val="true"/>
        </w:rPr>
        <w:footnoteReference w:id="882"/>
      </w:r>
      <w:r>
        <w:rPr>
          <w:rFonts w:ascii="IRNazanin" w:hAnsi="IRNazanin" w:eastAsia="IRNazanin"/>
          <w:color w:val="111111"/>
          <w:sz w:val="28"/>
          <w:sz w:val="28"/>
          <w:szCs w:val="28"/>
          <w:rtl w:val="true"/>
          <w:lang w:bidi="fa-IR"/>
        </w:rPr>
        <w:t xml:space="preserve">،و الإجماع المدّعی </w:t>
      </w:r>
      <w:r>
        <w:rPr>
          <w:rStyle w:val="FootnoteAnchor"/>
          <w:rtl w:val="true"/>
        </w:rPr>
        <w:footnoteReference w:id="883"/>
      </w:r>
      <w:r>
        <w:rPr>
          <w:rFonts w:ascii="IRNazanin" w:hAnsi="IRNazanin" w:eastAsia="IRNazanin"/>
          <w:color w:val="111111"/>
          <w:sz w:val="28"/>
          <w:sz w:val="28"/>
          <w:szCs w:val="28"/>
          <w:rtl w:val="true"/>
          <w:lang w:bidi="fa-IR"/>
        </w:rPr>
        <w:t xml:space="preserve">علی عدم معذوریّة الجاهل </w:t>
      </w:r>
      <w:r>
        <w:rPr>
          <w:rStyle w:val="FootnoteAnchor"/>
          <w:rtl w:val="true"/>
        </w:rPr>
        <w:footnoteReference w:id="884"/>
      </w:r>
      <w:r>
        <w:rPr>
          <w:rFonts w:ascii="IRNazanin" w:hAnsi="IRNazanin" w:eastAsia="IRNazanin"/>
          <w:color w:val="111111"/>
          <w:sz w:val="28"/>
          <w:sz w:val="28"/>
          <w:szCs w:val="28"/>
          <w:rtl w:val="true"/>
          <w:lang w:bidi="fa-IR"/>
        </w:rPr>
        <w:t>،خصوصا فی هذه المسألة،خصوصا من مثل هذا الشخص الناشئ فی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یبقی مجال للتمسّک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الإسکات و الإلزام،ففیه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لیس دلیلا إسکاتیّا؛لأنّه فرع الشکّ،و هو أمر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w:t>
      </w:r>
      <w:r>
        <w:rPr>
          <w:rStyle w:val="FootnoteAnchor"/>
          <w:rtl w:val="true"/>
        </w:rPr>
        <w:footnoteReference w:id="885"/>
      </w:r>
      <w:r>
        <w:rPr>
          <w:rFonts w:ascii="IRNazanin" w:hAnsi="IRNazanin" w:eastAsia="IRNazanin"/>
          <w:color w:val="111111"/>
          <w:sz w:val="28"/>
          <w:sz w:val="28"/>
          <w:szCs w:val="28"/>
          <w:rtl w:val="true"/>
          <w:lang w:bidi="fa-IR"/>
        </w:rPr>
        <w:t>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بیان أنّ مدّعی ارتفاع الشریعة السابقة و نسخها محتاج إلی الاستدلال،فهو غلط؛لأنّ مدّعی البقاء فی مثل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الاستدلال علیه</w:t>
      </w:r>
      <w:r>
        <w:rPr>
          <w:rFonts w:eastAsia="IRNazanin" w:cs="IRNazanin"/>
          <w:color w:val="111111"/>
          <w:sz w:val="28"/>
          <w:szCs w:val="28"/>
          <w:rtl w:val="true"/>
          <w:lang w:bidi="fa-IR"/>
        </w:rPr>
        <w:t>.</w:t>
      </w:r>
    </w:p>
    <w:p>
      <w:pPr>
        <w:pStyle w:val="Heading6"/>
        <w:numPr>
          <w:ilvl w:val="5"/>
          <w:numId w:val="1"/>
        </w:numPr>
        <w:rPr/>
      </w:pPr>
      <w:bookmarkStart w:id="875" w:name="__RefHeading___Toc5767485_3224264995"/>
      <w:bookmarkStart w:id="876" w:name="_Toc351"/>
      <w:bookmarkEnd w:id="875"/>
      <w:r>
        <w:rPr>
          <w:rtl w:val="true"/>
        </w:rPr>
        <w:t>الوجه الثانی</w:t>
      </w:r>
      <w:r>
        <w:rPr>
          <w:rtl w:val="true"/>
        </w:rPr>
        <w:t>:</w:t>
      </w:r>
      <w:r>
        <w:rPr>
          <w:rtl w:val="true"/>
        </w:rPr>
        <w:t>أنّ اعتبار الاستصحاب إن کان من باب الأخبار</w:t>
      </w:r>
      <w:bookmarkEnd w:id="8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ینفع الکتابیّ التمسّک به؛لأنّ ثبوته فی شرعنا مانع عن استصحاب النبوّة،و ثبوته فی شرعهم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ثبت ذلک من شریعتهم أمکن التمسّک به؛لصیرورته حکما إلهیّا </w:t>
      </w:r>
      <w:r>
        <w:rPr>
          <w:rStyle w:val="FootnoteAnchor"/>
          <w:rtl w:val="true"/>
        </w:rPr>
        <w:footnoteReference w:id="886"/>
      </w:r>
      <w:r>
        <w:rPr>
          <w:rFonts w:ascii="IRNazanin" w:hAnsi="IRNazanin" w:eastAsia="IRNazanin"/>
          <w:color w:val="111111"/>
          <w:sz w:val="28"/>
          <w:sz w:val="28"/>
          <w:szCs w:val="28"/>
          <w:rtl w:val="true"/>
          <w:lang w:bidi="fa-IR"/>
        </w:rPr>
        <w:t xml:space="preserve">غیر منسوخ یجب تعبّد </w:t>
      </w:r>
    </w:p>
    <w:p>
      <w:pPr>
        <w:pStyle w:val="BookText"/>
        <w:rPr/>
      </w:pPr>
      <w:r>
        <w:rPr>
          <w:rFonts w:ascii="IRNazanin" w:hAnsi="IRNazanin" w:eastAsia="IRNazanin"/>
          <w:color w:val="111111"/>
          <w:sz w:val="28"/>
          <w:sz w:val="28"/>
          <w:szCs w:val="28"/>
          <w:rtl w:val="true"/>
          <w:lang w:bidi="fa-IR"/>
        </w:rPr>
        <w:t>الفریقین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الظنّ،فقد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الظنّ ببقاء الحکم الشرعیّ الکلّیّ ممنوع جدّا،و علی تقدیره فالعمل بهذا الظنّ فی مسألة النبوّة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إرجاع الظنّ بها إلی الظنّ بالأحکام الکلّیّة الثابتة فی تلک الشریعة أیضا لا یجدی؛لمنع الدلیل علی العمل بالظنّ،عدا دلیل الانسداد الغیر الجاری فی المقام مع التمکّن من التوقّف و الاحتیاط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الحرج لا دلیل علیه فی الشریعة السابقة،خصوصا بالنسبة إلی قلیل من الناس ممّن لم یحصل له العلم بعد الفحص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الدلیل الخاصّ علی اعتبار هذا الظنّ؛بالتقریب الذی ذکره بعض المعاصرین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شرائع الأنبیاء السلف و إن کانت لم تثبت علی سبیل الاستمرار،لکنّها فی الظاهر لم تکن محدودة بزمن معیّن،بل بمجیء النبیّ اللاحق،و لا ریب أنّها تستصحب ما لم تثبت نبوّة اللاحق،و لو لا ذلک لاختلّ علی الامم السابقة نظام شرائعهم؛من حیث تجویزهم فی کلّ زمان ظهور نبیّ و لو فی الأماکن البعیدة،فلا یستقرّ لهم البناء علی أحکامهم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استقرار الشرائع لم یکن بالاستصحاب قطعا؛و إلاّ لزم کونهم شاکّین فی حقّیّة شریعتهم و نبوّة نبیّهم </w:t>
      </w:r>
      <w:r>
        <w:rPr>
          <w:rStyle w:val="FootnoteAnchor"/>
          <w:rtl w:val="true"/>
        </w:rPr>
        <w:footnoteReference w:id="888"/>
      </w:r>
      <w:r>
        <w:rPr>
          <w:rFonts w:ascii="IRNazanin" w:hAnsi="IRNazanin" w:eastAsia="IRNazanin"/>
          <w:color w:val="111111"/>
          <w:sz w:val="28"/>
          <w:sz w:val="28"/>
          <w:szCs w:val="28"/>
          <w:rtl w:val="true"/>
          <w:lang w:bidi="fa-IR"/>
        </w:rPr>
        <w:t xml:space="preserve">فی أکثر الأوقات لما تقدّم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بناء علی کونه من باب الظنّ لا یفید </w:t>
      </w:r>
      <w:bookmarkStart w:id="877" w:name="pg12985_125117"/>
    </w:p>
    <w:p>
      <w:pPr>
        <w:pStyle w:val="BookText"/>
        <w:rPr/>
      </w:pPr>
      <w:bookmarkEnd w:id="877"/>
      <w:r>
        <w:rPr>
          <w:rFonts w:ascii="IRNazanin" w:hAnsi="IRNazanin" w:eastAsia="IRNazanin"/>
          <w:color w:val="111111"/>
          <w:sz w:val="28"/>
          <w:sz w:val="28"/>
          <w:szCs w:val="28"/>
          <w:rtl w:val="true"/>
          <w:lang w:bidi="fa-IR"/>
        </w:rPr>
        <w:t>الظنّ الشخصیّ فی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یستفاد من بناء العقلاء فی الاستصحاب،هی ترتیب الأعمال المترتّبة علی الدین السابق دون حقّیّة دینهم و نبوّة نبیّهم التی هی من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قاطعین بحقیّة دینهم؛من جهة بعض العلامات التی أخبرهم بها النبیّ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نعم،بعد ظهور النبیّ الجدید، الظاهر کونهم شاکّین فی دینهم مع بقائهم علی الأعمال،و حینئذ فللمسلمین أیضا أن یطالبوا الیهود بإثبات حقیّة دینهم؛لعدم الدلیل لهم علیها و إن کان لهم الدلیل علی البقاء علی الأعمال فی الظاهر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5767487_3224264995"/>
      <w:bookmarkStart w:id="879" w:name="_Toc352"/>
      <w:bookmarkEnd w:id="878"/>
      <w:r>
        <w:rPr>
          <w:rtl w:val="true"/>
        </w:rPr>
        <w:t>الوجه الثالث</w:t>
      </w:r>
      <w:r>
        <w:rPr>
          <w:rtl w:val="true"/>
        </w:rPr>
        <w:t>:</w:t>
      </w:r>
      <w:r>
        <w:rPr>
          <w:rtl w:val="true"/>
        </w:rPr>
        <w:t>أنّا لم نجزم بالمستصحب</w:t>
      </w:r>
      <w:r>
        <w:rPr>
          <w:rtl w:val="true"/>
        </w:rPr>
        <w:t>-</w:t>
      </w:r>
      <w:r>
        <w:rPr>
          <w:rtl w:val="true"/>
        </w:rPr>
        <w:t>و هی نبوّة موسی أو عیسی</w:t>
      </w:r>
      <w:bookmarkEnd w:id="879"/>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بإخبار نبیّنا صلی اللّه علیه و آله و سلّم و نصّ القرآن؛و حینئذ فلا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النبوّة موقوفة علی صدق نبیّنا صلی اللّه علیه و آله لا علی نبوّته،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لم نعرف صدقه إلاّ من حیث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موقوف علی تسالم المسلمین و غیرهم علیه،لا من جهة النصّ علیه فی هذه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مشکل،خصوصا بالنسبة إلی عیسی علیه السّلام؛لإمکان معارضة قول النصاری بتکذیب الیهود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5767489_3224264995"/>
      <w:bookmarkStart w:id="881" w:name="_Toc353"/>
      <w:bookmarkEnd w:id="880"/>
      <w:r>
        <w:rPr>
          <w:rtl w:val="true"/>
        </w:rPr>
        <w:t>الوجه الرابع</w:t>
      </w:r>
      <w:r>
        <w:rPr>
          <w:rtl w:val="true"/>
        </w:rPr>
        <w:t>:</w:t>
      </w:r>
      <w:r>
        <w:rPr>
          <w:rtl w:val="true"/>
        </w:rPr>
        <w:t>أنّ مرجع النبوّة المستصحبة لیس إلاّ إلی وجوب التدیّن</w:t>
      </w:r>
      <w:bookmarkEnd w:id="88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ما جاء به ذلک النبیّ،و إلاّ فأصل صفة النبوّة أمر قائم بنفس النبیّ صلی اللّه علیه و آله،لا معنی لاستصحابه؛لعدم قابلیّته للارتفاع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w:t>
      </w:r>
      <w:bookmarkStart w:id="882" w:name="pg12985_125118"/>
    </w:p>
    <w:p>
      <w:pPr>
        <w:pStyle w:val="BookText"/>
        <w:rPr/>
      </w:pPr>
      <w:bookmarkEnd w:id="882"/>
      <w:r>
        <w:rPr>
          <w:rFonts w:ascii="Amiri" w:hAnsi="Amiri" w:eastAsia="Amiri" w:cs="Amiri"/>
          <w:color w:val="111111"/>
          <w:sz w:val="28"/>
          <w:sz w:val="28"/>
          <w:szCs w:val="28"/>
          <w:rtl w:val="true"/>
          <w:lang w:bidi="ar-SA"/>
        </w:rPr>
        <w:t>أنّا قاطعون بأنّ من أعظم ما جاء به النبیّ السابق الإخبار بنبوّة نبیّنا صلی اللّه علیه و آله، کما یشهد به الاهتمام بشأنه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اللّٰهِ إِلَیْکُمْ مُصَدِّقاً لِمٰا بَیْنَ یَدَیَّ مِنَ التَّوْرٰاةِ وَ مُبَشِّراً بِرَسُولٍ یَأْتِی مِنْ بَعْدِی اسْمُهُ أَحْمَدُ </w:t>
      </w:r>
      <w:r>
        <w:rPr>
          <w:rStyle w:val="FootnoteAnchor"/>
          <w:rtl w:val="true"/>
        </w:rPr>
        <w:footnoteReference w:id="892"/>
      </w:r>
      <w:r>
        <w:rPr>
          <w:rFonts w:ascii="IRNazanin" w:hAnsi="IRNazanin" w:eastAsia="IRNazanin"/>
          <w:color w:val="111111"/>
          <w:sz w:val="28"/>
          <w:sz w:val="28"/>
          <w:szCs w:val="28"/>
          <w:rtl w:val="true"/>
          <w:lang w:bidi="fa-IR"/>
        </w:rPr>
        <w:t>فکلّ ما جاء به من الأحکام فهو فی الحقیقة مغیّا بمجیء نبیّنا صلی اللّه علیه و آله،فدین عیسی علیه السّلام المختصّ به عبارة عن مجموع أحکام مغیّاة إجمالا بمجیء نبیّنا صلی اللّه علیه و آله،و من المعلوم أنّ الاعتراف ببقاء ذلک الدین لا یضرّ المسلمین فضلا عن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الکتابیّ دینا غیر هذه الجملة المغیّاة إجمالا بالبشارة المذکورة،فنحن منکرون له،و إن أراد هذه الجملة،فهو عین مذهب المسلمین،و فی الحقیقة بعد کون أحکامهم مغیّاة لا رفع حقیقة،و معنی النسخ انتهاء مدّة الحکم المعلومة </w:t>
      </w:r>
      <w:r>
        <w:rPr>
          <w:rStyle w:val="FootnoteAnchor"/>
          <w:rtl w:val="true"/>
        </w:rPr>
        <w:footnoteReference w:id="893"/>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مناظرة الکتابیّ،فی تحقّق الغایة المعلومة،و أنّ الشخص الجائی هو المبشّر به أم لا،فیصحّ تمسّکه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هو الدین المغیّا بمجیء هذا الشخص الخاصّ، لا بمجیء موصوف کلّیّ حتّی یتکلّم فی انطباقه علی هذا الشخص، و یتمسّک بالاستصحاب</w:t>
      </w:r>
      <w:r>
        <w:rPr>
          <w:rFonts w:eastAsia="IRNazanin" w:cs="IRNazanin"/>
          <w:color w:val="111111"/>
          <w:sz w:val="28"/>
          <w:szCs w:val="28"/>
          <w:rtl w:val="true"/>
          <w:lang w:bidi="fa-IR"/>
        </w:rPr>
        <w:t>.</w:t>
      </w:r>
    </w:p>
    <w:p>
      <w:pPr>
        <w:pStyle w:val="Heading6"/>
        <w:numPr>
          <w:ilvl w:val="5"/>
          <w:numId w:val="1"/>
        </w:numPr>
        <w:rPr/>
      </w:pPr>
      <w:bookmarkStart w:id="883" w:name="__RefHeading___Toc5767491_3224264995"/>
      <w:bookmarkStart w:id="884" w:name="_Toc354"/>
      <w:bookmarkEnd w:id="883"/>
      <w:r>
        <w:rPr>
          <w:rtl w:val="true"/>
        </w:rPr>
        <w:t>الوجه  الخامس</w:t>
      </w:r>
      <w:r>
        <w:rPr>
          <w:rtl w:val="true"/>
        </w:rPr>
        <w:t>:</w:t>
      </w:r>
      <w:r>
        <w:rPr>
          <w:rtl w:val="true"/>
        </w:rPr>
        <w:t>أن یقال</w:t>
      </w:r>
      <w:r>
        <w:rPr>
          <w:rtl w:val="true"/>
        </w:rPr>
        <w:t>:</w:t>
      </w:r>
      <w:bookmarkEnd w:id="8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علمنا أنّ النبیّ السالف أخبر بمجیء نبیّنا صلی اللّه علیه و آله و سلّم،و أنّ ذلک کان واجبا علیه،و وجوب الإقرار به و الإیمان به متوقّف علی تبلیغ ذلک إلی رعیّته،صحّ لنا أن </w:t>
      </w:r>
      <w:bookmarkStart w:id="885" w:name="pg12985_125119"/>
    </w:p>
    <w:p>
      <w:pPr>
        <w:pStyle w:val="BookText"/>
        <w:rPr/>
      </w:pPr>
      <w:bookmarkEnd w:id="885"/>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نبوّة النبیّ السالف علی تقدیر تبلیغ نبوّة نبیّنا صلی اللّه علیه و آله، و النبوّة التقدیریّة لا یضرّنا و لا ینفعهم فی بقاء شریعتهم</w:t>
      </w:r>
      <w:r>
        <w:rPr>
          <w:rFonts w:eastAsia="IRNazanin" w:cs="IRNazanin"/>
          <w:color w:val="111111"/>
          <w:sz w:val="28"/>
          <w:szCs w:val="28"/>
          <w:rtl w:val="true"/>
          <w:lang w:bidi="fa-IR"/>
        </w:rPr>
        <w:t>.</w:t>
      </w:r>
    </w:p>
    <w:p>
      <w:pPr>
        <w:pStyle w:val="Heading6"/>
        <w:numPr>
          <w:ilvl w:val="5"/>
          <w:numId w:val="1"/>
        </w:numPr>
        <w:rPr/>
      </w:pPr>
      <w:bookmarkStart w:id="886" w:name="__RefHeading___Toc5767493_3224264995"/>
      <w:bookmarkStart w:id="887" w:name="_Toc355"/>
      <w:bookmarkEnd w:id="886"/>
      <w:r>
        <w:rPr>
          <w:rtl w:val="true"/>
        </w:rPr>
        <w:t>کلام الإمام الرضا علیه السّلام فی جواب الجاثلیق</w:t>
      </w:r>
      <w:r>
        <w:rPr>
          <w:rtl w:val="true"/>
        </w:rPr>
        <w:t>:</w:t>
      </w:r>
      <w:bookmarkEnd w:id="887"/>
    </w:p>
    <w:p>
      <w:pPr>
        <w:pStyle w:val="BookText"/>
        <w:rPr/>
      </w:pPr>
      <w:r>
        <w:rPr>
          <w:rFonts w:ascii="IRNazanin" w:hAnsi="IRNazanin" w:eastAsia="IRNazanin"/>
          <w:color w:val="111111"/>
          <w:sz w:val="28"/>
          <w:sz w:val="28"/>
          <w:szCs w:val="28"/>
          <w:rtl w:val="true"/>
          <w:lang w:bidi="fa-IR"/>
        </w:rPr>
        <w:t>و لعلّ هذا الجواب یرجع إلی ما ذکره الإمام أبو الحسن الرضا صلوات اللّه علیه فی جواب الجاثلیق،حیث 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نبوّة عیسی و کتابه،هل تنکر منهما شیئا؟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بنبوّة عیسی و کتابه و ما بشّر به أمّته و أقرّت به الحواریّون،و کافر بنبوّة کلّ عیسی لم یقرّ بنبوّة محمّد صلی اللّه علیه و آله و کتابه و لم یبشّر به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تقطع الأحکام بشاهدی عدل؟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شاهدین عدلین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أهل ملّتک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نبوّة محمّد صلی اللّه علیه و آله ممّن لا تنکره النصرانیّة،و سلنا مثل ذلک من غیر أهل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جئت بالنّصفة یا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علیه السّلام إخبار خواصّ عیسی علیه السّلام بنبوّة محمّد صلی اللّه علیه و آله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بنبوّة عیسی علیه السّلام و کتابه و ما بشّر به أمّته لا یکون حاسما لکلام الجاثلیق،إلاّ إذا ارید المجموع من حیث المجموع، بجعل الإقرار بعیسی علیه السّلام مرتبطا بتقدیر بشارته المذکورة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بنبوّة کلّ عیسی لم یقرّ و لم </w:t>
      </w:r>
    </w:p>
    <w:p>
      <w:pPr>
        <w:pStyle w:val="BookText"/>
        <w:rPr/>
      </w:pP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فی قوّة مفهوم التعلیق المستفاد من الکلام السابق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التزامه علیه السّلام بالبیّنة علی دعواه،فلا یدلّ علی تسلیمه الاستصحاب و صیرورته مثبتا بمجرّد ذلک،بل لأنّه علیه السّلام من أوّل المناظرة ملتزم بالإثبات،و إلاّ فالظاهر المؤیّد بقول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سلنا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منهما مدّعیا،إلاّ أن یرید الجاثلیق ببیّنته نفس الإمام و غیره من المسلمین المعترفین بنبوّة عیسی علیه السّلام؛إذ لا بیّنة له ممّن لا ینکره المسلمون سوی ذلک،فافهم</w:t>
      </w:r>
      <w:r>
        <w:rPr>
          <w:rFonts w:eastAsia="IRNazanin" w:cs="IRNazanin"/>
          <w:color w:val="111111"/>
          <w:sz w:val="28"/>
          <w:szCs w:val="28"/>
          <w:rtl w:val="true"/>
          <w:lang w:bidi="fa-IR"/>
        </w:rPr>
        <w:t xml:space="preserve">. </w:t>
      </w:r>
      <w:bookmarkStart w:id="888" w:name="pg12985_125121"/>
    </w:p>
    <w:p>
      <w:pPr>
        <w:pStyle w:val="Heading4"/>
        <w:numPr>
          <w:ilvl w:val="3"/>
          <w:numId w:val="1"/>
        </w:numPr>
        <w:rPr/>
      </w:pPr>
      <w:bookmarkStart w:id="889" w:name="__RefHeading___Toc5767495_3224264995"/>
      <w:bookmarkStart w:id="890" w:name="_Toc356"/>
      <w:bookmarkEnd w:id="888"/>
      <w:bookmarkEnd w:id="889"/>
      <w:r>
        <w:rPr>
          <w:rtl w:val="true"/>
        </w:rPr>
        <w:t xml:space="preserve">الأمر العاشر </w:t>
      </w:r>
      <w:r>
        <w:rPr>
          <w:rtl w:val="true"/>
        </w:rPr>
        <w:t>:</w:t>
      </w:r>
      <w:r>
        <w:rPr>
          <w:rtl w:val="true"/>
        </w:rPr>
        <w:t>دوران الأمر بین التمسّک بالعامّ أو استصحاب حکم المخصّص</w:t>
      </w:r>
      <w:bookmarkEnd w:id="890"/>
    </w:p>
    <w:p>
      <w:pPr>
        <w:pStyle w:val="Heading5"/>
        <w:numPr>
          <w:ilvl w:val="4"/>
          <w:numId w:val="1"/>
        </w:numPr>
        <w:rPr/>
      </w:pPr>
      <w:bookmarkStart w:id="891" w:name="__RefHeading___Toc5767497_3224264995"/>
      <w:bookmarkStart w:id="892" w:name="_Toc357"/>
      <w:bookmarkEnd w:id="891"/>
      <w:r>
        <w:rPr>
          <w:rtl w:val="true"/>
        </w:rPr>
        <w:t>الدلیل الدالّ علی الحکم فی الزمان السابق علی ثلاثة أنحاء</w:t>
      </w:r>
      <w:r>
        <w:rPr>
          <w:rtl w:val="true"/>
        </w:rPr>
        <w:t>:</w:t>
      </w:r>
      <w:bookmarkEnd w:id="892"/>
    </w:p>
    <w:p>
      <w:pPr>
        <w:pStyle w:val="BookText"/>
        <w:rPr/>
      </w:pPr>
      <w:r>
        <w:rPr>
          <w:rFonts w:ascii="IRNazanin" w:hAnsi="IRNazanin" w:eastAsia="IRNazanin"/>
          <w:color w:val="111111"/>
          <w:sz w:val="28"/>
          <w:sz w:val="28"/>
          <w:szCs w:val="28"/>
          <w:rtl w:val="true"/>
          <w:lang w:bidi="fa-IR"/>
        </w:rPr>
        <w:t>أنّ الدلیل الدالّ علی الحکم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مبیّنا لثبوت الحکم فی الزمان الثانی،کقوله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النهی للدوام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مبیّنا لعدمه،نحو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إلی أن یفسقوا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غیر مبیّن لحال الحکم فی الزمان الثانی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لإجماله،کما إذا أمر بالجلوس إلی اللیل،مع تردّد اللیل بین استتار القرص و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لقصور دلالته،کما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الماء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یدلّ علی أزید من حدوث النجاسة فی الماء،و مثل الإجماع المنعقد علی حکم فی زمان؛فإنّ الإجماع لا یشمل ما </w:t>
      </w:r>
      <w:r>
        <w:rPr>
          <w:rStyle w:val="FootnoteAnchor"/>
          <w:rtl w:val="true"/>
        </w:rPr>
        <w:footnoteReference w:id="896"/>
      </w:r>
      <w:r>
        <w:rPr>
          <w:rFonts w:ascii="IRNazanin" w:hAnsi="IRNazanin" w:eastAsia="IRNazanin"/>
          <w:color w:val="111111"/>
          <w:sz w:val="28"/>
          <w:sz w:val="28"/>
          <w:szCs w:val="28"/>
          <w:rtl w:val="true"/>
          <w:lang w:bidi="fa-IR"/>
        </w:rPr>
        <w:t>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 الاستصحاب فی هذا القسم الثالث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الثانی،فلا إشکال فی عدم جریان الاستصحاب فیه؛ </w:t>
      </w:r>
      <w:bookmarkStart w:id="893" w:name="pg12985_125122"/>
    </w:p>
    <w:p>
      <w:pPr>
        <w:pStyle w:val="BookText"/>
        <w:rPr/>
      </w:pPr>
      <w:bookmarkEnd w:id="893"/>
      <w:r>
        <w:rPr>
          <w:rFonts w:ascii="IRNazanin" w:hAnsi="IRNazanin" w:eastAsia="IRNazanin"/>
          <w:color w:val="111111"/>
          <w:sz w:val="28"/>
          <w:sz w:val="28"/>
          <w:szCs w:val="28"/>
          <w:rtl w:val="true"/>
          <w:lang w:bidi="fa-IR"/>
        </w:rPr>
        <w:t>لوجود الدلیل علی ارتفاع الحکم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القسم الأوّل؛لأنّ عموم اللفظ للزمان اللاحق کاف و مغن عن الاستصحاب،بل مانع عنه؛إذ المعتبر فی الاستصحاب عدم الدلیل و لو علی طبق الحالة السابقة</w:t>
      </w:r>
      <w:r>
        <w:rPr>
          <w:rFonts w:eastAsia="IRNazanin" w:cs="IRNazanin"/>
          <w:color w:val="111111"/>
          <w:sz w:val="28"/>
          <w:szCs w:val="28"/>
          <w:rtl w:val="true"/>
          <w:lang w:bidi="fa-IR"/>
        </w:rPr>
        <w:t>.</w:t>
      </w:r>
    </w:p>
    <w:p>
      <w:pPr>
        <w:pStyle w:val="Heading5"/>
        <w:numPr>
          <w:ilvl w:val="4"/>
          <w:numId w:val="1"/>
        </w:numPr>
        <w:rPr/>
      </w:pPr>
      <w:bookmarkStart w:id="894" w:name="__RefHeading___Toc5767499_3224264995"/>
      <w:bookmarkStart w:id="895" w:name="_Toc358"/>
      <w:bookmarkEnd w:id="894"/>
      <w:r>
        <w:rPr>
          <w:rtl w:val="true"/>
        </w:rPr>
        <w:t>هل یجری استصحاب حکم المخصّص مع العموم الأزمانی أم لا؟</w:t>
      </w:r>
      <w:r>
        <w:rPr>
          <w:rtl w:val="true"/>
        </w:rPr>
        <w:t>:</w:t>
      </w:r>
      <w:bookmarkEnd w:id="895"/>
    </w:p>
    <w:p>
      <w:pPr>
        <w:pStyle w:val="Heading6"/>
        <w:numPr>
          <w:ilvl w:val="5"/>
          <w:numId w:val="1"/>
        </w:numPr>
        <w:rPr/>
      </w:pPr>
      <w:bookmarkStart w:id="896" w:name="__RefHeading___Toc5767501_3224264995"/>
      <w:bookmarkStart w:id="897" w:name="_Toc359"/>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ثمّ إذا فرض خروج بعض الأفراد فی بعض الأزمنة عن هذا العموم،فشکّ فیما بعد ذلک الزمان المخرج،بالنسبة إلی ذلک الفرد،هل هو ملحق به فی الحکم أو ملحق بما قبله؟</w:t>
      </w:r>
    </w:p>
    <w:p>
      <w:pPr>
        <w:pStyle w:val="Heading6"/>
        <w:numPr>
          <w:ilvl w:val="5"/>
          <w:numId w:val="1"/>
        </w:numPr>
        <w:rPr/>
      </w:pPr>
      <w:bookmarkStart w:id="898" w:name="__RefHeading___Toc5767503_3224264995"/>
      <w:bookmarkStart w:id="899" w:name="_Toc360"/>
      <w:bookmarkEnd w:id="898"/>
      <w:r>
        <w:rPr>
          <w:rtl w:val="true"/>
        </w:rPr>
        <w:t>إذا کان العموم الأزمانی أفرادیّا</w:t>
      </w:r>
      <w:r>
        <w:rPr>
          <w:rtl w:val="true"/>
        </w:rPr>
        <w:t>:</w:t>
      </w:r>
      <w:bookmarkEnd w:id="899"/>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فی المقام،بأن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اخذ فیه عموم الأزمان أفرادیّا،بأن اخذ کلّ زمان موضوعا مستقلا لحکم مستقلّ؛لینحلّ العموم إلی أحکام متعدّدة بتعدّد الأزمان </w:t>
      </w:r>
      <w:r>
        <w:rPr>
          <w:rStyle w:val="FootnoteAnchor"/>
          <w:rtl w:val="true"/>
        </w:rPr>
        <w:footnoteReference w:id="897"/>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الإجماع علی حرمة إکرام زید العالم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 </w:t>
      </w:r>
      <w:r>
        <w:rPr>
          <w:rStyle w:val="FootnoteAnchor"/>
          <w:rtl w:val="true"/>
        </w:rPr>
        <w:footnoteReference w:id="898"/>
      </w:r>
      <w:r>
        <w:rPr>
          <w:rFonts w:ascii="IRNazanin" w:hAnsi="IRNazanin" w:eastAsia="IRNazanin"/>
          <w:color w:val="111111"/>
          <w:sz w:val="28"/>
          <w:sz w:val="28"/>
          <w:szCs w:val="28"/>
          <w:rtl w:val="true"/>
          <w:lang w:bidi="fa-IR"/>
        </w:rPr>
        <w:t>الاستثناء قرینة علی أخذ کلّ زمان فردا مستقلا، فحینئذ یعمل عند الشکّ بالعموم،و لا یجری الاستصحاب،بل لو لم یکن عموم وجب الرجوع إلی سائر الاصول؛لعدم قابلیّة المورد للاستصحاب</w:t>
      </w:r>
      <w:r>
        <w:rPr>
          <w:rFonts w:eastAsia="IRNazanin" w:cs="IRNazanin"/>
          <w:color w:val="111111"/>
          <w:sz w:val="28"/>
          <w:szCs w:val="28"/>
          <w:rtl w:val="true"/>
          <w:lang w:bidi="fa-IR"/>
        </w:rPr>
        <w:t>.</w:t>
      </w:r>
    </w:p>
    <w:p>
      <w:pPr>
        <w:pStyle w:val="Heading6"/>
        <w:numPr>
          <w:ilvl w:val="5"/>
          <w:numId w:val="1"/>
        </w:numPr>
        <w:rPr/>
      </w:pPr>
      <w:bookmarkStart w:id="900" w:name="__RefHeading___Toc5767505_3224264995"/>
      <w:bookmarkStart w:id="901" w:name="_Toc361"/>
      <w:bookmarkEnd w:id="900"/>
      <w:r>
        <w:rPr>
          <w:rtl w:val="true"/>
        </w:rPr>
        <w:t>إذا کان العموم الأزمانی استمراریّا</w:t>
      </w:r>
      <w:r>
        <w:rPr>
          <w:rtl w:val="true"/>
        </w:rPr>
        <w:t>:</w:t>
      </w:r>
      <w:bookmarkEnd w:id="9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اخذ لبیان الاستمرار،کقوله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فرد فی زمان،و شکّ فی حکم ذلک الفرد بعد ذلک الزمان،فالظاهر جریان الاستصحاب؛إذ لا یلزم من ثبوت ذلک الحکم للفرد بعد ذلک الزمان تخصیص زائد علی التخصیص المعلوم؛لأنّ مورد التخصیص </w:t>
      </w:r>
      <w:bookmarkStart w:id="902" w:name="pg12985_125123"/>
    </w:p>
    <w:p>
      <w:pPr>
        <w:pStyle w:val="BookText"/>
        <w:rPr/>
      </w:pPr>
      <w:bookmarkEnd w:id="902"/>
      <w:r>
        <w:rPr>
          <w:rFonts w:ascii="IRNazanin" w:hAnsi="IRNazanin" w:eastAsia="IRNazanin"/>
          <w:color w:val="111111"/>
          <w:sz w:val="28"/>
          <w:sz w:val="28"/>
          <w:szCs w:val="28"/>
          <w:rtl w:val="true"/>
          <w:lang w:bidi="fa-IR"/>
        </w:rPr>
        <w:t>الأفراد دون الأزمنة،بخلاف القسم الأوّل،بل لو لم یکن هنا استصحاب لم یرجع إلی العموم،بل إلی الاصول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استفادة الاستمرار من اللفظ،کالمثال المتقدّم،أو من الإطلاق،کقوله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استفادة الاستمرار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خرج منه التواضع فی بعض الأزمنة،علی وجه لا یفهم من التخصیص ملاحظة المتکلّم کلّ زمان فردا مستقلا لمتعلّق الحکم،استصحب حکمه بعد الخروج،و لیس هذا من باب تخصیص العامّ بالاستصحاب</w:t>
      </w:r>
      <w:r>
        <w:rPr>
          <w:rFonts w:eastAsia="IRNazanin" w:cs="IRNazanin"/>
          <w:color w:val="111111"/>
          <w:sz w:val="28"/>
          <w:szCs w:val="28"/>
          <w:rtl w:val="true"/>
          <w:lang w:bidi="fa-IR"/>
        </w:rPr>
        <w:t>.</w:t>
      </w:r>
    </w:p>
    <w:p>
      <w:pPr>
        <w:pStyle w:val="Heading5"/>
        <w:numPr>
          <w:ilvl w:val="4"/>
          <w:numId w:val="1"/>
        </w:numPr>
        <w:rPr/>
      </w:pPr>
      <w:bookmarkStart w:id="903" w:name="__RefHeading___Toc5767507_3224264995"/>
      <w:bookmarkStart w:id="904" w:name="_Toc362"/>
      <w:bookmarkEnd w:id="903"/>
      <w:r>
        <w:rPr>
          <w:rtl w:val="true"/>
        </w:rPr>
        <w:t>المخالفة لما ذکرنا فی موضعین</w:t>
      </w:r>
      <w:r>
        <w:rPr>
          <w:rtl w:val="true"/>
        </w:rPr>
        <w:t>:</w:t>
      </w:r>
      <w:bookmarkEnd w:id="904"/>
    </w:p>
    <w:p>
      <w:pPr>
        <w:pStyle w:val="Heading6"/>
        <w:numPr>
          <w:ilvl w:val="5"/>
          <w:numId w:val="1"/>
        </w:numPr>
        <w:rPr/>
      </w:pPr>
      <w:bookmarkStart w:id="905" w:name="__RefHeading___Toc5767509_3224264995"/>
      <w:bookmarkStart w:id="906" w:name="_Toc363"/>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و قد صدر خلاف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مثل هذا من مورد </w:t>
      </w:r>
      <w:r>
        <w:rPr>
          <w:rStyle w:val="FootnoteAnchor"/>
          <w:rtl w:val="true"/>
        </w:rPr>
        <w:footnoteReference w:id="899"/>
      </w:r>
      <w:r>
        <w:rPr>
          <w:rFonts w:ascii="IRNazanin" w:hAnsi="IRNazanin" w:eastAsia="IRNazanin"/>
          <w:color w:val="111111"/>
          <w:sz w:val="28"/>
          <w:sz w:val="28"/>
          <w:szCs w:val="28"/>
          <w:rtl w:val="true"/>
          <w:lang w:bidi="fa-IR"/>
        </w:rPr>
        <w:t>الاستصحاب،و أنّ هذا لیس من تخصیص العامّ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p>
    <w:p>
      <w:pPr>
        <w:pStyle w:val="Heading6"/>
        <w:numPr>
          <w:ilvl w:val="5"/>
          <w:numId w:val="1"/>
        </w:numPr>
        <w:rPr/>
      </w:pPr>
      <w:bookmarkStart w:id="907" w:name="__RefHeading___Toc5767511_3224264995"/>
      <w:bookmarkStart w:id="908" w:name="_Toc364"/>
      <w:bookmarkEnd w:id="907"/>
      <w:r>
        <w:rPr>
          <w:rtl w:val="true"/>
        </w:rPr>
        <w:t>:</w:t>
      </w:r>
      <w:r>
        <w:rPr/>
        <w:t>1</w:t>
      </w:r>
      <w:r>
        <w:rPr>
          <w:rtl w:val="true"/>
        </w:rPr>
        <w:t>-</w:t>
      </w:r>
      <w:r>
        <w:rPr>
          <w:rtl w:val="true"/>
        </w:rPr>
        <w:t>ما ذکره المحقّق الثانی فی مسألة خیار الغبن و ما یرد علیه</w:t>
      </w:r>
      <w:r>
        <w:rPr>
          <w:rtl w:val="true"/>
        </w:rPr>
        <w:t>:</w:t>
      </w:r>
      <w:bookmarkEnd w:id="90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الثانی رحمه اللّه فی مسألة خیار الغبن فی باب 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فوریّ؛لأنّ عموم الوفاء بالعقود من حیث الأفراد،یستتبع عموم الأزمان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جریان الاستصحاب؛لأجل عموم وجوب الوفاء، خرج منه أوّل زمان الاطّلاع علی الغبن و بقی الباقی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الشهید الثانی فی المسالک إجراء الاستصحاب فی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الأقوی؛بناء علی أنّه لا یستفاد من إطلاق وجوب الوفاء إلاّ کون الحکم مستمرّا،لا أنّ الوفاء فی کلّ زمان موضوع مستقلّ محکوم بوجوب مستقلّ،حتّی یقتصر فی تخصیصه علی ما ثبت من جواز نقض العقد فی جزء من الزمان و بقی الباقی</w:t>
      </w:r>
      <w:r>
        <w:rPr>
          <w:rFonts w:eastAsia="IRNazanin" w:cs="IRNazanin"/>
          <w:color w:val="111111"/>
          <w:sz w:val="28"/>
          <w:szCs w:val="28"/>
          <w:rtl w:val="true"/>
          <w:lang w:bidi="fa-IR"/>
        </w:rPr>
        <w:t xml:space="preserve">. </w:t>
      </w:r>
      <w:bookmarkStart w:id="909" w:name="pg12985_125124"/>
    </w:p>
    <w:p>
      <w:pPr>
        <w:pStyle w:val="BookText"/>
        <w:rPr/>
      </w:pPr>
      <w:bookmarkEnd w:id="909"/>
      <w:r>
        <w:rPr>
          <w:rFonts w:ascii="IRNazanin" w:hAnsi="IRNazanin" w:eastAsia="IRNazanin"/>
          <w:color w:val="111111"/>
          <w:sz w:val="28"/>
          <w:sz w:val="28"/>
          <w:szCs w:val="28"/>
          <w:rtl w:val="true"/>
          <w:lang w:bidi="fa-IR"/>
        </w:rPr>
        <w:t>نعم لو استظهر من وجوب الوفاء بالعقد عموم لا ینتقض بجواز نقضه فی زمان،بالإضافة إلی غیره من الأزمنة،صحّ ما ادّعاه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بعید؛و لهذا رجع إلی الاستصحاب فی المسألة جماعة من متأخّری المتأخّرین </w:t>
      </w:r>
      <w:r>
        <w:rPr>
          <w:rStyle w:val="FootnoteAnchor"/>
          <w:rtl w:val="true"/>
        </w:rPr>
        <w:footnoteReference w:id="901"/>
      </w:r>
      <w:r>
        <w:rPr>
          <w:rFonts w:ascii="IRNazanin" w:hAnsi="IRNazanin" w:eastAsia="IRNazanin"/>
          <w:color w:val="111111"/>
          <w:sz w:val="28"/>
          <w:sz w:val="28"/>
          <w:szCs w:val="28"/>
          <w:rtl w:val="true"/>
          <w:lang w:bidi="fa-IR"/>
        </w:rPr>
        <w:t xml:space="preserve">تبعا للمسالک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بعضهم </w:t>
      </w:r>
      <w:r>
        <w:rPr>
          <w:rStyle w:val="FootnoteAnchor"/>
          <w:rtl w:val="true"/>
        </w:rPr>
        <w:footnoteReference w:id="903"/>
      </w:r>
      <w:r>
        <w:rPr>
          <w:rFonts w:ascii="IRNazanin" w:hAnsi="IRNazanin" w:eastAsia="IRNazanin"/>
          <w:color w:val="111111"/>
          <w:sz w:val="28"/>
          <w:sz w:val="28"/>
          <w:szCs w:val="28"/>
          <w:rtl w:val="true"/>
          <w:lang w:bidi="fa-IR"/>
        </w:rPr>
        <w:t>قیّده بکون مدرک الخیار فی الزمان الأوّل هو الإجماع،لا أدلّة نفی الضرر؛لاندفاع الضرر بثبوت الخیار فی الزمن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أجد وجها لهذا التفصیل؛لأنّ نفی الضرر إنّما نفی لزوم العقد، و لم یحدّد زمان الجواز،فإن کان عموم أزمنة وجوب الوفاء یقتصر فی تخصیصه علی ما یندفع به الضرر،و یرجع فی الزائد </w:t>
      </w:r>
      <w:r>
        <w:rPr>
          <w:rStyle w:val="FootnoteAnchor"/>
          <w:rtl w:val="true"/>
        </w:rPr>
        <w:footnoteReference w:id="904"/>
      </w:r>
      <w:r>
        <w:rPr>
          <w:rFonts w:ascii="IRNazanin" w:hAnsi="IRNazanin" w:eastAsia="IRNazanin"/>
          <w:color w:val="111111"/>
          <w:sz w:val="28"/>
          <w:sz w:val="28"/>
          <w:szCs w:val="28"/>
          <w:rtl w:val="true"/>
          <w:lang w:bidi="fa-IR"/>
        </w:rPr>
        <w:t>إلی العموم، فالإجماع أیضا کذلک،یقتصر فیه علی معقده</w:t>
      </w:r>
      <w:r>
        <w:rPr>
          <w:rFonts w:eastAsia="IRNazanin" w:cs="IRNazanin"/>
          <w:color w:val="111111"/>
          <w:sz w:val="28"/>
          <w:szCs w:val="28"/>
          <w:rtl w:val="true"/>
          <w:lang w:bidi="fa-IR"/>
        </w:rPr>
        <w:t>.</w:t>
      </w:r>
    </w:p>
    <w:p>
      <w:pPr>
        <w:pStyle w:val="Heading6"/>
        <w:numPr>
          <w:ilvl w:val="5"/>
          <w:numId w:val="1"/>
        </w:numPr>
        <w:rPr/>
      </w:pPr>
      <w:bookmarkStart w:id="910" w:name="__RefHeading___Toc5767513_3224264995"/>
      <w:bookmarkStart w:id="911" w:name="_Toc365"/>
      <w:bookmarkEnd w:id="910"/>
      <w:r>
        <w:rPr/>
        <w:t>2</w:t>
      </w:r>
      <w:r>
        <w:rPr>
          <w:rtl w:val="true"/>
        </w:rPr>
        <w:t>-</w:t>
      </w:r>
      <w:r>
        <w:rPr>
          <w:rtl w:val="true"/>
        </w:rPr>
        <w:t>ما ذکره السیّد بحر العلوم قدّس سرّه</w:t>
      </w:r>
      <w:r>
        <w:rPr>
          <w:rtl w:val="true"/>
        </w:rPr>
        <w:t>:</w:t>
      </w:r>
      <w:bookmarkEnd w:id="9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من قارب عصرنا من الفحول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المخالف للأصل دلیل شرعیّ مخصّص للعمومات،و لا ینافیه عموم أدلّة حجّیّته،من أخبار الباب الدالّة علی عدم جواز نقض الیقین بغیر الیقین؛إذ لیس العبرة فی العموم و الخصوص بدلیل الدلیل،و إلاّ لم </w:t>
      </w:r>
      <w:bookmarkStart w:id="912" w:name="pg12985_125125"/>
    </w:p>
    <w:p>
      <w:pPr>
        <w:pStyle w:val="BookText"/>
        <w:rPr/>
      </w:pPr>
      <w:bookmarkEnd w:id="912"/>
      <w:r>
        <w:rPr>
          <w:rFonts w:ascii="IRNazanin" w:hAnsi="IRNazanin" w:eastAsia="IRNazanin"/>
          <w:color w:val="111111"/>
          <w:sz w:val="28"/>
          <w:sz w:val="28"/>
          <w:szCs w:val="28"/>
          <w:rtl w:val="true"/>
          <w:lang w:bidi="fa-IR"/>
        </w:rPr>
        <w:t xml:space="preserve">یتحقّق لنا فی الأدلّة دلیل خاصّ؛لانتهاء </w:t>
      </w:r>
      <w:r>
        <w:rPr>
          <w:rStyle w:val="FootnoteAnchor"/>
          <w:rtl w:val="true"/>
        </w:rPr>
        <w:footnoteReference w:id="906"/>
      </w:r>
      <w:r>
        <w:rPr>
          <w:rFonts w:ascii="IRNazanin" w:hAnsi="IRNazanin" w:eastAsia="IRNazanin"/>
          <w:color w:val="111111"/>
          <w:sz w:val="28"/>
          <w:sz w:val="28"/>
          <w:szCs w:val="28"/>
          <w:rtl w:val="true"/>
          <w:lang w:bidi="fa-IR"/>
        </w:rPr>
        <w:t>کلّ دلیل إلی أدلّة عامّة،بل العبرة بنفس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الاستصحاب الجاری فی کلّ مورد خاصّ به </w:t>
      </w:r>
      <w:r>
        <w:rPr>
          <w:rStyle w:val="FootnoteAnchor"/>
          <w:rtl w:val="true"/>
        </w:rPr>
        <w:footnoteReference w:id="907"/>
      </w:r>
      <w:r>
        <w:rPr>
          <w:rFonts w:ascii="IRNazanin" w:hAnsi="IRNazanin" w:eastAsia="IRNazanin"/>
          <w:color w:val="111111"/>
          <w:sz w:val="28"/>
          <w:sz w:val="28"/>
          <w:szCs w:val="28"/>
          <w:rtl w:val="true"/>
          <w:lang w:bidi="fa-IR"/>
        </w:rPr>
        <w:t>، لا یتعدّاه إلی غیره،فیقدّم علی العامّ،کما یقدّم غیره من الأدلّة علیه؛ و لذا تری الفقهاء یستدلّون علی الشغل و النجاسة و التحریم بالاستصحاب، فی مقابلة ما دلّ علی البراءة الأصلیّة و طهارة الأشیاء و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استنادهم إلی استصحاب النجاسة و التحریم فی صورة الشکّ فی ذهاب ثلثی العصیر،و فی کون التحدید تحقیقیّا أو تقریبیّا،و فی </w:t>
      </w:r>
      <w:r>
        <w:rPr>
          <w:rStyle w:val="FootnoteAnchor"/>
          <w:rtl w:val="true"/>
        </w:rPr>
        <w:footnoteReference w:id="908"/>
      </w:r>
      <w:r>
        <w:rPr>
          <w:rFonts w:ascii="IRNazanin" w:hAnsi="IRNazanin" w:eastAsia="IRNazanin"/>
          <w:color w:val="111111"/>
          <w:sz w:val="28"/>
          <w:sz w:val="28"/>
          <w:szCs w:val="28"/>
          <w:rtl w:val="true"/>
          <w:lang w:bidi="fa-IR"/>
        </w:rPr>
        <w:t xml:space="preserve">صیرورته قبل ذهاب الثلثین دبسا،إلی غیر ذلک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کلامه،علی ما لخّصه بعض المعاصرین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5767515_3224264995"/>
      <w:bookmarkStart w:id="914" w:name="_Toc366"/>
      <w:bookmarkEnd w:id="913"/>
      <w:r>
        <w:rPr>
          <w:rtl w:val="true"/>
        </w:rPr>
        <w:t>المناقشة فی ما أفاده بحر العلوم</w:t>
      </w:r>
      <w:r>
        <w:rPr>
          <w:rtl w:val="true"/>
        </w:rPr>
        <w:t>:</w:t>
      </w:r>
      <w:bookmarkEnd w:id="914"/>
    </w:p>
    <w:p>
      <w:pPr>
        <w:pStyle w:val="BookText"/>
        <w:rPr/>
      </w:pPr>
      <w:r>
        <w:rPr>
          <w:rFonts w:ascii="IRNazanin" w:hAnsi="IRNazanin" w:eastAsia="IRNazanin"/>
          <w:color w:val="111111"/>
          <w:sz w:val="28"/>
          <w:sz w:val="28"/>
          <w:szCs w:val="28"/>
          <w:rtl w:val="true"/>
          <w:lang w:bidi="fa-IR"/>
        </w:rPr>
        <w:t>و لا یخفی ما فی ظاهره؛لما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مورد جریان العموم لا یجری الاستصحاب حتّی لو لم یکن عموم،و مورد جریان الاستصحاب لا یرجع إلی العموم و لو لم یکن استصحاب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ذکره من الأمثلة خارج عن مسألة تخصیص الاستصحاب للعمومات؛لأنّ الاصول المذکورة بالنسبة إلی الاستصحاب لیست من قبیل العامّ بالنسبة إلی الخاصّ،کما سیجیء فی تعارض الاستصحاب مع </w:t>
      </w:r>
      <w:bookmarkStart w:id="915" w:name="pg12985_125126"/>
    </w:p>
    <w:p>
      <w:pPr>
        <w:pStyle w:val="BookText"/>
        <w:rPr/>
      </w:pPr>
      <w:bookmarkEnd w:id="915"/>
      <w:r>
        <w:rPr>
          <w:rFonts w:ascii="IRNazanin" w:hAnsi="IRNazanin" w:eastAsia="IRNazanin"/>
          <w:color w:val="111111"/>
          <w:sz w:val="28"/>
          <w:sz w:val="28"/>
          <w:szCs w:val="28"/>
          <w:rtl w:val="true"/>
          <w:lang w:bidi="fa-IR"/>
        </w:rPr>
        <w:t xml:space="preserve">غیره من الاصول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الاستناد فی أصالة الحلّیة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الانتفاع بما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استصحاب حرمة العصیر فی </w:t>
      </w:r>
      <w:r>
        <w:rPr>
          <w:rStyle w:val="FootnoteAnchor"/>
          <w:rtl w:val="true"/>
        </w:rPr>
        <w:footnoteReference w:id="912"/>
      </w:r>
      <w:r>
        <w:rPr>
          <w:rFonts w:ascii="IRNazanin" w:hAnsi="IRNazanin" w:eastAsia="IRNazanin"/>
          <w:color w:val="111111"/>
          <w:sz w:val="28"/>
          <w:sz w:val="28"/>
          <w:szCs w:val="28"/>
          <w:rtl w:val="true"/>
          <w:lang w:bidi="fa-IR"/>
        </w:rPr>
        <w:t>المثالین الأخیرین مثالا لمطلبه،دون المثال الأوّل؛ لأنّه من قبیل الشکّ فی موضوع الحکم الشرعیّ،لا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یستصحب عنوان الخاصّ،و فی الثانی یستصحب حکمه،و هو الذی یتوهّم کونه مخصّصا للعموم دون الأوّل</w:t>
      </w:r>
      <w:r>
        <w:rPr>
          <w:rFonts w:eastAsia="IRNazanin" w:cs="IRNazanin"/>
          <w:color w:val="111111"/>
          <w:sz w:val="28"/>
          <w:szCs w:val="28"/>
          <w:rtl w:val="true"/>
          <w:lang w:bidi="fa-IR"/>
        </w:rPr>
        <w:t>.</w:t>
      </w:r>
    </w:p>
    <w:p>
      <w:pPr>
        <w:pStyle w:val="Heading6"/>
        <w:numPr>
          <w:ilvl w:val="5"/>
          <w:numId w:val="1"/>
        </w:numPr>
        <w:rPr/>
      </w:pPr>
      <w:bookmarkStart w:id="916" w:name="__RefHeading___Toc5767517_3224264995"/>
      <w:bookmarkStart w:id="917" w:name="_Toc367"/>
      <w:bookmarkEnd w:id="916"/>
      <w:r>
        <w:rPr>
          <w:rtl w:val="true"/>
        </w:rPr>
        <w:t>توجیه کلام بحر العلوم</w:t>
      </w:r>
      <w:r>
        <w:rPr>
          <w:rtl w:val="true"/>
        </w:rPr>
        <w:t>:</w:t>
      </w:r>
      <w:bookmarkEnd w:id="91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 من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تخصیصه الکلام بالاستصحاب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عمومات الاصول،و مراده بالتخصیص للعمومات </w:t>
      </w:r>
      <w:r>
        <w:rPr>
          <w:rStyle w:val="FootnoteAnchor"/>
          <w:rtl w:val="true"/>
        </w:rPr>
        <w:footnoteReference w:id="913"/>
      </w:r>
      <w:r>
        <w:rPr>
          <w:rFonts w:ascii="IRNazanin" w:hAnsi="IRNazanin" w:eastAsia="IRNazanin"/>
          <w:color w:val="111111"/>
          <w:sz w:val="28"/>
          <w:sz w:val="28"/>
          <w:szCs w:val="28"/>
          <w:rtl w:val="true"/>
          <w:lang w:bidi="fa-IR"/>
        </w:rPr>
        <w:t>ما یعمّ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فی أوّل أصالة البراءة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مؤدّی الاستصحاب فی کلّ مستصحب إجراء حکم دلیل المستصحب فی صورة الشکّ،فلمّا کان </w:t>
      </w:r>
      <w:r>
        <w:rPr>
          <w:rStyle w:val="FootnoteAnchor"/>
          <w:rtl w:val="true"/>
        </w:rPr>
        <w:footnoteReference w:id="915"/>
      </w:r>
      <w:r>
        <w:rPr>
          <w:rFonts w:ascii="IRNazanin" w:hAnsi="IRNazanin" w:eastAsia="IRNazanin"/>
          <w:color w:val="111111"/>
          <w:sz w:val="28"/>
          <w:sz w:val="28"/>
          <w:szCs w:val="28"/>
          <w:rtl w:val="true"/>
          <w:lang w:bidi="fa-IR"/>
        </w:rPr>
        <w:t>دلیل المستصحب أخصّ من الاصول سمّی تقدّمه علیها تخصیصا،فالاستصحاب فی ذلک متمّم لحکم ذلک الدلیل و مجریه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الاستصحاب بالنسبة إلی العمومات الاجتهادیّة؛فإنّه إذا خرج المستصحب من العموم بدلیله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الاستصحاب مجر لحکم ذلک الدلیل فی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أیضا مخصّص،یعنی موجب للخروج عن حکم العامّ،فافهم</w:t>
      </w:r>
      <w:r>
        <w:rPr>
          <w:rFonts w:eastAsia="IRNazanin" w:cs="IRNazanin"/>
          <w:color w:val="111111"/>
          <w:sz w:val="28"/>
          <w:szCs w:val="28"/>
          <w:rtl w:val="true"/>
          <w:lang w:bidi="fa-IR"/>
        </w:rPr>
        <w:t xml:space="preserve">. </w:t>
      </w:r>
      <w:bookmarkStart w:id="918" w:name="pg12985_125127"/>
    </w:p>
    <w:p>
      <w:pPr>
        <w:pStyle w:val="Heading4"/>
        <w:numPr>
          <w:ilvl w:val="3"/>
          <w:numId w:val="1"/>
        </w:numPr>
        <w:rPr/>
      </w:pPr>
      <w:bookmarkStart w:id="919" w:name="__RefHeading___Toc5767519_3224264995"/>
      <w:bookmarkStart w:id="920" w:name="_Toc368"/>
      <w:bookmarkEnd w:id="918"/>
      <w:bookmarkEnd w:id="919"/>
      <w:r>
        <w:rPr>
          <w:rtl w:val="true"/>
        </w:rPr>
        <w:t xml:space="preserve">الأمر الحادی عشر </w:t>
      </w:r>
      <w:r>
        <w:rPr>
          <w:rtl w:val="true"/>
        </w:rPr>
        <w:t>:</w:t>
      </w:r>
      <w:r>
        <w:rPr>
          <w:rtl w:val="true"/>
        </w:rPr>
        <w:t>لو تعذّر بعض المأمور به فهل یستصحب وجوب الباقی؟</w:t>
      </w:r>
      <w:bookmarkEnd w:id="920"/>
    </w:p>
    <w:p>
      <w:pPr>
        <w:pStyle w:val="Heading5"/>
        <w:numPr>
          <w:ilvl w:val="4"/>
          <w:numId w:val="1"/>
        </w:numPr>
        <w:rPr/>
      </w:pPr>
      <w:bookmarkStart w:id="921" w:name="__RefHeading___Toc5767521_3224264995"/>
      <w:bookmarkStart w:id="922" w:name="_Toc369"/>
      <w:bookmarkEnd w:id="921"/>
      <w:r>
        <w:rPr>
          <w:rtl w:val="true"/>
        </w:rPr>
        <w:t>اشارة</w:t>
      </w:r>
      <w:bookmarkEnd w:id="922"/>
    </w:p>
    <w:p>
      <w:pPr>
        <w:pStyle w:val="BookText"/>
        <w:rPr/>
      </w:pPr>
      <w:r>
        <w:rPr>
          <w:rFonts w:ascii="IRNazanin" w:hAnsi="IRNazanin" w:eastAsia="IRNazanin"/>
          <w:color w:val="111111"/>
          <w:sz w:val="28"/>
          <w:sz w:val="28"/>
          <w:szCs w:val="28"/>
          <w:rtl w:val="true"/>
          <w:lang w:bidi="fa-IR"/>
        </w:rPr>
        <w:t xml:space="preserve">قد أجری بعضهم </w:t>
      </w:r>
      <w:r>
        <w:rPr>
          <w:rStyle w:val="FootnoteAnchor"/>
          <w:rtl w:val="true"/>
        </w:rPr>
        <w:footnoteReference w:id="916"/>
      </w:r>
      <w:r>
        <w:rPr>
          <w:rFonts w:ascii="IRNazanin" w:hAnsi="IRNazanin" w:eastAsia="IRNazanin"/>
          <w:color w:val="111111"/>
          <w:sz w:val="28"/>
          <w:sz w:val="28"/>
          <w:szCs w:val="28"/>
          <w:rtl w:val="true"/>
          <w:lang w:bidi="fa-IR"/>
        </w:rPr>
        <w:t>الاستصحاب فی ما إذا تعذّر بعض أجزاء المرکّب،فیستصحب وجوب الباقی الممکن</w:t>
      </w:r>
      <w:r>
        <w:rPr>
          <w:rFonts w:eastAsia="IRNazanin" w:cs="IRNazanin"/>
          <w:color w:val="111111"/>
          <w:sz w:val="28"/>
          <w:szCs w:val="28"/>
          <w:rtl w:val="true"/>
          <w:lang w:bidi="fa-IR"/>
        </w:rPr>
        <w:t>.</w:t>
      </w:r>
    </w:p>
    <w:p>
      <w:pPr>
        <w:pStyle w:val="Heading5"/>
        <w:numPr>
          <w:ilvl w:val="4"/>
          <w:numId w:val="1"/>
        </w:numPr>
        <w:rPr/>
      </w:pPr>
      <w:bookmarkStart w:id="923" w:name="__RefHeading___Toc5767523_3224264995"/>
      <w:bookmarkStart w:id="924" w:name="_Toc370"/>
      <w:bookmarkEnd w:id="923"/>
      <w:r>
        <w:rPr>
          <w:rtl w:val="true"/>
        </w:rPr>
        <w:t>الإشکال فی هذا الاستصحاب</w:t>
      </w:r>
      <w:r>
        <w:rPr>
          <w:rtl w:val="true"/>
        </w:rPr>
        <w:t>:</w:t>
      </w:r>
      <w:bookmarkEnd w:id="924"/>
    </w:p>
    <w:p>
      <w:pPr>
        <w:pStyle w:val="BookText"/>
        <w:rPr/>
      </w:pPr>
      <w:r>
        <w:rPr>
          <w:rFonts w:ascii="IRNazanin" w:hAnsi="IRNazanin" w:eastAsia="IRNazanin"/>
          <w:color w:val="111111"/>
          <w:sz w:val="28"/>
          <w:sz w:val="28"/>
          <w:szCs w:val="28"/>
          <w:rtl w:val="true"/>
          <w:lang w:bidi="fa-IR"/>
        </w:rPr>
        <w:t>و هو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المحقّقین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الثابت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تعذّر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هذه الأجزاء الباقیة، تبعا لوجوب الکلّ و من باب المقدّمة،و هو مرتفع قطعا،و الذی یراد ثبوته بعد تعذّر البعض هو الوجوب النفسیّ الاستقلالیّ،و هو معلوم الانتفاء سابقا</w:t>
      </w:r>
      <w:r>
        <w:rPr>
          <w:rFonts w:eastAsia="IRNazanin" w:cs="IRNazanin"/>
          <w:color w:val="111111"/>
          <w:sz w:val="28"/>
          <w:szCs w:val="28"/>
          <w:rtl w:val="true"/>
          <w:lang w:bidi="fa-IR"/>
        </w:rPr>
        <w:t>.</w:t>
      </w:r>
    </w:p>
    <w:p>
      <w:pPr>
        <w:pStyle w:val="Heading5"/>
        <w:numPr>
          <w:ilvl w:val="4"/>
          <w:numId w:val="1"/>
        </w:numPr>
        <w:rPr/>
      </w:pPr>
      <w:bookmarkStart w:id="925" w:name="__RefHeading___Toc5767525_3224264995"/>
      <w:bookmarkStart w:id="926" w:name="_Toc371"/>
      <w:bookmarkEnd w:id="925"/>
      <w:r>
        <w:rPr>
          <w:rtl w:val="true"/>
        </w:rPr>
        <w:t>توجیه الاستصحاب بوجوه ثلاثة</w:t>
      </w:r>
      <w:r>
        <w:rPr>
          <w:rtl w:val="true"/>
        </w:rPr>
        <w:t>:</w:t>
      </w:r>
      <w:bookmarkEnd w:id="9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عرفت </w:t>
      </w:r>
      <w:r>
        <w:rPr>
          <w:rStyle w:val="FootnoteAnchor"/>
          <w:rtl w:val="true"/>
        </w:rPr>
        <w:footnoteReference w:id="918"/>
      </w:r>
      <w:r>
        <w:rPr>
          <w:rFonts w:ascii="IRNazanin" w:hAnsi="IRNazanin" w:eastAsia="IRNazanin"/>
          <w:color w:val="111111"/>
          <w:sz w:val="28"/>
          <w:sz w:val="28"/>
          <w:szCs w:val="28"/>
          <w:rtl w:val="true"/>
          <w:lang w:bidi="fa-IR"/>
        </w:rPr>
        <w:t xml:space="preserve">،من جواز إبقاء القدر </w:t>
      </w:r>
    </w:p>
    <w:p>
      <w:pPr>
        <w:pStyle w:val="BookText"/>
        <w:rPr/>
      </w:pPr>
      <w:r>
        <w:rPr>
          <w:rFonts w:ascii="IRNazanin" w:hAnsi="IRNazanin" w:eastAsia="IRNazanin"/>
          <w:color w:val="111111"/>
          <w:sz w:val="28"/>
          <w:sz w:val="28"/>
          <w:szCs w:val="28"/>
          <w:rtl w:val="true"/>
          <w:lang w:bidi="fa-IR"/>
        </w:rPr>
        <w:t>المشترک فی بعض الموارد و لو علم بانتفاء الفرد المشخّص 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المستصحب هو مطلق المطلوبیّة المتحقّقة سابقا لهذا الجزء و لو فی ضمن مطلوبیّة الکلّ،إلاّ أنّ العرف لا یرونها مغایرة فی الخارج لمطلوبیّة الجزء فی نفسه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توجیهه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معه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الوجوب سابقا،و المشار إلیه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الباقی،إلاّ أنّه یشکّ فی مدخلیّة الجزء المفقود فی اتصافه بالوجوب النفسیّ مطلقا،أو اختصاص المدخلیّة بحال الاختیار،فیکون محلّ الوجوب النفسیّ هو الباقی </w:t>
      </w:r>
      <w:r>
        <w:rPr>
          <w:rStyle w:val="FootnoteAnchor"/>
          <w:rtl w:val="true"/>
        </w:rPr>
        <w:footnoteReference w:id="920"/>
      </w:r>
      <w:r>
        <w:rPr>
          <w:rFonts w:ascii="IRNazanin" w:hAnsi="IRNazanin" w:eastAsia="IRNazanin"/>
          <w:color w:val="111111"/>
          <w:sz w:val="28"/>
          <w:sz w:val="28"/>
          <w:szCs w:val="28"/>
          <w:rtl w:val="true"/>
          <w:lang w:bidi="fa-IR"/>
        </w:rPr>
        <w:t>،و وجود ذلک الجزء المفقود و عدمه عند العرف فی حکم الحالات المتبادلة لذلک الواجب المشکوک فی مدخلیّتها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استصحاب الکرّیّة فی ماء نقص منه مقدار فشکّ فی بقائه علی الکرّیّة،فیقال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کرّا،و الأصل بقاء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الشخص الموجود الباقی لم یعلم بکرّیّته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استصحاب القلّة فی ماء زید علیه مقدار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توجیه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الوجوب النفسیّ المردّد بین تعلّقه سابقا بالمرکّب علی أن یکون المفقود جزءا له مطلقا فیسقط الوجوب بتعذّره،و بین تعلّقه بالمرکّب علی أن یکون الجزء جزءا اختیاریّا </w:t>
      </w:r>
      <w:r>
        <w:rPr>
          <w:rStyle w:val="FootnoteAnchor"/>
          <w:rtl w:val="true"/>
        </w:rPr>
        <w:footnoteReference w:id="921"/>
      </w:r>
      <w:r>
        <w:rPr>
          <w:rFonts w:ascii="IRNazanin" w:hAnsi="IRNazanin" w:eastAsia="IRNazanin"/>
          <w:color w:val="111111"/>
          <w:sz w:val="28"/>
          <w:sz w:val="28"/>
          <w:szCs w:val="28"/>
          <w:rtl w:val="true"/>
          <w:lang w:bidi="fa-IR"/>
        </w:rPr>
        <w:t xml:space="preserve">یبقی التکلیف بعد تعذّره،و الأصل بقاؤه،فیثبت به تعلّقه </w:t>
      </w:r>
      <w:bookmarkStart w:id="927" w:name="pg12985_125129"/>
    </w:p>
    <w:p>
      <w:pPr>
        <w:pStyle w:val="BookText"/>
        <w:rPr/>
      </w:pPr>
      <w:bookmarkEnd w:id="927"/>
      <w:r>
        <w:rPr>
          <w:rFonts w:ascii="IRNazanin" w:hAnsi="IRNazanin" w:eastAsia="IRNazanin"/>
          <w:color w:val="111111"/>
          <w:sz w:val="28"/>
          <w:sz w:val="28"/>
          <w:szCs w:val="28"/>
          <w:rtl w:val="true"/>
          <w:lang w:bidi="fa-IR"/>
        </w:rPr>
        <w:t>بالمرکّب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إجراء استصحاب وجود الکرّ فی هذا الإناء لإثبات کرّیّة </w:t>
      </w:r>
      <w:r>
        <w:rPr>
          <w:rStyle w:val="FootnoteAnchor"/>
          <w:rtl w:val="true"/>
        </w:rPr>
        <w:footnoteReference w:id="922"/>
      </w:r>
      <w:r>
        <w:rPr>
          <w:rFonts w:ascii="IRNazanin" w:hAnsi="IRNazanin" w:eastAsia="IRNazanin"/>
          <w:color w:val="111111"/>
          <w:sz w:val="28"/>
          <w:sz w:val="28"/>
          <w:szCs w:val="28"/>
          <w:rtl w:val="true"/>
          <w:lang w:bidi="fa-IR"/>
        </w:rPr>
        <w:t>الباقی فیه</w:t>
      </w:r>
      <w:r>
        <w:rPr>
          <w:rFonts w:eastAsia="IRNazanin" w:cs="IRNazanin"/>
          <w:color w:val="111111"/>
          <w:sz w:val="28"/>
          <w:szCs w:val="28"/>
          <w:rtl w:val="true"/>
          <w:lang w:bidi="fa-IR"/>
        </w:rPr>
        <w:t>.</w:t>
      </w:r>
    </w:p>
    <w:p>
      <w:pPr>
        <w:pStyle w:val="Heading5"/>
        <w:numPr>
          <w:ilvl w:val="4"/>
          <w:numId w:val="1"/>
        </w:numPr>
        <w:rPr/>
      </w:pPr>
      <w:bookmarkStart w:id="928" w:name="__RefHeading___Toc5767527_3224264995"/>
      <w:bookmarkStart w:id="929" w:name="_Toc372"/>
      <w:bookmarkEnd w:id="928"/>
      <w:r>
        <w:rPr>
          <w:rtl w:val="true"/>
        </w:rPr>
        <w:t>ثمرة هذه التوجیهات</w:t>
      </w:r>
      <w:r>
        <w:rPr>
          <w:rtl w:val="true"/>
        </w:rPr>
        <w:t>:</w:t>
      </w:r>
      <w:bookmarkEnd w:id="929"/>
    </w:p>
    <w:p>
      <w:pPr>
        <w:pStyle w:val="BookText"/>
        <w:rPr/>
      </w:pPr>
      <w:r>
        <w:rPr>
          <w:rFonts w:ascii="IRNazanin" w:hAnsi="IRNazanin" w:eastAsia="IRNazanin"/>
          <w:color w:val="111111"/>
          <w:sz w:val="28"/>
          <w:sz w:val="28"/>
          <w:szCs w:val="28"/>
          <w:rtl w:val="true"/>
          <w:lang w:bidi="fa-IR"/>
        </w:rPr>
        <w:t>و یظهر فائدة مخالفة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لم یبق إلاّ قلیل من أجزاء المرکّب،فإنّه یجری التوجیه الأوّل و الثالث دون الثانی؛لأنّ العرف لا یساعد علی فرض الموضوع بین هذا الموجود و بین جامع الکلّ و لو مسامحة؛لأنّ هذه المسامحة مختصّة بمعظم الأجزاء الفاقد لما لا یقدح فی إثبات الاسم و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کان المفقود شرطا،فإنّه لا یجری الاستصحاب علی الأوّل و یجری علی الأخیرین</w:t>
      </w:r>
      <w:r>
        <w:rPr>
          <w:rFonts w:eastAsia="IRNazanin" w:cs="IRNazanin"/>
          <w:color w:val="111111"/>
          <w:sz w:val="28"/>
          <w:szCs w:val="28"/>
          <w:rtl w:val="true"/>
          <w:lang w:bidi="fa-IR"/>
        </w:rPr>
        <w:t>.</w:t>
      </w:r>
    </w:p>
    <w:p>
      <w:pPr>
        <w:pStyle w:val="Heading5"/>
        <w:numPr>
          <w:ilvl w:val="4"/>
          <w:numId w:val="1"/>
        </w:numPr>
        <w:rPr/>
      </w:pPr>
      <w:bookmarkStart w:id="930" w:name="__RefHeading___Toc5767529_3224264995"/>
      <w:bookmarkStart w:id="931" w:name="_Toc373"/>
      <w:bookmarkEnd w:id="930"/>
      <w:r>
        <w:rPr>
          <w:rtl w:val="true"/>
        </w:rPr>
        <w:t>الصحیح من هذه التوجیهات</w:t>
      </w:r>
      <w:r>
        <w:rPr>
          <w:rtl w:val="true"/>
        </w:rPr>
        <w:t>:</w:t>
      </w:r>
      <w:bookmarkEnd w:id="931"/>
    </w:p>
    <w:p>
      <w:pPr>
        <w:pStyle w:val="BookText"/>
        <w:rPr/>
      </w:pPr>
      <w:r>
        <w:rPr>
          <w:rFonts w:ascii="IRNazanin" w:hAnsi="IRNazanin" w:eastAsia="IRNazanin"/>
          <w:color w:val="111111"/>
          <w:sz w:val="28"/>
          <w:sz w:val="28"/>
          <w:szCs w:val="28"/>
          <w:rtl w:val="true"/>
          <w:lang w:bidi="fa-IR"/>
        </w:rPr>
        <w:t xml:space="preserve">و حیث </w:t>
      </w:r>
      <w:r>
        <w:rPr>
          <w:rStyle w:val="FootnoteAnchor"/>
          <w:rtl w:val="true"/>
        </w:rPr>
        <w:footnoteReference w:id="923"/>
      </w:r>
      <w:r>
        <w:rPr>
          <w:rFonts w:ascii="IRNazanin" w:hAnsi="IRNazanin" w:eastAsia="IRNazanin"/>
          <w:color w:val="111111"/>
          <w:sz w:val="28"/>
          <w:sz w:val="28"/>
          <w:szCs w:val="28"/>
          <w:rtl w:val="true"/>
          <w:lang w:bidi="fa-IR"/>
        </w:rPr>
        <w:t>إنّ بناء العرف علی عدم إجراء الاستصحاب فی فاقد معظم الأجزاء و إجرائه فی فاقد الشرط،کشف عن فساد التوجیه الأوّل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بناءهم علی استصحاب نفس الکرّیّة دون الذات </w:t>
      </w:r>
      <w:bookmarkStart w:id="932" w:name="pg12985_125130"/>
    </w:p>
    <w:p>
      <w:pPr>
        <w:pStyle w:val="BookText"/>
        <w:rPr/>
      </w:pPr>
      <w:bookmarkEnd w:id="932"/>
      <w:r>
        <w:rPr>
          <w:rFonts w:ascii="IRNazanin" w:hAnsi="IRNazanin" w:eastAsia="IRNazanin"/>
          <w:color w:val="111111"/>
          <w:sz w:val="28"/>
          <w:sz w:val="28"/>
          <w:szCs w:val="28"/>
          <w:rtl w:val="true"/>
          <w:lang w:bidi="fa-IR"/>
        </w:rPr>
        <w:t xml:space="preserve">المتّصف بها،کشف عن صحّة الأوّل من الأخیرین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الإشکال بعد فی الاعتماد علی هذه المسامحة العرفیّة المذکورة، إلاّ أنّ الظاهر أنّ استصحاب الکرّیّة من المسلّمات عند القائلین بالاستصحاب،و الظاهر عدم الفرق</w:t>
      </w:r>
      <w:r>
        <w:rPr>
          <w:rFonts w:eastAsia="IRNazanin" w:cs="IRNazanin"/>
          <w:color w:val="111111"/>
          <w:sz w:val="28"/>
          <w:szCs w:val="28"/>
          <w:rtl w:val="true"/>
          <w:lang w:bidi="fa-IR"/>
        </w:rPr>
        <w:t>.</w:t>
      </w:r>
    </w:p>
    <w:p>
      <w:pPr>
        <w:pStyle w:val="Heading5"/>
        <w:numPr>
          <w:ilvl w:val="4"/>
          <w:numId w:val="1"/>
        </w:numPr>
        <w:rPr/>
      </w:pPr>
      <w:bookmarkStart w:id="933" w:name="__RefHeading___Toc5767531_3224264995"/>
      <w:bookmarkStart w:id="934" w:name="_Toc374"/>
      <w:bookmarkEnd w:id="933"/>
      <w:r>
        <w:rPr>
          <w:rtl w:val="true"/>
        </w:rPr>
        <w:t>عدم الفرق بناء علی جریان الاستصحاب بین تعذّر الجزء بعد تنجّز التکلیف أو قبله</w:t>
      </w:r>
      <w:r>
        <w:rPr>
          <w:rtl w:val="true"/>
        </w:rPr>
        <w:t>:</w:t>
      </w:r>
      <w:bookmarkEnd w:id="934"/>
    </w:p>
    <w:p>
      <w:pPr>
        <w:pStyle w:val="BookText"/>
        <w:rPr/>
      </w:pPr>
      <w:r>
        <w:rPr>
          <w:rFonts w:ascii="IRNazanin" w:hAnsi="IRNazanin" w:eastAsia="IRNazanin"/>
          <w:color w:val="111111"/>
          <w:sz w:val="28"/>
          <w:sz w:val="28"/>
          <w:szCs w:val="28"/>
          <w:rtl w:val="true"/>
          <w:lang w:bidi="fa-IR"/>
        </w:rPr>
        <w:t>ثمّ إنّه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تعذّر الجزء بعد تنجّز التکلیف،کما إذا زالت الشمس متمکّنا من جمیع الأجزاء ففقد بعضها،و بین ما إذا فقده قبل الزوال؛لأنّ المستصحب هو الوجوب النوعیّ المنجّز علی تقدیر اجتماع شرائطه،لا الشخصیّ المتوقّف علی تحقّق الشرائط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ثبوت جزئیّة المفقود بالدلیل الاجتهادیّ،و بین ثبوتها بقاعدة الاشتغال</w:t>
      </w:r>
      <w:r>
        <w:rPr>
          <w:rFonts w:eastAsia="IRNazanin" w:cs="IRNazanin"/>
          <w:color w:val="111111"/>
          <w:sz w:val="28"/>
          <w:szCs w:val="28"/>
          <w:rtl w:val="true"/>
          <w:lang w:bidi="fa-IR"/>
        </w:rPr>
        <w:t>.</w:t>
      </w:r>
    </w:p>
    <w:p>
      <w:pPr>
        <w:pStyle w:val="Heading5"/>
        <w:numPr>
          <w:ilvl w:val="4"/>
          <w:numId w:val="1"/>
        </w:numPr>
        <w:rPr/>
      </w:pPr>
      <w:bookmarkStart w:id="935" w:name="__RefHeading___Toc5767533_3224264995"/>
      <w:bookmarkStart w:id="936" w:name="_Toc375"/>
      <w:bookmarkEnd w:id="935"/>
      <w:r>
        <w:rPr>
          <w:rtl w:val="true"/>
        </w:rPr>
        <w:t>تخیّل و دفع</w:t>
      </w:r>
      <w:r>
        <w:rPr>
          <w:rtl w:val="true"/>
        </w:rPr>
        <w:t>:</w:t>
      </w:r>
      <w:bookmarkEnd w:id="936"/>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الاستصحاب فی القسم الثانی؛ لأنّ وجوب الاتیان بذلک الجزء لم یکن إلاّ لوجوب الخروج عن عهدة التکلیف،و هذا بعینه مقتض لوجوب الاتیان بالباقی بعد تعذّر الجزء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925"/>
      </w:r>
      <w:r>
        <w:rPr>
          <w:rFonts w:ascii="IRNazanin" w:hAnsi="IRNazanin" w:eastAsia="IRNazanin"/>
          <w:color w:val="111111"/>
          <w:sz w:val="28"/>
          <w:sz w:val="28"/>
          <w:szCs w:val="28"/>
          <w:rtl w:val="true"/>
          <w:lang w:bidi="fa-IR"/>
        </w:rPr>
        <w:t xml:space="preserve">،من أنّ وجوب الخروج عن عهدة التکلیف بالمجمل إنّما هو بحکم العقل لا بالاستصحاب،و الاستصحاب لا ینفع إلاّ </w:t>
      </w:r>
      <w:bookmarkStart w:id="937" w:name="pg12985_125131"/>
    </w:p>
    <w:p>
      <w:pPr>
        <w:pStyle w:val="BookText"/>
        <w:rPr/>
      </w:pPr>
      <w:bookmarkEnd w:id="937"/>
      <w:r>
        <w:rPr>
          <w:rFonts w:ascii="IRNazanin" w:hAnsi="IRNazanin" w:eastAsia="IRNazanin"/>
          <w:color w:val="111111"/>
          <w:sz w:val="28"/>
          <w:sz w:val="28"/>
          <w:szCs w:val="28"/>
          <w:rtl w:val="true"/>
          <w:lang w:bidi="fa-IR"/>
        </w:rPr>
        <w:t>بناء علی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به لم یفرق بین ثبوت الجزء بالدلیل أو بالأصل؛لما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جریان استصحاب بقاء أصل التکلیف، و إن کان بینهما فرق؛من حیث إنّ استصحاب التکلیف فی المقام من قبیل استصحاب الکلّی المتحقّق سابقا فی ضمن فرد معیّن بعد العلم بارتفاع ذلک الفرد المعیّن،و فی استصحاب الاشتغال من قبیل استصحاب الکلّی المتحقّق فی ضمن المردّد بین المرتفع و الباقی،و قد عرفت </w:t>
      </w:r>
      <w:r>
        <w:rPr>
          <w:rStyle w:val="FootnoteAnchor"/>
          <w:rtl w:val="true"/>
        </w:rPr>
        <w:footnoteReference w:id="926"/>
      </w:r>
      <w:r>
        <w:rPr>
          <w:rFonts w:ascii="IRNazanin" w:hAnsi="IRNazanin" w:eastAsia="IRNazanin"/>
          <w:color w:val="111111"/>
          <w:sz w:val="28"/>
          <w:sz w:val="28"/>
          <w:szCs w:val="28"/>
          <w:rtl w:val="true"/>
          <w:lang w:bidi="fa-IR"/>
        </w:rPr>
        <w:t>عدم جریان الاستصحاب فی الصورة الاولی،إلاّ فی بعض مواردها بمساعدة العرف</w:t>
      </w:r>
      <w:r>
        <w:rPr>
          <w:rFonts w:eastAsia="IRNazanin" w:cs="IRNazanin"/>
          <w:color w:val="111111"/>
          <w:sz w:val="28"/>
          <w:szCs w:val="28"/>
          <w:rtl w:val="true"/>
          <w:lang w:bidi="fa-IR"/>
        </w:rPr>
        <w:t>.</w:t>
      </w:r>
    </w:p>
    <w:p>
      <w:pPr>
        <w:pStyle w:val="Heading5"/>
        <w:numPr>
          <w:ilvl w:val="4"/>
          <w:numId w:val="1"/>
        </w:numPr>
        <w:rPr/>
      </w:pPr>
      <w:bookmarkStart w:id="938" w:name="__RefHeading___Toc5767535_3224264995"/>
      <w:bookmarkStart w:id="939" w:name="_Toc376"/>
      <w:bookmarkEnd w:id="938"/>
      <w:r>
        <w:rPr>
          <w:rtl w:val="true"/>
        </w:rPr>
        <w:t>نسبة التمسّک بالاستصحاب فی هذه المسألة إلی الفاضلین</w:t>
      </w:r>
      <w:r>
        <w:rPr>
          <w:rtl w:val="true"/>
        </w:rPr>
        <w:t>:</w:t>
      </w:r>
      <w:bookmarkEnd w:id="939"/>
    </w:p>
    <w:p>
      <w:pPr>
        <w:pStyle w:val="Heading6"/>
        <w:numPr>
          <w:ilvl w:val="5"/>
          <w:numId w:val="1"/>
        </w:numPr>
        <w:rPr/>
      </w:pPr>
      <w:bookmarkStart w:id="940" w:name="__RefHeading___Toc5767537_3224264995"/>
      <w:bookmarkStart w:id="941" w:name="_Toc377"/>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نسب إلی الفاضلین قدّس سرّهما </w:t>
      </w:r>
      <w:r>
        <w:rPr>
          <w:rStyle w:val="FootnoteAnchor"/>
          <w:rtl w:val="true"/>
        </w:rPr>
        <w:footnoteReference w:id="927"/>
      </w:r>
      <w:r>
        <w:rPr>
          <w:rFonts w:ascii="IRNazanin" w:hAnsi="IRNazanin" w:eastAsia="IRNazanin"/>
          <w:color w:val="111111"/>
          <w:sz w:val="28"/>
          <w:sz w:val="28"/>
          <w:szCs w:val="28"/>
          <w:rtl w:val="true"/>
          <w:lang w:bidi="fa-IR"/>
        </w:rPr>
        <w:t xml:space="preserve">التمسّک بالاستصحاب فی هذه المسألة،فی </w:t>
      </w:r>
      <w:r>
        <w:rPr>
          <w:rStyle w:val="FootnoteAnchor"/>
          <w:rtl w:val="true"/>
        </w:rPr>
        <w:footnoteReference w:id="928"/>
      </w:r>
      <w:r>
        <w:rPr>
          <w:rFonts w:ascii="Amiri" w:hAnsi="Amiri" w:eastAsia="Amiri" w:cs="Amiri"/>
          <w:color w:val="111111"/>
          <w:sz w:val="28"/>
          <w:sz w:val="28"/>
          <w:szCs w:val="28"/>
          <w:rtl w:val="true"/>
          <w:lang w:bidi="ar-SA"/>
        </w:rPr>
        <w:t>مسألة الأقطع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المذکور فی المعتبر و المنتهی الاستدلال علی وجوب غسل ما بقی من الید المقطوعة ممّا دون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غسل الجمیع بتقدیر وجود ذلک البعض واجب،فإذا زال البعض لم یسقط الآخر </w:t>
      </w:r>
      <w:r>
        <w:rPr>
          <w:rStyle w:val="FootnoteAnchor"/>
          <w:rtl w:val="true"/>
        </w:rPr>
        <w:footnoteReference w:id="9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42" w:name="__RefHeading___Toc5767539_3224264995"/>
      <w:bookmarkStart w:id="943" w:name="_Toc378"/>
      <w:bookmarkEnd w:id="942"/>
      <w:r>
        <w:rPr>
          <w:rtl w:val="true"/>
        </w:rPr>
        <w:t>المناقشة فی هذه النسبة</w:t>
      </w:r>
      <w:r>
        <w:rPr>
          <w:rtl w:val="true"/>
        </w:rPr>
        <w:t>:</w:t>
      </w:r>
      <w:bookmarkEnd w:id="9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الاستدلال یحتمل أن یراد منه مفاد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أبدله فی الذکری بنفس القاعدة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یحتمل أن یراد منه الاستصحاب،بأن 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الموجود بتقدیر وجود المفقود فی زمان سابق واجب،فإذا زال البعض لم یعلم سقوط الباقی،و الأصل عدمه،أو لم یسقط بحکم الاستصحاب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یراد به التمسّک بعموم ما دلّ علی وجوب کلّ من الأجزاء من غیر مخصّص له بصورة التمکّن من الجمیع،لکنّه ضعیف احتمالا و محتملا</w:t>
      </w:r>
      <w:r>
        <w:rPr>
          <w:rFonts w:eastAsia="IRNazanin" w:cs="IRNazanin"/>
          <w:color w:val="111111"/>
          <w:sz w:val="28"/>
          <w:szCs w:val="28"/>
          <w:rtl w:val="true"/>
          <w:lang w:bidi="fa-IR"/>
        </w:rPr>
        <w:t xml:space="preserve">. </w:t>
      </w:r>
      <w:bookmarkStart w:id="944" w:name="pg12985_125133"/>
    </w:p>
    <w:p>
      <w:pPr>
        <w:pStyle w:val="Heading4"/>
        <w:numPr>
          <w:ilvl w:val="3"/>
          <w:numId w:val="1"/>
        </w:numPr>
        <w:rPr/>
      </w:pPr>
      <w:bookmarkStart w:id="945" w:name="__RefHeading___Toc5767541_3224264995"/>
      <w:bookmarkStart w:id="946" w:name="_Toc379"/>
      <w:bookmarkEnd w:id="944"/>
      <w:bookmarkEnd w:id="945"/>
      <w:r>
        <w:rPr>
          <w:rtl w:val="true"/>
        </w:rPr>
        <w:t xml:space="preserve">الأمر الثانی عشر </w:t>
      </w:r>
      <w:r>
        <w:rPr>
          <w:rtl w:val="true"/>
        </w:rPr>
        <w:t>:</w:t>
      </w:r>
      <w:r>
        <w:rPr>
          <w:rtl w:val="true"/>
        </w:rPr>
        <w:t>جریان الاستصحاب حتّی مع الظنّ بالخلاف و الدلیل علیه من وجوه</w:t>
      </w:r>
      <w:bookmarkEnd w:id="946"/>
    </w:p>
    <w:p>
      <w:pPr>
        <w:pStyle w:val="Heading5"/>
        <w:numPr>
          <w:ilvl w:val="4"/>
          <w:numId w:val="1"/>
        </w:numPr>
        <w:rPr/>
      </w:pPr>
      <w:bookmarkStart w:id="947" w:name="__RefHeading___Toc5767543_3224264995"/>
      <w:bookmarkStart w:id="948" w:name="_Toc380"/>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أنّه لا فرق فی احتمال خلاف الحالة السابقة بین أن یکون مساویا لاحتمال بقائه،أو راجحا علیه بأمارة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Heading5"/>
        <w:numPr>
          <w:ilvl w:val="4"/>
          <w:numId w:val="1"/>
        </w:numPr>
        <w:rPr/>
      </w:pPr>
      <w:bookmarkStart w:id="949" w:name="__RefHeading___Toc5767545_3224264995"/>
      <w:bookmarkStart w:id="950" w:name="_Toc381"/>
      <w:bookmarkEnd w:id="949"/>
      <w:r>
        <w:rPr>
          <w:rtl w:val="true"/>
        </w:rPr>
        <w:t>الوجه  الأوّل</w:t>
      </w:r>
      <w:r>
        <w:rPr>
          <w:rtl w:val="true"/>
        </w:rPr>
        <w:t>:</w:t>
      </w:r>
      <w:r>
        <w:rPr>
          <w:rtl w:val="true"/>
        </w:rPr>
        <w:t>الإجماع القطعیّ</w:t>
      </w:r>
      <w:bookmarkEnd w:id="950"/>
    </w:p>
    <w:p>
      <w:pPr>
        <w:pStyle w:val="BookText"/>
        <w:rPr/>
      </w:pPr>
      <w:r>
        <w:rPr>
          <w:rFonts w:ascii="IRNazanin" w:hAnsi="IRNazanin" w:eastAsia="IRNazanin"/>
          <w:color w:val="111111"/>
          <w:sz w:val="28"/>
          <w:sz w:val="28"/>
          <w:szCs w:val="28"/>
          <w:rtl w:val="true"/>
          <w:lang w:bidi="fa-IR"/>
        </w:rPr>
        <w:t>علی تقدیر اعتبار الاستصحاب من باب الأخبار</w:t>
      </w:r>
      <w:r>
        <w:rPr>
          <w:rFonts w:eastAsia="IRNazanin" w:cs="IRNazanin"/>
          <w:color w:val="111111"/>
          <w:sz w:val="28"/>
          <w:szCs w:val="28"/>
          <w:rtl w:val="true"/>
          <w:lang w:bidi="fa-IR"/>
        </w:rPr>
        <w:t>.</w:t>
      </w:r>
    </w:p>
    <w:p>
      <w:pPr>
        <w:pStyle w:val="Heading5"/>
        <w:numPr>
          <w:ilvl w:val="4"/>
          <w:numId w:val="1"/>
        </w:numPr>
        <w:rPr/>
      </w:pPr>
      <w:bookmarkStart w:id="951" w:name="__RefHeading___Toc5767547_3224264995"/>
      <w:bookmarkStart w:id="952" w:name="_Toc382"/>
      <w:bookmarkEnd w:id="951"/>
      <w:r>
        <w:rPr>
          <w:rtl w:val="true"/>
        </w:rPr>
        <w:t>الوجه</w:t>
      </w:r>
      <w:r>
        <w:rPr>
          <w:rtl w:val="true"/>
        </w:rPr>
        <w:t xml:space="preserve">: </w:t>
      </w:r>
      <w:r>
        <w:rPr>
          <w:rtl w:val="true"/>
        </w:rPr>
        <w:t>الثانی</w:t>
      </w:r>
      <w:r>
        <w:rPr>
          <w:rtl w:val="true"/>
        </w:rPr>
        <w:t>:</w:t>
      </w:r>
      <w:r>
        <w:rPr>
          <w:rtl w:val="true"/>
        </w:rPr>
        <w:t>أنّ المراد بالشکّ فی الروایات معناه اللغویّ،</w:t>
      </w:r>
      <w:bookmarkEnd w:id="952"/>
    </w:p>
    <w:p>
      <w:pPr>
        <w:pStyle w:val="BookText"/>
        <w:rPr/>
      </w:pPr>
      <w:r>
        <w:rPr>
          <w:rFonts w:ascii="IRNazanin" w:hAnsi="IRNazanin" w:eastAsia="IRNazanin"/>
          <w:color w:val="111111"/>
          <w:sz w:val="28"/>
          <w:sz w:val="28"/>
          <w:szCs w:val="28"/>
          <w:rtl w:val="true"/>
          <w:lang w:bidi="fa-IR"/>
        </w:rPr>
        <w:t xml:space="preserve">و هو خلاف الیقین،کما فی الصحاح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فیه ظاهرا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فی الروایات إلی معناه الأخصّ،و هو الاحتمال المساوی،لا شاهد لها،بل یشهد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تعارف إطلاق الشکّ فی الأخبار علی المعنی الأعمّ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من الأخبار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الشکّ بالیقین فی جمیع الأخبار</w:t>
      </w:r>
      <w:r>
        <w:rPr>
          <w:rFonts w:eastAsia="IRNazanin" w:cs="IRNazanin"/>
          <w:color w:val="111111"/>
          <w:sz w:val="28"/>
          <w:szCs w:val="28"/>
          <w:rtl w:val="true"/>
          <w:lang w:bidi="fa-IR"/>
        </w:rPr>
        <w:t xml:space="preserve">. </w:t>
      </w:r>
      <w:bookmarkStart w:id="953" w:name="pg12985_125134"/>
    </w:p>
    <w:p>
      <w:pPr>
        <w:pStyle w:val="BookText"/>
        <w:rPr/>
      </w:pPr>
      <w:bookmarkEnd w:id="95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صحیحة زرارة الاولی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إلی جنبه شیء و هو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فرض السؤال فیما کان معه أمارة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غایة وجوب الوضوء الاستیقان بالنوم و مجیء أمر 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سوقه فی مقام بیان حصر ناقض الیقین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صحیحة زرارة الثانیة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شیء أوقع علیک،و 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مجرّد الاحتمال،خصوصا مع وروده فی مقام إبداء ذلک کما فی المقام،فیکون الحکم متفرّعا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لا یدخله الشّکّ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5767549_3224264995"/>
      <w:bookmarkStart w:id="955" w:name="_Toc383"/>
      <w:bookmarkEnd w:id="954"/>
      <w:r>
        <w:rPr>
          <w:rtl w:val="true"/>
        </w:rPr>
        <w:t>الوجه</w:t>
      </w:r>
      <w:r>
        <w:rPr>
          <w:rtl w:val="true"/>
        </w:rPr>
        <w:t xml:space="preserve">: </w:t>
      </w:r>
      <w:r>
        <w:rPr>
          <w:rtl w:val="true"/>
        </w:rPr>
        <w:t>الثالث</w:t>
      </w:r>
      <w:r>
        <w:rPr>
          <w:rtl w:val="true"/>
        </w:rPr>
        <w:t>:</w:t>
      </w:r>
      <w:r>
        <w:rPr>
          <w:rtl w:val="true"/>
        </w:rPr>
        <w:t>أنّ الظنّ الغیر المعتبر إن علم بعدم اعتباره</w:t>
      </w:r>
      <w:bookmarkEnd w:id="955"/>
    </w:p>
    <w:p>
      <w:pPr>
        <w:pStyle w:val="Heading6"/>
        <w:numPr>
          <w:ilvl w:val="5"/>
          <w:numId w:val="1"/>
        </w:numPr>
        <w:rPr/>
      </w:pPr>
      <w:bookmarkStart w:id="956" w:name="__RefHeading___Toc5767551_3224264995"/>
      <w:bookmarkStart w:id="957" w:name="_Toc384"/>
      <w:bookmarkEnd w:id="956"/>
      <w:r>
        <w:rPr>
          <w:rtl w:val="true"/>
        </w:rPr>
        <w:t>اشارة</w:t>
      </w:r>
      <w:bookmarkEnd w:id="9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بالدلیل،فمعناه أنّ وجوده کعدمه عند الشارع،و أنّ کلّ ما یترتّب شرعا علی تقدیر عدمه فهو المترتّب علی تقدیر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ممّا شکّ فی اعتباره، فمرجع رفع الید عن الیقین بالحکم الفعلیّ السابق بسببه،إلی نقض الیقین بالشکّ،فتأمّل جدّا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958" w:name="pg12985_125135"/>
    </w:p>
    <w:p>
      <w:pPr>
        <w:pStyle w:val="BookText"/>
        <w:rPr/>
      </w:pPr>
      <w:bookmarkEnd w:id="958"/>
      <w:r>
        <w:rPr>
          <w:rFonts w:ascii="IRNazanin" w:hAnsi="IRNazanin" w:eastAsia="IRNazanin"/>
          <w:color w:val="111111"/>
          <w:sz w:val="28"/>
          <w:sz w:val="28"/>
          <w:szCs w:val="28"/>
          <w:rtl w:val="true"/>
          <w:lang w:bidi="fa-IR"/>
        </w:rPr>
        <w:t>هذا کلّه علی تقدیر اعتبار الاستصحاب من باب التعبّد المستنبط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اعتباره من باب الظنّ الحاصل من تحقّق المستصحب فی السابق،فظاهر کلماتهم أنّه لا یقدح فیه أیضا وجود الأمارة الغیر المعتبرة،فیکون العبرة فیه عندهم بالظنّ النوعیّ و إن کان الظنّ الشخصیّ علی خلافه؛و لذا تمسّکوا به فی مقامات غیر محصورة علی الوجه الکلّیّ،من غیر التفات إلی وجود الأمارات الغیر المعتبرة فی خصوصیّات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قدّس سرّه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مسألة الشکّ فی تقدّم الحدث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6"/>
        <w:numPr>
          <w:ilvl w:val="5"/>
          <w:numId w:val="1"/>
        </w:numPr>
        <w:rPr/>
      </w:pPr>
      <w:bookmarkStart w:id="959" w:name="__RefHeading___Toc5767553_3224264995"/>
      <w:bookmarkStart w:id="960" w:name="_Toc385"/>
      <w:bookmarkEnd w:id="959"/>
      <w:r>
        <w:rPr>
          <w:rtl w:val="true"/>
        </w:rPr>
        <w:t>تنبیه</w:t>
      </w:r>
      <w:r>
        <w:rPr>
          <w:rtl w:val="true"/>
        </w:rPr>
        <w:t xml:space="preserve">: </w:t>
      </w:r>
      <w:r>
        <w:rPr>
          <w:rtl w:val="true"/>
        </w:rPr>
        <w:t>کلام الشهید فی الذکری</w:t>
      </w:r>
      <w:bookmarkEnd w:id="960"/>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نعنی به اجتماع الیقین و الشکّ فی زمان واحد؛لامتناع ذلک،ضرورة أنّ الشکّ فی أحد النقیضین یرفع یقین الآخر،بل المعنیّ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الذی کان فی الزمن الأوّل لا یخرج عن حکمه بالشکّ فی الزمان الثانی؛لأصالة بقاء ما کان علی ما کان،فیؤول إلی اجتماع الظنّ و الشکّ فی الزمان الواحد،فیرجّح الظنّ علیه،کما هو مطّرد فی العبادات </w:t>
      </w:r>
      <w:r>
        <w:rPr>
          <w:rStyle w:val="FootnoteAnchor"/>
          <w:rtl w:val="true"/>
        </w:rPr>
        <w:footnoteReference w:id="9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61" w:name="__RefHeading___Toc5767555_3224264995"/>
      <w:bookmarkStart w:id="962" w:name="_Toc386"/>
      <w:bookmarkEnd w:id="961"/>
      <w:r>
        <w:rPr>
          <w:rtl w:val="true"/>
        </w:rPr>
        <w:t>توجیه کلام الشهید</w:t>
      </w:r>
      <w:r>
        <w:rPr>
          <w:rtl w:val="true"/>
        </w:rPr>
        <w:t>«</w:t>
      </w:r>
      <w:r>
        <w:rPr>
          <w:rtl w:val="true"/>
        </w:rPr>
        <w:t>قدس سره</w:t>
      </w:r>
      <w:r>
        <w:rPr>
          <w:rtl w:val="true"/>
        </w:rPr>
        <w:t>»:</w:t>
      </w:r>
      <w:bookmarkEnd w:id="9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من الشکّ معناه اللغویّ،و هو مجرّد الاحتمال المنافی للیقین، فلا ینافی ثبوت الظنّ الحاصل من أصالة بقاء ما کان،فلا یرد ما اورد علیه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الظنّ کالیقین فی عدم الاجتماع مع الشکّ</w:t>
      </w:r>
      <w:r>
        <w:rPr>
          <w:rFonts w:eastAsia="IRNazanin" w:cs="IRNazanin"/>
          <w:color w:val="111111"/>
          <w:sz w:val="28"/>
          <w:szCs w:val="28"/>
          <w:rtl w:val="true"/>
          <w:lang w:bidi="fa-IR"/>
        </w:rPr>
        <w:t xml:space="preserve">. </w:t>
      </w:r>
      <w:bookmarkStart w:id="963" w:name="pg12985_125136"/>
    </w:p>
    <w:p>
      <w:pPr>
        <w:pStyle w:val="Heading6"/>
        <w:numPr>
          <w:ilvl w:val="5"/>
          <w:numId w:val="1"/>
        </w:numPr>
        <w:rPr/>
      </w:pPr>
      <w:bookmarkStart w:id="964" w:name="__RefHeading___Toc5767557_3224264995"/>
      <w:bookmarkStart w:id="965" w:name="_Toc387"/>
      <w:bookmarkEnd w:id="963"/>
      <w:bookmarkEnd w:id="964"/>
      <w:r>
        <w:rPr>
          <w:rtl w:val="true"/>
        </w:rPr>
        <w:t>ما یرد علی هذا التوجیه</w:t>
      </w:r>
      <w:r>
        <w:rPr>
          <w:rtl w:val="true"/>
        </w:rPr>
        <w:t>:</w:t>
      </w:r>
      <w:bookmarkEnd w:id="965"/>
    </w:p>
    <w:p>
      <w:pPr>
        <w:pStyle w:val="BookText"/>
        <w:rPr/>
      </w:pPr>
      <w:r>
        <w:rPr>
          <w:rFonts w:ascii="IRNazanin" w:hAnsi="IRNazanin" w:eastAsia="IRNazanin"/>
          <w:color w:val="111111"/>
          <w:sz w:val="28"/>
          <w:sz w:val="28"/>
          <w:szCs w:val="28"/>
          <w:rtl w:val="true"/>
          <w:lang w:bidi="fa-IR"/>
        </w:rPr>
        <w:t>نعم،یرد علی ما ذکرنا من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الشهید قدّس سرّه فی مقام دفع ما یتوهّم من التناقض المتوهّم </w:t>
      </w:r>
      <w:r>
        <w:rPr>
          <w:rStyle w:val="FootnoteAnchor"/>
          <w:rtl w:val="true"/>
        </w:rPr>
        <w:footnoteReference w:id="940"/>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ریب أنّ الشکّ الذی حکم بأنّه لا یرفع الیقین،لیس المراد منه الاحتمال الموهوم؛لأنّه إنّما یصیر موهوما بعد ملاحظة أصالة بقاء ما کان،نظیر المشکوک الذی یراد إلحاقه بالغالب،فإنّه یصیر مظنونا </w:t>
      </w:r>
      <w:r>
        <w:rPr>
          <w:rStyle w:val="FootnoteAnchor"/>
          <w:rtl w:val="true"/>
        </w:rPr>
        <w:footnoteReference w:id="941"/>
      </w:r>
      <w:r>
        <w:rPr>
          <w:rFonts w:ascii="IRNazanin" w:hAnsi="IRNazanin" w:eastAsia="IRNazanin"/>
          <w:color w:val="111111"/>
          <w:sz w:val="28"/>
          <w:sz w:val="28"/>
          <w:szCs w:val="28"/>
          <w:rtl w:val="true"/>
          <w:lang w:bidi="fa-IR"/>
        </w:rPr>
        <w:t>بعد ملاحظة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إرادة الاحتمال الموهوم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المدقّق الخوانساری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یندفع به توهّم اجتماع الوهم و الیقین المستفاد من عدم رفع الأوّل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الیقین السابق و الشکّ اللاحق یغنی عن إرادة خصوص الوهم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کان،فما ذکره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اشتراک الظنّ و الیقین فی عدم الاجتماع مع الشکّ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Heading6"/>
        <w:numPr>
          <w:ilvl w:val="5"/>
          <w:numId w:val="1"/>
        </w:numPr>
        <w:rPr/>
      </w:pPr>
      <w:bookmarkStart w:id="966" w:name="__RefHeading___Toc5767559_3224264995"/>
      <w:bookmarkStart w:id="967" w:name="_Toc388"/>
      <w:bookmarkEnd w:id="966"/>
      <w:r>
        <w:rPr>
          <w:rtl w:val="true"/>
        </w:rPr>
        <w:t>المراد من قولهم</w:t>
      </w:r>
      <w:r>
        <w:rPr>
          <w:rtl w:val="true"/>
        </w:rPr>
        <w:t>:«</w:t>
      </w:r>
      <w:r>
        <w:rPr>
          <w:rtl w:val="true"/>
        </w:rPr>
        <w:t>الیقین لا یرفعه الشکّ</w:t>
      </w:r>
      <w:r>
        <w:rPr>
          <w:rtl w:val="true"/>
        </w:rPr>
        <w:t>»:</w:t>
      </w:r>
      <w:bookmarkEnd w:id="9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علی اجتماعهما فی زمان واحد،إلاّ من حیث الحکم فی تلک القضیّة بعدم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هذا لیس إخبارا عن الواقع؛لأنّه کذب، و لیس حکما شرعیّا بإبقاء نفس الیقین أیضا؛لأنّه غیر معقول،و إنّما هو حکم شرعیّ بعدم </w:t>
      </w:r>
      <w:r>
        <w:rPr>
          <w:rStyle w:val="FootnoteAnchor"/>
          <w:rtl w:val="true"/>
        </w:rPr>
        <w:footnoteReference w:id="943"/>
      </w:r>
      <w:r>
        <w:rPr>
          <w:rFonts w:ascii="IRNazanin" w:hAnsi="IRNazanin" w:eastAsia="IRNazanin"/>
          <w:color w:val="111111"/>
          <w:sz w:val="28"/>
          <w:sz w:val="28"/>
          <w:szCs w:val="28"/>
          <w:rtl w:val="true"/>
          <w:lang w:bidi="fa-IR"/>
        </w:rPr>
        <w:t>رفع آثار الیقین السابق بالشکّ اللاحق،سواء کان احتمالا مساویا أو مرجوحا</w:t>
      </w:r>
      <w:r>
        <w:rPr>
          <w:rFonts w:eastAsia="IRNazanin" w:cs="IRNazanin"/>
          <w:color w:val="111111"/>
          <w:sz w:val="28"/>
          <w:szCs w:val="28"/>
          <w:rtl w:val="true"/>
          <w:lang w:bidi="fa-IR"/>
        </w:rPr>
        <w:t xml:space="preserve">. </w:t>
      </w:r>
      <w:bookmarkStart w:id="968" w:name="pg12985_125137"/>
    </w:p>
    <w:p>
      <w:pPr>
        <w:pStyle w:val="Heading3"/>
        <w:numPr>
          <w:ilvl w:val="2"/>
          <w:numId w:val="1"/>
        </w:numPr>
        <w:rPr/>
      </w:pPr>
      <w:bookmarkStart w:id="969" w:name="__RefHeading___Toc5767561_3224264995"/>
      <w:bookmarkStart w:id="970" w:name="_Toc389"/>
      <w:bookmarkEnd w:id="968"/>
      <w:bookmarkEnd w:id="969"/>
      <w:r>
        <w:rPr>
          <w:rtl w:val="true"/>
        </w:rPr>
        <w:t>خاتمة</w:t>
      </w:r>
      <w:bookmarkEnd w:id="970"/>
    </w:p>
    <w:p>
      <w:pPr>
        <w:pStyle w:val="Heading4"/>
        <w:numPr>
          <w:ilvl w:val="3"/>
          <w:numId w:val="1"/>
        </w:numPr>
        <w:rPr/>
      </w:pPr>
      <w:bookmarkStart w:id="971" w:name="__RefHeading___Toc5767563_3224264995"/>
      <w:bookmarkStart w:id="972" w:name="_Toc390"/>
      <w:bookmarkEnd w:id="971"/>
      <w:r>
        <w:rPr>
          <w:rtl w:val="true"/>
        </w:rPr>
        <w:t>شرائط العمل بالاستصحاب</w:t>
      </w:r>
      <w:r>
        <w:rPr>
          <w:rtl w:val="true"/>
        </w:rPr>
        <w:t>::</w:t>
      </w:r>
      <w:bookmarkEnd w:id="972"/>
    </w:p>
    <w:p>
      <w:pPr>
        <w:pStyle w:val="Heading5"/>
        <w:numPr>
          <w:ilvl w:val="4"/>
          <w:numId w:val="1"/>
        </w:numPr>
        <w:rPr/>
      </w:pPr>
      <w:bookmarkStart w:id="973" w:name="__RefHeading___Toc5767565_3224264995"/>
      <w:bookmarkStart w:id="974" w:name="_Toc391"/>
      <w:bookmarkEnd w:id="973"/>
      <w:r>
        <w:rPr>
          <w:rtl w:val="true"/>
        </w:rPr>
        <w:t>اشارة</w:t>
      </w:r>
      <w:bookmarkEnd w:id="974"/>
    </w:p>
    <w:p>
      <w:pPr>
        <w:pStyle w:val="BookText"/>
        <w:rPr/>
      </w:pPr>
      <w:r>
        <w:rPr>
          <w:rFonts w:ascii="IRNazanin" w:hAnsi="IRNazanin" w:eastAsia="IRNazanin"/>
          <w:color w:val="111111"/>
          <w:sz w:val="28"/>
          <w:sz w:val="28"/>
          <w:szCs w:val="28"/>
          <w:rtl w:val="true"/>
          <w:lang w:bidi="fa-IR"/>
        </w:rPr>
        <w:t xml:space="preserve">ذکر بعضهم </w:t>
      </w:r>
      <w:r>
        <w:rPr>
          <w:rStyle w:val="FootnoteAnchor"/>
          <w:rtl w:val="true"/>
        </w:rPr>
        <w:footnoteReference w:id="944"/>
      </w:r>
      <w:r>
        <w:rPr>
          <w:rFonts w:ascii="IRNazanin" w:hAnsi="IRNazanin" w:eastAsia="IRNazanin"/>
          <w:color w:val="111111"/>
          <w:sz w:val="28"/>
          <w:sz w:val="28"/>
          <w:szCs w:val="28"/>
          <w:rtl w:val="true"/>
          <w:lang w:bidi="fa-IR"/>
        </w:rPr>
        <w:t>للعمل بالاستصحاب شروطا،کبقاء الموضوع،و عدم المعارض،و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الکلّ إلی شروط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أنّ الاستصحاب عبارة عن إبقاء ما شکّ فی بقائه،و هذا لا یتحقّق إلاّ مع الشکّ فی بقاء القضیّة المحقّقة </w:t>
      </w:r>
      <w:r>
        <w:rPr>
          <w:rStyle w:val="FootnoteAnchor"/>
          <w:rtl w:val="true"/>
        </w:rPr>
        <w:footnoteReference w:id="945"/>
      </w:r>
      <w:r>
        <w:rPr>
          <w:rFonts w:ascii="IRNazanin" w:hAnsi="IRNazanin" w:eastAsia="IRNazanin"/>
          <w:color w:val="111111"/>
          <w:sz w:val="28"/>
          <w:sz w:val="28"/>
          <w:szCs w:val="28"/>
          <w:rtl w:val="true"/>
          <w:lang w:bidi="fa-IR"/>
        </w:rPr>
        <w:t>فی السابق بعینها فی الزمان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علی هذا الوجه لا یتحقّق إلاّ بامور</w:t>
      </w:r>
      <w:r>
        <w:rPr>
          <w:rFonts w:eastAsia="IRNazanin" w:cs="IRNazanin"/>
          <w:color w:val="111111"/>
          <w:sz w:val="28"/>
          <w:szCs w:val="28"/>
          <w:rtl w:val="true"/>
          <w:lang w:bidi="fa-IR"/>
        </w:rPr>
        <w:t>:</w:t>
      </w:r>
    </w:p>
    <w:p>
      <w:pPr>
        <w:pStyle w:val="Heading5"/>
        <w:numPr>
          <w:ilvl w:val="4"/>
          <w:numId w:val="1"/>
        </w:numPr>
        <w:rPr/>
      </w:pPr>
      <w:bookmarkStart w:id="975" w:name="__RefHeading___Toc5767567_3224264995"/>
      <w:bookmarkStart w:id="976" w:name="_Toc392"/>
      <w:bookmarkEnd w:id="975"/>
      <w:r>
        <w:rPr>
          <w:rtl w:val="true"/>
        </w:rPr>
        <w:t xml:space="preserve">الأمر الأوّل </w:t>
      </w:r>
      <w:r>
        <w:rPr>
          <w:rtl w:val="true"/>
        </w:rPr>
        <w:t>:</w:t>
      </w:r>
      <w:r>
        <w:rPr>
          <w:rtl w:val="true"/>
        </w:rPr>
        <w:t>اشتراط بقاء الموضوع</w:t>
      </w:r>
      <w:r>
        <w:rPr>
          <w:rtl w:val="true"/>
        </w:rPr>
        <w:t>:</w:t>
      </w:r>
      <w:bookmarkEnd w:id="976"/>
    </w:p>
    <w:p>
      <w:pPr>
        <w:pStyle w:val="Heading6"/>
        <w:numPr>
          <w:ilvl w:val="5"/>
          <w:numId w:val="1"/>
        </w:numPr>
        <w:rPr/>
      </w:pPr>
      <w:bookmarkStart w:id="977" w:name="__RefHeading___Toc5767569_3224264995"/>
      <w:bookmarkStart w:id="978" w:name="_Toc393"/>
      <w:bookmarkEnd w:id="977"/>
      <w:r>
        <w:rPr>
          <w:rtl w:val="true"/>
        </w:rPr>
        <w:t>اشارة</w:t>
      </w:r>
      <w:bookmarkEnd w:id="9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الموضوع فی الزمان اللاحق،و المراد به معروض المستصحب</w:t>
      </w:r>
      <w:r>
        <w:rPr>
          <w:rFonts w:eastAsia="IRNazanin" w:cs="IRNazanin"/>
          <w:color w:val="111111"/>
          <w:sz w:val="28"/>
          <w:szCs w:val="28"/>
          <w:rtl w:val="true"/>
          <w:lang w:bidi="fa-IR"/>
        </w:rPr>
        <w:t xml:space="preserve">. </w:t>
      </w:r>
      <w:bookmarkStart w:id="979" w:name="pg12985_125138"/>
    </w:p>
    <w:p>
      <w:pPr>
        <w:pStyle w:val="BookText"/>
        <w:rPr/>
      </w:pPr>
      <w:bookmarkEnd w:id="979"/>
      <w:r>
        <w:rPr>
          <w:rFonts w:ascii="IRNazanin" w:hAnsi="IRNazanin" w:eastAsia="IRNazanin"/>
          <w:color w:val="111111"/>
          <w:sz w:val="28"/>
          <w:sz w:val="28"/>
          <w:szCs w:val="28"/>
          <w:rtl w:val="true"/>
          <w:lang w:bidi="fa-IR"/>
        </w:rPr>
        <w:t>فإذا ارید استصحاب قیام زید،أو وجوده،فلا بدّ من تحقّق زید فی الزمان اللاحق علی النحو الذی کان معروضا فی السابق،سواء کان تحقّقه فی السابق بتقرّره ذهنا أو بوجوده خارجا،فزید معروض للقیام فی السابق بوصف وجوده الخارجیّ،و للوجود بوصف تقرّره ذهنا، لا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اندفع ما استشکله بعض </w:t>
      </w:r>
      <w:r>
        <w:rPr>
          <w:rStyle w:val="FootnoteAnchor"/>
          <w:rtl w:val="true"/>
        </w:rPr>
        <w:footnoteReference w:id="946"/>
      </w:r>
      <w:r>
        <w:rPr>
          <w:rFonts w:ascii="IRNazanin" w:hAnsi="IRNazanin" w:eastAsia="IRNazanin"/>
          <w:color w:val="111111"/>
          <w:sz w:val="28"/>
          <w:sz w:val="28"/>
          <w:szCs w:val="28"/>
          <w:rtl w:val="true"/>
          <w:lang w:bidi="fa-IR"/>
        </w:rPr>
        <w:t>فی کلّیّة اعتبار بقاء الموضوع فی الاستصحاب،بانتقاضها باستصحاب وجود الموجودات عند الشکّ فی بقائها؛زعما منه أنّ المراد ببقائه وجوده الخارجیّ الثانویّ،و غفلة عن أنّ المراد وجوده الثانویّ علی نحو وجوده الأوّلیّ الصالح لأن یحکم علیه بالمستصحب و بنقیضه،و إلاّ لم یجز أن یحمل علیه المستصحب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فی استصحاب حیاة زید هو زید القابل لأن یحکم علیه بالحیاة تارة و بالموت اخری،و هذا المعنی لا شکّ فی تحقّقه عند الشکّ فی بقاء حیاته</w:t>
      </w:r>
      <w:r>
        <w:rPr>
          <w:rFonts w:eastAsia="IRNazanin" w:cs="IRNazanin"/>
          <w:color w:val="111111"/>
          <w:sz w:val="28"/>
          <w:szCs w:val="28"/>
          <w:rtl w:val="true"/>
          <w:lang w:bidi="fa-IR"/>
        </w:rPr>
        <w:t>.</w:t>
      </w:r>
    </w:p>
    <w:p>
      <w:pPr>
        <w:pStyle w:val="Heading6"/>
        <w:numPr>
          <w:ilvl w:val="5"/>
          <w:numId w:val="1"/>
        </w:numPr>
        <w:rPr/>
      </w:pPr>
      <w:bookmarkStart w:id="980" w:name="__RefHeading___Toc5767571_3224264995"/>
      <w:bookmarkStart w:id="981" w:name="_Toc394"/>
      <w:bookmarkEnd w:id="980"/>
      <w:r>
        <w:rPr>
          <w:rtl w:val="true"/>
        </w:rPr>
        <w:t>الدلیل علی هذا الشرط</w:t>
      </w:r>
      <w:r>
        <w:rPr>
          <w:rtl w:val="true"/>
        </w:rPr>
        <w:t>:</w:t>
      </w:r>
      <w:bookmarkEnd w:id="981"/>
    </w:p>
    <w:p>
      <w:pPr>
        <w:pStyle w:val="BookText"/>
        <w:rPr/>
      </w:pPr>
      <w:r>
        <w:rPr>
          <w:rFonts w:ascii="IRNazanin" w:hAnsi="IRNazanin" w:eastAsia="IRNazanin"/>
          <w:color w:val="111111"/>
          <w:sz w:val="28"/>
          <w:sz w:val="28"/>
          <w:szCs w:val="28"/>
          <w:rtl w:val="true"/>
          <w:lang w:bidi="fa-IR"/>
        </w:rPr>
        <w:t>ثمّ الدلیل علی اعتبار هذا الشرط فی جریان الاستصحاب واضح؛ لأنّه لو لم یعلم تحقّقه لاحقا،فإذا ارید إبقاء المستصحب العارض له المتقوّم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یبقی فی غیر محلّ و موضوع،و هو محال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یبقی فی موضوع غیر الموضوع السابق،و من المعلوم أنّ هذا لیس إبقاء لنفس ذلک العارض،و إنّما هو حکم بحدوث عارض مثله فی موضوع جدید،فیخرج عن الاستصحاب،بل حدوثه للموضوع </w:t>
      </w:r>
      <w:bookmarkStart w:id="982" w:name="pg12985_125139"/>
    </w:p>
    <w:p>
      <w:pPr>
        <w:pStyle w:val="BookText"/>
        <w:rPr/>
      </w:pPr>
      <w:bookmarkEnd w:id="982"/>
      <w:r>
        <w:rPr>
          <w:rFonts w:ascii="IRNazanin" w:hAnsi="IRNazanin" w:eastAsia="IRNazanin"/>
          <w:color w:val="111111"/>
          <w:sz w:val="28"/>
          <w:sz w:val="28"/>
          <w:szCs w:val="28"/>
          <w:rtl w:val="true"/>
          <w:lang w:bidi="fa-IR"/>
        </w:rPr>
        <w:t>الجدید کان مسبوقا بالعدم،فهو المستصحب دون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المستصحب لا فی موضوع محال،و کذا فی موضوع آخر؛إمّا لاستحالة انتقال العرض،و إمّا لأنّ المتیقّن سابقا وجوده فی الموضوع السابق،و الحکم بعدم ثبوته لهذا الموضوع الجدید لیس نقضا للمتیقّن السابق</w:t>
      </w:r>
      <w:r>
        <w:rPr>
          <w:rFonts w:eastAsia="IRNazanin" w:cs="IRNazanin"/>
          <w:color w:val="111111"/>
          <w:sz w:val="28"/>
          <w:szCs w:val="28"/>
          <w:rtl w:val="true"/>
          <w:lang w:bidi="fa-IR"/>
        </w:rPr>
        <w:t>.</w:t>
      </w:r>
    </w:p>
    <w:p>
      <w:pPr>
        <w:pStyle w:val="Heading6"/>
        <w:numPr>
          <w:ilvl w:val="5"/>
          <w:numId w:val="1"/>
        </w:numPr>
        <w:rPr/>
      </w:pPr>
      <w:bookmarkStart w:id="983" w:name="__RefHeading___Toc5767573_3224264995"/>
      <w:bookmarkStart w:id="984" w:name="_Toc395"/>
      <w:bookmarkEnd w:id="983"/>
      <w:r>
        <w:rPr>
          <w:rtl w:val="true"/>
        </w:rPr>
        <w:t>المعتبر هو العلم ببقاء الموضوع</w:t>
      </w:r>
      <w:r>
        <w:rPr>
          <w:rtl w:val="true"/>
        </w:rPr>
        <w:t>:</w:t>
      </w:r>
      <w:bookmarkEnd w:id="984"/>
    </w:p>
    <w:p>
      <w:p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هو العلم ببقاء الموضوع،و لا یکفی احتمال البقاء؛إذ لا بدّ من العلم بکون الحکم بوجود المستصحب إبقاء، و الحکم بعدمه نقضا</w:t>
      </w:r>
      <w:r>
        <w:rPr>
          <w:rFonts w:eastAsia="IRNazanin" w:cs="IRNazanin"/>
          <w:color w:val="111111"/>
          <w:sz w:val="28"/>
          <w:szCs w:val="28"/>
          <w:rtl w:val="true"/>
          <w:lang w:bidi="fa-IR"/>
        </w:rPr>
        <w:t>.</w:t>
      </w:r>
    </w:p>
    <w:p>
      <w:pPr>
        <w:pStyle w:val="Heading6"/>
        <w:numPr>
          <w:ilvl w:val="5"/>
          <w:numId w:val="1"/>
        </w:numPr>
        <w:rPr/>
      </w:pPr>
      <w:bookmarkStart w:id="985" w:name="__RefHeading___Toc5767575_3224264995"/>
      <w:bookmarkStart w:id="986" w:name="_Toc396"/>
      <w:bookmarkEnd w:id="985"/>
      <w:r>
        <w:rPr>
          <w:rtl w:val="true"/>
        </w:rPr>
        <w:t>هل یجوز إحراز الموضوع فی الزمان اللاحق بالاستصحاب؟</w:t>
      </w:r>
      <w:r>
        <w:rPr>
          <w:rtl w:val="true"/>
        </w:rPr>
        <w:t>:</w:t>
      </w:r>
      <w:bookmarkEnd w:id="986"/>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الموضوع محتمل البقاء فیجوز إحرازه فی الزمان اللاحق بالاستصحاب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مضایقة من جواز استصحابه فی بعض الصور،إلاّ أنّه لا ینفع فی استصحاب الحکم المحمول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الحکم الذی یراد 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مسبّبا عن سبب غیر الشکّ فی بقاء ذلک الموضوع المشکوک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یشکّ فی عدالة مجتهده مع الشکّ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مسبّبا عنه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الأوّل،فلا إشکال فی استصحاب الموضوع عند الشکّ، لکن استصحاب الحکم کالعدالة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إبقاء حیاة زید؛ لأنّ موضوع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تقدیر الحیاة؛إذ لا شکّ فیها إلاّ علی فرض الحیاة،فالذی یراد استصحابه هو عدالته علی تقدیر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مستصحبان،لکلّ منهما موضوع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زید، و عدالته علی تقدیر الحیاة،و لا یعتبر فی الثانی إثبات الحیاة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الثانی،فالموضوع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معلوما معیّنا شکّ فی بقائه،کما إذا علم أنّ الموضوع لنجاسة الماء هو الماء بوصف التغیّر، و للمطهّریّة هو الماء بوصف الکرّیّة و الإطلاق،ثمّ شکّ فی بقاء تغیّر الماء الأوّل و کرّیّة الماء الثانی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غیر معیّن،بل مردّدا بین أمر معلوم البقاء و آخر معلوم الارتفاع،کما إذا لم یعلم أنّ الموضوع للنجاسة هو الماء الذی حدث فیه التغیّر آناً ما،أو الماء المتلبّس فعلا بالتغیّر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شککنا فی أنّ النجاسة محمولة علی الکلب بوصف أنّه کلب،أو المشترک بین الکلب و بین ما یستحال إلیه من الملح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الأوّل،فلا إشکال فی استصحاب الموضوع،و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الاستصحاب فی الامور الخارجیّة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الموضوع، حقیقته </w:t>
      </w:r>
      <w:r>
        <w:rPr>
          <w:rStyle w:val="FootnoteAnchor"/>
          <w:rtl w:val="true"/>
        </w:rPr>
        <w:footnoteReference w:id="950"/>
      </w:r>
      <w:r>
        <w:rPr>
          <w:rFonts w:ascii="IRNazanin" w:hAnsi="IRNazanin" w:eastAsia="IRNazanin"/>
          <w:color w:val="111111"/>
          <w:sz w:val="28"/>
          <w:sz w:val="28"/>
          <w:szCs w:val="28"/>
          <w:rtl w:val="true"/>
          <w:lang w:bidi="fa-IR"/>
        </w:rPr>
        <w:t>ترتیب الأحکام الشرعیّة المحمولة علی ذلک الموضوع الموجود واقعا،فحقیقة استصحاب التغیّر و الکرّیّة و الإطلاق فی الماء، ترتیب أحکامها المحمولة علیها،کالنجاسة فی الأوّل،و المطهّریّة فی الأخیرین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فمجرّد استصحاب الموضوع یوجب إجراء الأحکام،فلا مجال </w:t>
      </w:r>
    </w:p>
    <w:p>
      <w:pPr>
        <w:pStyle w:val="BookText"/>
        <w:rPr/>
      </w:pPr>
      <w:r>
        <w:rPr>
          <w:rFonts w:ascii="IRNazanin" w:hAnsi="IRNazanin" w:eastAsia="IRNazanin"/>
          <w:color w:val="111111"/>
          <w:sz w:val="28"/>
          <w:sz w:val="28"/>
          <w:szCs w:val="28"/>
          <w:rtl w:val="true"/>
          <w:lang w:bidi="fa-IR"/>
        </w:rPr>
        <w:t xml:space="preserve">لاستصحاب الأحکام حینئذ </w:t>
      </w:r>
      <w:r>
        <w:rPr>
          <w:rStyle w:val="FootnoteAnchor"/>
          <w:rtl w:val="true"/>
        </w:rPr>
        <w:footnoteReference w:id="951"/>
      </w:r>
      <w:r>
        <w:rPr>
          <w:rFonts w:ascii="IRNazanin" w:hAnsi="IRNazanin" w:eastAsia="IRNazanin"/>
          <w:color w:val="111111"/>
          <w:sz w:val="28"/>
          <w:sz w:val="28"/>
          <w:szCs w:val="28"/>
          <w:rtl w:val="true"/>
          <w:lang w:bidi="fa-IR"/>
        </w:rPr>
        <w:t xml:space="preserve">لارتفاع الشکّ،بل لو ارید استصحابها لم یجر </w:t>
      </w:r>
      <w:r>
        <w:rPr>
          <w:rStyle w:val="FootnoteAnchor"/>
          <w:rtl w:val="true"/>
        </w:rPr>
        <w:footnoteReference w:id="952"/>
      </w:r>
      <w:r>
        <w:rPr>
          <w:rFonts w:ascii="IRNazanin" w:hAnsi="IRNazanin" w:eastAsia="IRNazanin"/>
          <w:color w:val="111111"/>
          <w:sz w:val="28"/>
          <w:sz w:val="28"/>
          <w:szCs w:val="28"/>
          <w:rtl w:val="true"/>
          <w:lang w:bidi="fa-IR"/>
        </w:rPr>
        <w:t>لأنّ صحّة استصحاب النجاسة مثلا لیس من أحکام التغیّر الواقعیّ لیثبت باستصحابه؛لأنّ أثر التغیّر الواقعیّ هی النجاسة الواقعیّة، لا استصحابها؛إذ مع فرض التغیّر لا شکّ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قضیّة ما ذکرنا من الدلیل علی اشتراط بقاء الموضوع فی الاستصحاب،حکم العقل باشتراط بقائه فیه،فالمتغیّر </w:t>
      </w:r>
      <w:r>
        <w:rPr>
          <w:rStyle w:val="FootnoteAnchor"/>
          <w:rtl w:val="true"/>
        </w:rPr>
        <w:footnoteReference w:id="953"/>
      </w:r>
      <w:r>
        <w:rPr>
          <w:rFonts w:ascii="IRNazanin" w:hAnsi="IRNazanin" w:eastAsia="IRNazanin"/>
          <w:color w:val="111111"/>
          <w:sz w:val="28"/>
          <w:sz w:val="28"/>
          <w:szCs w:val="28"/>
          <w:rtl w:val="true"/>
          <w:lang w:bidi="fa-IR"/>
        </w:rPr>
        <w:t>الواقعیّ إنّما یجوز استصحاب النجاسة له بحکم العقل،فهذا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ترتّب الاستصحاب علی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جعلیّا حتّی یترتّب علی وجوده الاستصحابیّ،فتأمّل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الثانی،فلا مجال لاستصحاب الموضوع و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الأوّل؛فلأنّ أصالة بقاء الموضوع لا یثبت کون هذا الأمر الباقی متّصفا بالموضوعیّة،إلاّ بناء علی القول بالأصل المثبت،کما تقدّم </w:t>
      </w:r>
      <w:r>
        <w:rPr>
          <w:rStyle w:val="FootnoteAnchor"/>
          <w:rtl w:val="true"/>
        </w:rPr>
        <w:footnoteReference w:id="954"/>
      </w:r>
      <w:r>
        <w:rPr>
          <w:rFonts w:ascii="IRNazanin" w:hAnsi="IRNazanin" w:eastAsia="IRNazanin"/>
          <w:color w:val="111111"/>
          <w:sz w:val="28"/>
          <w:sz w:val="28"/>
          <w:szCs w:val="28"/>
          <w:rtl w:val="true"/>
          <w:lang w:bidi="fa-IR"/>
        </w:rPr>
        <w:t>فی أصالة بقاء الکرّ المثبتة لکرّیّة المشکوک بقاؤه علی الکرّیّة،و علی هذا القول فحکم هذا القسم حکم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أصالة بقاء الموضوع بوصف کونه موضوعا فهو فی معنی استصحاب الحکم؛لأنّ صفة الموضوعیّة للموضوع ملازم لإنشاء الحکم من الشارع باستصحابه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استصحاب الحکم؛فلأنّه کان ثابتا لأمر لا یعلم بقاؤه، </w:t>
      </w:r>
      <w:bookmarkStart w:id="987" w:name="pg12985_125142"/>
    </w:p>
    <w:p>
      <w:pPr>
        <w:pStyle w:val="BookText"/>
        <w:rPr/>
      </w:pPr>
      <w:bookmarkEnd w:id="987"/>
      <w:r>
        <w:rPr>
          <w:rFonts w:ascii="IRNazanin" w:hAnsi="IRNazanin" w:eastAsia="IRNazanin"/>
          <w:color w:val="111111"/>
          <w:sz w:val="28"/>
          <w:sz w:val="28"/>
          <w:szCs w:val="28"/>
          <w:rtl w:val="true"/>
          <w:lang w:bidi="fa-IR"/>
        </w:rPr>
        <w:t xml:space="preserve">و بقاؤه قائما بهذا الموجود الباقی </w:t>
      </w:r>
      <w:r>
        <w:rPr>
          <w:rStyle w:val="FootnoteAnchor"/>
          <w:rtl w:val="true"/>
        </w:rPr>
        <w:footnoteReference w:id="955"/>
      </w:r>
      <w:r>
        <w:rPr>
          <w:rFonts w:ascii="IRNazanin" w:hAnsi="IRNazanin" w:eastAsia="IRNazanin"/>
          <w:color w:val="111111"/>
          <w:sz w:val="28"/>
          <w:sz w:val="28"/>
          <w:szCs w:val="28"/>
          <w:rtl w:val="true"/>
          <w:lang w:bidi="fa-IR"/>
        </w:rPr>
        <w:t>لیس قیاما بنفس ما قام به أوّلا، حتّی یکون إثباته إبقاء و نفیه نقضا</w:t>
      </w:r>
      <w:r>
        <w:rPr>
          <w:rFonts w:eastAsia="IRNazanin" w:cs="IRNazanin"/>
          <w:color w:val="111111"/>
          <w:sz w:val="28"/>
          <w:szCs w:val="28"/>
          <w:rtl w:val="true"/>
          <w:lang w:bidi="fa-IR"/>
        </w:rPr>
        <w:t>.</w:t>
      </w:r>
    </w:p>
    <w:p>
      <w:pPr>
        <w:pStyle w:val="Heading6"/>
        <w:numPr>
          <w:ilvl w:val="5"/>
          <w:numId w:val="1"/>
        </w:numPr>
        <w:rPr/>
      </w:pPr>
      <w:bookmarkStart w:id="988" w:name="__RefHeading___Toc5767577_3224264995"/>
      <w:bookmarkStart w:id="989" w:name="_Toc397"/>
      <w:bookmarkEnd w:id="988"/>
      <w:r>
        <w:rPr>
          <w:rtl w:val="true"/>
        </w:rPr>
        <w:t>الشکّ فی الحکم من جهة الشکّ فی القیود المأخوذة فی الموضوع</w:t>
      </w:r>
      <w:r>
        <w:rPr>
          <w:rtl w:val="true"/>
        </w:rPr>
        <w:t>:</w:t>
      </w:r>
      <w:bookmarkEnd w:id="989"/>
    </w:p>
    <w:p>
      <w:pPr>
        <w:pStyle w:val="BookText"/>
        <w:rPr/>
      </w:pPr>
      <w:r>
        <w:rPr>
          <w:rFonts w:ascii="IRNazanin" w:hAnsi="IRNazanin" w:eastAsia="IRNazanin"/>
          <w:color w:val="111111"/>
          <w:sz w:val="28"/>
          <w:sz w:val="28"/>
          <w:szCs w:val="28"/>
          <w:rtl w:val="true"/>
          <w:lang w:bidi="fa-IR"/>
        </w:rPr>
        <w:t>إذا عرفت ما ذکرنا،فاعلم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کثیرا ما یقع الشکّ فی الحکم من جهة الشکّ فی أنّ موضوعه و محلّه هو الأمر الزائل و لو بزوال قیده المأخوذ فی موضوعیّته،حتّی یکون الحکم مرتفعا،أو هو الأمر الباقی، و الزائل لیس موضوعا و لا مأخوذا فیه،فلو فرض شکّ فی الحکم کان من جهة اخری غیر الموضوع،کما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النجاسة فی الماء المتغیّر،موضوعه نفس الماء،و التغیّر علّة محدثة للحکم،فیشکّ فی علّیّته للبقاء</w:t>
      </w:r>
      <w:r>
        <w:rPr>
          <w:rFonts w:eastAsia="IRNazanin" w:cs="IRNazanin"/>
          <w:color w:val="111111"/>
          <w:sz w:val="28"/>
          <w:szCs w:val="28"/>
          <w:rtl w:val="true"/>
          <w:lang w:bidi="fa-IR"/>
        </w:rPr>
        <w:t>.</w:t>
      </w:r>
    </w:p>
    <w:p>
      <w:pPr>
        <w:pStyle w:val="Heading6"/>
        <w:numPr>
          <w:ilvl w:val="5"/>
          <w:numId w:val="1"/>
        </w:numPr>
        <w:rPr/>
      </w:pPr>
      <w:bookmarkStart w:id="990" w:name="__RefHeading___Toc5767579_3224264995"/>
      <w:bookmarkStart w:id="991" w:name="_Toc398"/>
      <w:bookmarkEnd w:id="990"/>
      <w:r>
        <w:rPr>
          <w:rtl w:val="true"/>
        </w:rPr>
        <w:t>ما یمیّز به القیود المأخوذة فی الموضوع أحد امور</w:t>
      </w:r>
      <w:r>
        <w:rPr>
          <w:rtl w:val="true"/>
        </w:rPr>
        <w:t>:</w:t>
      </w:r>
      <w:bookmarkEnd w:id="991"/>
    </w:p>
    <w:p>
      <w:pPr>
        <w:pStyle w:val="BookText"/>
        <w:rPr/>
      </w:pPr>
      <w:r>
        <w:rPr>
          <w:rFonts w:ascii="IRNazanin" w:hAnsi="IRNazanin" w:eastAsia="IRNazanin"/>
          <w:color w:val="111111"/>
          <w:sz w:val="28"/>
          <w:sz w:val="28"/>
          <w:szCs w:val="28"/>
          <w:rtl w:val="true"/>
          <w:lang w:bidi="fa-IR"/>
        </w:rPr>
        <w:t>فلا بدّ من میزان یمیّز به القیود المأخوذة فی الموضوع عن غیرها، و هو أحد امور</w:t>
      </w:r>
      <w:r>
        <w:rPr>
          <w:rFonts w:eastAsia="IRNazanin" w:cs="IRNazanin"/>
          <w:color w:val="111111"/>
          <w:sz w:val="28"/>
          <w:szCs w:val="28"/>
          <w:rtl w:val="true"/>
          <w:lang w:bidi="fa-IR"/>
        </w:rPr>
        <w:t>:</w:t>
      </w:r>
    </w:p>
    <w:p>
      <w:pPr>
        <w:pStyle w:val="Heading6"/>
        <w:numPr>
          <w:ilvl w:val="5"/>
          <w:numId w:val="1"/>
        </w:numPr>
        <w:rPr/>
      </w:pPr>
      <w:bookmarkStart w:id="992" w:name="__RefHeading___Toc5767581_3224264995"/>
      <w:bookmarkStart w:id="993" w:name="_Toc399"/>
      <w:bookmarkEnd w:id="992"/>
      <w:r>
        <w:rPr>
          <w:rtl w:val="true"/>
        </w:rPr>
        <w:t>الأوّل</w:t>
      </w:r>
      <w:r>
        <w:rPr>
          <w:rtl w:val="true"/>
        </w:rPr>
        <w:t>:</w:t>
      </w:r>
      <w:r>
        <w:rPr>
          <w:rtl w:val="true"/>
        </w:rPr>
        <w:t>العقل</w:t>
      </w:r>
      <w:bookmarkEnd w:id="9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مقتضاه کون جمیع القیود قیودا للموضوع مأخوذة فیه،فیکون الحکم ثابتا لأمر واحد یجمعها؛و ذلک لأنّ کلّ قضیّة و إن کثرت قیودها المأخوذة فیها راجعة فی الحقیقة إلی موضوع واحد و محمول واحد،فإذا شکّ فی ثبوت الحکم السابق بعد زوال بعض تلک القیود،سواء علم کونه قیدا للموضوع أو للمحمول أو لم یعلم أحدهما،فلا یجوز الاستصحاب؛لأنّه إثبات عین الحکم السابق لعین الموضوع السابق،و لا یصدق هذا مع الشکّ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بسبب تغیّر الزمان المجعول ظرفا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 فی جریان الاستصحاب؛لأنّ الاستصحاب مبنیّ علی إلغاء خصوصیّة الزمان الأوّل</w:t>
      </w:r>
      <w:r>
        <w:rPr>
          <w:rFonts w:eastAsia="IRNazanin" w:cs="IRNazanin"/>
          <w:color w:val="111111"/>
          <w:sz w:val="28"/>
          <w:szCs w:val="28"/>
          <w:rtl w:val="true"/>
          <w:lang w:bidi="fa-IR"/>
        </w:rPr>
        <w:t xml:space="preserve">. </w:t>
      </w:r>
      <w:bookmarkStart w:id="994" w:name="pg12985_125143"/>
    </w:p>
    <w:p>
      <w:pPr>
        <w:pStyle w:val="BookText"/>
        <w:rPr/>
      </w:pPr>
      <w:bookmarkEnd w:id="994"/>
      <w:r>
        <w:rPr>
          <w:rFonts w:ascii="IRNazanin" w:hAnsi="IRNazanin" w:eastAsia="IRNazanin"/>
          <w:color w:val="111111"/>
          <w:sz w:val="28"/>
          <w:sz w:val="28"/>
          <w:szCs w:val="28"/>
          <w:rtl w:val="true"/>
          <w:lang w:bidi="fa-IR"/>
        </w:rPr>
        <w:t xml:space="preserve">فالاستصحاب فی الحکم الشرعیّ لا یجری إلاّ فی الشکّ من جهة الرافع ذاتا أو وصفا،و فیما </w:t>
      </w:r>
      <w:r>
        <w:rPr>
          <w:rStyle w:val="FootnoteAnchor"/>
          <w:rtl w:val="true"/>
        </w:rPr>
        <w:footnoteReference w:id="956"/>
      </w:r>
      <w:r>
        <w:rPr>
          <w:rFonts w:ascii="IRNazanin" w:hAnsi="IRNazanin" w:eastAsia="IRNazanin"/>
          <w:color w:val="111111"/>
          <w:sz w:val="28"/>
          <w:sz w:val="28"/>
          <w:szCs w:val="28"/>
          <w:rtl w:val="true"/>
          <w:lang w:bidi="fa-IR"/>
        </w:rPr>
        <w:t>کان من جهة مدخلیّة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فی الموضوعات الخارجیّة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لم یعلم مدخلیّة القیود فی الموضوع کفی فی عدم جریان الاستصحاب الشکّ فی بقاء الموضوع،علی ما عرفت مفصّلا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5" w:name="__RefHeading___Toc5767583_3224264995"/>
      <w:bookmarkStart w:id="996" w:name="_Toc400"/>
      <w:bookmarkEnd w:id="995"/>
      <w:r>
        <w:rPr>
          <w:rtl w:val="true"/>
        </w:rPr>
        <w:t>الثانی</w:t>
      </w:r>
      <w:r>
        <w:rPr>
          <w:rtl w:val="true"/>
        </w:rPr>
        <w:t xml:space="preserve">: </w:t>
      </w:r>
      <w:r>
        <w:rPr>
          <w:rtl w:val="true"/>
        </w:rPr>
        <w:t>لسان الدلیل</w:t>
      </w:r>
      <w:bookmarkEnd w:id="996"/>
    </w:p>
    <w:p>
      <w:pPr>
        <w:pStyle w:val="BookText"/>
        <w:rPr/>
      </w:pPr>
      <w:r>
        <w:rPr>
          <w:rFonts w:ascii="IRNazanin" w:hAnsi="IRNazanin" w:eastAsia="IRNazanin"/>
          <w:color w:val="111111"/>
          <w:sz w:val="28"/>
          <w:sz w:val="28"/>
          <w:szCs w:val="28"/>
          <w:rtl w:val="true"/>
          <w:lang w:bidi="fa-IR"/>
        </w:rPr>
        <w:t>أن یرجع فی معرفة الموضوع للأحکام إلی الأدلّة،و یفرّق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ینجس إذا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فیجعل الموضوع فی الأوّل الماء المتلبّس بالتغیّر،فیزول الحکم بزواله، و فی الثانی نفس الماء فیستصحب النجاسة لو شکّ فی مدخلیّة التغیّر فی بقائها،و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یجری الاستصحاب فیما کان الشکّ من غیر جهة الرافع إذا کان </w:t>
      </w:r>
      <w:r>
        <w:rPr>
          <w:rStyle w:val="FootnoteAnchor"/>
          <w:rtl w:val="true"/>
        </w:rPr>
        <w:footnoteReference w:id="958"/>
      </w:r>
      <w:r>
        <w:rPr>
          <w:rFonts w:ascii="IRNazanin" w:hAnsi="IRNazanin" w:eastAsia="IRNazanin"/>
          <w:color w:val="111111"/>
          <w:sz w:val="28"/>
          <w:sz w:val="28"/>
          <w:szCs w:val="28"/>
          <w:rtl w:val="true"/>
          <w:lang w:bidi="fa-IR"/>
        </w:rPr>
        <w:t>الدلیل غیر لفظیّ لا یتمیّز فیه الموضوع؛ لاحتمال مدخلیّة القید الزائل فیه</w:t>
      </w:r>
      <w:r>
        <w:rPr>
          <w:rFonts w:eastAsia="IRNazanin" w:cs="IRNazanin"/>
          <w:color w:val="111111"/>
          <w:sz w:val="28"/>
          <w:szCs w:val="28"/>
          <w:rtl w:val="true"/>
          <w:lang w:bidi="fa-IR"/>
        </w:rPr>
        <w:t>.</w:t>
      </w:r>
    </w:p>
    <w:p>
      <w:pPr>
        <w:pStyle w:val="Heading6"/>
        <w:numPr>
          <w:ilvl w:val="5"/>
          <w:numId w:val="1"/>
        </w:numPr>
        <w:rPr/>
      </w:pPr>
      <w:bookmarkStart w:id="997" w:name="__RefHeading___Toc5767585_3224264995"/>
      <w:bookmarkStart w:id="998" w:name="_Toc401"/>
      <w:bookmarkEnd w:id="997"/>
      <w:r>
        <w:rPr>
          <w:rtl w:val="true"/>
        </w:rPr>
        <w:t>الثالث</w:t>
      </w:r>
      <w:r>
        <w:rPr>
          <w:rtl w:val="true"/>
        </w:rPr>
        <w:t>:</w:t>
      </w:r>
      <w:r>
        <w:rPr>
          <w:rtl w:val="true"/>
        </w:rPr>
        <w:t>أن یرجع فی ذلک إلی العرف</w:t>
      </w:r>
      <w:bookmarkEnd w:id="998"/>
    </w:p>
    <w:p>
      <w:pPr>
        <w:pStyle w:val="BookText"/>
        <w:rPr/>
      </w:pPr>
      <w:r>
        <w:rPr>
          <w:rFonts w:ascii="IRNazanin" w:hAnsi="IRNazanin" w:eastAsia="IRNazanin"/>
          <w:color w:val="111111"/>
          <w:sz w:val="28"/>
          <w:sz w:val="28"/>
          <w:szCs w:val="28"/>
          <w:rtl w:val="true"/>
          <w:lang w:bidi="fa-IR"/>
        </w:rPr>
        <w:t>،فکلّ مورد یصدق عرفا أنّ هذا کان کذا سابقا جری فیه الاستصحاب و إن کان المشار إلیه لا یعلم بالتدقیق أو بملاحظة الأدلّة کونه موضوعا،بل علم عدمه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بالأدلّة أنّ الإنسان طاهر و الکلب نجس،فإذا ماتا و اطّلع أهل العرف علی حکم الشارع علیهما بعد الموت،فیحکمون </w:t>
      </w:r>
      <w:r>
        <w:rPr>
          <w:rStyle w:val="FootnoteAnchor"/>
          <w:rtl w:val="true"/>
        </w:rPr>
        <w:footnoteReference w:id="959"/>
      </w:r>
      <w:bookmarkStart w:id="999" w:name="pg12985_125144"/>
    </w:p>
    <w:p>
      <w:pPr>
        <w:pStyle w:val="BookText"/>
        <w:rPr/>
      </w:pPr>
      <w:bookmarkEnd w:id="999"/>
      <w:r>
        <w:rPr>
          <w:rFonts w:ascii="IRNazanin" w:hAnsi="IRNazanin" w:eastAsia="IRNazanin"/>
          <w:color w:val="111111"/>
          <w:sz w:val="28"/>
          <w:sz w:val="28"/>
          <w:szCs w:val="28"/>
          <w:rtl w:val="true"/>
          <w:lang w:bidi="fa-IR"/>
        </w:rPr>
        <w:t xml:space="preserve">بارتفاع طهارة الأوّل و بقاء نجاسة الثانی،مع عدم صدق الارتفاع و البقاء فیهما بحسب التدقیق </w:t>
      </w:r>
      <w:r>
        <w:rPr>
          <w:rStyle w:val="FootnoteAnchor"/>
          <w:rtl w:val="true"/>
        </w:rPr>
        <w:footnoteReference w:id="960"/>
      </w:r>
      <w:r>
        <w:rPr>
          <w:rFonts w:ascii="IRNazanin" w:hAnsi="IRNazanin" w:eastAsia="IRNazanin"/>
          <w:color w:val="111111"/>
          <w:sz w:val="28"/>
          <w:sz w:val="28"/>
          <w:szCs w:val="28"/>
          <w:rtl w:val="true"/>
          <w:lang w:bidi="fa-IR"/>
        </w:rPr>
        <w:t xml:space="preserve">لأنّ الطهارة و النجاسة کانتا محمولتین علی الحیوانین المذکورین </w:t>
      </w:r>
      <w:r>
        <w:rPr>
          <w:rStyle w:val="FootnoteAnchor"/>
          <w:rtl w:val="true"/>
        </w:rPr>
        <w:footnoteReference w:id="961"/>
      </w:r>
      <w:r>
        <w:rPr>
          <w:rFonts w:ascii="IRNazanin" w:hAnsi="IRNazanin" w:eastAsia="IRNazanin"/>
          <w:color w:val="111111"/>
          <w:sz w:val="28"/>
          <w:sz w:val="28"/>
          <w:szCs w:val="28"/>
          <w:rtl w:val="true"/>
          <w:lang w:bidi="fa-IR"/>
        </w:rPr>
        <w:t>،و قد ارتفعت الحیوانیة بعد صیرورته جمادا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حکم العرف باستصحاب بقاء الزوجیّة بعد موت أحد الزوجین،و قد تقدّم </w:t>
      </w:r>
      <w:r>
        <w:rPr>
          <w:rStyle w:val="FootnoteAnchor"/>
          <w:rtl w:val="true"/>
        </w:rPr>
        <w:footnoteReference w:id="962"/>
      </w:r>
      <w:r>
        <w:rPr>
          <w:rFonts w:ascii="IRNazanin" w:hAnsi="IRNazanin" w:eastAsia="IRNazanin"/>
          <w:color w:val="111111"/>
          <w:sz w:val="28"/>
          <w:sz w:val="28"/>
          <w:szCs w:val="28"/>
          <w:rtl w:val="true"/>
          <w:lang w:bidi="fa-IR"/>
        </w:rPr>
        <w:t>حکم العرف ببقاء کرّیّة ما کان کرّا سابقا، و وجوب الأجزاء الواجبة سابقا قبل تعذّر بعضها،و استصحاب السواد فیما علم زوال مرتبة معیّنة منه و یشکّ فی تبدّله بالبیاض أو بسواد خفیف،إلی غیر ذلک</w:t>
      </w:r>
      <w:r>
        <w:rPr>
          <w:rFonts w:eastAsia="IRNazanin" w:cs="IRNazanin"/>
          <w:color w:val="111111"/>
          <w:sz w:val="28"/>
          <w:szCs w:val="28"/>
          <w:rtl w:val="true"/>
          <w:lang w:bidi="fa-IR"/>
        </w:rPr>
        <w:t>.</w:t>
      </w:r>
    </w:p>
    <w:p>
      <w:pPr>
        <w:pStyle w:val="Heading6"/>
        <w:numPr>
          <w:ilvl w:val="5"/>
          <w:numId w:val="1"/>
        </w:numPr>
        <w:rPr/>
      </w:pPr>
      <w:bookmarkStart w:id="1000" w:name="__RefHeading___Toc5767587_3224264995"/>
      <w:bookmarkStart w:id="1001" w:name="_Toc402"/>
      <w:bookmarkEnd w:id="1000"/>
      <w:r>
        <w:rPr>
          <w:rtl w:val="true"/>
        </w:rPr>
        <w:t>کلام الفاضلین تأییدا لکون المیزان نظر العرف</w:t>
      </w:r>
      <w:r>
        <w:rPr>
          <w:rtl w:val="true"/>
        </w:rPr>
        <w:t>:</w:t>
      </w:r>
      <w:bookmarkEnd w:id="1001"/>
    </w:p>
    <w:p>
      <w:pPr>
        <w:pStyle w:val="BookText"/>
        <w:rPr/>
      </w:pPr>
      <w:r>
        <w:rPr>
          <w:rFonts w:ascii="IRNazanin" w:hAnsi="IRNazanin" w:eastAsia="IRNazanin"/>
          <w:color w:val="111111"/>
          <w:sz w:val="28"/>
          <w:sz w:val="28"/>
          <w:szCs w:val="28"/>
          <w:rtl w:val="true"/>
          <w:lang w:bidi="fa-IR"/>
        </w:rPr>
        <w:t>و بهذا الوجه یصحّ للفاضلین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المعتبر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بقاء نجاسة الأعیان النجسة بعد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النجاسة قائمة بالأعیان </w:t>
      </w:r>
      <w:r>
        <w:rPr>
          <w:rStyle w:val="FootnoteAnchor"/>
          <w:rtl w:val="true"/>
        </w:rPr>
        <w:footnoteReference w:id="963"/>
      </w:r>
      <w:r>
        <w:rPr>
          <w:rFonts w:ascii="IRNazanin" w:hAnsi="IRNazanin" w:eastAsia="IRNazanin"/>
          <w:color w:val="111111"/>
          <w:sz w:val="28"/>
          <w:sz w:val="28"/>
          <w:szCs w:val="28"/>
          <w:rtl w:val="true"/>
          <w:lang w:bidi="fa-IR"/>
        </w:rPr>
        <w:t xml:space="preserve">النجسة،لا بأوصاف الأجزاء،فلا تزول بتغیّر أوصاف محلّها،و تلک الأجزاء باقیة،فتکون النجاسة باقیة؛لانتفاء ما یقتضی ارتفاعها </w:t>
      </w:r>
      <w:r>
        <w:rPr>
          <w:rStyle w:val="FootnoteAnchor"/>
          <w:rtl w:val="true"/>
        </w:rPr>
        <w:footnoteReference w:id="964"/>
      </w:r>
      <w:r>
        <w:rPr>
          <w:rFonts w:ascii="IRNazanin" w:hAnsi="IRNazanin" w:eastAsia="IRNazanin"/>
          <w:color w:val="111111"/>
          <w:sz w:val="28"/>
          <w:sz w:val="28"/>
          <w:szCs w:val="28"/>
          <w:rtl w:val="true"/>
          <w:lang w:bidi="fa-IR"/>
        </w:rPr>
        <w:t>،انتهی کلام المعتبر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فخر الدین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بأصالة بقائها،و بأنّ الاسم أمارة و معرّف،فلا یزول الحکم بزواله </w:t>
      </w:r>
      <w:r>
        <w:rPr>
          <w:rStyle w:val="FootnoteAnchor"/>
          <w:rtl w:val="true"/>
        </w:rPr>
        <w:footnoteReference w:id="9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002" w:name="pg12985_125145"/>
    </w:p>
    <w:p>
      <w:pPr>
        <w:pStyle w:val="BookText"/>
        <w:rPr/>
      </w:pPr>
      <w:bookmarkEnd w:id="1002"/>
      <w:r>
        <w:rPr>
          <w:rFonts w:ascii="IRNazanin" w:hAnsi="IRNazanin" w:eastAsia="IRNazanin"/>
          <w:color w:val="111111"/>
          <w:sz w:val="28"/>
          <w:sz w:val="28"/>
          <w:szCs w:val="28"/>
          <w:rtl w:val="true"/>
          <w:lang w:bidi="fa-IR"/>
        </w:rPr>
        <w:t xml:space="preserve">و هذه الکلمات و إن کانت محلّ الإیراد؛لعدم ثبوت قیام حکم الشارع بالنجاسة بجسم الکلب المشترک بین الحیوان و الجماد،بل ظهور عدمه؛لأنّ ظاهر الأدلّة تبعیّة الأحکام للأسماء،کما اعترف به فی المنتهی فی استحالة الأعیان النجسة </w:t>
      </w:r>
      <w:r>
        <w:rPr>
          <w:rStyle w:val="FootnoteAnchor"/>
          <w:rtl w:val="true"/>
        </w:rPr>
        <w:footnoteReference w:id="966"/>
      </w:r>
      <w:r>
        <w:rPr>
          <w:rFonts w:ascii="IRNazanin" w:hAnsi="IRNazanin" w:eastAsia="IRNazanin"/>
          <w:color w:val="111111"/>
          <w:sz w:val="28"/>
          <w:sz w:val="28"/>
          <w:szCs w:val="28"/>
          <w:rtl w:val="true"/>
          <w:lang w:bidi="fa-IR"/>
        </w:rPr>
        <w:t xml:space="preserve">،إلاّ أنّها شاهدة علی إمکان اعتبار </w:t>
      </w:r>
      <w:r>
        <w:rPr>
          <w:rStyle w:val="FootnoteAnchor"/>
          <w:rtl w:val="true"/>
        </w:rPr>
        <w:footnoteReference w:id="967"/>
      </w:r>
      <w:r>
        <w:rPr>
          <w:rFonts w:ascii="IRNazanin" w:hAnsi="IRNazanin" w:eastAsia="IRNazanin"/>
          <w:color w:val="111111"/>
          <w:sz w:val="28"/>
          <w:sz w:val="28"/>
          <w:szCs w:val="28"/>
          <w:rtl w:val="true"/>
          <w:lang w:bidi="fa-IR"/>
        </w:rPr>
        <w:t>موضوعیّة الذات المشترکة بین واجد الوصف العنوانیّ و فاقده، کما ذکرنا فی نجاسة الکلب بالموت،حیث إنّ أهل العرف لا یفهمون نجاسة اخری حاصلة بالموت،و یفهمون ارتفاع طهارة الإنسان،إلی غیر ذلک ممّا یفهمون الموضوع فیه مشترکا بین الواجد للوصف العنوانیّ و الفاقد</w:t>
      </w:r>
      <w:r>
        <w:rPr>
          <w:rFonts w:eastAsia="IRNazanin" w:cs="IRNazanin"/>
          <w:color w:val="111111"/>
          <w:sz w:val="28"/>
          <w:szCs w:val="28"/>
          <w:rtl w:val="true"/>
          <w:lang w:bidi="fa-IR"/>
        </w:rPr>
        <w:t>.</w:t>
      </w:r>
    </w:p>
    <w:p>
      <w:pPr>
        <w:pStyle w:val="Heading6"/>
        <w:numPr>
          <w:ilvl w:val="5"/>
          <w:numId w:val="1"/>
        </w:numPr>
        <w:rPr/>
      </w:pPr>
      <w:bookmarkStart w:id="1003" w:name="__RefHeading___Toc5767589_3224264995"/>
      <w:bookmarkStart w:id="1004" w:name="_Toc403"/>
      <w:bookmarkEnd w:id="1003"/>
      <w:r>
        <w:rPr>
          <w:rtl w:val="true"/>
        </w:rPr>
        <w:t>الفرق بین نجس العین و المتنجّس عند الاستحالة</w:t>
      </w:r>
      <w:r>
        <w:rPr>
          <w:rtl w:val="true"/>
        </w:rPr>
        <w:t>:</w:t>
      </w:r>
      <w:bookmarkEnd w:id="1004"/>
    </w:p>
    <w:p>
      <w:pPr>
        <w:pStyle w:val="BookText"/>
        <w:rPr/>
      </w:pPr>
      <w:r>
        <w:rPr>
          <w:rFonts w:ascii="Amiri" w:hAnsi="Amiri" w:eastAsia="Amiri" w:cs="Amiri"/>
          <w:color w:val="111111"/>
          <w:sz w:val="28"/>
          <w:sz w:val="28"/>
          <w:szCs w:val="28"/>
          <w:rtl w:val="true"/>
          <w:lang w:bidi="ar-SA"/>
        </w:rPr>
        <w:t xml:space="preserve">ثمّ إنّ بعض المتأخّرین </w:t>
      </w:r>
      <w:r>
        <w:rPr>
          <w:rStyle w:val="FootnoteAnchor"/>
          <w:rtl w:val="true"/>
        </w:rPr>
        <w:footnoteReference w:id="968"/>
      </w:r>
      <w:r>
        <w:rPr>
          <w:rFonts w:ascii="IRNazanin" w:hAnsi="IRNazanin" w:eastAsia="IRNazanin"/>
          <w:color w:val="111111"/>
          <w:sz w:val="28"/>
          <w:sz w:val="28"/>
          <w:szCs w:val="28"/>
          <w:rtl w:val="true"/>
          <w:lang w:bidi="fa-IR"/>
        </w:rPr>
        <w:t>فرّق بین استحالة نجس العین و المتنجّس، فحکم بطهارة الأوّل لزوال الموضوع،دون الثانی؛لأنّ موضوع النجاسة فیه لیس عنوان المستحیل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الخشب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الجسم و لم یزل بالاستحالة</w:t>
      </w:r>
      <w:r>
        <w:rPr>
          <w:rFonts w:eastAsia="IRNazanin" w:cs="IRNazanin"/>
          <w:color w:val="111111"/>
          <w:sz w:val="28"/>
          <w:szCs w:val="28"/>
          <w:rtl w:val="true"/>
          <w:lang w:bidi="fa-IR"/>
        </w:rPr>
        <w:t>.</w:t>
      </w:r>
    </w:p>
    <w:p>
      <w:pPr>
        <w:pStyle w:val="Heading6"/>
        <w:numPr>
          <w:ilvl w:val="5"/>
          <w:numId w:val="1"/>
        </w:numPr>
        <w:rPr/>
      </w:pPr>
      <w:bookmarkStart w:id="1005" w:name="__RefHeading___Toc5767591_3224264995"/>
      <w:bookmarkStart w:id="1006" w:name="_Toc404"/>
      <w:bookmarkEnd w:id="1005"/>
      <w:r>
        <w:rPr>
          <w:rtl w:val="true"/>
        </w:rPr>
        <w:t>الإشکال فی هذا الفرق</w:t>
      </w:r>
      <w:r>
        <w:rPr>
          <w:rtl w:val="true"/>
        </w:rPr>
        <w:t>:</w:t>
      </w:r>
      <w:bookmarkEnd w:id="10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فی بادئ النظر،إلاّ أنّ دقیق النظر یقتضی خلافه؛ إذ لم یعلم أنّ النجاسة فی المتنجّسات محمولة علی الصورة الجنسیّة و هی الجسم،و إن اشتهر فی الفتاوی و معاقد الإجماعات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جسم لاقی نجسا مع رطوبة أحدهما فهو نجس،إلاّ أنّه لا یخفی علی المتأمّل أنّ التعبیر بالجسم لبیان </w:t>
      </w:r>
      <w:r>
        <w:rPr>
          <w:rStyle w:val="FootnoteAnchor"/>
          <w:rtl w:val="true"/>
        </w:rPr>
        <w:footnoteReference w:id="969"/>
      </w:r>
      <w:r>
        <w:rPr>
          <w:rFonts w:ascii="IRNazanin" w:hAnsi="IRNazanin" w:eastAsia="IRNazanin"/>
          <w:color w:val="111111"/>
          <w:sz w:val="28"/>
          <w:sz w:val="28"/>
          <w:szCs w:val="28"/>
          <w:rtl w:val="true"/>
          <w:lang w:bidi="fa-IR"/>
        </w:rPr>
        <w:t xml:space="preserve">عموم الحکم لجمیع الأجسام الملاقیة من حیث </w:t>
      </w:r>
    </w:p>
    <w:p>
      <w:pPr>
        <w:pStyle w:val="BookText"/>
        <w:rPr/>
      </w:pPr>
      <w:r>
        <w:rPr>
          <w:rFonts w:ascii="IRNazanin" w:hAnsi="IRNazanin" w:eastAsia="IRNazanin"/>
          <w:color w:val="111111"/>
          <w:sz w:val="28"/>
          <w:sz w:val="28"/>
          <w:szCs w:val="28"/>
          <w:rtl w:val="true"/>
          <w:lang w:bidi="fa-IR"/>
        </w:rPr>
        <w:t xml:space="preserve">سببیّة الملاقاة للتنجّس </w:t>
      </w:r>
      <w:r>
        <w:rPr>
          <w:rStyle w:val="FootnoteAnchor"/>
          <w:rtl w:val="true"/>
        </w:rPr>
        <w:footnoteReference w:id="970"/>
      </w:r>
      <w:r>
        <w:rPr>
          <w:rFonts w:ascii="IRNazanin" w:hAnsi="IRNazanin" w:eastAsia="IRNazanin"/>
          <w:color w:val="111111"/>
          <w:sz w:val="28"/>
          <w:sz w:val="28"/>
          <w:szCs w:val="28"/>
          <w:rtl w:val="true"/>
          <w:lang w:bidi="fa-IR"/>
        </w:rPr>
        <w:t>،لا لبیان إناطة الحکم بالجسمیّة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بتقریر آخر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ثابت لأشخاص الجسم،فلا ینافی ثبوته لکلّ واحد منها من حیث نوعه أو صنفه المتقوّم به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فهو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حدوث النجاسة فی الجسم بسبب الملاقاة من غیر تعرّض للمحلّ الذی یتقوّم به،کما 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جسم له خاصّیّة و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الخواصّ و التأثیرات من عوارض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عن ظهور معقد الإجماع فی تقوّم النجاسة بالجسم،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w:t>
      </w:r>
      <w:r>
        <w:rPr>
          <w:rStyle w:val="FootnoteAnchor"/>
          <w:rtl w:val="true"/>
        </w:rPr>
        <w:footnoteReference w:id="972"/>
      </w:r>
      <w:r>
        <w:rPr>
          <w:rFonts w:ascii="IRNazanin" w:hAnsi="IRNazanin" w:eastAsia="IRNazanin"/>
          <w:color w:val="111111"/>
          <w:sz w:val="28"/>
          <w:sz w:val="28"/>
          <w:szCs w:val="28"/>
          <w:rtl w:val="true"/>
          <w:lang w:bidi="fa-IR"/>
        </w:rPr>
        <w:t>فی أنّ مستند هذا العموم هی الأدلّة الخاصّة الواردة فی الأشخاص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الثوب و البدن و الماء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،فاستنباط القضیّة الکلّیّة المذکورة منها لیس إلاّ من حیث عنوان حدوث النجاسة، لا ما یتقوّم به،و إلاّ فاللازم إناطة النجاسة فی کلّ مورد بالعنوان المذکور فی دلیله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الحکم لکلّ عنوان خاصّ من حیث کونه جسما،لیست بأولی من دعوی کون التعبیر بالجسم فی القضیّة العامّة من حیث عموم ما یحدث فیه النجاسة بالملاقاة،لا من حیث تقوّم النجاسة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 المتنجّس و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النجس معلوم الانتفاء فی ظاهر الدلیل،و فی المتنجّس محتمل البقاء</w:t>
      </w:r>
      <w:r>
        <w:rPr>
          <w:rFonts w:eastAsia="IRNazanin" w:cs="IRNazanin"/>
          <w:color w:val="111111"/>
          <w:sz w:val="28"/>
          <w:szCs w:val="28"/>
          <w:rtl w:val="true"/>
          <w:lang w:bidi="fa-IR"/>
        </w:rPr>
        <w:t xml:space="preserve">. </w:t>
      </w:r>
      <w:bookmarkStart w:id="1007" w:name="pg12985_125147"/>
    </w:p>
    <w:p>
      <w:pPr>
        <w:pStyle w:val="Heading6"/>
        <w:numPr>
          <w:ilvl w:val="5"/>
          <w:numId w:val="1"/>
        </w:numPr>
        <w:rPr/>
      </w:pPr>
      <w:bookmarkStart w:id="1008" w:name="__RefHeading___Toc5767593_3224264995"/>
      <w:bookmarkStart w:id="1009" w:name="_Toc405"/>
      <w:bookmarkEnd w:id="1007"/>
      <w:bookmarkEnd w:id="1008"/>
      <w:r>
        <w:rPr>
          <w:rtl w:val="true"/>
        </w:rPr>
        <w:t>عدم الفرق بناء علی کون المحکّم نظر العرف</w:t>
      </w:r>
      <w:r>
        <w:rPr>
          <w:rtl w:val="true"/>
        </w:rPr>
        <w:t>:</w:t>
      </w:r>
      <w:bookmarkEnd w:id="1009"/>
    </w:p>
    <w:p>
      <w:pPr>
        <w:pStyle w:val="BookText"/>
        <w:rPr/>
      </w:pPr>
      <w:r>
        <w:rPr>
          <w:rFonts w:ascii="IRNazanin" w:hAnsi="IRNazanin" w:eastAsia="IRNazanin"/>
          <w:color w:val="111111"/>
          <w:sz w:val="28"/>
          <w:sz w:val="28"/>
          <w:szCs w:val="28"/>
          <w:rtl w:val="true"/>
          <w:lang w:bidi="fa-IR"/>
        </w:rPr>
        <w:t xml:space="preserve">لکنّ هذا المقدار لا یوجب الفرق بعد ما </w:t>
      </w:r>
      <w:r>
        <w:rPr>
          <w:rStyle w:val="FootnoteAnchor"/>
          <w:rtl w:val="true"/>
        </w:rPr>
        <w:footnoteReference w:id="973"/>
      </w:r>
      <w:r>
        <w:rPr>
          <w:rFonts w:ascii="IRNazanin" w:hAnsi="IRNazanin" w:eastAsia="IRNazanin"/>
          <w:color w:val="111111"/>
          <w:sz w:val="28"/>
          <w:sz w:val="28"/>
          <w:szCs w:val="28"/>
          <w:rtl w:val="true"/>
          <w:lang w:bidi="fa-IR"/>
        </w:rPr>
        <w:t>تبیّن أنّ العرف هو المحکّم فی موضوع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أنّه لو حکم علی الحنطة أو العنب بالحلّیّة أو الحرمة أو النجاسة أو الطهارة،هل یتأمّل العرف فی إجراء تلک الأحکام علی الدقیق 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یتأمّلون فی عدم جریان الاستصحاب فی استحالة الخشب دخانا و الماء المتنجّس بولا لمأکول اللحم،خصوصا إذا اطّلعوا علی زوال النجاسة بالاستحالة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العلماء أیضا لم یفرّقوا فی الاستحالة بین النجس و المتنجّس، کما لا یخفی علی المتتبّع </w:t>
      </w:r>
      <w:r>
        <w:rPr>
          <w:rStyle w:val="FootnoteAnchor"/>
          <w:rtl w:val="true"/>
        </w:rPr>
        <w:footnoteReference w:id="974"/>
      </w:r>
      <w:r>
        <w:rPr>
          <w:rFonts w:ascii="IRNazanin" w:hAnsi="IRNazanin" w:eastAsia="IRNazanin"/>
          <w:color w:val="111111"/>
          <w:sz w:val="28"/>
          <w:sz w:val="28"/>
          <w:szCs w:val="28"/>
          <w:rtl w:val="true"/>
          <w:lang w:bidi="fa-IR"/>
        </w:rPr>
        <w:t xml:space="preserve">،بل جعل بعضهم </w:t>
      </w:r>
      <w:r>
        <w:rPr>
          <w:rStyle w:val="FootnoteAnchor"/>
          <w:rtl w:val="true"/>
        </w:rPr>
        <w:footnoteReference w:id="975"/>
      </w:r>
      <w:r>
        <w:rPr>
          <w:rFonts w:ascii="Amiri" w:hAnsi="Amiri" w:eastAsia="Amiri" w:cs="Amiri"/>
          <w:color w:val="111111"/>
          <w:sz w:val="28"/>
          <w:sz w:val="28"/>
          <w:szCs w:val="28"/>
          <w:rtl w:val="true"/>
          <w:lang w:bidi="ar-SA"/>
        </w:rPr>
        <w:t xml:space="preserve">الاستحالة مطهّرة للمتنجّس بالأولویّة الجلیّة </w:t>
      </w:r>
      <w:r>
        <w:rPr>
          <w:rStyle w:val="FootnoteAnchor"/>
          <w:rtl w:val="true"/>
        </w:rPr>
        <w:footnoteReference w:id="976"/>
      </w:r>
      <w:r>
        <w:rPr>
          <w:rFonts w:ascii="Amiri" w:hAnsi="Amiri" w:eastAsia="Amiri" w:cs="Amiri"/>
          <w:color w:val="111111"/>
          <w:sz w:val="28"/>
          <w:sz w:val="28"/>
          <w:szCs w:val="28"/>
          <w:rtl w:val="true"/>
          <w:lang w:bidi="ar-SA"/>
        </w:rPr>
        <w:t xml:space="preserve">،حتّی تمسّک بها فی المقام من لا یقول بحجّیّة مطلق الظنّ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وجه النظر فیما ذکره جماعة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للفاضل الهندی قدّس سرّه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الحکم فی المتنجّسات لیس دائرا مدار الاسم </w:t>
      </w:r>
      <w:bookmarkStart w:id="1010" w:name="pg12985_125148"/>
    </w:p>
    <w:p>
      <w:pPr>
        <w:pStyle w:val="BookText"/>
        <w:rPr/>
      </w:pPr>
      <w:bookmarkEnd w:id="1010"/>
      <w:r>
        <w:rPr>
          <w:rFonts w:ascii="Amiri" w:hAnsi="Amiri" w:eastAsia="Amiri" w:cs="Amiri"/>
          <w:color w:val="111111"/>
          <w:sz w:val="28"/>
          <w:sz w:val="28"/>
          <w:szCs w:val="28"/>
          <w:rtl w:val="true"/>
          <w:lang w:bidi="ar-SA"/>
        </w:rPr>
        <w:t xml:space="preserve">حتّی یطهر </w:t>
      </w:r>
      <w:r>
        <w:rPr>
          <w:rStyle w:val="FootnoteAnchor"/>
          <w:rtl w:val="true"/>
        </w:rPr>
        <w:footnoteReference w:id="980"/>
      </w:r>
      <w:r>
        <w:rPr>
          <w:rFonts w:ascii="IRNazanin" w:hAnsi="IRNazanin" w:eastAsia="IRNazanin"/>
          <w:color w:val="111111"/>
          <w:sz w:val="28"/>
          <w:sz w:val="28"/>
          <w:szCs w:val="28"/>
          <w:rtl w:val="true"/>
          <w:lang w:bidi="fa-IR"/>
        </w:rPr>
        <w:t xml:space="preserve">بالاستحالة،بل لأنّه جسم لاقی نجسا،و هذا المعنی لم یزل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1" w:name="__RefHeading___Toc5767595_3224264995"/>
      <w:bookmarkStart w:id="1012" w:name="_Toc406"/>
      <w:bookmarkEnd w:id="1011"/>
      <w:r>
        <w:rPr>
          <w:rtl w:val="true"/>
        </w:rPr>
        <w:t>مراتب التغیّر و الأحکام مختلفة</w:t>
      </w:r>
      <w:r>
        <w:rPr>
          <w:rtl w:val="true"/>
        </w:rPr>
        <w:t>:</w:t>
      </w:r>
      <w:bookmarkEnd w:id="1012"/>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تغیّر الصورة فی الأجسام مختلفة،بل الأحکام أیضا مختلفة،ففی بعض مراتب التغیّر یحکم العرف بجریان دلیل العنوان من غیر حاجة إلی الاستصحاب،و فی بعض آخر لا یحکمون بذلک و یثبتون الحکم بالاستصحاب،و فی ثالث لا یجرون الاستصحاب أیضا،من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حکم علی الرطب أو العنب بالحلّیّة أو الطهارة أو النجاسة،فإنّ الظاهر جریان عموم أدلّة هذه الأحکام للتمر و الزبیب، فکأنّهم یفهمون من الرطب و العنب الأعمّ ممّا جفّ منهما فصار تمرا أو زبیبا،مع أنّ الظاهر تغایر الاسمین؛و لهذا لو حلف علی ترک أحدهما لم یحنث بأکل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أنّهم لا یحتاجون فی إجراء الأحکام المذکورة إلی الاستصحاب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حکم بول غیر المأکول إذا صار بولا لمأکول و بالعکس،و کذا صیرورة الخمر خلاّ،و صیرورة الکلب أو الإنسان جمادا بالموت،إلاّ أنّ الشارع حکم فی بعض هذه الموارد بارتفاع الحکم السابق،إمّا للنصّ،کما فی الخمر المستحیل خلاّ </w:t>
      </w:r>
      <w:r>
        <w:rPr>
          <w:rStyle w:val="FootnoteAnchor"/>
          <w:rtl w:val="true"/>
        </w:rPr>
        <w:footnoteReference w:id="982"/>
      </w:r>
      <w:r>
        <w:rPr>
          <w:rFonts w:ascii="IRNazanin" w:hAnsi="IRNazanin" w:eastAsia="IRNazanin"/>
          <w:color w:val="111111"/>
          <w:sz w:val="28"/>
          <w:sz w:val="28"/>
          <w:szCs w:val="28"/>
          <w:rtl w:val="true"/>
          <w:lang w:bidi="fa-IR"/>
        </w:rPr>
        <w:t xml:space="preserve">،و إمّا لعموم ما دلّ علی حکم المنتقل إلیه،فإنّ الظاهر أنّ استفادة طهارة المستحال إلیه إذا </w:t>
      </w:r>
      <w:bookmarkStart w:id="1013" w:name="pg12985_125149"/>
    </w:p>
    <w:p>
      <w:pPr>
        <w:pStyle w:val="BookText"/>
        <w:rPr/>
      </w:pPr>
      <w:bookmarkEnd w:id="1013"/>
      <w:r>
        <w:rPr>
          <w:rFonts w:ascii="IRNazanin" w:hAnsi="IRNazanin" w:eastAsia="IRNazanin"/>
          <w:color w:val="111111"/>
          <w:sz w:val="28"/>
          <w:sz w:val="28"/>
          <w:szCs w:val="28"/>
          <w:rtl w:val="true"/>
          <w:lang w:bidi="fa-IR"/>
        </w:rPr>
        <w:t xml:space="preserve">کان بولا لمأکول </w:t>
      </w:r>
      <w:r>
        <w:rPr>
          <w:rStyle w:val="FootnoteAnchor"/>
          <w:rtl w:val="true"/>
        </w:rPr>
        <w:footnoteReference w:id="983"/>
      </w:r>
      <w:r>
        <w:rPr>
          <w:rFonts w:ascii="IRNazanin" w:hAnsi="IRNazanin" w:eastAsia="IRNazanin"/>
          <w:color w:val="111111"/>
          <w:sz w:val="28"/>
          <w:sz w:val="28"/>
          <w:szCs w:val="28"/>
          <w:rtl w:val="true"/>
          <w:lang w:bidi="fa-IR"/>
        </w:rPr>
        <w:t>لیس من أصالة الطهارة بعد عدم جریان الاستصحاب، بل هو من الدلیل،نظیر استفادة نجاسة بول المأکول إذا صار بولا لغیر مأکول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العذرة </w:t>
      </w:r>
      <w:r>
        <w:rPr>
          <w:rStyle w:val="FootnoteAnchor"/>
          <w:rtl w:val="true"/>
        </w:rPr>
        <w:footnoteReference w:id="984"/>
      </w:r>
      <w:r>
        <w:rPr>
          <w:rFonts w:ascii="IRNazanin" w:hAnsi="IRNazanin" w:eastAsia="IRNazanin"/>
          <w:color w:val="111111"/>
          <w:sz w:val="28"/>
          <w:sz w:val="28"/>
          <w:szCs w:val="28"/>
          <w:rtl w:val="true"/>
          <w:lang w:bidi="fa-IR"/>
        </w:rPr>
        <w:t>أو الدّهن المتنجّس دخانا،و المنیّ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نوقش فی بعض الأمثلة المذکورة،فالمثال غیر عزیز علی المتتبّع المتأمّل</w:t>
      </w:r>
      <w:r>
        <w:rPr>
          <w:rFonts w:eastAsia="IRNazanin" w:cs="IRNazanin"/>
          <w:color w:val="111111"/>
          <w:sz w:val="28"/>
          <w:szCs w:val="28"/>
          <w:rtl w:val="true"/>
          <w:lang w:bidi="fa-IR"/>
        </w:rPr>
        <w:t>.</w:t>
      </w:r>
    </w:p>
    <w:p>
      <w:pPr>
        <w:pStyle w:val="Heading6"/>
        <w:numPr>
          <w:ilvl w:val="5"/>
          <w:numId w:val="1"/>
        </w:numPr>
        <w:rPr/>
      </w:pPr>
      <w:bookmarkStart w:id="1014" w:name="__RefHeading___Toc5767597_3224264995"/>
      <w:bookmarkStart w:id="1015" w:name="_Toc407"/>
      <w:bookmarkEnd w:id="1014"/>
      <w:r>
        <w:rPr>
          <w:rtl w:val="true"/>
        </w:rPr>
        <w:t>معنی قولهم</w:t>
      </w:r>
      <w:r>
        <w:rPr>
          <w:rtl w:val="true"/>
        </w:rPr>
        <w:t>:«</w:t>
      </w:r>
      <w:r>
        <w:rPr>
          <w:rtl w:val="true"/>
        </w:rPr>
        <w:t>الأحکام تدور مدار الأسماء</w:t>
      </w:r>
      <w:r>
        <w:rPr>
          <w:rtl w:val="true"/>
        </w:rPr>
        <w:t>»:</w:t>
      </w:r>
      <w:bookmarkEnd w:id="1015"/>
    </w:p>
    <w:p>
      <w:pPr>
        <w:pStyle w:val="BookText"/>
        <w:rPr/>
      </w:pPr>
      <w:r>
        <w:rPr>
          <w:rFonts w:ascii="IRNazanin" w:hAnsi="IRNazanin" w:eastAsia="IRNazanin"/>
          <w:color w:val="111111"/>
          <w:sz w:val="28"/>
          <w:sz w:val="28"/>
          <w:szCs w:val="28"/>
          <w:rtl w:val="true"/>
          <w:lang w:bidi="fa-IR"/>
        </w:rPr>
        <w:t>و ممّا ذکرنا یظهر أنّ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تدور مدار أسماء موضوعاتها التی هی المعیار فی وجودها و عدمها، 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حلال،فإن ثبت کون الموضوع هو مسمّی هذا الاسم،دار الحکم مداره،فینتفی عند صیرورته زبیبا،أمّا إذا علم من العرف أو غیره أنّ الموضوع هو الکلّیّ الموجود فی العنب المشترک بینه و بین الزبیب،أو بینهما و بین العصیر،دار الحکم مداره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اللفظ فی مثل القضیّة المذکورة کون الموضوع هو العنوان،و تقوّم الحکم به،المستلزم لانتفائه بانتفائه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العناوین مختلفة،و الأحکام أیضا مختلفة </w:t>
      </w:r>
      <w:r>
        <w:rPr>
          <w:rStyle w:val="FootnoteAnchor"/>
          <w:rtl w:val="true"/>
        </w:rPr>
        <w:footnoteReference w:id="985"/>
      </w:r>
      <w:r>
        <w:rPr>
          <w:rFonts w:ascii="IRNazanin" w:hAnsi="IRNazanin" w:eastAsia="IRNazanin"/>
          <w:color w:val="111111"/>
          <w:sz w:val="28"/>
          <w:sz w:val="28"/>
          <w:szCs w:val="28"/>
          <w:rtl w:val="true"/>
          <w:lang w:bidi="fa-IR"/>
        </w:rPr>
        <w:t xml:space="preserve">،و قد تقدّم حکایة بقاء نجاسة الخنزیر المستحیل ملحا عن أکثر أهل العلم، و اختیار الفاضلین 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016" w:name="pg12985_125150"/>
    </w:p>
    <w:p>
      <w:pPr>
        <w:pStyle w:val="BookText"/>
        <w:rPr/>
      </w:pPr>
      <w:bookmarkEnd w:id="1016"/>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استفادة غیر ما ذکر من ظاهر اللفظ إلی القرینة الخارجیّة،و إلاّ فظاهر اللفظ کون القضیّة ما دام الوصف العنوانیّ،لا تضرّنا فیما نحن بصدده؛لأنّ المقصود مراعاة العرف فی تشخیص الموضوع و عدم الاقتصار فی ذلک علی ما یقتضیه العقل علی وجه الدقّة،و لا علی ما یقتضیه الدلیل اللفظیّ إذا کان العرف بالنسبة إلی القضیّة الخاصّة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حینئذ،فیستقیم أن یراد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ظاهر دلیل الحکم تبعیّة ذلک الحکم لاسم الموضوع الذی علّق علیه الحکم فی ظاهر الدلیل،فیراد من هذه القضیّة تأسیس أصل،قد یعدل عنه بقرینة فهم العرف أو غیره،فافهم</w:t>
      </w:r>
      <w:r>
        <w:rPr>
          <w:rFonts w:eastAsia="IRNazanin" w:cs="IRNazanin"/>
          <w:color w:val="111111"/>
          <w:sz w:val="28"/>
          <w:szCs w:val="28"/>
          <w:rtl w:val="true"/>
          <w:lang w:bidi="fa-IR"/>
        </w:rPr>
        <w:t>.</w:t>
      </w:r>
    </w:p>
    <w:p>
      <w:pPr>
        <w:pStyle w:val="Heading5"/>
        <w:numPr>
          <w:ilvl w:val="4"/>
          <w:numId w:val="1"/>
        </w:numPr>
        <w:rPr/>
      </w:pPr>
      <w:bookmarkStart w:id="1017" w:name="__RefHeading___Toc5767599_3224264995"/>
      <w:bookmarkStart w:id="1018" w:name="_Toc408"/>
      <w:bookmarkEnd w:id="1017"/>
      <w:r>
        <w:rPr>
          <w:rtl w:val="true"/>
        </w:rPr>
        <w:t>الأمر الثانی</w:t>
      </w:r>
      <w:r>
        <w:rPr>
          <w:rtl w:val="true"/>
        </w:rPr>
        <w:t>:</w:t>
      </w:r>
      <w:r>
        <w:rPr>
          <w:rtl w:val="true"/>
        </w:rPr>
        <w:t>اشتراط الشکّ فی البقاء</w:t>
      </w:r>
      <w:bookmarkEnd w:id="1018"/>
    </w:p>
    <w:p>
      <w:pPr>
        <w:pStyle w:val="Heading6"/>
        <w:numPr>
          <w:ilvl w:val="5"/>
          <w:numId w:val="1"/>
        </w:numPr>
        <w:rPr/>
      </w:pPr>
      <w:bookmarkStart w:id="1019" w:name="__RefHeading___Toc5767601_3224264995"/>
      <w:bookmarkStart w:id="1020" w:name="_Toc409"/>
      <w:bookmarkEnd w:id="1019"/>
      <w:r>
        <w:rPr>
          <w:rtl w:val="true"/>
        </w:rPr>
        <w:t>اشارة</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ممّا یعتبر فی تحقّق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حال الشکّ متیقّنا بوجود المستصحب فی السابق،حتّی یکون شکّه فی البقاء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الشکّ فی تحقّق نفس ما تیقّنه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تیقّن عدالة زید فی زمان،کیوم الجمعة مثلا،ثمّ شکّ فی نفس هذا المتیقّن،و هو عدالته یوم الجمعة،بأن زال مدرک اعتقاده السابق،فشکّ فی مطابقته للواقع،أو کونه جهلا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من مورد الاستصحاب لغة، و لا اصطلاحا</w:t>
      </w:r>
      <w:r>
        <w:rPr>
          <w:rFonts w:eastAsia="IRNazanin" w:cs="IRNazanin"/>
          <w:color w:val="111111"/>
          <w:sz w:val="28"/>
          <w:szCs w:val="28"/>
          <w:rtl w:val="true"/>
          <w:lang w:bidi="fa-IR"/>
        </w:rPr>
        <w:t xml:space="preserve">. </w:t>
      </w:r>
      <w:bookmarkStart w:id="1021" w:name="pg12985_125151"/>
    </w:p>
    <w:p>
      <w:pPr>
        <w:pStyle w:val="Heading6"/>
        <w:numPr>
          <w:ilvl w:val="5"/>
          <w:numId w:val="1"/>
        </w:numPr>
        <w:rPr/>
      </w:pPr>
      <w:bookmarkStart w:id="1022" w:name="__RefHeading___Toc5767603_3224264995"/>
      <w:bookmarkStart w:id="1023" w:name="_Toc410"/>
      <w:bookmarkEnd w:id="1021"/>
      <w:bookmarkEnd w:id="1022"/>
      <w:r>
        <w:rPr>
          <w:rtl w:val="true"/>
        </w:rPr>
        <w:t>الدلیل علی اعتبار هذا الشرط</w:t>
      </w:r>
      <w:r>
        <w:rPr>
          <w:rtl w:val="true"/>
        </w:rPr>
        <w:t>:</w:t>
      </w:r>
      <w:bookmarkEnd w:id="1023"/>
    </w:p>
    <w:p>
      <w:pPr>
        <w:pStyle w:val="BookText"/>
        <w:rPr/>
      </w:pPr>
      <w:r>
        <w:rPr>
          <w:rFonts w:ascii="IRNazanin" w:hAnsi="IRNazanin" w:eastAsia="IRNazanin"/>
          <w:color w:val="111111"/>
          <w:sz w:val="28"/>
          <w:sz w:val="28"/>
          <w:szCs w:val="28"/>
          <w:rtl w:val="true"/>
          <w:lang w:bidi="fa-IR"/>
        </w:rPr>
        <w:t>أمّا الأوّل،فلأنّ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الشیء مصاحبا،فلا بدّ من إحراز ذلک الشیء </w:t>
      </w:r>
      <w:r>
        <w:rPr>
          <w:rStyle w:val="FootnoteAnchor"/>
          <w:rtl w:val="true"/>
        </w:rPr>
        <w:footnoteReference w:id="988"/>
      </w:r>
      <w:r>
        <w:rPr>
          <w:rFonts w:ascii="IRNazanin" w:hAnsi="IRNazanin" w:eastAsia="IRNazanin"/>
          <w:color w:val="111111"/>
          <w:sz w:val="28"/>
          <w:sz w:val="28"/>
          <w:szCs w:val="28"/>
          <w:rtl w:val="true"/>
          <w:lang w:bidi="fa-IR"/>
        </w:rPr>
        <w:t>حتّی یأخذه مصاحبا،فإذا شکّ فی حدوثه من أصله فلا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اصطلاحا،فلأنّهم اتّفقوا علی أخذ الشکّ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یؤدّی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الاستصحاب</w:t>
      </w:r>
      <w:r>
        <w:rPr>
          <w:rFonts w:eastAsia="IRNazanin" w:cs="IRNazanin"/>
          <w:color w:val="111111"/>
          <w:sz w:val="28"/>
          <w:szCs w:val="28"/>
          <w:rtl w:val="true"/>
          <w:lang w:bidi="fa-IR"/>
        </w:rPr>
        <w:t>.</w:t>
      </w:r>
    </w:p>
    <w:p>
      <w:pPr>
        <w:pStyle w:val="Heading6"/>
        <w:numPr>
          <w:ilvl w:val="5"/>
          <w:numId w:val="1"/>
        </w:numPr>
        <w:rPr/>
      </w:pPr>
      <w:bookmarkStart w:id="1024" w:name="__RefHeading___Toc5767605_3224264995"/>
      <w:bookmarkStart w:id="1025" w:name="_Toc411"/>
      <w:bookmarkEnd w:id="1024"/>
      <w:r>
        <w:rPr>
          <w:rtl w:val="true"/>
        </w:rPr>
        <w:t>قاعدة الیقین و الشکّ الساری</w:t>
      </w:r>
      <w:r>
        <w:rPr>
          <w:rtl w:val="true"/>
        </w:rPr>
        <w:t>:</w:t>
      </w:r>
      <w:bookmarkEnd w:id="1025"/>
    </w:p>
    <w:p>
      <w:pPr>
        <w:pStyle w:val="BookText"/>
        <w:rPr/>
      </w:pPr>
      <w:r>
        <w:rPr>
          <w:rFonts w:ascii="IRNazanin" w:hAnsi="IRNazanin" w:eastAsia="IRNazanin"/>
          <w:color w:val="111111"/>
          <w:sz w:val="28"/>
          <w:sz w:val="28"/>
          <w:szCs w:val="28"/>
          <w:rtl w:val="true"/>
          <w:lang w:bidi="fa-IR"/>
        </w:rPr>
        <w:t xml:space="preserve">نعم،لو ثبت أنّ الشکّ بعد الیقین بهذا المعنی ملغی فی نظر الشارع،فهی قاعدة اخری مباینة للاستصحاب،سنتکلّم فیها </w:t>
      </w:r>
      <w:r>
        <w:rPr>
          <w:rStyle w:val="FootnoteAnchor"/>
          <w:rtl w:val="true"/>
        </w:rPr>
        <w:footnoteReference w:id="989"/>
      </w:r>
      <w:r>
        <w:rPr>
          <w:rFonts w:ascii="IRNazanin" w:hAnsi="IRNazanin" w:eastAsia="IRNazanin"/>
          <w:color w:val="111111"/>
          <w:sz w:val="28"/>
          <w:sz w:val="28"/>
          <w:szCs w:val="28"/>
          <w:rtl w:val="true"/>
          <w:lang w:bidi="fa-IR"/>
        </w:rPr>
        <w:t xml:space="preserve">بعد دفع توهّم من توهّم أنّ أدلّة الاستصحاب تشملها،و أنّ مدلولها لا یختصّ بالشکّ فی البقاء،بل الشکّ بعد الیقین ملغی مطلقا </w:t>
      </w:r>
      <w:r>
        <w:rPr>
          <w:rStyle w:val="FootnoteAnchor"/>
          <w:rtl w:val="true"/>
        </w:rPr>
        <w:footnoteReference w:id="990"/>
      </w:r>
      <w:r>
        <w:rPr>
          <w:rFonts w:ascii="IRNazanin" w:hAnsi="IRNazanin" w:eastAsia="IRNazanin"/>
          <w:color w:val="111111"/>
          <w:sz w:val="28"/>
          <w:sz w:val="28"/>
          <w:szCs w:val="28"/>
          <w:rtl w:val="true"/>
          <w:lang w:bidi="fa-IR"/>
        </w:rPr>
        <w:t>،سواء تعلّق بنفس ما تیقّنه سابقا،أم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صرّح بذلک الفاضل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من شکّ فی بعض أفعال الوضوء،حیث قال</w:t>
      </w:r>
      <w:r>
        <w:rPr>
          <w:rFonts w:eastAsia="IRNazanin" w:cs="IRNazanin"/>
          <w:color w:val="111111"/>
          <w:sz w:val="28"/>
          <w:szCs w:val="28"/>
          <w:rtl w:val="true"/>
          <w:lang w:bidi="fa-IR"/>
        </w:rPr>
        <w:t>:</w:t>
      </w:r>
    </w:p>
    <w:p>
      <w:pPr>
        <w:pStyle w:val="Heading6"/>
        <w:numPr>
          <w:ilvl w:val="5"/>
          <w:numId w:val="1"/>
        </w:numPr>
        <w:rPr/>
      </w:pPr>
      <w:bookmarkStart w:id="1026" w:name="__RefHeading___Toc5767607_3224264995"/>
      <w:bookmarkStart w:id="1027" w:name="_Toc412"/>
      <w:bookmarkEnd w:id="1026"/>
      <w:r>
        <w:rPr>
          <w:rtl w:val="true"/>
        </w:rPr>
        <w:t xml:space="preserve">تصریح الفاضل السبزواری بأنّ أدلّة الاستصحاب تشمل قاعدة </w:t>
      </w:r>
      <w:r>
        <w:rPr>
          <w:rtl w:val="true"/>
        </w:rPr>
        <w:t>«</w:t>
      </w:r>
      <w:r>
        <w:rPr>
          <w:rtl w:val="true"/>
        </w:rPr>
        <w:t>الیقین</w:t>
      </w:r>
      <w:r>
        <w:rPr>
          <w:rtl w:val="true"/>
        </w:rPr>
        <w:t>»:</w:t>
      </w:r>
      <w:bookmarkEnd w:id="1027"/>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فرغ من الوضوء متیقّنا للإکمال،ثمّ عرض له الشکّ،فالظاهر عدم وجوب إعادة شیء؛لصحیحة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أبدا بالشکّ</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قدّس سرّه،تفطّن له من کلام الحلّیّ فی السرائر،حیث استدلّ علی المسألة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یخرج عن حال الطهارة إلاّ علی یقین من </w:t>
      </w:r>
      <w:bookmarkStart w:id="1028" w:name="pg12985_125152"/>
    </w:p>
    <w:p>
      <w:pPr>
        <w:pStyle w:val="BookText"/>
        <w:rPr/>
      </w:pPr>
      <w:bookmarkEnd w:id="1028"/>
      <w:r>
        <w:rPr>
          <w:rFonts w:ascii="IRNazanin" w:hAnsi="IRNazanin" w:eastAsia="IRNazanin"/>
          <w:color w:val="111111"/>
          <w:sz w:val="28"/>
          <w:sz w:val="28"/>
          <w:szCs w:val="28"/>
          <w:rtl w:val="true"/>
          <w:lang w:bidi="fa-IR"/>
        </w:rPr>
        <w:t xml:space="preserve">کمالها،و لیس ینقض الشکّ الیقین </w:t>
      </w:r>
      <w:r>
        <w:rPr>
          <w:rStyle w:val="FootnoteAnchor"/>
          <w:rtl w:val="true"/>
        </w:rPr>
        <w:footnoteReference w:id="9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التعبیر من الحلّیّ لا یلزم أن یکون استفاده من أخبار عدم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یقرب من هذا التعبیر عبارة جماعة من القدماء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التعبیر لا یلزم دعوی شمول الأخبار للقاعدتین،علی ما توهّمه غیر واحد من المعاصرین </w:t>
      </w:r>
      <w:r>
        <w:rPr>
          <w:rStyle w:val="FootnoteAnchor"/>
          <w:rtl w:val="true"/>
        </w:rPr>
        <w:footnoteReference w:id="994"/>
      </w:r>
      <w:r>
        <w:rPr>
          <w:rFonts w:ascii="IRNazanin" w:hAnsi="IRNazanin" w:eastAsia="IRNazanin"/>
          <w:color w:val="111111"/>
          <w:sz w:val="28"/>
          <w:sz w:val="28"/>
          <w:szCs w:val="28"/>
          <w:rtl w:val="true"/>
          <w:lang w:bidi="fa-IR"/>
        </w:rPr>
        <w:t xml:space="preserve">،و إن اختلفوا بین مدّع لانصرافها إلی خصوص الاستصحاب </w:t>
      </w:r>
      <w:r>
        <w:rPr>
          <w:rStyle w:val="FootnoteAnchor"/>
          <w:rtl w:val="true"/>
        </w:rPr>
        <w:footnoteReference w:id="995"/>
      </w:r>
      <w:r>
        <w:rPr>
          <w:rFonts w:ascii="IRNazanin" w:hAnsi="IRNazanin" w:eastAsia="IRNazanin"/>
          <w:color w:val="111111"/>
          <w:sz w:val="28"/>
          <w:sz w:val="28"/>
          <w:szCs w:val="28"/>
          <w:rtl w:val="true"/>
          <w:lang w:bidi="fa-IR"/>
        </w:rPr>
        <w:t xml:space="preserve">،و بین منکر له عامل بعمومها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5767609_3224264995"/>
      <w:bookmarkStart w:id="1030" w:name="_Toc413"/>
      <w:bookmarkEnd w:id="1029"/>
      <w:r>
        <w:rPr>
          <w:rtl w:val="true"/>
        </w:rPr>
        <w:t>دفع التوهّم المذکور و توضیح مناط قاعدة الاستصحاب و قاعدة الیقین</w:t>
      </w:r>
      <w:r>
        <w:rPr>
          <w:rtl w:val="true"/>
        </w:rPr>
        <w:t>:</w:t>
      </w:r>
      <w:bookmarkEnd w:id="10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القاعدتین مختلف بحیث لا یجمعهما مناط واحد؛فإنّ مناط الاستصحاب هو اتّحاد متعلّق الشکّ و الیقین مع قطع النظر عن الزمان؛لتعلّق الشکّ ببقاء ما تیقّن سابقا،و لازمه کون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حین الشکّ أیضا من غیر جهة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مناط هذه القاعدة اتّحاد متعلّقیهما من جهة الزمان،و معناه کونه فی الزمان اللاحق شاکّا فیما تیقّنه سابقا بوصف </w:t>
      </w:r>
      <w:bookmarkStart w:id="1031" w:name="pg12985_125153"/>
    </w:p>
    <w:p>
      <w:pPr>
        <w:pStyle w:val="BookText"/>
        <w:rPr/>
      </w:pPr>
      <w:bookmarkEnd w:id="1031"/>
      <w:r>
        <w:rPr>
          <w:rFonts w:ascii="IRNazanin" w:hAnsi="IRNazanin" w:eastAsia="IRNazanin"/>
          <w:color w:val="111111"/>
          <w:sz w:val="28"/>
          <w:sz w:val="28"/>
          <w:szCs w:val="28"/>
          <w:rtl w:val="true"/>
          <w:lang w:bidi="fa-IR"/>
        </w:rPr>
        <w:t>وجوده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فإلغاء الشکّ فی القاعدة الاولی عبارة عن الحکم ببقاء المتیقّن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تعرّض لحال حدوثه،و فی القاعدة الثانیة هو الحکم بحدوث ما تیقّن حدوثه من غیر تعرّض لحکم بقائه، فقد یکون بقاؤه معلوما أو معلوم العدم أو مشکوکا</w:t>
      </w:r>
      <w:r>
        <w:rPr>
          <w:rFonts w:eastAsia="IRNazanin" w:cs="IRNazanin"/>
          <w:color w:val="111111"/>
          <w:sz w:val="28"/>
          <w:szCs w:val="28"/>
          <w:rtl w:val="true"/>
          <w:lang w:bidi="fa-IR"/>
        </w:rPr>
        <w:t>.</w:t>
      </w:r>
    </w:p>
    <w:p>
      <w:pPr>
        <w:pStyle w:val="Heading6"/>
        <w:numPr>
          <w:ilvl w:val="5"/>
          <w:numId w:val="1"/>
        </w:numPr>
        <w:rPr/>
      </w:pPr>
      <w:bookmarkStart w:id="1032" w:name="__RefHeading___Toc5767611_3224264995"/>
      <w:bookmarkStart w:id="1033" w:name="_Toc414"/>
      <w:bookmarkEnd w:id="1032"/>
      <w:r>
        <w:rPr>
          <w:rtl w:val="true"/>
        </w:rPr>
        <w:t>عدم إرادة القاعدتین من قوله علیه السّلام</w:t>
      </w:r>
      <w:r>
        <w:rPr>
          <w:rtl w:val="true"/>
        </w:rPr>
        <w:t>:«</w:t>
      </w:r>
      <w:r>
        <w:rPr>
          <w:rtl w:val="true"/>
        </w:rPr>
        <w:t>فلیمض علی یقینه</w:t>
      </w:r>
      <w:r>
        <w:rPr>
          <w:rtl w:val="true"/>
        </w:rPr>
        <w:t>»:</w:t>
      </w:r>
      <w:bookmarkEnd w:id="10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مؤدّی القاعدتین </w:t>
      </w:r>
      <w:r>
        <w:rPr>
          <w:rStyle w:val="FootnoteAnchor"/>
          <w:rtl w:val="true"/>
        </w:rPr>
        <w:footnoteReference w:id="997"/>
      </w:r>
      <w:r>
        <w:rPr>
          <w:rFonts w:ascii="IRNazanin" w:hAnsi="IRNazanin" w:eastAsia="IRNazanin"/>
          <w:color w:val="111111"/>
          <w:sz w:val="28"/>
          <w:sz w:val="28"/>
          <w:szCs w:val="28"/>
          <w:rtl w:val="true"/>
          <w:lang w:bidi="fa-IR"/>
        </w:rPr>
        <w:t>،و إن لم یمنع من إرادتهما من کلام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حصل بعد الیقین بشیء شکّ له تعلّق بذلک الشیء </w:t>
      </w:r>
      <w:r>
        <w:rPr>
          <w:rStyle w:val="FootnoteAnchor"/>
          <w:rtl w:val="true"/>
        </w:rPr>
        <w:footnoteReference w:id="998"/>
      </w:r>
      <w:r>
        <w:rPr>
          <w:rFonts w:ascii="IRNazanin" w:hAnsi="IRNazanin" w:eastAsia="IRNazanin"/>
          <w:color w:val="111111"/>
          <w:sz w:val="28"/>
          <w:sz w:val="28"/>
          <w:szCs w:val="28"/>
          <w:rtl w:val="true"/>
          <w:lang w:bidi="fa-IR"/>
        </w:rPr>
        <w:t>فلا عبرة به،سواء تعلّق ببقائه أو بحدوثه،و احکم بالبقاء فی الأوّل،و بالحدوث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مانع عن إرادتهما </w:t>
      </w:r>
      <w:r>
        <w:rPr>
          <w:rStyle w:val="FootnoteAnchor"/>
          <w:rtl w:val="true"/>
        </w:rPr>
        <w:footnoteReference w:id="999"/>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فإنّ المضیّ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تحقّقه فی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الجمعة،بمعنی الحکم بعدالته فی ذلک الیوم من غیر تعرّض لعدالته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المضیّ علیه بمعنی عدالته بعد یوم الجمعة من غیر تعرّض لحال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إرادة المعنیین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المضیّ علی الیقین عدم التوقّف من أجل الشکّ العارض و فرض الشکّ کعدمه،و هذا یختلف باختلاف متعلّق الشکّ،فالمضیّ مع الشکّ فی الحدوث بمعنی الحکم بالحدوث،و مع الشکّ فی البقاء بمعنی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اتّحاد متعلّقی الشکّ و الیقین و کون المراد المضیّ علی ذلک الیقین المتعلّق بما تعلّق به الشکّ،و المفروض أنّه لیس فی السابق إلاّ یقین واحد،و هو الیقین بعدالة زید،و الشکّ فیها </w:t>
      </w:r>
      <w:r>
        <w:rPr>
          <w:rStyle w:val="FootnoteAnchor"/>
          <w:rtl w:val="true"/>
        </w:rPr>
        <w:footnoteReference w:id="1001"/>
      </w:r>
      <w:r>
        <w:rPr>
          <w:rFonts w:ascii="IRNazanin" w:hAnsi="IRNazanin" w:eastAsia="IRNazanin"/>
          <w:color w:val="111111"/>
          <w:sz w:val="28"/>
          <w:sz w:val="28"/>
          <w:szCs w:val="28"/>
          <w:rtl w:val="true"/>
          <w:lang w:bidi="fa-IR"/>
        </w:rPr>
        <w:t xml:space="preserve">لیس له </w:t>
      </w:r>
      <w:r>
        <w:rPr>
          <w:rStyle w:val="FootnoteAnchor"/>
          <w:rtl w:val="true"/>
        </w:rPr>
        <w:footnoteReference w:id="1002"/>
      </w:r>
      <w:r>
        <w:rPr>
          <w:rFonts w:ascii="IRNazanin" w:hAnsi="IRNazanin" w:eastAsia="IRNazanin"/>
          <w:color w:val="111111"/>
          <w:sz w:val="28"/>
          <w:sz w:val="28"/>
          <w:szCs w:val="28"/>
          <w:rtl w:val="true"/>
          <w:lang w:bidi="fa-IR"/>
        </w:rPr>
        <w:t xml:space="preserve">هنا </w:t>
      </w:r>
      <w:r>
        <w:rPr>
          <w:rStyle w:val="FootnoteAnchor"/>
          <w:rtl w:val="true"/>
        </w:rPr>
        <w:footnoteReference w:id="1003"/>
      </w:r>
      <w:r>
        <w:rPr>
          <w:rFonts w:ascii="IRNazanin" w:hAnsi="IRNazanin" w:eastAsia="IRNazanin"/>
          <w:color w:val="111111"/>
          <w:sz w:val="28"/>
          <w:sz w:val="28"/>
          <w:szCs w:val="28"/>
          <w:rtl w:val="true"/>
          <w:lang w:bidi="fa-IR"/>
        </w:rPr>
        <w:t>فردان یتعلّق أحدهما بالحدوث و الآخر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أفراد الیقین باعتبار الامور الواقعیّة،کعدالة زید و فسق عمرو،لا باعتبار تعدّد </w:t>
      </w:r>
      <w:r>
        <w:rPr>
          <w:rStyle w:val="FootnoteAnchor"/>
          <w:rtl w:val="true"/>
        </w:rPr>
        <w:footnoteReference w:id="1004"/>
      </w:r>
      <w:r>
        <w:rPr>
          <w:rFonts w:ascii="IRNazanin" w:hAnsi="IRNazanin" w:eastAsia="IRNazanin"/>
          <w:color w:val="111111"/>
          <w:sz w:val="28"/>
          <w:sz w:val="28"/>
          <w:szCs w:val="28"/>
          <w:rtl w:val="true"/>
          <w:lang w:bidi="fa-IR"/>
        </w:rPr>
        <w:t xml:space="preserve">ملاحظة الیقین بشیء </w:t>
      </w:r>
      <w:r>
        <w:rPr>
          <w:rStyle w:val="FootnoteAnchor"/>
          <w:rtl w:val="true"/>
        </w:rPr>
        <w:footnoteReference w:id="1005"/>
      </w:r>
      <w:r>
        <w:rPr>
          <w:rFonts w:ascii="IRNazanin" w:hAnsi="IRNazanin" w:eastAsia="IRNazanin"/>
          <w:color w:val="111111"/>
          <w:sz w:val="28"/>
          <w:sz w:val="28"/>
          <w:szCs w:val="28"/>
          <w:rtl w:val="true"/>
          <w:lang w:bidi="fa-IR"/>
        </w:rPr>
        <w:t xml:space="preserve">واحد، حتّی ینحلّ الیقین بعدالة زید إلی فردین یتعلّق بکلّ منهما شکّ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حینئذ،فإن اعتبر المتکلّم فی کلامه الشکّ فی هذا المتیقّن من دون تقییده بیوم الجمعة،فالمضیّ علی هذا الیقین عبارة عن الحکم باستمرار هذا المتیقّن،و إن اعتبر الشکّ فیه مقیّدا بذلک الیوم،فالمضیّ </w:t>
      </w:r>
      <w:bookmarkStart w:id="1034" w:name="pg12985_125155"/>
    </w:p>
    <w:p>
      <w:pPr>
        <w:pStyle w:val="BookText"/>
        <w:rPr/>
      </w:pPr>
      <w:bookmarkEnd w:id="1034"/>
      <w:r>
        <w:rPr>
          <w:rFonts w:ascii="IRNazanin" w:hAnsi="IRNazanin" w:eastAsia="IRNazanin"/>
          <w:color w:val="111111"/>
          <w:sz w:val="28"/>
          <w:sz w:val="28"/>
          <w:szCs w:val="28"/>
          <w:rtl w:val="true"/>
          <w:lang w:bidi="fa-IR"/>
        </w:rPr>
        <w:t>علی ذلک المتیقّن الذی تعلّق به الشکّ عبارة عن الحکم بحدوثه من غیر تعرّض للبقاء،کأنّه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من عدالة زید یوم الجمعة فشکّ فیها،فلیمض علی یقینه السابق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5" w:name="__RefHeading___Toc5767613_3224264995"/>
      <w:bookmarkStart w:id="1036" w:name="_Toc415"/>
      <w:bookmarkEnd w:id="1035"/>
      <w:r>
        <w:rPr>
          <w:rtl w:val="true"/>
        </w:rPr>
        <w:t>عدم إرادة القاعدتین من سائر الأخبار أیضا</w:t>
      </w:r>
      <w:r>
        <w:rPr>
          <w:rtl w:val="true"/>
        </w:rPr>
        <w:t>:</w:t>
      </w:r>
      <w:bookmarkEnd w:id="1036"/>
    </w:p>
    <w:p>
      <w:pPr>
        <w:pStyle w:val="BookText"/>
        <w:rPr/>
      </w:pPr>
      <w:r>
        <w:rPr>
          <w:rFonts w:ascii="IRNazanin" w:hAnsi="IRNazanin" w:eastAsia="IRNazanin"/>
          <w:color w:val="111111"/>
          <w:sz w:val="28"/>
          <w:sz w:val="28"/>
          <w:szCs w:val="28"/>
          <w:rtl w:val="true"/>
          <w:lang w:bidi="fa-IR"/>
        </w:rPr>
        <w:t xml:space="preserve">و قس علی هذا سائر الأخبار الدالّة علی عدم نقض الیقین بالشکّ،فإنّ الظاهر اتحاد متعلّق الشکّ و الیقین،فلا بدّ أن یلاحظ المتیقّن و المشکوک غیر مقیّدین بالزمان،و إلاّ لم یجز </w:t>
      </w:r>
      <w:r>
        <w:rPr>
          <w:rStyle w:val="FootnoteAnchor"/>
          <w:rtl w:val="true"/>
        </w:rPr>
        <w:footnoteReference w:id="1008"/>
      </w:r>
      <w:r>
        <w:rPr>
          <w:rFonts w:ascii="IRNazanin" w:hAnsi="IRNazanin" w:eastAsia="IRNazanin"/>
          <w:color w:val="111111"/>
          <w:sz w:val="28"/>
          <w:sz w:val="28"/>
          <w:szCs w:val="28"/>
          <w:rtl w:val="true"/>
          <w:lang w:bidi="fa-IR"/>
        </w:rPr>
        <w:t xml:space="preserve">استصحابه،کما تقدّم فی ردّ شبهة من قال بتعارض الوجود و العدم فی شیء واحد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المفروض فی القاعدة الثانیة کون الشکّ متعلّقا بالمتیقّن السابق </w:t>
      </w:r>
      <w:bookmarkStart w:id="1037" w:name="pg12985_125156"/>
    </w:p>
    <w:p>
      <w:pPr>
        <w:pStyle w:val="BookText"/>
        <w:rPr/>
      </w:pPr>
      <w:bookmarkEnd w:id="1037"/>
      <w:r>
        <w:rPr>
          <w:rFonts w:ascii="IRNazanin" w:hAnsi="IRNazanin" w:eastAsia="IRNazanin"/>
          <w:color w:val="111111"/>
          <w:sz w:val="28"/>
          <w:sz w:val="28"/>
          <w:szCs w:val="28"/>
          <w:rtl w:val="true"/>
          <w:lang w:bidi="fa-IR"/>
        </w:rPr>
        <w:t>بوصف وجوده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عدم جواز إرادة الاعتبارین من الیقین و الشکّ فی تلک الأخبار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بکلّ من الاعتبارین فرد من الیقین،و کذلک الشکّ المتعلّق فرد من الشکّ،فکلّ فرد لا ینقض بشکّه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w:t>
      </w:r>
      <w:r>
        <w:rPr>
          <w:rStyle w:val="FootnoteAnchor"/>
          <w:rtl w:val="true"/>
        </w:rPr>
        <w:footnoteReference w:id="1011"/>
      </w:r>
      <w:r>
        <w:rPr>
          <w:rFonts w:ascii="Amiri" w:hAnsi="Amiri" w:eastAsia="Amiri" w:cs="Amiri"/>
          <w:color w:val="111111"/>
          <w:sz w:val="28"/>
          <w:sz w:val="28"/>
          <w:szCs w:val="28"/>
          <w:rtl w:val="true"/>
          <w:lang w:bidi="ar-SA"/>
        </w:rPr>
        <w:t xml:space="preserve">،من أنّ </w:t>
      </w:r>
      <w:r>
        <w:rPr>
          <w:rStyle w:val="FootnoteAnchor"/>
          <w:rtl w:val="true"/>
        </w:rPr>
        <w:footnoteReference w:id="1012"/>
      </w:r>
      <w:r>
        <w:rPr>
          <w:rFonts w:ascii="IRNazanin" w:hAnsi="IRNazanin" w:eastAsia="IRNazanin"/>
          <w:color w:val="111111"/>
          <w:sz w:val="28"/>
          <w:sz w:val="28"/>
          <w:szCs w:val="28"/>
          <w:rtl w:val="true"/>
          <w:lang w:bidi="fa-IR"/>
        </w:rPr>
        <w:t>تعدّد اللحاظ و الاعتبار فی المتیقّن السابق،بأخذه تارة مقیّدا بالزمان السابق و اخری بأخذه مطلقا، لا یوجب تعدّد أفراد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الیقین بتحقّق مطلق العدالة فی یوم الجمعة و الیقین بعدالته المقیّدة بیوم الجمعة فردین من الیقین تحت عموم الخبر،بل الخبر بمثابة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من عدالة زید أو فسقه أو غیرهما من حالاته فشکّ فیه،فلیمض علی یقینه بذلک، فافهم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5767615_3224264995"/>
      <w:bookmarkStart w:id="1039" w:name="_Toc416"/>
      <w:bookmarkEnd w:id="1038"/>
      <w:r>
        <w:rPr>
          <w:rtl w:val="true"/>
        </w:rPr>
        <w:t>اختصاص مدلول الأخبار بقاعدة الاستصحاب</w:t>
      </w:r>
      <w:r>
        <w:rPr>
          <w:rtl w:val="true"/>
        </w:rPr>
        <w:t>:</w:t>
      </w:r>
      <w:bookmarkEnd w:id="1039"/>
    </w:p>
    <w:p>
      <w:pPr>
        <w:pStyle w:val="BookText"/>
        <w:rPr/>
      </w:pPr>
      <w:r>
        <w:rPr>
          <w:rFonts w:ascii="IRNazanin" w:hAnsi="IRNazanin" w:eastAsia="IRNazanin"/>
          <w:color w:val="111111"/>
          <w:sz w:val="28"/>
          <w:sz w:val="28"/>
          <w:szCs w:val="28"/>
          <w:rtl w:val="true"/>
          <w:lang w:bidi="fa-IR"/>
        </w:rPr>
        <w:t xml:space="preserve">ثمّ إذا ثبت عدم جواز إرادة المعنیین،فلا بدّ أن یخصّ </w:t>
      </w:r>
      <w:r>
        <w:rPr>
          <w:rStyle w:val="FootnoteAnchor"/>
          <w:rtl w:val="true"/>
        </w:rPr>
        <w:footnoteReference w:id="1014"/>
      </w:r>
      <w:r>
        <w:rPr>
          <w:rFonts w:ascii="IRNazanin" w:hAnsi="IRNazanin" w:eastAsia="IRNazanin"/>
          <w:color w:val="111111"/>
          <w:sz w:val="28"/>
          <w:sz w:val="28"/>
          <w:szCs w:val="28"/>
          <w:rtl w:val="true"/>
          <w:lang w:bidi="fa-IR"/>
        </w:rPr>
        <w:t>مدلولها بقاعدة الاستصحاب؛لورودها فی موارد تلک القاعدة،کالشکّ فی الطهارة من الحدث و الخبث،و دخول هلال شهر رمضان أو شوّال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کلّه،لو ارید من القاعدة الثانیة إثبات نفس المتیقّن عند </w:t>
      </w:r>
    </w:p>
    <w:p>
      <w:pPr>
        <w:pStyle w:val="BookText"/>
        <w:rPr/>
      </w:pPr>
      <w:r>
        <w:rPr>
          <w:rFonts w:ascii="IRNazanin" w:hAnsi="IRNazanin" w:eastAsia="IRNazanin"/>
          <w:color w:val="111111"/>
          <w:sz w:val="28"/>
          <w:sz w:val="28"/>
          <w:szCs w:val="28"/>
          <w:rtl w:val="true"/>
          <w:lang w:bidi="fa-IR"/>
        </w:rPr>
        <w:t>الشکّ،و هی عدالة زید فی یوم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ارید منها إثبات عدالته من </w:t>
      </w:r>
      <w:r>
        <w:rPr>
          <w:rStyle w:val="FootnoteAnchor"/>
          <w:rtl w:val="true"/>
        </w:rPr>
        <w:footnoteReference w:id="1015"/>
      </w:r>
      <w:r>
        <w:rPr>
          <w:rFonts w:ascii="IRNazanin" w:hAnsi="IRNazanin" w:eastAsia="IRNazanin"/>
          <w:color w:val="111111"/>
          <w:sz w:val="28"/>
          <w:sz w:val="28"/>
          <w:szCs w:val="28"/>
          <w:rtl w:val="true"/>
          <w:lang w:bidi="fa-IR"/>
        </w:rPr>
        <w:t xml:space="preserve">یوم الجمعة مستمرّة إلی زمان الشکّ و ما بعده إلی الیقین بطروء الفسق،فیلزم استعمال الکلام فی معنیین،حتّی لو ارید منه القاعدة الثانیة فقط،کما لا یخفی </w:t>
      </w:r>
      <w:r>
        <w:rPr>
          <w:rStyle w:val="FootnoteAnchor"/>
          <w:rtl w:val="true"/>
        </w:rPr>
        <w:footnoteReference w:id="1016"/>
      </w:r>
      <w:r>
        <w:rPr>
          <w:rFonts w:ascii="IRNazanin" w:hAnsi="IRNazanin" w:eastAsia="IRNazanin"/>
          <w:color w:val="111111"/>
          <w:sz w:val="28"/>
          <w:sz w:val="28"/>
          <w:szCs w:val="28"/>
          <w:rtl w:val="true"/>
          <w:lang w:bidi="fa-IR"/>
        </w:rPr>
        <w:t xml:space="preserve">لأنّ الشکّ فی عدالة زید یوم الجمعة غیر الشکّ فی استمرارها إلی الزمان اللاحق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سلّمنا دلالة الروایات علی ما یشمل القاعدتین،لزم حصول التعارض فی مدلول الروایة المسقط له عن الاستدلال به علی القاعدة الثانیة؛لأنّه إذا شکّ فی ما تیقّن سابقا،أعنی عدالة زید فی یوم الجمعة،فهذا الشکّ معارض لفردین من الیقین،أحدهما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بعدالته المقیّدة بیوم الجمعة،الثانی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بعدم عدالته المطلقة قبل یوم الجمعة،فتدلّ بمقتضی القاعدة الثانیة علی عدم نقض الیقین بعدالة زید یوم الجمعة باحتمال انتفائها فی ذلک الزمان،و بمقتضی قاعدة الاستصحاب علی عدم نقض الیقین بعدم عدالته قبل الجمعة باحتمال حدوثها فی الجمعة،فکلّ من طرفی الشکّ معارض لفرد من الیقین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السابق علی الجمعة قد انتقض بالیقین فی الجمعة، </w:t>
      </w:r>
      <w:bookmarkStart w:id="1040" w:name="pg12985_125158"/>
    </w:p>
    <w:p>
      <w:pPr>
        <w:pStyle w:val="BookText"/>
        <w:rPr/>
      </w:pPr>
      <w:bookmarkEnd w:id="1040"/>
      <w:r>
        <w:rPr>
          <w:rFonts w:ascii="IRNazanin" w:hAnsi="IRNazanin" w:eastAsia="IRNazanin"/>
          <w:color w:val="111111"/>
          <w:sz w:val="28"/>
          <w:sz w:val="28"/>
          <w:szCs w:val="28"/>
          <w:rtl w:val="true"/>
          <w:lang w:bidi="fa-IR"/>
        </w:rPr>
        <w:t>و القاعدة الثانیة تثبت وجوب اعتبار هذا الیقین الناقض للیقین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الطارئ فی عدالة زید یوم الجمعة و عدمها، عین الشکّ فی انتقاض ذلک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انتقاضه و عدمه معارضان للیقین بالعدالة و عدمها،فلا یجوز لنا الحکم بالانتقاض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من باب التنزّل و المماشاة،و إلاّ فالتحقیق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الشمول بالتقریب المتقدّم </w:t>
      </w:r>
      <w:r>
        <w:rPr>
          <w:rStyle w:val="FootnoteAnchor"/>
          <w:rtl w:val="true"/>
        </w:rPr>
        <w:footnoteReference w:id="1019"/>
      </w:r>
      <w:r>
        <w:rPr>
          <w:rFonts w:ascii="IRNazanin" w:hAnsi="IRNazanin" w:eastAsia="IRNazanin"/>
          <w:color w:val="111111"/>
          <w:sz w:val="28"/>
          <w:sz w:val="28"/>
          <w:szCs w:val="28"/>
          <w:rtl w:val="true"/>
          <w:lang w:bidi="fa-IR"/>
        </w:rPr>
        <w:t>،مضافا إلی ما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ظهور الأخبار فی الشکّ فی البقاء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5767617_3224264995"/>
      <w:bookmarkStart w:id="1042" w:name="_Toc417"/>
      <w:bookmarkEnd w:id="1041"/>
      <w:r>
        <w:rPr>
          <w:rtl w:val="true"/>
        </w:rPr>
        <w:t>قاعدة الیقین</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 xml:space="preserve">] </w:t>
      </w:r>
      <w:r>
        <w:rPr>
          <w:rStyle w:val="FootnoteAnchor"/>
          <w:rtl w:val="true"/>
        </w:rPr>
        <w:footnoteReference w:id="1021"/>
      </w:r>
    </w:p>
    <w:p>
      <w:pPr>
        <w:pStyle w:val="Heading6"/>
        <w:numPr>
          <w:ilvl w:val="5"/>
          <w:numId w:val="1"/>
        </w:numPr>
        <w:rPr/>
      </w:pPr>
      <w:bookmarkStart w:id="1043" w:name="__RefHeading___Toc5767619_3224264995"/>
      <w:bookmarkStart w:id="1044" w:name="_Toc418"/>
      <w:bookmarkEnd w:id="1043"/>
      <w:r>
        <w:rPr>
          <w:rtl w:val="true"/>
        </w:rPr>
        <w:t>هل یوجد مدرک لقاعدة</w:t>
      </w:r>
      <w:r>
        <w:rPr>
          <w:rtl w:val="true"/>
        </w:rPr>
        <w:t>«</w:t>
      </w:r>
      <w:r>
        <w:rPr>
          <w:rtl w:val="true"/>
        </w:rPr>
        <w:t>الیقین</w:t>
      </w:r>
      <w:r>
        <w:rPr>
          <w:rtl w:val="true"/>
        </w:rPr>
        <w:t>»</w:t>
      </w:r>
      <w:r>
        <w:rPr>
          <w:rtl w:val="true"/>
        </w:rPr>
        <w:t>غیر هذه الأخبار؟</w:t>
      </w:r>
      <w:r>
        <w:rPr>
          <w:rtl w:val="true"/>
        </w:rPr>
        <w:t>:</w:t>
      </w:r>
      <w:bookmarkEnd w:id="1044"/>
    </w:p>
    <w:p>
      <w:pPr>
        <w:pStyle w:val="BookText"/>
        <w:rPr/>
      </w:pPr>
      <w:r>
        <w:rPr>
          <w:rFonts w:ascii="IRNazanin" w:hAnsi="IRNazanin" w:eastAsia="IRNazanin"/>
          <w:color w:val="111111"/>
          <w:sz w:val="28"/>
          <w:sz w:val="28"/>
          <w:szCs w:val="28"/>
          <w:rtl w:val="true"/>
          <w:lang w:bidi="fa-IR"/>
        </w:rPr>
        <w:t xml:space="preserve">بقی الکلام فی وجود مدرک للقاعدة الثانیة غیر عموم </w:t>
      </w:r>
      <w:r>
        <w:rPr>
          <w:rStyle w:val="FootnoteAnchor"/>
          <w:rtl w:val="true"/>
        </w:rPr>
        <w:footnoteReference w:id="1022"/>
      </w:r>
      <w:r>
        <w:rPr>
          <w:rFonts w:ascii="IRNazanin" w:hAnsi="IRNazanin" w:eastAsia="IRNazanin"/>
          <w:color w:val="111111"/>
          <w:sz w:val="28"/>
          <w:sz w:val="28"/>
          <w:szCs w:val="28"/>
          <w:rtl w:val="true"/>
          <w:lang w:bidi="fa-IR"/>
        </w:rPr>
        <w:t xml:space="preserve">هذه الأخبار </w:t>
      </w:r>
      <w:r>
        <w:rPr>
          <w:rStyle w:val="FootnoteAnchor"/>
          <w:rtl w:val="true"/>
        </w:rPr>
        <w:footnoteReference w:id="1023"/>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من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إثبات حدوث المشکوک فیه و بقائه مستمرّا إلی الیقین بارتفاعه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مجرّد حدوثه فی الزمان السابق بدون إثباته بعده، </w:t>
      </w:r>
      <w:bookmarkStart w:id="1045" w:name="pg12985_125159"/>
    </w:p>
    <w:p>
      <w:pPr>
        <w:pStyle w:val="BookText"/>
        <w:rPr/>
      </w:pPr>
      <w:bookmarkEnd w:id="1045"/>
      <w:r>
        <w:rPr>
          <w:rFonts w:ascii="IRNazanin" w:hAnsi="IRNazanin" w:eastAsia="IRNazanin"/>
          <w:color w:val="111111"/>
          <w:sz w:val="28"/>
          <w:sz w:val="28"/>
          <w:szCs w:val="28"/>
          <w:rtl w:val="true"/>
          <w:lang w:bidi="fa-IR"/>
        </w:rPr>
        <w:t>بأن یراد إثبات عدالة زید فی یوم الجمعة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یراد مجرّد إمضاء الآثار التی ترتّبت علیها </w:t>
      </w:r>
      <w:r>
        <w:rPr>
          <w:rStyle w:val="FootnoteAnchor"/>
          <w:rtl w:val="true"/>
        </w:rPr>
        <w:footnoteReference w:id="1024"/>
      </w:r>
      <w:r>
        <w:rPr>
          <w:rFonts w:ascii="IRNazanin" w:hAnsi="IRNazanin" w:eastAsia="IRNazanin"/>
          <w:color w:val="111111"/>
          <w:sz w:val="28"/>
          <w:sz w:val="28"/>
          <w:szCs w:val="28"/>
          <w:rtl w:val="true"/>
          <w:lang w:bidi="fa-IR"/>
        </w:rPr>
        <w:t>سابقا و صحّة الأعمال الماضیة المتفرّعة علیه،فإذا تیقّن الطهارة سابقا و صلّی بها ثمّ شکّ فی طهارته فی ذلک الزمان،فصلاته ماضیة</w:t>
      </w:r>
      <w:r>
        <w:rPr>
          <w:rFonts w:eastAsia="IRNazanin" w:cs="IRNazanin"/>
          <w:color w:val="111111"/>
          <w:sz w:val="28"/>
          <w:szCs w:val="28"/>
          <w:rtl w:val="true"/>
          <w:lang w:bidi="fa-IR"/>
        </w:rPr>
        <w:t>.</w:t>
      </w:r>
    </w:p>
    <w:p>
      <w:pPr>
        <w:pStyle w:val="Heading6"/>
        <w:numPr>
          <w:ilvl w:val="5"/>
          <w:numId w:val="1"/>
        </w:numPr>
        <w:rPr/>
      </w:pPr>
      <w:bookmarkStart w:id="1046" w:name="__RefHeading___Toc5767621_3224264995"/>
      <w:bookmarkStart w:id="1047" w:name="_Toc419"/>
      <w:bookmarkEnd w:id="1046"/>
      <w:r>
        <w:rPr>
          <w:rtl w:val="true"/>
        </w:rPr>
        <w:t>لو ارید من القاعدة إثبات الحدوث و البقاء معا</w:t>
      </w:r>
      <w:r>
        <w:rPr>
          <w:rtl w:val="true"/>
        </w:rPr>
        <w:t>:</w:t>
      </w:r>
      <w:bookmarkEnd w:id="1047"/>
    </w:p>
    <w:p>
      <w:pPr>
        <w:pStyle w:val="BookText"/>
        <w:rPr/>
      </w:pPr>
      <w:r>
        <w:rPr>
          <w:rFonts w:ascii="IRNazanin" w:hAnsi="IRNazanin" w:eastAsia="IRNazanin"/>
          <w:color w:val="111111"/>
          <w:sz w:val="28"/>
          <w:sz w:val="28"/>
          <w:szCs w:val="28"/>
          <w:rtl w:val="true"/>
          <w:lang w:bidi="fa-IR"/>
        </w:rPr>
        <w:t xml:space="preserve">فإن ارید الأوّل،فالظاهر عدم دلیل یدلّ علیه؛إذ قد عرفت </w:t>
      </w:r>
      <w:r>
        <w:rPr>
          <w:rStyle w:val="FootnoteAnchor"/>
          <w:rtl w:val="true"/>
        </w:rPr>
        <w:footnoteReference w:id="1025"/>
      </w:r>
      <w:r>
        <w:rPr>
          <w:rFonts w:ascii="IRNazanin" w:hAnsi="IRNazanin" w:eastAsia="IRNazanin"/>
          <w:color w:val="111111"/>
          <w:sz w:val="28"/>
          <w:sz w:val="28"/>
          <w:szCs w:val="28"/>
          <w:rtl w:val="true"/>
          <w:lang w:bidi="fa-IR"/>
        </w:rPr>
        <w:t>أنّه لو سلّم اختصاص الأخبار المعتبرة للیقین السابق بهذه القاعدة، لم یمکن أن یراد منها إثبات حدوث العدالة و بقائها؛لأنّ لکلّ من الحدوث و البقاء شکّا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القطع ببقائها علی تقدیر الحدوث،أمکن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ثبت حدوث العدالة بهذه القاعدة ثبت بقاؤها؛للعلم ببقائها علی تقدیر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یتمّ إلاّ علی الأصل المثبت،فهو تقدیر علی تقدیر</w:t>
      </w:r>
      <w:r>
        <w:rPr>
          <w:rFonts w:eastAsia="IRNazanin" w:cs="IRNazanin"/>
          <w:color w:val="111111"/>
          <w:sz w:val="28"/>
          <w:szCs w:val="28"/>
          <w:rtl w:val="true"/>
          <w:lang w:bidi="fa-IR"/>
        </w:rPr>
        <w:t>.</w:t>
      </w:r>
    </w:p>
    <w:p>
      <w:pPr>
        <w:pStyle w:val="Heading6"/>
        <w:numPr>
          <w:ilvl w:val="5"/>
          <w:numId w:val="1"/>
        </w:numPr>
        <w:rPr/>
      </w:pPr>
      <w:bookmarkStart w:id="1048" w:name="__RefHeading___Toc5767623_3224264995"/>
      <w:bookmarkStart w:id="1049" w:name="_Toc420"/>
      <w:bookmarkEnd w:id="1048"/>
      <w:r>
        <w:rPr>
          <w:rtl w:val="true"/>
        </w:rPr>
        <w:t>عدم صحّة الاستدلال بأدلّة عدم الاعتناء بالشکّ بعد تجاوز المحلّ</w:t>
      </w:r>
      <w:r>
        <w:rPr>
          <w:rtl w:val="true"/>
        </w:rPr>
        <w:t>:</w:t>
      </w:r>
      <w:bookmarkEnd w:id="1049"/>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لإثبات هذا المطلب بما دلّ علی عدم الاعتناء بالشکّ فی الشیء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فاسد؛لأنّه علی تقدیر الدلالة لا یدلّ علی استمرار المشکوک؛لأنّ الشکّ فی الاستمرار لیس شکّا بعد تجاوز المحلّ</w:t>
      </w:r>
      <w:r>
        <w:rPr>
          <w:rFonts w:eastAsia="IRNazanin" w:cs="IRNazanin"/>
          <w:color w:val="111111"/>
          <w:sz w:val="28"/>
          <w:szCs w:val="28"/>
          <w:rtl w:val="true"/>
          <w:lang w:bidi="fa-IR"/>
        </w:rPr>
        <w:t>.</w:t>
      </w:r>
    </w:p>
    <w:p>
      <w:pPr>
        <w:pStyle w:val="Heading6"/>
        <w:numPr>
          <w:ilvl w:val="5"/>
          <w:numId w:val="1"/>
        </w:numPr>
        <w:rPr/>
      </w:pPr>
      <w:bookmarkStart w:id="1050" w:name="__RefHeading___Toc5767625_3224264995"/>
      <w:bookmarkStart w:id="1051" w:name="_Toc421"/>
      <w:bookmarkEnd w:id="1050"/>
      <w:r>
        <w:rPr>
          <w:rtl w:val="true"/>
        </w:rPr>
        <w:t>ضعف الاستدلال بأصالة الصحّة فی الاعتقاد</w:t>
      </w:r>
      <w:r>
        <w:rPr>
          <w:rtl w:val="true"/>
        </w:rPr>
        <w:t>:</w:t>
      </w:r>
      <w:bookmarkEnd w:id="1051"/>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له بما سیجیء </w:t>
      </w:r>
      <w:r>
        <w:rPr>
          <w:rStyle w:val="FootnoteAnchor"/>
          <w:rtl w:val="true"/>
        </w:rPr>
        <w:footnoteReference w:id="1026"/>
      </w:r>
      <w:r>
        <w:rPr>
          <w:rFonts w:ascii="IRNazanin" w:hAnsi="IRNazanin" w:eastAsia="IRNazanin"/>
          <w:color w:val="111111"/>
          <w:sz w:val="28"/>
          <w:sz w:val="28"/>
          <w:szCs w:val="28"/>
          <w:rtl w:val="true"/>
          <w:lang w:bidi="fa-IR"/>
        </w:rPr>
        <w:t>،من دعوی أصالة الصحّة فی اعتقاد المسلم،مع أنّه کالأوّل فی عدم إثباته الاستمرار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مدرک لهذه القاعدة بهذا المعنی</w:t>
      </w:r>
      <w:r>
        <w:rPr>
          <w:rFonts w:eastAsia="IRNazanin" w:cs="IRNazanin"/>
          <w:color w:val="111111"/>
          <w:sz w:val="28"/>
          <w:szCs w:val="28"/>
          <w:rtl w:val="true"/>
          <w:lang w:bidi="fa-IR"/>
        </w:rPr>
        <w:t xml:space="preserve">. </w:t>
      </w:r>
      <w:bookmarkStart w:id="1052" w:name="pg12985_125160"/>
    </w:p>
    <w:p>
      <w:pPr>
        <w:pStyle w:val="Heading6"/>
        <w:numPr>
          <w:ilvl w:val="5"/>
          <w:numId w:val="1"/>
        </w:numPr>
        <w:rPr/>
      </w:pPr>
      <w:bookmarkStart w:id="1053" w:name="__RefHeading___Toc5767627_3224264995"/>
      <w:bookmarkStart w:id="1054" w:name="_Toc422"/>
      <w:bookmarkEnd w:id="1052"/>
      <w:bookmarkEnd w:id="1053"/>
      <w:r>
        <w:rPr>
          <w:rtl w:val="true"/>
        </w:rPr>
        <w:t>تفصیل کاشف الغطاء</w:t>
      </w:r>
      <w:r>
        <w:rPr>
          <w:rtl w:val="true"/>
        </w:rPr>
        <w:t>:</w:t>
      </w:r>
      <w:bookmarkEnd w:id="1054"/>
    </w:p>
    <w:p>
      <w:pPr>
        <w:pStyle w:val="BookText"/>
        <w:rPr/>
      </w:pPr>
      <w:r>
        <w:rPr>
          <w:rFonts w:ascii="IRNazanin" w:hAnsi="IRNazanin" w:eastAsia="IRNazanin"/>
          <w:color w:val="111111"/>
          <w:sz w:val="28"/>
          <w:sz w:val="28"/>
          <w:szCs w:val="28"/>
          <w:rtl w:val="true"/>
          <w:lang w:bidi="fa-IR"/>
        </w:rPr>
        <w:t xml:space="preserve">و ربما فصّل بعض الأساطین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علم مدرک الاعتقاد بعد زواله و أنّه غیر قابل للاستناد إلیه،و بین ما إذا لم یذکره،کما إذا علم أنّه اعتقد فی زمان بطهارة ثوبه أو نجاسته،ثمّ غاب المستند و غفل زمانا،فشکّ فی طهارته و نجاسته فیبنی علی معتقده هنا،لا فی الصورة الاولی</w:t>
      </w:r>
      <w:r>
        <w:rPr>
          <w:rFonts w:eastAsia="IRNazanin" w:cs="IRNazanin"/>
          <w:color w:val="111111"/>
          <w:sz w:val="28"/>
          <w:szCs w:val="28"/>
          <w:rtl w:val="true"/>
          <w:lang w:bidi="fa-IR"/>
        </w:rPr>
        <w:t>.</w:t>
      </w:r>
    </w:p>
    <w:p>
      <w:pPr>
        <w:pStyle w:val="Heading6"/>
        <w:numPr>
          <w:ilvl w:val="5"/>
          <w:numId w:val="1"/>
        </w:numPr>
        <w:rPr/>
      </w:pPr>
      <w:bookmarkStart w:id="1055" w:name="__RefHeading___Toc5767629_3224264995"/>
      <w:bookmarkStart w:id="1056" w:name="_Toc423"/>
      <w:bookmarkEnd w:id="1055"/>
      <w:r>
        <w:rPr>
          <w:rtl w:val="true"/>
        </w:rPr>
        <w:t>لو ارید من القاعدة إثبات مجرّد الحدوث</w:t>
      </w:r>
      <w:r>
        <w:rPr>
          <w:rtl w:val="true"/>
        </w:rPr>
        <w:t>:</w:t>
      </w:r>
      <w:bookmarkEnd w:id="1056"/>
    </w:p>
    <w:p>
      <w:pPr>
        <w:pStyle w:val="BookText"/>
        <w:rPr/>
      </w:pPr>
      <w:r>
        <w:rPr>
          <w:rFonts w:ascii="IRNazanin" w:hAnsi="IRNazanin" w:eastAsia="IRNazanin"/>
          <w:color w:val="111111"/>
          <w:sz w:val="28"/>
          <w:sz w:val="28"/>
          <w:szCs w:val="28"/>
          <w:rtl w:val="true"/>
          <w:lang w:bidi="fa-IR"/>
        </w:rPr>
        <w:t>و هو و إن کان أجود من الإطلاق،لکن إتمامه بالدلیل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الثانی،فلا مدرک له بعد عدم دلالة أخبار الاستصحاب، إلاّ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عدم الاعتناء بالشکّ بعد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لو تمّت فإنّما تنفع فی الآثار المترتّبة علیه سابقا،فلا یثبت بها إلاّ صحّة ما ترتّب علیها </w:t>
      </w:r>
      <w:r>
        <w:rPr>
          <w:rStyle w:val="FootnoteAnchor"/>
          <w:rtl w:val="true"/>
        </w:rPr>
        <w:footnoteReference w:id="1028"/>
      </w:r>
      <w:r>
        <w:rPr>
          <w:rFonts w:ascii="IRNazanin" w:hAnsi="IRNazanin" w:eastAsia="IRNazanin"/>
          <w:color w:val="111111"/>
          <w:sz w:val="28"/>
          <w:sz w:val="28"/>
          <w:szCs w:val="28"/>
          <w:rtl w:val="true"/>
          <w:lang w:bidi="fa-IR"/>
        </w:rPr>
        <w:t>،و أمّا إثبات نفس ما اعتقده سابقا،حتّی یترتّب علیه بعد ذلک الآثار المترتّبة علی عدالة زید یوم الجمعة و طهارة ثوبه فی الوقت السابق فلا،فضلا عن إثبات مقارناته الغیر الشرعیّة،مثل کونها علی تقدیر الحدوث باقیة</w:t>
      </w:r>
      <w:r>
        <w:rPr>
          <w:rFonts w:eastAsia="IRNazanin" w:cs="IRNazanin"/>
          <w:color w:val="111111"/>
          <w:sz w:val="28"/>
          <w:szCs w:val="28"/>
          <w:rtl w:val="true"/>
          <w:lang w:bidi="fa-IR"/>
        </w:rPr>
        <w:t>.</w:t>
      </w:r>
    </w:p>
    <w:p>
      <w:pPr>
        <w:pStyle w:val="Heading6"/>
        <w:numPr>
          <w:ilvl w:val="5"/>
          <w:numId w:val="1"/>
        </w:numPr>
        <w:rPr/>
      </w:pPr>
      <w:bookmarkStart w:id="1057" w:name="__RefHeading___Toc5767631_3224264995"/>
      <w:bookmarkStart w:id="1058" w:name="_Toc424"/>
      <w:bookmarkEnd w:id="1057"/>
      <w:r>
        <w:rPr>
          <w:rtl w:val="true"/>
        </w:rPr>
        <w:t>لو ارید منها مجرّد إمضاء الآثار المترتّبة سابقا</w:t>
      </w:r>
      <w:r>
        <w:rPr>
          <w:rtl w:val="true"/>
        </w:rPr>
        <w:t>:</w:t>
      </w:r>
      <w:bookmarkEnd w:id="10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بها الثالث،فله وجه؛بناء علی تمامیّة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بعد الفراغ و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صلّی بالطهارة المعتقدة،ثمّ شکّ فی صحّة اعتقاده و کونه متطهّرا فی ذلک الزمان،بنی علی صحّة الصلاة،لکنّه لیس من جهة اعتبار الاعتقاد السابق؛و لذا لو فرض فی السابق غافلا غیر معتقد بشیء من الطهارة و الحدث بنی علی الصحّة أیضا؛من جهة أنّ الشکّ فی الصلاة بعد الفراغ منها لا اعتبار به علی المشهور بین </w:t>
      </w:r>
      <w:bookmarkStart w:id="1059" w:name="pg12985_125161"/>
    </w:p>
    <w:p>
      <w:pPr>
        <w:pStyle w:val="BookText"/>
        <w:rPr/>
      </w:pPr>
      <w:bookmarkEnd w:id="1059"/>
      <w:r>
        <w:rPr>
          <w:rFonts w:ascii="IRNazanin" w:hAnsi="IRNazanin" w:eastAsia="IRNazanin"/>
          <w:color w:val="111111"/>
          <w:sz w:val="28"/>
          <w:sz w:val="28"/>
          <w:szCs w:val="28"/>
          <w:rtl w:val="true"/>
          <w:lang w:bidi="fa-IR"/>
        </w:rPr>
        <w:t xml:space="preserve">الأصحاب،خلافا لجماعة من متأخّری المتأخّرین،کصاحب المدارک </w:t>
      </w:r>
      <w:r>
        <w:rPr>
          <w:rStyle w:val="FootnoteAnchor"/>
          <w:rtl w:val="true"/>
        </w:rPr>
        <w:footnoteReference w:id="1029"/>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030"/>
      </w:r>
      <w:r>
        <w:rPr>
          <w:rFonts w:ascii="IRNazanin" w:hAnsi="IRNazanin" w:eastAsia="IRNazanin"/>
          <w:color w:val="111111"/>
          <w:sz w:val="28"/>
          <w:sz w:val="28"/>
          <w:szCs w:val="28"/>
          <w:rtl w:val="true"/>
          <w:lang w:bidi="fa-IR"/>
        </w:rPr>
        <w:t>،حیث منعا البناء علی صحّة الطواف إذا شکّ بعد الفراغ فی کونه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یمنعون القاعدة المذکورة فی غیر أجزاء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بعض الکلام فی ذلک سیجیء فی مسألة أصالة الصحّة فی الأفعال </w:t>
      </w:r>
      <w:r>
        <w:rPr>
          <w:rStyle w:val="FootnoteAnchor"/>
          <w:rtl w:val="true"/>
        </w:rPr>
        <w:footnoteReference w:id="1031"/>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6"/>
        <w:numPr>
          <w:ilvl w:val="5"/>
          <w:numId w:val="1"/>
        </w:numPr>
        <w:rPr/>
      </w:pPr>
      <w:bookmarkStart w:id="1060" w:name="__RefHeading___Toc5767633_3224264995"/>
      <w:bookmarkStart w:id="1061" w:name="_Toc425"/>
      <w:bookmarkEnd w:id="1060"/>
      <w:r>
        <w:rPr>
          <w:rtl w:val="true"/>
        </w:rPr>
        <w:t>حاصل الکلام فی المسألة</w:t>
      </w:r>
      <w:r>
        <w:rPr>
          <w:rtl w:val="true"/>
        </w:rPr>
        <w:t>:</w:t>
      </w:r>
      <w:bookmarkEnd w:id="1061"/>
    </w:p>
    <w:p>
      <w:pPr>
        <w:pStyle w:val="BookText"/>
        <w:rPr/>
      </w:pPr>
      <w:r>
        <w:rPr>
          <w:rFonts w:ascii="IRNazanin" w:hAnsi="IRNazanin" w:eastAsia="IRNazanin"/>
          <w:color w:val="111111"/>
          <w:sz w:val="28"/>
          <w:sz w:val="28"/>
          <w:szCs w:val="28"/>
          <w:rtl w:val="true"/>
          <w:lang w:bidi="fa-IR"/>
        </w:rPr>
        <w:t>و حاصل الکلام فی هذا المقام،هو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المکلّف قصورا أو تقصیرا بشیء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کان أو حکما،اجتهادیّا أو تقلیدیّا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 اعتقاده،فلا ینفع اعتقاده السابق فی ترتّب آثار المعتقد،بل یرجع بعد زوال الاعتقاد إلی ما یقتضیه الاصول بالنسبة إلی نفس المعتقد،و إلی الآثار المترتبة علیه سابقا أو لاحقا</w:t>
      </w:r>
      <w:r>
        <w:rPr>
          <w:rFonts w:eastAsia="IRNazanin" w:cs="IRNazanin"/>
          <w:color w:val="111111"/>
          <w:sz w:val="28"/>
          <w:szCs w:val="28"/>
          <w:rtl w:val="true"/>
          <w:lang w:bidi="fa-IR"/>
        </w:rPr>
        <w:t>.</w:t>
      </w:r>
    </w:p>
    <w:p>
      <w:pPr>
        <w:pStyle w:val="Heading5"/>
        <w:numPr>
          <w:ilvl w:val="4"/>
          <w:numId w:val="1"/>
        </w:numPr>
        <w:rPr/>
      </w:pPr>
      <w:bookmarkStart w:id="1062" w:name="__RefHeading___Toc5767635_3224264995"/>
      <w:bookmarkStart w:id="1063" w:name="_Toc426"/>
      <w:bookmarkEnd w:id="1062"/>
      <w:r>
        <w:rPr>
          <w:rtl w:val="true"/>
        </w:rPr>
        <w:t>الأمرالثالث</w:t>
      </w:r>
      <w:r>
        <w:rPr>
          <w:rtl w:val="true"/>
        </w:rPr>
        <w:t>:</w:t>
      </w:r>
      <w:r>
        <w:rPr>
          <w:rtl w:val="true"/>
        </w:rPr>
        <w:t>اشتراط عدم العلم بالبقاء أو الارتفاع</w:t>
      </w:r>
      <w:bookmarkEnd w:id="1063"/>
    </w:p>
    <w:p>
      <w:pPr>
        <w:pStyle w:val="Heading6"/>
        <w:numPr>
          <w:ilvl w:val="5"/>
          <w:numId w:val="1"/>
        </w:numPr>
        <w:rPr/>
      </w:pPr>
      <w:bookmarkStart w:id="1064" w:name="__RefHeading___Toc5767637_3224264995"/>
      <w:bookmarkStart w:id="1065" w:name="_Toc427"/>
      <w:bookmarkEnd w:id="1064"/>
      <w:r>
        <w:rPr>
          <w:rtl w:val="true"/>
        </w:rPr>
        <w:t>اشارة</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العلم بالبقاء 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کلّ من بقاء ما احرز حدوثه سابقا و ارتفاعه غیر معلوم،فلو علم أحدهما فلا استصحاب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 العلم بالبقاء أو الارتفاع واقعا من دلیل قطعیّ واقعیّ واضح،و إنّما الکلام فیما أقامه الشارع مقام العلم بالواقع؛فإنّ الشکّ </w:t>
      </w:r>
      <w:bookmarkStart w:id="1066" w:name="pg12985_125162"/>
    </w:p>
    <w:p>
      <w:pPr>
        <w:pStyle w:val="BookText"/>
        <w:rPr/>
      </w:pPr>
      <w:bookmarkEnd w:id="1066"/>
      <w:r>
        <w:rPr>
          <w:rFonts w:ascii="IRNazanin" w:hAnsi="IRNazanin" w:eastAsia="IRNazanin"/>
          <w:color w:val="111111"/>
          <w:sz w:val="28"/>
          <w:sz w:val="28"/>
          <w:szCs w:val="28"/>
          <w:rtl w:val="true"/>
          <w:lang w:bidi="fa-IR"/>
        </w:rPr>
        <w:t>الواقعیّ فی البقاء و الارتفاع لا یزول معه،و لا ریب فی العمل به دون الحالة السابقة</w:t>
      </w:r>
      <w:r>
        <w:rPr>
          <w:rFonts w:eastAsia="IRNazanin" w:cs="IRNazanin"/>
          <w:color w:val="111111"/>
          <w:sz w:val="28"/>
          <w:szCs w:val="28"/>
          <w:rtl w:val="true"/>
          <w:lang w:bidi="fa-IR"/>
        </w:rPr>
        <w:t>.</w:t>
      </w:r>
    </w:p>
    <w:p>
      <w:pPr>
        <w:pStyle w:val="Heading6"/>
        <w:numPr>
          <w:ilvl w:val="5"/>
          <w:numId w:val="1"/>
        </w:numPr>
        <w:rPr/>
      </w:pPr>
      <w:bookmarkStart w:id="1067" w:name="__RefHeading___Toc5767639_3224264995"/>
      <w:bookmarkStart w:id="1068" w:name="_Toc428"/>
      <w:bookmarkEnd w:id="1067"/>
      <w:r>
        <w:rPr>
          <w:rtl w:val="true"/>
        </w:rPr>
        <w:t>حکومة الأدلّة الاجتهادیّة علی أدلّة الاستصحاب</w:t>
      </w:r>
      <w:r>
        <w:rPr>
          <w:rtl w:val="true"/>
        </w:rPr>
        <w:t>:</w:t>
      </w:r>
      <w:bookmarkEnd w:id="1068"/>
    </w:p>
    <w:p>
      <w:pPr>
        <w:pStyle w:val="BookText"/>
        <w:rPr/>
      </w:pPr>
      <w:r>
        <w:rPr>
          <w:rFonts w:ascii="IRNazanin" w:hAnsi="IRNazanin" w:eastAsia="IRNazanin"/>
          <w:color w:val="111111"/>
          <w:sz w:val="28"/>
          <w:sz w:val="28"/>
          <w:szCs w:val="28"/>
          <w:rtl w:val="true"/>
          <w:lang w:bidi="fa-IR"/>
        </w:rPr>
        <w:t xml:space="preserve">لکنّ الشأن فی أنّ العمل به من باب تخصیص أدلّة الاستصحاب، أو من باب التخصّص؟الظاهر أنّه من باب حکومة أدلّة تلک الامور علی أدلّة الاستصحاب،و لیس تخصیصا بمعنی رفع الید عن عموم أدلّة الاستصحاب فی بعض موارده </w:t>
      </w:r>
      <w:r>
        <w:rPr>
          <w:rStyle w:val="FootnoteAnchor"/>
          <w:rtl w:val="true"/>
        </w:rPr>
        <w:footnoteReference w:id="1033"/>
      </w:r>
      <w:r>
        <w:rPr>
          <w:rFonts w:ascii="IRNazanin" w:hAnsi="IRNazanin" w:eastAsia="IRNazanin"/>
          <w:color w:val="111111"/>
          <w:sz w:val="28"/>
          <w:sz w:val="28"/>
          <w:szCs w:val="28"/>
          <w:rtl w:val="true"/>
          <w:lang w:bidi="fa-IR"/>
        </w:rPr>
        <w:t xml:space="preserve">،کما ترفع الید عنها فی مسألة الشکّ بین الثلاث و الأربع و نحوها،بما دلّ علی وجوب البناء علی الأکثر </w:t>
      </w:r>
      <w:r>
        <w:rPr>
          <w:rStyle w:val="FootnoteAnchor"/>
          <w:rtl w:val="true"/>
        </w:rPr>
        <w:footnoteReference w:id="1034"/>
      </w:r>
      <w:r>
        <w:rPr>
          <w:rFonts w:ascii="IRNazanin" w:hAnsi="IRNazanin" w:eastAsia="IRNazanin"/>
          <w:color w:val="111111"/>
          <w:sz w:val="28"/>
          <w:sz w:val="28"/>
          <w:szCs w:val="28"/>
          <w:rtl w:val="true"/>
          <w:lang w:bidi="fa-IR"/>
        </w:rPr>
        <w:t>، و لا تخصّصا بمعنی خروج المورد بمجرّد وجود الدلیل عن مورد الاستصحاب؛لأنّ هذا مختصّ بالدلیل العلمیّ المزیل وجوده للشکّ المأخوذ فی مجری الاستصحاب</w:t>
      </w:r>
      <w:r>
        <w:rPr>
          <w:rFonts w:eastAsia="IRNazanin" w:cs="IRNazanin"/>
          <w:color w:val="111111"/>
          <w:sz w:val="28"/>
          <w:szCs w:val="28"/>
          <w:rtl w:val="true"/>
          <w:lang w:bidi="fa-IR"/>
        </w:rPr>
        <w:t>.</w:t>
      </w:r>
    </w:p>
    <w:p>
      <w:pPr>
        <w:pStyle w:val="Heading6"/>
        <w:numPr>
          <w:ilvl w:val="5"/>
          <w:numId w:val="1"/>
        </w:numPr>
        <w:rPr/>
      </w:pPr>
      <w:bookmarkStart w:id="1069" w:name="__RefHeading___Toc5767641_3224264995"/>
      <w:bookmarkStart w:id="1070" w:name="_Toc429"/>
      <w:bookmarkEnd w:id="1069"/>
      <w:r>
        <w:rPr>
          <w:rtl w:val="true"/>
        </w:rPr>
        <w:t>معنی الحکومة</w:t>
      </w:r>
      <w:r>
        <w:rPr>
          <w:rtl w:val="true"/>
        </w:rPr>
        <w:t>:</w:t>
      </w:r>
      <w:bookmarkEnd w:id="1070"/>
    </w:p>
    <w:p>
      <w:pPr>
        <w:pStyle w:val="BookText"/>
        <w:rPr/>
      </w:pPr>
      <w:r>
        <w:rPr>
          <w:rFonts w:ascii="IRNazanin" w:hAnsi="IRNazanin" w:eastAsia="IRNazanin"/>
          <w:color w:val="111111"/>
          <w:sz w:val="28"/>
          <w:sz w:val="28"/>
          <w:szCs w:val="28"/>
          <w:rtl w:val="true"/>
          <w:lang w:bidi="fa-IR"/>
        </w:rPr>
        <w:t>و معنی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سیجیء فی باب التعادل و التراجیح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یحکم الشارع فی ضمن دلیل بوجوب رفع الید عمّا یقتضیه الدلیل الآخر لو لا هذا الدلیل الحاکم،أو بوجوب العمل فی مورد بحکم لا یقتضیه دلیله لو لا الدلیل الحاکم </w:t>
      </w:r>
      <w:r>
        <w:rPr>
          <w:rStyle w:val="FootnoteAnchor"/>
          <w:rtl w:val="true"/>
        </w:rPr>
        <w:footnoteReference w:id="1036"/>
      </w:r>
      <w:r>
        <w:rPr>
          <w:rFonts w:ascii="IRNazanin" w:hAnsi="IRNazanin" w:eastAsia="IRNazanin"/>
          <w:color w:val="111111"/>
          <w:sz w:val="28"/>
          <w:sz w:val="28"/>
          <w:szCs w:val="28"/>
          <w:rtl w:val="true"/>
          <w:lang w:bidi="fa-IR"/>
        </w:rPr>
        <w:t>،و سیجیء توضیحه إن شاء اللّه تعالی</w:t>
      </w:r>
      <w:r>
        <w:rPr>
          <w:rFonts w:eastAsia="IRNazanin" w:cs="IRNazanin"/>
          <w:color w:val="111111"/>
          <w:sz w:val="28"/>
          <w:szCs w:val="28"/>
          <w:rtl w:val="true"/>
          <w:lang w:bidi="fa-IR"/>
        </w:rPr>
        <w:t xml:space="preserve">. </w:t>
      </w:r>
      <w:bookmarkStart w:id="1071" w:name="pg12985_125163"/>
    </w:p>
    <w:p>
      <w:pPr>
        <w:pStyle w:val="BookText"/>
        <w:rPr/>
      </w:pPr>
      <w:bookmarkEnd w:id="1071"/>
      <w:r>
        <w:rPr>
          <w:rFonts w:ascii="IRNazanin" w:hAnsi="IRNazanin" w:eastAsia="IRNazanin"/>
          <w:color w:val="111111"/>
          <w:sz w:val="28"/>
          <w:sz w:val="28"/>
          <w:szCs w:val="28"/>
          <w:rtl w:val="true"/>
          <w:lang w:bidi="fa-IR"/>
        </w:rPr>
        <w:t xml:space="preserve">ففی ما نحن فیه </w:t>
      </w:r>
      <w:r>
        <w:rPr>
          <w:rStyle w:val="FootnoteAnchor"/>
          <w:rtl w:val="true"/>
        </w:rPr>
        <w:footnoteReference w:id="1037"/>
      </w:r>
      <w:r>
        <w:rPr>
          <w:rFonts w:ascii="IRNazanin" w:hAnsi="IRNazanin" w:eastAsia="IRNazanin"/>
          <w:color w:val="111111"/>
          <w:sz w:val="28"/>
          <w:sz w:val="28"/>
          <w:szCs w:val="28"/>
          <w:rtl w:val="true"/>
          <w:lang w:bidi="fa-IR"/>
        </w:rPr>
        <w:t>،إذا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بالبیّنة فی نجاسة 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الشکّ موجود مع قیام البیّنة علی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الشارع حکم فی دلیل وجوب العمل بالبیّنة،برفع الید عن آثار الاحتمال المخالف للبیّنة،التی منها استصحاب الطهارة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2" w:name="__RefHeading___Toc5767643_3224264995"/>
      <w:bookmarkStart w:id="1073" w:name="_Toc430"/>
      <w:bookmarkEnd w:id="1072"/>
      <w:r>
        <w:rPr>
          <w:rtl w:val="true"/>
        </w:rPr>
        <w:t>احتمال أن یکون العمل بالأدلّة فی مقابل الاستصحاب من باب التخصّص</w:t>
      </w:r>
      <w:r>
        <w:rPr>
          <w:rtl w:val="true"/>
        </w:rPr>
        <w:t>:</w:t>
      </w:r>
      <w:bookmarkEnd w:id="1073"/>
    </w:p>
    <w:p>
      <w:pPr>
        <w:pStyle w:val="BookText"/>
        <w:rPr/>
      </w:pPr>
      <w:r>
        <w:rPr>
          <w:rFonts w:ascii="IRNazanin" w:hAnsi="IRNazanin" w:eastAsia="IRNazanin"/>
          <w:color w:val="111111"/>
          <w:sz w:val="28"/>
          <w:sz w:val="28"/>
          <w:szCs w:val="28"/>
          <w:rtl w:val="true"/>
          <w:lang w:bidi="fa-IR"/>
        </w:rPr>
        <w:t xml:space="preserve">و ربما یجعل العمل بالأدلّة فی مقابل الاستصحاب من باب التخصّص </w:t>
      </w:r>
      <w:r>
        <w:rPr>
          <w:rStyle w:val="FootnoteAnchor"/>
          <w:rtl w:val="true"/>
        </w:rPr>
        <w:footnoteReference w:id="1039"/>
      </w:r>
      <w:r>
        <w:rPr>
          <w:rFonts w:ascii="IRNazanin" w:hAnsi="IRNazanin" w:eastAsia="IRNazanin"/>
          <w:color w:val="111111"/>
          <w:sz w:val="28"/>
          <w:sz w:val="28"/>
          <w:szCs w:val="28"/>
          <w:rtl w:val="true"/>
          <w:lang w:bidi="fa-IR"/>
        </w:rPr>
        <w:t>بناء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و الطریق، و التحیّر فی العمل،و مع قیام الدلیل الاجتهادیّ لا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قلت </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دلیلا قطعیّ الاعتبار؛فنقض الحالة السابقة به نقض بالیقین</w:t>
      </w:r>
      <w:r>
        <w:rPr>
          <w:rFonts w:eastAsia="IRNazanin" w:cs="IRNazanin"/>
          <w:color w:val="111111"/>
          <w:sz w:val="28"/>
          <w:szCs w:val="28"/>
          <w:rtl w:val="true"/>
          <w:lang w:bidi="fa-IR"/>
        </w:rPr>
        <w:t>.</w:t>
      </w:r>
    </w:p>
    <w:p>
      <w:pPr>
        <w:pStyle w:val="Heading6"/>
        <w:numPr>
          <w:ilvl w:val="5"/>
          <w:numId w:val="1"/>
        </w:numPr>
        <w:rPr/>
      </w:pPr>
      <w:bookmarkStart w:id="1074" w:name="__RefHeading___Toc5767645_3224264995"/>
      <w:bookmarkStart w:id="1075" w:name="_Toc431"/>
      <w:bookmarkEnd w:id="1074"/>
      <w:r>
        <w:rPr>
          <w:rtl w:val="true"/>
        </w:rPr>
        <w:t>ضعف هذا الاحتمال</w:t>
      </w:r>
      <w:r>
        <w:rPr>
          <w:rtl w:val="true"/>
        </w:rPr>
        <w:t>:</w:t>
      </w:r>
      <w:bookmarkEnd w:id="107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یرتفع التحیّر و لا یصیر الدلیل الاجتهادیّ قطعیّ الاعتبار فی خصوص مورد الاستصحاب إلاّ بعد إثبات کون مؤدّاه حاکما علی مؤدّی الاستصحاب،و إلاّ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مؤدّی الاستصحاب وجوب العمل علی الحالة السابقة مع عدم الیقین بارتفاعها، </w:t>
      </w:r>
      <w:bookmarkStart w:id="1076" w:name="pg12985_125164"/>
    </w:p>
    <w:p>
      <w:pPr>
        <w:pStyle w:val="BookText"/>
        <w:rPr/>
      </w:pPr>
      <w:bookmarkEnd w:id="1076"/>
      <w:r>
        <w:rPr>
          <w:rFonts w:ascii="IRNazanin" w:hAnsi="IRNazanin" w:eastAsia="IRNazanin"/>
          <w:color w:val="111111"/>
          <w:sz w:val="28"/>
          <w:sz w:val="28"/>
          <w:szCs w:val="28"/>
          <w:rtl w:val="true"/>
          <w:lang w:bidi="fa-IR"/>
        </w:rPr>
        <w:t xml:space="preserve">سواء کان هناک الأمارة الفلانیّة أم لا،و مؤدّی دلیل تلک الأمارة وجوب العمل بمؤدّاه </w:t>
      </w:r>
      <w:r>
        <w:rPr>
          <w:rStyle w:val="FootnoteAnchor"/>
          <w:rtl w:val="true"/>
        </w:rPr>
        <w:footnoteReference w:id="1041"/>
      </w:r>
      <w:r>
        <w:rPr>
          <w:rFonts w:ascii="Amiri" w:hAnsi="Amiri" w:eastAsia="Amiri" w:cs="Amiri"/>
          <w:color w:val="111111"/>
          <w:sz w:val="28"/>
          <w:sz w:val="28"/>
          <w:szCs w:val="28"/>
          <w:rtl w:val="true"/>
          <w:lang w:bidi="ar-SA"/>
        </w:rPr>
        <w:t>،خالف الحالة السابقة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مغالطة هذا الکلام،إلاّ بما ذکرنا من طریق الحکومة، کما لا یخفی</w:t>
      </w:r>
      <w:r>
        <w:rPr>
          <w:rFonts w:eastAsia="IRNazanin" w:cs="IRNazanin"/>
          <w:color w:val="111111"/>
          <w:sz w:val="28"/>
          <w:szCs w:val="28"/>
          <w:rtl w:val="true"/>
          <w:lang w:bidi="fa-IR"/>
        </w:rPr>
        <w:t>.</w:t>
      </w:r>
    </w:p>
    <w:p>
      <w:pPr>
        <w:pStyle w:val="Heading6"/>
        <w:numPr>
          <w:ilvl w:val="5"/>
          <w:numId w:val="1"/>
        </w:numPr>
        <w:rPr/>
      </w:pPr>
      <w:bookmarkStart w:id="1077" w:name="__RefHeading___Toc5767647_3224264995"/>
      <w:bookmarkStart w:id="1078" w:name="_Toc432"/>
      <w:bookmarkEnd w:id="1077"/>
      <w:r>
        <w:rPr>
          <w:rtl w:val="true"/>
        </w:rPr>
        <w:t>المسامحة فیما جعله الفاضل التونی من شرائط الاستصحاب</w:t>
      </w:r>
      <w:r>
        <w:rPr>
          <w:rtl w:val="true"/>
        </w:rPr>
        <w:t>:</w:t>
      </w:r>
      <w:bookmarkEnd w:id="1078"/>
    </w:p>
    <w:p>
      <w:pPr>
        <w:pStyle w:val="BookText"/>
        <w:rPr/>
      </w:pPr>
      <w:r>
        <w:rPr>
          <w:rFonts w:ascii="IRNazanin" w:hAnsi="IRNazanin" w:eastAsia="IRNazanin"/>
          <w:color w:val="111111"/>
          <w:sz w:val="28"/>
          <w:sz w:val="28"/>
          <w:szCs w:val="28"/>
          <w:rtl w:val="true"/>
          <w:lang w:bidi="fa-IR"/>
        </w:rPr>
        <w:t xml:space="preserve">و کیف کان،فجعل بعضهم </w:t>
      </w:r>
      <w:r>
        <w:rPr>
          <w:rStyle w:val="FootnoteAnchor"/>
          <w:rtl w:val="true"/>
        </w:rPr>
        <w:footnoteReference w:id="1042"/>
      </w:r>
      <w:r>
        <w:rPr>
          <w:rFonts w:ascii="IRNazanin" w:hAnsi="IRNazanin" w:eastAsia="IRNazanin"/>
          <w:color w:val="111111"/>
          <w:sz w:val="28"/>
          <w:sz w:val="28"/>
          <w:szCs w:val="28"/>
          <w:rtl w:val="true"/>
          <w:lang w:bidi="fa-IR"/>
        </w:rPr>
        <w:t>عدم الدلیل الاجتهادی علی خلاف الحالة السابقة من شرائط العمل بالاستصحاب،لا یخلو عن مسامحة؛ لأنّ مرجع ذلک بظاهره إلی عدم المعارض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البناء علی الأکثر،لکنّه لیس مراد هذا المشترط قطعا،بل مراده عدم الدلیل علی ارتفاع الحالة السابقة</w:t>
      </w:r>
      <w:r>
        <w:rPr>
          <w:rFonts w:eastAsia="IRNazanin" w:cs="IRNazanin"/>
          <w:color w:val="111111"/>
          <w:sz w:val="28"/>
          <w:szCs w:val="28"/>
          <w:rtl w:val="true"/>
          <w:lang w:bidi="fa-IR"/>
        </w:rPr>
        <w:t>.</w:t>
      </w:r>
    </w:p>
    <w:p>
      <w:pPr>
        <w:pStyle w:val="Heading6"/>
        <w:numPr>
          <w:ilvl w:val="5"/>
          <w:numId w:val="1"/>
        </w:numPr>
        <w:rPr/>
      </w:pPr>
      <w:bookmarkStart w:id="1079" w:name="__RefHeading___Toc5767649_3224264995"/>
      <w:bookmarkStart w:id="1080" w:name="_Toc433"/>
      <w:bookmarkEnd w:id="1079"/>
      <w:r>
        <w:rPr>
          <w:rtl w:val="true"/>
        </w:rPr>
        <w:t>ما أورده المحقّق القمّی علی الفاضل التونی و المناقشة فیه</w:t>
      </w:r>
      <w:r>
        <w:rPr>
          <w:rtl w:val="true"/>
        </w:rPr>
        <w:t>:</w:t>
      </w:r>
      <w:bookmarkEnd w:id="10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w:t>
      </w:r>
      <w:r>
        <w:rPr>
          <w:rStyle w:val="FootnoteAnchor"/>
          <w:rtl w:val="true"/>
        </w:rPr>
        <w:footnoteReference w:id="1043"/>
      </w:r>
      <w:r>
        <w:rPr>
          <w:rFonts w:ascii="IRNazanin" w:hAnsi="IRNazanin" w:eastAsia="IRNazanin"/>
          <w:color w:val="111111"/>
          <w:sz w:val="28"/>
          <w:sz w:val="28"/>
          <w:szCs w:val="28"/>
          <w:rtl w:val="true"/>
          <w:lang w:bidi="fa-IR"/>
        </w:rPr>
        <w:t>ما أورده علیه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أیضا أحد الأدلّة،فقد یرجّح علیه الدلیل،و قد یرجّح علی الدلیل،و قد لا یرجّح أحدهما علی الآخر،قال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ذکر بعضهم </w:t>
      </w:r>
      <w:r>
        <w:rPr>
          <w:rStyle w:val="FootnoteAnchor"/>
          <w:rtl w:val="true"/>
        </w:rPr>
        <w:footnoteReference w:id="1044"/>
      </w:r>
      <w:r>
        <w:rPr>
          <w:rFonts w:ascii="IRNazanin" w:hAnsi="IRNazanin" w:eastAsia="IRNazanin"/>
          <w:color w:val="111111"/>
          <w:sz w:val="28"/>
          <w:sz w:val="28"/>
          <w:szCs w:val="28"/>
          <w:rtl w:val="true"/>
          <w:lang w:bidi="fa-IR"/>
        </w:rPr>
        <w:t>فی مال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حکم ماله حتّی یحصل العلم العادی بموته؛استصحابا لحیاته </w:t>
      </w:r>
      <w:r>
        <w:rPr>
          <w:rStyle w:val="FootnoteAnchor"/>
          <w:rtl w:val="true"/>
        </w:rPr>
        <w:footnoteReference w:id="1045"/>
      </w:r>
      <w:r>
        <w:rPr>
          <w:rFonts w:ascii="IRNazanin" w:hAnsi="IRNazanin" w:eastAsia="IRNazanin"/>
          <w:color w:val="111111"/>
          <w:sz w:val="28"/>
          <w:sz w:val="28"/>
          <w:szCs w:val="28"/>
          <w:rtl w:val="true"/>
          <w:lang w:bidi="fa-IR"/>
        </w:rPr>
        <w:t xml:space="preserve">،مع وجود الروایات المعتبرة </w:t>
      </w:r>
      <w:r>
        <w:rPr>
          <w:rStyle w:val="FootnoteAnchor"/>
          <w:rtl w:val="true"/>
        </w:rPr>
        <w:footnoteReference w:id="1046"/>
      </w:r>
      <w:r>
        <w:rPr>
          <w:rFonts w:ascii="IRNazanin" w:hAnsi="IRNazanin" w:eastAsia="IRNazanin"/>
          <w:color w:val="111111"/>
          <w:sz w:val="28"/>
          <w:sz w:val="28"/>
          <w:szCs w:val="28"/>
          <w:rtl w:val="true"/>
          <w:lang w:bidi="fa-IR"/>
        </w:rPr>
        <w:t xml:space="preserve">المعمول بها عند بعضهم،بل </w:t>
      </w:r>
    </w:p>
    <w:p>
      <w:pPr>
        <w:pStyle w:val="BookText"/>
        <w:rPr/>
      </w:pPr>
      <w:r>
        <w:rPr>
          <w:rFonts w:ascii="IRNazanin" w:hAnsi="IRNazanin" w:eastAsia="IRNazanin"/>
          <w:color w:val="111111"/>
          <w:sz w:val="28"/>
          <w:sz w:val="28"/>
          <w:szCs w:val="28"/>
          <w:rtl w:val="true"/>
          <w:lang w:bidi="fa-IR"/>
        </w:rPr>
        <w:t xml:space="preserve">عند جمع من المحقّقین </w:t>
      </w:r>
      <w:r>
        <w:rPr>
          <w:rStyle w:val="FootnoteAnchor"/>
          <w:rtl w:val="true"/>
        </w:rPr>
        <w:footnoteReference w:id="1047"/>
      </w:r>
      <w:r>
        <w:rPr>
          <w:rFonts w:ascii="IRNazanin" w:hAnsi="IRNazanin" w:eastAsia="IRNazanin"/>
          <w:color w:val="111111"/>
          <w:sz w:val="28"/>
          <w:sz w:val="28"/>
          <w:szCs w:val="28"/>
          <w:rtl w:val="true"/>
          <w:lang w:bidi="fa-IR"/>
        </w:rPr>
        <w:t xml:space="preserve">،الدالّة علی وجوب الفحص أربع سنین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العمل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جزمنا به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مراده عدم ما یدلّ علما أو ظنّا علی ارتفاع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لورود ذلک </w:t>
      </w:r>
      <w:r>
        <w:rPr>
          <w:rStyle w:val="FootnoteAnchor"/>
          <w:rtl w:val="true"/>
        </w:rPr>
        <w:footnoteReference w:id="1050"/>
      </w:r>
      <w:r>
        <w:rPr>
          <w:rFonts w:ascii="IRNazanin" w:hAnsi="IRNazanin" w:eastAsia="IRNazanin"/>
          <w:color w:val="111111"/>
          <w:sz w:val="28"/>
          <w:sz w:val="28"/>
          <w:szCs w:val="28"/>
          <w:rtl w:val="true"/>
          <w:lang w:bidi="fa-IR"/>
        </w:rPr>
        <w:t xml:space="preserve">لأنّ الاستصحاب إن اخذ من باب التعبّد،فقد عرفت </w:t>
      </w:r>
      <w:r>
        <w:rPr>
          <w:rStyle w:val="FootnoteAnchor"/>
          <w:rtl w:val="true"/>
        </w:rPr>
        <w:footnoteReference w:id="1051"/>
      </w:r>
      <w:r>
        <w:rPr>
          <w:rFonts w:ascii="IRNazanin" w:hAnsi="IRNazanin" w:eastAsia="IRNazanin"/>
          <w:color w:val="111111"/>
          <w:sz w:val="28"/>
          <w:sz w:val="28"/>
          <w:szCs w:val="28"/>
          <w:rtl w:val="true"/>
          <w:lang w:bidi="fa-IR"/>
        </w:rPr>
        <w:t xml:space="preserve">حکومة أدلّة جمیع الأمارات الاجتهادیّة علی دلیله،و إن اخذ من باب الظنّ،فالظاهر أنّه لا تأمّل لأحد فی أنّ المأخوذ فی إفادته للظنّ عدم وجود أمارة فی مورده علی خلافه؛و لذا ذکر العضدیّ فی دلیله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کان سابقا و لم یظنّ عدمه فهو مظنون البقاء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1081" w:name="pg12985_125166"/>
    </w:p>
    <w:p>
      <w:pPr>
        <w:pStyle w:val="BookText"/>
        <w:rPr/>
      </w:pPr>
      <w:bookmarkEnd w:id="1081"/>
      <w:r>
        <w:rPr>
          <w:rFonts w:ascii="IRNazanin" w:hAnsi="IRNazanin" w:eastAsia="IRNazanin"/>
          <w:color w:val="111111"/>
          <w:sz w:val="28"/>
          <w:sz w:val="28"/>
          <w:szCs w:val="28"/>
          <w:rtl w:val="true"/>
          <w:lang w:bidi="fa-IR"/>
        </w:rPr>
        <w:t>و لما ذکرنا لم نر أحدا من العلماء قدّم الاستصحاب علی أمارة مخالفة له مع اعترافه بحجّیّتها لو لا الاستصحاب،لا فی الأحکام و لا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بعض الأصحاب بالاستصحاب فی مال المفقود،و طرح ما دلّ علی وجوب الفحص أربع سنین و الحکم بموته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دخل له بما نحن فیه؛لأنّ تلک الأخبار لیست أدلّة فی مقابل استصحاب حیاة المفقود،و إنّما المقابل له قیام دلیل معتبر </w:t>
      </w:r>
      <w:r>
        <w:rPr>
          <w:rStyle w:val="FootnoteAnchor"/>
          <w:rtl w:val="true"/>
        </w:rPr>
        <w:footnoteReference w:id="1054"/>
      </w:r>
      <w:r>
        <w:rPr>
          <w:rFonts w:ascii="IRNazanin" w:hAnsi="IRNazanin" w:eastAsia="IRNazanin"/>
          <w:color w:val="111111"/>
          <w:sz w:val="28"/>
          <w:sz w:val="28"/>
          <w:szCs w:val="28"/>
          <w:rtl w:val="true"/>
          <w:lang w:bidi="fa-IR"/>
        </w:rPr>
        <w:t xml:space="preserve">علی موته،و هذه الأخبار علی تقدیر تمامیّتها مخصّصة لعموم أدلّة الاستصحاب، دالّة علی وجوب البناء علی موت المفقود </w:t>
      </w:r>
      <w:r>
        <w:rPr>
          <w:rStyle w:val="FootnoteAnchor"/>
          <w:rtl w:val="true"/>
        </w:rPr>
        <w:footnoteReference w:id="1055"/>
      </w:r>
      <w:r>
        <w:rPr>
          <w:rFonts w:ascii="IRNazanin" w:hAnsi="IRNazanin" w:eastAsia="IRNazanin"/>
          <w:color w:val="111111"/>
          <w:sz w:val="28"/>
          <w:sz w:val="28"/>
          <w:szCs w:val="28"/>
          <w:rtl w:val="true"/>
          <w:lang w:bidi="fa-IR"/>
        </w:rPr>
        <w:t>بعد الفحص،نظیر ما دلّ علی وجوب البناء علی الأکثر مع الشکّ فی عدد الرکعات،فمن عمل بها خصّص بها عمومات الاستصحاب،و من 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أدلّة الاستصحاب عنده علی عمومها</w:t>
      </w:r>
      <w:r>
        <w:rPr>
          <w:rFonts w:eastAsia="IRNazanin" w:cs="IRNazanin"/>
          <w:color w:val="111111"/>
          <w:sz w:val="28"/>
          <w:szCs w:val="28"/>
          <w:rtl w:val="true"/>
          <w:lang w:bidi="fa-IR"/>
        </w:rPr>
        <w:t>.</w:t>
      </w:r>
    </w:p>
    <w:p>
      <w:pPr>
        <w:pStyle w:val="Heading6"/>
        <w:numPr>
          <w:ilvl w:val="5"/>
          <w:numId w:val="1"/>
        </w:numPr>
        <w:rPr/>
      </w:pPr>
      <w:bookmarkStart w:id="1082" w:name="__RefHeading___Toc5767651_3224264995"/>
      <w:bookmarkStart w:id="1083" w:name="_Toc434"/>
      <w:bookmarkEnd w:id="1082"/>
      <w:r>
        <w:rPr>
          <w:rtl w:val="true"/>
        </w:rPr>
        <w:t>المراد من</w:t>
      </w:r>
      <w:r>
        <w:rPr>
          <w:rtl w:val="true"/>
        </w:rPr>
        <w:t>«</w:t>
      </w:r>
      <w:r>
        <w:rPr>
          <w:rtl w:val="true"/>
        </w:rPr>
        <w:t>الأدلّة الاجتهادیّة</w:t>
      </w:r>
      <w:r>
        <w:rPr>
          <w:rtl w:val="true"/>
        </w:rPr>
        <w:t>»</w:t>
      </w:r>
      <w:r>
        <w:rPr>
          <w:rtl w:val="true"/>
        </w:rPr>
        <w:t>و</w:t>
      </w:r>
      <w:r>
        <w:rPr>
          <w:rtl w:val="true"/>
        </w:rPr>
        <w:t>«</w:t>
      </w:r>
      <w:r>
        <w:rPr>
          <w:rtl w:val="true"/>
        </w:rPr>
        <w:t>الاصول</w:t>
      </w:r>
      <w:r>
        <w:rPr>
          <w:rtl w:val="true"/>
        </w:rPr>
        <w:t>»:</w:t>
      </w:r>
      <w:bookmarkEnd w:id="108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بالدلیل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أمارة اعتبرها الشارع من حیث إنّها تحکی عن الواقع و تکشف عنه بالقوّة،و تسمّی فی نفس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أمارات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ممّا نصبه الشارع غیر ناظر إلی الواقع،أو کان ناظرا لکن فرض أنّ الشارع اعتبره لا من هذه الحیثیّة،بل من حیث مجرّد احتمال مطابقته للواقع،فلیس اجتهادیّا،بل </w:t>
      </w:r>
      <w:r>
        <w:rPr>
          <w:rStyle w:val="FootnoteAnchor"/>
          <w:rtl w:val="true"/>
        </w:rPr>
        <w:footnoteReference w:id="1056"/>
      </w:r>
      <w:r>
        <w:rPr>
          <w:rFonts w:ascii="IRNazanin" w:hAnsi="IRNazanin" w:eastAsia="IRNazanin"/>
          <w:color w:val="111111"/>
          <w:sz w:val="28"/>
          <w:sz w:val="28"/>
          <w:szCs w:val="28"/>
          <w:rtl w:val="true"/>
          <w:lang w:bidi="fa-IR"/>
        </w:rPr>
        <w:t xml:space="preserve">هو من الاصول،و إن کان مقدّما علی </w:t>
      </w:r>
      <w:bookmarkStart w:id="1084" w:name="pg12985_125167"/>
    </w:p>
    <w:p>
      <w:pPr>
        <w:pStyle w:val="BookText"/>
        <w:rPr/>
      </w:pPr>
      <w:bookmarkEnd w:id="1084"/>
      <w:r>
        <w:rPr>
          <w:rFonts w:ascii="IRNazanin" w:hAnsi="IRNazanin" w:eastAsia="IRNazanin"/>
          <w:color w:val="111111"/>
          <w:sz w:val="28"/>
          <w:sz w:val="28"/>
          <w:szCs w:val="28"/>
          <w:rtl w:val="true"/>
          <w:lang w:bidi="fa-IR"/>
        </w:rPr>
        <w:t>بعض الاصول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الاستصحاب و القرعة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مصادیق الأدلّة و الأمارات فی الأحکام و الموضوعات واضحة غالبا</w:t>
      </w:r>
      <w:r>
        <w:rPr>
          <w:rFonts w:eastAsia="IRNazanin" w:cs="IRNazanin"/>
          <w:color w:val="111111"/>
          <w:sz w:val="28"/>
          <w:szCs w:val="28"/>
          <w:rtl w:val="true"/>
          <w:lang w:bidi="fa-IR"/>
        </w:rPr>
        <w:t>.</w:t>
      </w:r>
    </w:p>
    <w:p>
      <w:pPr>
        <w:pStyle w:val="Heading6"/>
        <w:numPr>
          <w:ilvl w:val="5"/>
          <w:numId w:val="1"/>
        </w:numPr>
        <w:rPr/>
      </w:pPr>
      <w:bookmarkStart w:id="1085" w:name="__RefHeading___Toc5767653_3224264995"/>
      <w:bookmarkStart w:id="1086" w:name="_Toc435"/>
      <w:bookmarkEnd w:id="1085"/>
      <w:r>
        <w:rPr>
          <w:rtl w:val="true"/>
        </w:rPr>
        <w:t>تردّد الشیء بین کونه دلیلا أو أصلا</w:t>
      </w:r>
      <w:r>
        <w:rPr>
          <w:rtl w:val="true"/>
        </w:rPr>
        <w:t>:</w:t>
      </w:r>
      <w:bookmarkEnd w:id="1086"/>
    </w:p>
    <w:p>
      <w:pPr>
        <w:pStyle w:val="BookText"/>
        <w:rPr/>
      </w:pPr>
      <w:r>
        <w:rPr>
          <w:rFonts w:ascii="IRNazanin" w:hAnsi="IRNazanin" w:eastAsia="IRNazanin"/>
          <w:color w:val="111111"/>
          <w:sz w:val="28"/>
          <w:sz w:val="28"/>
          <w:szCs w:val="28"/>
          <w:rtl w:val="true"/>
          <w:lang w:bidi="fa-IR"/>
        </w:rPr>
        <w:t xml:space="preserve">و قد یختفی </w:t>
      </w:r>
      <w:r>
        <w:rPr>
          <w:rStyle w:val="FootnoteAnchor"/>
          <w:rtl w:val="true"/>
        </w:rPr>
        <w:footnoteReference w:id="1057"/>
      </w:r>
      <w:r>
        <w:rPr>
          <w:rFonts w:ascii="IRNazanin" w:hAnsi="IRNazanin" w:eastAsia="IRNazanin"/>
          <w:color w:val="111111"/>
          <w:sz w:val="28"/>
          <w:sz w:val="28"/>
          <w:szCs w:val="28"/>
          <w:rtl w:val="true"/>
          <w:lang w:bidi="fa-IR"/>
        </w:rPr>
        <w:t>،فیتردّد الشیء بین کونه دلیلا و بین کونه أصلا؛ لاختفاء کون اعتباره من حیث کونه ناظرا إلی الواقع،أو من حیث هو،کما فی الید المنصوبة دلیلا علی الملک،و کذلک أصالة الصحّة عند الشکّ فی عمل نفسه بعد الفراغ،و أصالة الصحّة فی عمل الغیر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یعلم عدم کونه ناظرا إلی الواقع و کاشفا عنه و أنّه من القواعد التعبّدیّة،لکن یختفی حکومته مع ذلک علی الاستصحاب؛لأنّا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الشیء الغیر الکاشف منصوبا من حیث تنزیل الشارع الاحتمال المطابق له منزلة الواقع،إلاّ أنّ الاختفاء فی تقدیم أحد التنزیلین علی الآخر و حکومته علیه</w:t>
      </w:r>
      <w:r>
        <w:rPr>
          <w:rFonts w:eastAsia="IRNazanin" w:cs="IRNazanin"/>
          <w:color w:val="111111"/>
          <w:sz w:val="28"/>
          <w:szCs w:val="28"/>
          <w:rtl w:val="true"/>
          <w:lang w:bidi="fa-IR"/>
        </w:rPr>
        <w:t xml:space="preserve">. </w:t>
      </w:r>
      <w:bookmarkStart w:id="1087" w:name="pg12985_125168"/>
    </w:p>
    <w:p>
      <w:pPr>
        <w:pStyle w:val="Heading4"/>
        <w:numPr>
          <w:ilvl w:val="3"/>
          <w:numId w:val="1"/>
        </w:numPr>
        <w:rPr/>
      </w:pPr>
      <w:bookmarkStart w:id="1088" w:name="__RefHeading___Toc5767655_3224264995"/>
      <w:bookmarkStart w:id="1089" w:name="_Toc436"/>
      <w:bookmarkEnd w:id="1087"/>
      <w:bookmarkEnd w:id="1088"/>
      <w:r>
        <w:rPr>
          <w:rtl w:val="true"/>
        </w:rPr>
        <w:t>تعارض الاستصحاب مع سائر الأمارات و الاصول</w:t>
      </w:r>
      <w:bookmarkEnd w:id="1089"/>
    </w:p>
    <w:p>
      <w:pPr>
        <w:pStyle w:val="Heading5"/>
        <w:numPr>
          <w:ilvl w:val="4"/>
          <w:numId w:val="1"/>
        </w:numPr>
        <w:rPr/>
      </w:pPr>
      <w:bookmarkStart w:id="1090" w:name="__RefHeading___Toc5767657_3224264995"/>
      <w:bookmarkStart w:id="1091" w:name="_Toc437"/>
      <w:bookmarkEnd w:id="1090"/>
      <w:r>
        <w:rPr>
          <w:rtl w:val="true"/>
        </w:rPr>
        <w:t>اشارة</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 مع سائر الأمارات و الاصول</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ثمّ إنّه لا ریب فی تقدیم الاستصحاب علی الاصول الثلاثة،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الاحتیاط،و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قد یختفی وجهه علی المبتدی </w:t>
      </w:r>
      <w:r>
        <w:rPr>
          <w:rStyle w:val="FootnoteAnchor"/>
          <w:rtl w:val="true"/>
        </w:rPr>
        <w:footnoteReference w:id="1059"/>
      </w:r>
      <w:r>
        <w:rPr>
          <w:rFonts w:ascii="IRNazanin" w:hAnsi="IRNazanin" w:eastAsia="IRNazanin"/>
          <w:color w:val="111111"/>
          <w:sz w:val="28"/>
          <w:sz w:val="28"/>
          <w:szCs w:val="28"/>
          <w:rtl w:val="true"/>
          <w:lang w:bidi="fa-IR"/>
        </w:rPr>
        <w:t>،فلا بدّ من التکلّم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الاستصحاب لبعض الأمارات التی یتراءی کونها من الاصول،کالید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معارضة الاستصحاب للقرعة و نحوها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سائر الاصول للاستصحاب</w:t>
      </w:r>
      <w:r>
        <w:rPr>
          <w:rFonts w:eastAsia="IRNazanin" w:cs="IRNazanin"/>
          <w:color w:val="111111"/>
          <w:sz w:val="28"/>
          <w:szCs w:val="28"/>
          <w:rtl w:val="true"/>
          <w:lang w:bidi="fa-IR"/>
        </w:rPr>
        <w:t xml:space="preserve">. </w:t>
      </w:r>
      <w:bookmarkStart w:id="1092" w:name="pg12985_125169"/>
    </w:p>
    <w:p>
      <w:pPr>
        <w:pStyle w:val="Heading5"/>
        <w:numPr>
          <w:ilvl w:val="4"/>
          <w:numId w:val="1"/>
        </w:numPr>
        <w:rPr/>
      </w:pPr>
      <w:bookmarkStart w:id="1093" w:name="__RefHeading___Toc5767659_3224264995"/>
      <w:bookmarkStart w:id="1094" w:name="_Toc438"/>
      <w:bookmarkEnd w:id="1092"/>
      <w:bookmarkEnd w:id="1093"/>
      <w:r>
        <w:rPr>
          <w:rtl w:val="true"/>
        </w:rPr>
        <w:t>المقام الأوّل</w:t>
      </w:r>
      <w:r>
        <w:rPr>
          <w:rtl w:val="true"/>
        </w:rPr>
        <w:t>:</w:t>
      </w:r>
      <w:r>
        <w:rPr>
          <w:rtl w:val="true"/>
        </w:rPr>
        <w:t>عدم معارضة الاستصحاب لبعض الأمارات،و فیه مسائل</w:t>
      </w:r>
      <w:r>
        <w:rPr>
          <w:rtl w:val="true"/>
        </w:rPr>
        <w:t>:</w:t>
      </w:r>
      <w:bookmarkEnd w:id="1094"/>
    </w:p>
    <w:p>
      <w:pPr>
        <w:pStyle w:val="Heading6"/>
        <w:numPr>
          <w:ilvl w:val="5"/>
          <w:numId w:val="1"/>
        </w:numPr>
        <w:rPr/>
      </w:pPr>
      <w:bookmarkStart w:id="1095" w:name="__RefHeading___Toc5767661_3224264995"/>
      <w:bookmarkStart w:id="1096" w:name="_Toc439"/>
      <w:bookmarkEnd w:id="1095"/>
      <w:r>
        <w:rPr>
          <w:rtl w:val="true"/>
        </w:rPr>
        <w:t>اشارة</w:t>
      </w:r>
      <w:bookmarkEnd w:id="1096"/>
    </w:p>
    <w:p>
      <w:pPr>
        <w:pStyle w:val="BookText"/>
        <w:rPr/>
      </w:pPr>
      <w:r>
        <w:rPr>
          <w:rFonts w:ascii="IRNazanin" w:hAnsi="IRNazanin" w:eastAsia="IRNazanin"/>
          <w:color w:val="111111"/>
          <w:sz w:val="28"/>
          <w:sz w:val="28"/>
          <w:szCs w:val="28"/>
          <w:rtl w:val="true"/>
          <w:lang w:bidi="fa-IR"/>
        </w:rPr>
        <w:t>أمّا الکلام فی المقام الأوّل فیقع فی مسائل</w:t>
      </w:r>
      <w:r>
        <w:rPr>
          <w:rFonts w:eastAsia="IRNazanin" w:cs="IRNazanin"/>
          <w:color w:val="111111"/>
          <w:sz w:val="28"/>
          <w:szCs w:val="28"/>
          <w:rtl w:val="true"/>
          <w:lang w:bidi="fa-IR"/>
        </w:rPr>
        <w:t>:</w:t>
      </w:r>
    </w:p>
    <w:p>
      <w:pPr>
        <w:pStyle w:val="Heading6"/>
        <w:numPr>
          <w:ilvl w:val="5"/>
          <w:numId w:val="1"/>
        </w:numPr>
        <w:rPr/>
      </w:pPr>
      <w:bookmarkStart w:id="1097" w:name="__RefHeading___Toc5767663_3224264995"/>
      <w:bookmarkStart w:id="1098" w:name="_Toc440"/>
      <w:bookmarkEnd w:id="1097"/>
      <w:r>
        <w:rPr>
          <w:rtl w:val="true"/>
        </w:rPr>
        <w:t xml:space="preserve">المسألة  الاولی </w:t>
      </w:r>
      <w:r>
        <w:rPr>
          <w:rtl w:val="true"/>
        </w:rPr>
        <w:t>:</w:t>
      </w:r>
      <w:r>
        <w:rPr>
          <w:rtl w:val="true"/>
        </w:rPr>
        <w:t>تقدّم</w:t>
      </w:r>
      <w:r>
        <w:rPr>
          <w:rtl w:val="true"/>
        </w:rPr>
        <w:t>«</w:t>
      </w:r>
      <w:r>
        <w:rPr>
          <w:rtl w:val="true"/>
        </w:rPr>
        <w:t>الید</w:t>
      </w:r>
      <w:r>
        <w:rPr>
          <w:rtl w:val="true"/>
        </w:rPr>
        <w:t>»</w:t>
      </w:r>
      <w:r>
        <w:rPr>
          <w:rtl w:val="true"/>
        </w:rPr>
        <w:t>علی الاستصحاب و الاستدلال علیه</w:t>
      </w:r>
      <w:bookmarkEnd w:id="1098"/>
    </w:p>
    <w:p>
      <w:pPr>
        <w:pStyle w:val="BookText"/>
        <w:rPr/>
      </w:pPr>
      <w:r>
        <w:rPr>
          <w:rFonts w:ascii="IRNazanin" w:hAnsi="IRNazanin" w:eastAsia="IRNazanin"/>
          <w:color w:val="111111"/>
          <w:sz w:val="28"/>
          <w:sz w:val="28"/>
          <w:szCs w:val="28"/>
          <w:rtl w:val="true"/>
          <w:lang w:bidi="fa-IR"/>
        </w:rPr>
        <w:t>أنّ الید ممّا لا یعارضها الاستصحاب،بل هی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الید،إن قلنا بکونها من الأمارات المنصوبة دلیلا علی الملکیّة؛من حیث کون الغالب فی مواردها کون صاحب الید مالکا أو نائبا عنه،و أنّ الید المستقلّة الغیر المالکیّة قلیلة بالنسبة إلیها،و أنّ الشارع إنّما اعتبر هذه الغلبة تسهیلا علی العباد،فلا إشکال فی تقدیمها علی الاستصحاب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حکومة أدلّة الأمارات علی أدلّة </w:t>
      </w:r>
      <w:r>
        <w:rPr>
          <w:rStyle w:val="FootnoteAnchor"/>
          <w:rtl w:val="true"/>
        </w:rPr>
        <w:footnoteReference w:id="1060"/>
      </w:r>
      <w:r>
        <w:rPr>
          <w:rFonts w:ascii="IRNazanin" w:hAnsi="IRNazanin" w:eastAsia="IRNazanin"/>
          <w:color w:val="111111"/>
          <w:sz w:val="28"/>
          <w:sz w:val="28"/>
          <w:szCs w:val="28"/>
          <w:rtl w:val="true"/>
          <w:lang w:bidi="fa-IR"/>
        </w:rPr>
        <w:t xml:space="preserve">الاستصحاب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بأنّها غیر کاشفة بنفسها عن الملکیّة،أو أنّها کاشفة لکن اعتبار الشارع لها لیس من هذه الحیثیّة،بل جعلها فی محلّ الشکّ تعبّدا؛لتوقّف استقامة نظام معاملات العباد علی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إلیه قوله علیه السّلام فی ذیل روایة حفص بن غیاث، الدالّة علی الحکم بالملکیّة علی ما فی 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ذلک لما قام </w:t>
      </w:r>
      <w:bookmarkStart w:id="1099" w:name="pg12985_125170"/>
    </w:p>
    <w:p>
      <w:pPr>
        <w:pStyle w:val="BookText"/>
        <w:rPr/>
      </w:pPr>
      <w:bookmarkEnd w:id="1099"/>
      <w:r>
        <w:rPr>
          <w:rFonts w:ascii="IRNazanin" w:hAnsi="IRNazanin" w:eastAsia="IRNazanin"/>
          <w:color w:val="111111"/>
          <w:sz w:val="28"/>
          <w:sz w:val="28"/>
          <w:szCs w:val="28"/>
          <w:rtl w:val="true"/>
          <w:lang w:bidi="fa-IR"/>
        </w:rPr>
        <w:t>للمسلمین سوق</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،فالأظهر أیضا تقدیمها علی الاستصحاب؛إذ لو لا هذا لم یجز التمسّک بها فی أکثر المقامات،فیلزم المحذور المنصوص،و هو اختلال السوق و بطلان الحقوق؛إذ الغالب العلم بکون ما فی الید مسبوقا بکونه ملکا للغیر،کما لا یخفی</w:t>
      </w:r>
      <w:r>
        <w:rPr>
          <w:rFonts w:eastAsia="IRNazanin" w:cs="IRNazanin"/>
          <w:color w:val="111111"/>
          <w:sz w:val="28"/>
          <w:szCs w:val="28"/>
          <w:rtl w:val="true"/>
          <w:lang w:bidi="fa-IR"/>
        </w:rPr>
        <w:t>.</w:t>
      </w:r>
    </w:p>
    <w:p>
      <w:pPr>
        <w:pStyle w:val="Heading6"/>
        <w:numPr>
          <w:ilvl w:val="5"/>
          <w:numId w:val="1"/>
        </w:numPr>
        <w:rPr/>
      </w:pPr>
      <w:bookmarkStart w:id="1100" w:name="__RefHeading___Toc5767665_3224264995"/>
      <w:bookmarkStart w:id="1101" w:name="_Toc441"/>
      <w:bookmarkEnd w:id="1100"/>
      <w:r>
        <w:rPr>
          <w:rtl w:val="true"/>
        </w:rPr>
        <w:t>الوجه فی الرجوع إلی الاستصحاب لو تقارنت</w:t>
      </w:r>
      <w:r>
        <w:rPr>
          <w:rtl w:val="true"/>
        </w:rPr>
        <w:t>«</w:t>
      </w:r>
      <w:r>
        <w:rPr>
          <w:rtl w:val="true"/>
        </w:rPr>
        <w:t>الید</w:t>
      </w:r>
      <w:r>
        <w:rPr>
          <w:rtl w:val="true"/>
        </w:rPr>
        <w:t>»</w:t>
      </w:r>
      <w:r>
        <w:rPr>
          <w:rtl w:val="true"/>
        </w:rPr>
        <w:t>بالإقرار</w:t>
      </w:r>
      <w:r>
        <w:rPr>
          <w:rtl w:val="true"/>
        </w:rPr>
        <w:t>:</w:t>
      </w:r>
      <w:bookmarkEnd w:id="1101"/>
    </w:p>
    <w:p>
      <w:pPr>
        <w:pStyle w:val="BookText"/>
        <w:rPr/>
      </w:pPr>
      <w:r>
        <w:rPr>
          <w:rFonts w:ascii="IRNazanin" w:hAnsi="IRNazanin" w:eastAsia="IRNazanin"/>
          <w:color w:val="111111"/>
          <w:sz w:val="28"/>
          <w:sz w:val="28"/>
          <w:szCs w:val="28"/>
          <w:rtl w:val="true"/>
          <w:lang w:bidi="fa-IR"/>
        </w:rPr>
        <w:t>و أمّا حکم المشهور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ذو الید بکونه سابقا ملکا للمدّعی،انتزع منه العین،إلاّ أن یقیم البیّنة علی انتقالها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من تقدیم الاستصحاب،بل لأجل أنّ دعواه الملکیّة فی الحال إذا انضمّت إلی إقراره بکونه </w:t>
      </w:r>
      <w:r>
        <w:rPr>
          <w:rStyle w:val="FootnoteAnchor"/>
          <w:rtl w:val="true"/>
        </w:rPr>
        <w:footnoteReference w:id="1063"/>
      </w:r>
      <w:r>
        <w:rPr>
          <w:rFonts w:ascii="IRNazanin" w:hAnsi="IRNazanin" w:eastAsia="IRNazanin"/>
          <w:color w:val="111111"/>
          <w:sz w:val="28"/>
          <w:sz w:val="28"/>
          <w:szCs w:val="28"/>
          <w:rtl w:val="true"/>
          <w:lang w:bidi="fa-IR"/>
        </w:rPr>
        <w:t>قبل ذلک للمدّعی،ترجع إلی دعوی انتقالها إلیه،فینقلب مدّعیا،و المدّعی منکرا؛و لذا لو لم یکن فی مقابله مدّع، لم تقدح هذه الدعوی منه فی الحکم بملکیّته،أو کان فی مقابله مدّع لکن أسند الملک السابق إلی غیره،کما لو قال فی جواب زید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 من عمرو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ممّا ورد فی محاجّة علیّ علیه السّلام مع أبی بکر فی أمر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المرویّة فی الاحتجاج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یقدح فی تشبّث فاطمة علیها السّلام بالید، دعواها علیها السّلام </w:t>
      </w:r>
      <w:r>
        <w:rPr>
          <w:rStyle w:val="FootnoteAnchor"/>
          <w:rtl w:val="true"/>
        </w:rPr>
        <w:footnoteReference w:id="1065"/>
      </w:r>
      <w:r>
        <w:rPr>
          <w:rFonts w:ascii="IRNazanin" w:hAnsi="IRNazanin" w:eastAsia="IRNazanin"/>
          <w:color w:val="111111"/>
          <w:sz w:val="28"/>
          <w:sz w:val="28"/>
          <w:szCs w:val="28"/>
          <w:rtl w:val="true"/>
          <w:lang w:bidi="fa-IR"/>
        </w:rPr>
        <w:t>تلقّی الملک من رسول اللّه صلی اللّه علیه و آله و سلّم،مع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حینئذ صارت مدّعیة لا تنفعها الید</w:t>
      </w:r>
      <w:r>
        <w:rPr>
          <w:rFonts w:eastAsia="IRNazanin" w:cs="IRNazanin"/>
          <w:color w:val="111111"/>
          <w:sz w:val="28"/>
          <w:szCs w:val="28"/>
          <w:rtl w:val="true"/>
          <w:lang w:bidi="fa-IR"/>
        </w:rPr>
        <w:t xml:space="preserve">. </w:t>
      </w:r>
      <w:bookmarkStart w:id="1102" w:name="pg12985_125171"/>
    </w:p>
    <w:p>
      <w:pPr>
        <w:pStyle w:val="Heading6"/>
        <w:numPr>
          <w:ilvl w:val="5"/>
          <w:numId w:val="1"/>
        </w:numPr>
        <w:rPr/>
      </w:pPr>
      <w:bookmarkStart w:id="1103" w:name="__RefHeading___Toc5767667_3224264995"/>
      <w:bookmarkStart w:id="1104" w:name="_Toc442"/>
      <w:bookmarkEnd w:id="1102"/>
      <w:bookmarkEnd w:id="1103"/>
      <w:r>
        <w:rPr>
          <w:rtl w:val="true"/>
        </w:rPr>
        <w:t>«</w:t>
      </w:r>
      <w:r>
        <w:rPr>
          <w:rtl w:val="true"/>
        </w:rPr>
        <w:t>الید</w:t>
      </w:r>
      <w:r>
        <w:rPr>
          <w:rtl w:val="true"/>
        </w:rPr>
        <w:t>»</w:t>
      </w:r>
      <w:r>
        <w:rPr>
          <w:rtl w:val="true"/>
        </w:rPr>
        <w:t>علی تقدیر کونها من الاصول مقدّمة علی الاستصحاب و إن جعلناه من الأمارات</w:t>
      </w:r>
      <w:r>
        <w:rPr>
          <w:rtl w:val="true"/>
        </w:rPr>
        <w:t>:</w:t>
      </w:r>
      <w:bookmarkEnd w:id="1104"/>
    </w:p>
    <w:p>
      <w:pPr>
        <w:pStyle w:val="BookText"/>
        <w:rPr/>
      </w:pPr>
      <w:r>
        <w:rPr>
          <w:rFonts w:ascii="IRNazanin" w:hAnsi="IRNazanin" w:eastAsia="IRNazanin"/>
          <w:color w:val="111111"/>
          <w:sz w:val="28"/>
          <w:sz w:val="28"/>
          <w:szCs w:val="28"/>
          <w:rtl w:val="true"/>
          <w:lang w:bidi="fa-IR"/>
        </w:rPr>
        <w:t>و کیف کان،فالید علی تقدیر کونها من الاصول التعبّدیّة أیضا مقدّمة علی الاستصحاب و إن جعلناه من الأمارات الظنّیّة؛لأنّ الشارع نصبها فی مورد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دلیلها أخصّ من عمومات الاستصحاب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هذا،مع أنّ الظاهر من الفتوی و النصّ الوارد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روایة حفص بن غیاث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الید أمر کان مبنی عمل الناس فی امورهم و قد أمضاه الشارع،و لا یخفی أنّ عمل العرف علیها من باب الأمارة،لا من باب الأصل التعبّدیّ</w:t>
      </w:r>
      <w:r>
        <w:rPr>
          <w:rFonts w:eastAsia="IRNazanin" w:cs="IRNazanin"/>
          <w:color w:val="111111"/>
          <w:sz w:val="28"/>
          <w:szCs w:val="28"/>
          <w:rtl w:val="true"/>
          <w:lang w:bidi="fa-IR"/>
        </w:rPr>
        <w:t>.</w:t>
      </w:r>
    </w:p>
    <w:p>
      <w:pPr>
        <w:pStyle w:val="Heading6"/>
        <w:numPr>
          <w:ilvl w:val="5"/>
          <w:numId w:val="1"/>
        </w:numPr>
        <w:rPr/>
      </w:pPr>
      <w:bookmarkStart w:id="1105" w:name="__RefHeading___Toc5767669_3224264995"/>
      <w:bookmarkStart w:id="1106" w:name="_Toc443"/>
      <w:bookmarkEnd w:id="1105"/>
      <w:r>
        <w:rPr>
          <w:rtl w:val="true"/>
        </w:rPr>
        <w:t>تقدّم البیّنة علی</w:t>
      </w:r>
      <w:r>
        <w:rPr>
          <w:rtl w:val="true"/>
        </w:rPr>
        <w:t>«</w:t>
      </w:r>
      <w:r>
        <w:rPr>
          <w:rtl w:val="true"/>
        </w:rPr>
        <w:t>الید</w:t>
      </w:r>
      <w:r>
        <w:rPr>
          <w:rtl w:val="true"/>
        </w:rPr>
        <w:t>»</w:t>
      </w:r>
      <w:r>
        <w:rPr>
          <w:rtl w:val="true"/>
        </w:rPr>
        <w:t>و الوجه فی ذلک</w:t>
      </w:r>
      <w:r>
        <w:rPr>
          <w:rtl w:val="true"/>
        </w:rPr>
        <w:t>:</w:t>
      </w:r>
      <w:bookmarkEnd w:id="1106"/>
    </w:p>
    <w:p>
      <w:pPr>
        <w:pStyle w:val="BookText"/>
        <w:rPr/>
      </w:pPr>
      <w:r>
        <w:rPr>
          <w:rFonts w:ascii="IRNazanin" w:hAnsi="IRNazanin" w:eastAsia="IRNazanin"/>
          <w:color w:val="111111"/>
          <w:sz w:val="28"/>
          <w:sz w:val="28"/>
          <w:szCs w:val="28"/>
          <w:rtl w:val="true"/>
          <w:lang w:bidi="fa-IR"/>
        </w:rPr>
        <w:t>و أمّا تقدیم البیّنة علی الید و عدم ملاحظة التعارض بینهما أصلا، فلا یکشف عن کونها من الاصول؛لأنّ الید إنّما جعلت أمارة علی الملک عند الجهل بسببها،و البیّنة مبیّنة لسببها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الکشف فی الید هی الغلبة،و الغلبة إنّما توجب إلحاق المشکوک بالأعمّ الأغلب،فإذا کان فی مورد الشکّ أمارة معتبرة تزیل الشکّ،فلا یبقی مورد للإلحاق؛و لذا کانت جمیع الأمارات فی أنفسها مقدّمة علی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الید مع البیّنة </w:t>
      </w:r>
      <w:r>
        <w:rPr>
          <w:rStyle w:val="FootnoteAnchor"/>
          <w:rtl w:val="true"/>
        </w:rPr>
        <w:footnoteReference w:id="1068"/>
      </w:r>
      <w:r>
        <w:rPr>
          <w:rFonts w:ascii="IRNazanin" w:hAnsi="IRNazanin" w:eastAsia="IRNazanin"/>
          <w:color w:val="111111"/>
          <w:sz w:val="28"/>
          <w:sz w:val="28"/>
          <w:szCs w:val="28"/>
          <w:rtl w:val="true"/>
          <w:lang w:bidi="fa-IR"/>
        </w:rPr>
        <w:t xml:space="preserve">حال أصالة الحقیقة فی الاستعمال علی مذهب السیّد </w:t>
      </w:r>
      <w:r>
        <w:rPr>
          <w:rStyle w:val="FootnoteAnchor"/>
          <w:rtl w:val="true"/>
        </w:rPr>
        <w:footnoteReference w:id="1069"/>
      </w:r>
      <w:r>
        <w:rPr>
          <w:rFonts w:ascii="IRNazanin" w:hAnsi="IRNazanin" w:eastAsia="IRNazanin"/>
          <w:color w:val="111111"/>
          <w:sz w:val="28"/>
          <w:sz w:val="28"/>
          <w:szCs w:val="28"/>
          <w:rtl w:val="true"/>
          <w:lang w:bidi="fa-IR"/>
        </w:rPr>
        <w:t>مع أمارات المجاز،بل حال مطلق الظاهر و النصّ،فافهم</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7" w:name="pg12985_125173"/>
      <w:bookmarkStart w:id="1108" w:name="pg12985_125173"/>
      <w:bookmarkEnd w:id="1108"/>
    </w:p>
    <w:p>
      <w:pPr>
        <w:pStyle w:val="Heading6"/>
        <w:numPr>
          <w:ilvl w:val="5"/>
          <w:numId w:val="1"/>
        </w:numPr>
        <w:rPr/>
      </w:pPr>
      <w:bookmarkStart w:id="1109" w:name="pg12985_125173"/>
      <w:bookmarkStart w:id="1110" w:name="__RefHeading___Toc5767671_3224264995"/>
      <w:bookmarkStart w:id="1111" w:name="_Toc444"/>
      <w:bookmarkEnd w:id="1109"/>
      <w:bookmarkEnd w:id="1110"/>
      <w:r>
        <w:rPr>
          <w:rtl w:val="true"/>
        </w:rPr>
        <w:t xml:space="preserve">المسألة الثانیة </w:t>
      </w:r>
      <w:r>
        <w:rPr>
          <w:rtl w:val="true"/>
        </w:rPr>
        <w:t>:</w:t>
      </w:r>
      <w:r>
        <w:rPr>
          <w:rtl w:val="true"/>
        </w:rPr>
        <w:t>فی قاعدة</w:t>
      </w:r>
      <w:r>
        <w:rPr>
          <w:rtl w:val="true"/>
        </w:rPr>
        <w:t>«</w:t>
      </w:r>
      <w:r>
        <w:rPr>
          <w:rtl w:val="true"/>
        </w:rPr>
        <w:t>الفراغ و التجاوز</w:t>
      </w:r>
      <w:r>
        <w:rPr>
          <w:rtl w:val="true"/>
        </w:rPr>
        <w:t>»</w:t>
      </w:r>
      <w:bookmarkEnd w:id="1111"/>
    </w:p>
    <w:p>
      <w:pPr>
        <w:pStyle w:val="Heading6"/>
        <w:numPr>
          <w:ilvl w:val="5"/>
          <w:numId w:val="1"/>
        </w:numPr>
        <w:rPr/>
      </w:pPr>
      <w:bookmarkStart w:id="1112" w:name="__RefHeading___Toc5767673_3224264995"/>
      <w:bookmarkStart w:id="1113" w:name="_Toc445"/>
      <w:bookmarkEnd w:id="1112"/>
      <w:r>
        <w:rPr>
          <w:rtl w:val="true"/>
        </w:rPr>
        <w:t>تقدّم قاعدة</w:t>
      </w:r>
      <w:r>
        <w:rPr>
          <w:rtl w:val="true"/>
        </w:rPr>
        <w:t>«</w:t>
      </w:r>
      <w:r>
        <w:rPr>
          <w:rtl w:val="true"/>
        </w:rPr>
        <w:t>الفراغ و التجاوز</w:t>
      </w:r>
      <w:r>
        <w:rPr>
          <w:rtl w:val="true"/>
        </w:rPr>
        <w:t>»</w:t>
      </w:r>
      <w:r>
        <w:rPr>
          <w:rtl w:val="true"/>
        </w:rPr>
        <w:t>علی الاستصحاب و الاستدلال علیه</w:t>
      </w:r>
      <w:bookmarkEnd w:id="1113"/>
    </w:p>
    <w:p>
      <w:pPr>
        <w:pStyle w:val="BookText"/>
        <w:rPr/>
      </w:pPr>
      <w:r>
        <w:rPr>
          <w:rFonts w:ascii="IRNazanin" w:hAnsi="IRNazanin" w:eastAsia="IRNazanin"/>
          <w:color w:val="111111"/>
          <w:sz w:val="28"/>
          <w:sz w:val="28"/>
          <w:szCs w:val="28"/>
          <w:rtl w:val="true"/>
          <w:lang w:bidi="fa-IR"/>
        </w:rPr>
        <w:t>فی أنّ أصالة الصحّة فی العمل بعد الفراغ عنه لا یعارض بها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لکونها من الأمارات؛کما یشعر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روایات ذلک </w:t>
      </w:r>
      <w:r>
        <w:rPr>
          <w:rStyle w:val="FootnoteAnchor"/>
          <w:rtl w:val="true"/>
        </w:rPr>
        <w:footnoteReference w:id="1070"/>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لأنّها و إن کانت من الاصول إلاّ أنّ الأمر بالأخذ بها فی مورد الاستصحاب یدلّ علی تقدیمها علیه،فهی خاصّة بالنسبة إلیه، یخصّص بأدلّتها أدلّته،و لا إشکال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تعیین مورد ذلک الأصل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تعیین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الحکم بالصحّة،و أنّه هل یکتفی به،أو یعتبر الدخول فی غیره؟و أنّ المراد بالغیر ما هو؟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 الشکّ فی وصف الصحّة للشیء،ملحق </w:t>
      </w:r>
      <w:bookmarkStart w:id="1114" w:name="pg12985_125174"/>
    </w:p>
    <w:p>
      <w:pPr>
        <w:pStyle w:val="BookText"/>
        <w:rPr/>
      </w:pPr>
      <w:bookmarkEnd w:id="1114"/>
      <w:r>
        <w:rPr>
          <w:rFonts w:ascii="IRNazanin" w:hAnsi="IRNazanin" w:eastAsia="IRNazanin"/>
          <w:color w:val="111111"/>
          <w:sz w:val="28"/>
          <w:sz w:val="28"/>
          <w:szCs w:val="28"/>
          <w:rtl w:val="true"/>
          <w:lang w:bidi="fa-IR"/>
        </w:rPr>
        <w:t>بالشکّ فی أصل الشیء أم لا؟</w:t>
      </w:r>
    </w:p>
    <w:p>
      <w:pPr>
        <w:pStyle w:val="Heading6"/>
        <w:numPr>
          <w:ilvl w:val="5"/>
          <w:numId w:val="1"/>
        </w:numPr>
        <w:rPr/>
      </w:pPr>
      <w:bookmarkStart w:id="1115" w:name="__RefHeading___Toc5767675_3224264995"/>
      <w:bookmarkStart w:id="1116" w:name="_Toc446"/>
      <w:bookmarkEnd w:id="1115"/>
      <w:r>
        <w:rPr>
          <w:rtl w:val="true"/>
        </w:rPr>
        <w:t>أخبار القاعدة</w:t>
      </w:r>
      <w:r>
        <w:rPr>
          <w:rtl w:val="true"/>
        </w:rPr>
        <w:t>:</w:t>
      </w:r>
      <w:bookmarkEnd w:id="1116"/>
    </w:p>
    <w:p>
      <w:pPr>
        <w:pStyle w:val="BookText"/>
        <w:rPr/>
      </w:pPr>
      <w:r>
        <w:rPr>
          <w:rFonts w:ascii="IRNazanin" w:hAnsi="IRNazanin" w:eastAsia="IRNazanin"/>
          <w:color w:val="111111"/>
          <w:sz w:val="28"/>
          <w:sz w:val="28"/>
          <w:szCs w:val="28"/>
          <w:rtl w:val="true"/>
          <w:lang w:bidi="fa-IR"/>
        </w:rPr>
        <w:t xml:space="preserve">و توضیح الإشکال من الوجهین موقوف علی ذکر الأخبار الواردة فی هذه القاعدة،لیزول ببرکة تلک الأخبار کلّ شبهة حدثت أو تحدث فی هذا المضمار،فنقول </w:t>
      </w:r>
      <w:r>
        <w:rPr>
          <w:rStyle w:val="FootnoteAnchor"/>
          <w:rtl w:val="true"/>
        </w:rPr>
        <w:footnoteReference w:id="1072"/>
      </w:r>
      <w:r>
        <w:rPr>
          <w:rFonts w:ascii="IRNazanin" w:hAnsi="IRNazanin" w:eastAsia="IRNazanin"/>
          <w:color w:val="111111"/>
          <w:sz w:val="28"/>
          <w:sz w:val="28"/>
          <w:szCs w:val="28"/>
          <w:rtl w:val="true"/>
          <w:lang w:bidi="fa-IR"/>
        </w:rPr>
        <w:t>مستعینا باللّه</w:t>
      </w:r>
      <w:r>
        <w:rPr>
          <w:rFonts w:eastAsia="IRNazanin" w:cs="IRNazanin"/>
          <w:color w:val="111111"/>
          <w:sz w:val="28"/>
          <w:szCs w:val="28"/>
          <w:rtl w:val="true"/>
          <w:lang w:bidi="fa-IR"/>
        </w:rPr>
        <w:t>:</w:t>
      </w:r>
    </w:p>
    <w:p>
      <w:pPr>
        <w:pStyle w:val="Heading6"/>
        <w:numPr>
          <w:ilvl w:val="5"/>
          <w:numId w:val="1"/>
        </w:numPr>
        <w:rPr/>
      </w:pPr>
      <w:bookmarkStart w:id="1117" w:name="__RefHeading___Toc5767677_3224264995"/>
      <w:bookmarkStart w:id="1118" w:name="_Toc447"/>
      <w:bookmarkEnd w:id="1117"/>
      <w:r>
        <w:rPr/>
        <w:t>1</w:t>
      </w:r>
      <w:r>
        <w:rPr>
          <w:rtl w:val="true"/>
        </w:rPr>
        <w:t>-</w:t>
      </w:r>
      <w:r>
        <w:rPr>
          <w:rtl w:val="true"/>
        </w:rPr>
        <w:t>الأخبار العامّة</w:t>
      </w:r>
      <w:r>
        <w:rPr>
          <w:rtl w:val="true"/>
        </w:rPr>
        <w:t>:</w:t>
      </w:r>
      <w:bookmarkEnd w:id="1118"/>
    </w:p>
    <w:p>
      <w:pPr>
        <w:pStyle w:val="BookText"/>
        <w:rPr/>
      </w:pPr>
      <w:r>
        <w:rPr>
          <w:rFonts w:ascii="IRNazanin" w:hAnsi="IRNazanin" w:eastAsia="IRNazanin"/>
          <w:color w:val="111111"/>
          <w:sz w:val="28"/>
          <w:sz w:val="28"/>
          <w:szCs w:val="28"/>
          <w:rtl w:val="true"/>
          <w:lang w:bidi="fa-IR"/>
        </w:rPr>
        <w:t>روی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إسماعیل بن جابر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فلیمض،و إن شکّ فی السّجود بعد ما قام فلیمض، کلّ شیء شکّ فیه و قد جاوزه و دخل فی غیره فلیمض علیه</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ظاهرتان فی اعتبار الدخول فی غیر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الموثّقة ظاهرة فی عدم اعتبار الدخول فی الغیر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w:t>
      </w:r>
      <w:bookmarkStart w:id="1119" w:name="pg12985_125175"/>
    </w:p>
    <w:p>
      <w:pPr>
        <w:pStyle w:val="BookText"/>
        <w:rPr/>
      </w:pPr>
      <w:bookmarkEnd w:id="1119"/>
      <w:r>
        <w:rPr>
          <w:rFonts w:ascii="IRNazanin" w:hAnsi="IRNazanin" w:eastAsia="IRNazanin"/>
          <w:color w:val="111111"/>
          <w:sz w:val="28"/>
          <w:sz w:val="28"/>
          <w:szCs w:val="28"/>
          <w:rtl w:val="true"/>
          <w:lang w:bidi="fa-IR"/>
        </w:rPr>
        <w:t xml:space="preserve">و قد دخلت فی غیره فشکّک لیس بشیء </w:t>
      </w:r>
      <w:r>
        <w:rPr>
          <w:rStyle w:val="FootnoteAnchor"/>
          <w:rtl w:val="true"/>
        </w:rPr>
        <w:footnoteReference w:id="1076"/>
      </w:r>
      <w:r>
        <w:rPr>
          <w:rFonts w:ascii="Amiri" w:hAnsi="Amiri" w:eastAsia="Amiri" w:cs="Amiri"/>
          <w:color w:val="111111"/>
          <w:sz w:val="28"/>
          <w:sz w:val="28"/>
          <w:szCs w:val="28"/>
          <w:rtl w:val="true"/>
          <w:lang w:bidi="ar-SA"/>
        </w:rPr>
        <w:t>،إنّما الشّکّ إذا کنت فی شیء لم تجزه</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صدر هذه الموثّقة کالاولیین،و ظاهر عجزها کالثالثة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تمام ما وصل إلینا من الأخبار العامّة</w:t>
      </w:r>
      <w:r>
        <w:rPr>
          <w:rFonts w:eastAsia="IRNazanin" w:cs="IRNazanin"/>
          <w:color w:val="111111"/>
          <w:sz w:val="28"/>
          <w:szCs w:val="28"/>
          <w:rtl w:val="true"/>
          <w:lang w:bidi="fa-IR"/>
        </w:rPr>
        <w:t>.</w:t>
      </w:r>
    </w:p>
    <w:p>
      <w:pPr>
        <w:pStyle w:val="Heading6"/>
        <w:numPr>
          <w:ilvl w:val="5"/>
          <w:numId w:val="1"/>
        </w:numPr>
        <w:rPr/>
      </w:pPr>
      <w:bookmarkStart w:id="1120" w:name="__RefHeading___Toc5767679_3224264995"/>
      <w:bookmarkStart w:id="1121" w:name="_Toc448"/>
      <w:bookmarkEnd w:id="1120"/>
      <w:r>
        <w:rPr/>
        <w:t>2</w:t>
      </w:r>
      <w:r>
        <w:rPr>
          <w:rtl w:val="true"/>
        </w:rPr>
        <w:t>-</w:t>
      </w:r>
      <w:r>
        <w:rPr>
          <w:rtl w:val="true"/>
        </w:rPr>
        <w:t>الأخبار الخاصّة</w:t>
      </w:r>
      <w:r>
        <w:rPr>
          <w:rtl w:val="true"/>
        </w:rPr>
        <w:t>:</w:t>
      </w:r>
      <w:bookmarkEnd w:id="1121"/>
    </w:p>
    <w:p>
      <w:pPr>
        <w:pStyle w:val="BookText"/>
        <w:rPr/>
      </w:pPr>
      <w:r>
        <w:rPr>
          <w:rFonts w:ascii="IRNazanin" w:hAnsi="IRNazanin" w:eastAsia="IRNazanin"/>
          <w:color w:val="111111"/>
          <w:sz w:val="28"/>
          <w:sz w:val="28"/>
          <w:szCs w:val="28"/>
          <w:rtl w:val="true"/>
          <w:lang w:bidi="fa-IR"/>
        </w:rPr>
        <w:t>و ربما یستفاد العموم من بعض ما ورد فی الموارد الخاصّة،مثل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فی الشکّ فی فعل الصلاة بعد خروج الوقت،من قوله علیه السّلام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ما خرج وقتها فقد دخل حائل فلا إعادة</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 کما هو</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من شکّ فی الوضوء بعد 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المتتبّع یعثر علی أزید من ذلک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1122" w:name="pg12985_125176"/>
    </w:p>
    <w:p>
      <w:pPr>
        <w:pStyle w:val="Heading6"/>
        <w:numPr>
          <w:ilvl w:val="5"/>
          <w:numId w:val="1"/>
        </w:numPr>
        <w:rPr/>
      </w:pPr>
      <w:bookmarkStart w:id="1123" w:name="__RefHeading___Toc5767681_3224264995"/>
      <w:bookmarkStart w:id="1124" w:name="_Toc449"/>
      <w:bookmarkEnd w:id="1122"/>
      <w:bookmarkEnd w:id="1123"/>
      <w:r>
        <w:rPr>
          <w:rtl w:val="true"/>
        </w:rPr>
        <w:t>تنقیح مضامین الأخبار</w:t>
      </w:r>
      <w:r>
        <w:rPr>
          <w:rtl w:val="true"/>
        </w:rPr>
        <w:t>:</w:t>
      </w:r>
      <w:bookmarkEnd w:id="1124"/>
    </w:p>
    <w:p>
      <w:pPr>
        <w:pStyle w:val="BookText"/>
        <w:rPr/>
      </w:pPr>
      <w:r>
        <w:rPr>
          <w:rFonts w:ascii="IRNazanin" w:hAnsi="IRNazanin" w:eastAsia="IRNazanin"/>
          <w:color w:val="111111"/>
          <w:sz w:val="28"/>
          <w:sz w:val="28"/>
          <w:szCs w:val="28"/>
          <w:rtl w:val="true"/>
          <w:lang w:bidi="fa-IR"/>
        </w:rPr>
        <w:t>و حیث إنّ مضمونها لا یختصّ بالطهارة و الصلاة،بل یجری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فالمناسب الاهتمام فی تنقیح مضامینها و دفع ما یتراءی من التعارض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مستعینا باللّه،فإنّه ولیّ التوفیق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الکلام یقع فی مواضع</w:t>
      </w:r>
      <w:r>
        <w:rPr>
          <w:rFonts w:eastAsia="IRNazanin" w:cs="IRNazanin"/>
          <w:color w:val="111111"/>
          <w:sz w:val="28"/>
          <w:szCs w:val="28"/>
          <w:rtl w:val="true"/>
          <w:lang w:bidi="fa-IR"/>
        </w:rPr>
        <w:t xml:space="preserve">-: </w:t>
      </w:r>
      <w:bookmarkStart w:id="1125" w:name="pg12985_125177"/>
    </w:p>
    <w:p>
      <w:pPr>
        <w:pStyle w:val="Heading6"/>
        <w:numPr>
          <w:ilvl w:val="5"/>
          <w:numId w:val="1"/>
        </w:numPr>
        <w:rPr/>
      </w:pPr>
      <w:bookmarkStart w:id="1126" w:name="__RefHeading___Toc5767683_3224264995"/>
      <w:bookmarkStart w:id="1127" w:name="_Toc450"/>
      <w:bookmarkEnd w:id="1125"/>
      <w:bookmarkEnd w:id="1126"/>
      <w:r>
        <w:rPr>
          <w:rtl w:val="true"/>
        </w:rPr>
        <w:t xml:space="preserve">الموضع الأوّل </w:t>
      </w:r>
      <w:r>
        <w:rPr>
          <w:rtl w:val="true"/>
        </w:rPr>
        <w:t>:</w:t>
      </w:r>
      <w:r>
        <w:rPr>
          <w:rtl w:val="true"/>
        </w:rPr>
        <w:t>ما هو المراد من</w:t>
      </w:r>
      <w:r>
        <w:rPr>
          <w:rtl w:val="true"/>
        </w:rPr>
        <w:t>«</w:t>
      </w:r>
      <w:r>
        <w:rPr>
          <w:rtl w:val="true"/>
        </w:rPr>
        <w:t>الشکّ فی الشیء</w:t>
      </w:r>
      <w:r>
        <w:rPr>
          <w:rtl w:val="true"/>
        </w:rPr>
        <w:t>»</w:t>
      </w:r>
      <w:r>
        <w:rPr>
          <w:rtl w:val="true"/>
        </w:rPr>
        <w:t>؟</w:t>
      </w:r>
      <w:bookmarkEnd w:id="1127"/>
    </w:p>
    <w:p>
      <w:pPr>
        <w:pStyle w:val="BookText"/>
        <w:rPr/>
      </w:pPr>
      <w:r>
        <w:rPr>
          <w:rFonts w:ascii="IRNazanin" w:hAnsi="IRNazanin" w:eastAsia="IRNazanin"/>
          <w:color w:val="111111"/>
          <w:sz w:val="28"/>
          <w:sz w:val="28"/>
          <w:szCs w:val="28"/>
          <w:rtl w:val="true"/>
          <w:lang w:bidi="fa-IR"/>
        </w:rPr>
        <w:t>أنّ الشکّ فی الشیء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وجوده،إلاّ أنّ تقیید ذلک فی الروایات بالخروج عنه و مضیّه و التجاوز عنه،ربما یصیر قرینة علی إرادة کون وجود أصل الشیء مفروغا عنه،و کون الشکّ فیه باعتبار الشکّ فی بعض ما یعتبر فیه شرطا أو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الخروج و التجاوز عن محلّه،أمکن إرادة المعنی الظاهر من الشکّ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المتعیّن؛لأنّ إرادة الأعمّ من الشکّ فی وجود الشیء و الشکّ الواقع فی الشیء الموجود،فی استعمال واحد </w:t>
      </w:r>
      <w:r>
        <w:rPr>
          <w:rStyle w:val="FootnoteAnchor"/>
          <w:rtl w:val="true"/>
        </w:rPr>
        <w:footnoteReference w:id="1083"/>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إرادة خصوص الثانی؛لأنّ مورد غیر واحد من تلک الأخبار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یبعد ذلک فی ظاهر موثّقة محمّد ابن مسلم </w:t>
      </w:r>
      <w:r>
        <w:rPr>
          <w:rStyle w:val="FootnoteAnchor"/>
          <w:rtl w:val="true"/>
        </w:rPr>
        <w:footnoteReference w:id="1084"/>
      </w:r>
      <w:r>
        <w:rPr>
          <w:rFonts w:ascii="IRNazanin" w:hAnsi="IRNazanin" w:eastAsia="IRNazanin"/>
          <w:color w:val="111111"/>
          <w:sz w:val="28"/>
          <w:sz w:val="28"/>
          <w:szCs w:val="28"/>
          <w:rtl w:val="true"/>
          <w:lang w:bidi="fa-IR"/>
        </w:rPr>
        <w:t>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یصحّ ذلک فی موثّقة ابن أبی یعفور </w:t>
      </w:r>
      <w:r>
        <w:rPr>
          <w:rStyle w:val="FootnoteAnchor"/>
          <w:rtl w:val="true"/>
        </w:rPr>
        <w:footnoteReference w:id="1085"/>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تطبیق موثّقة محمد بن مسلم علی ما فی الروایات،و أمّا هذه الموثّقة فسیأتی توجیهها علی وجه لا تعارض الروایات إن شاء اللّه تعالی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1128" w:name="pg12985_125178"/>
    </w:p>
    <w:p>
      <w:pPr>
        <w:pStyle w:val="Heading6"/>
        <w:numPr>
          <w:ilvl w:val="5"/>
          <w:numId w:val="1"/>
        </w:numPr>
        <w:rPr/>
      </w:pPr>
      <w:bookmarkStart w:id="1129" w:name="__RefHeading___Toc5767685_3224264995"/>
      <w:bookmarkStart w:id="1130" w:name="_Toc451"/>
      <w:bookmarkEnd w:id="1128"/>
      <w:bookmarkEnd w:id="1129"/>
      <w:r>
        <w:rPr>
          <w:rtl w:val="true"/>
        </w:rPr>
        <w:t xml:space="preserve">الموضع الثانی </w:t>
      </w:r>
      <w:r>
        <w:rPr>
          <w:rtl w:val="true"/>
        </w:rPr>
        <w:t>:</w:t>
      </w:r>
      <w:r>
        <w:rPr>
          <w:rtl w:val="true"/>
        </w:rPr>
        <w:t>ما هو المراد من</w:t>
      </w:r>
      <w:r>
        <w:rPr>
          <w:rtl w:val="true"/>
        </w:rPr>
        <w:t>«</w:t>
      </w:r>
      <w:r>
        <w:rPr>
          <w:rtl w:val="true"/>
        </w:rPr>
        <w:t>محلّ الشیء المشکوک فیه</w:t>
      </w:r>
      <w:r>
        <w:rPr>
          <w:rtl w:val="true"/>
        </w:rPr>
        <w:t>»</w:t>
      </w:r>
      <w:r>
        <w:rPr>
          <w:rtl w:val="true"/>
        </w:rPr>
        <w:t>؟</w:t>
      </w:r>
      <w:bookmarkEnd w:id="1130"/>
    </w:p>
    <w:p>
      <w:pPr>
        <w:pStyle w:val="BookText"/>
        <w:rPr/>
      </w:pPr>
      <w:r>
        <w:rPr>
          <w:rFonts w:ascii="IRNazanin" w:hAnsi="IRNazanin" w:eastAsia="IRNazanin"/>
          <w:color w:val="111111"/>
          <w:sz w:val="28"/>
          <w:sz w:val="28"/>
          <w:szCs w:val="28"/>
          <w:rtl w:val="true"/>
          <w:lang w:bidi="fa-IR"/>
        </w:rPr>
        <w:t>أنّ المراد بمحلّ الفعل المشکوک فی وجوده هو الموضع الذی لو اتی به فیه لم یلزم منه اختلال فی الترتیب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الشیء هی مرتبته المقرّرة له بحکم العقل،أو بوضع الشارع،أو غیره و لو کان نفس المکلّف؛من جهة اعتیاده بإتیان ذلک المشکوک فی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تکبیرة الإحرام قبل الشروع فی الاستعاذة لأجل القراءة بحکم الشارع،و محلّ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تخلّل الفصل الطویل بینه و بین لفظ الجلالة بحکم الطریقة المألوفة فی نظم الکلام،و محلّ 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أدنی فصل یوجب الابتداء بالساکن بحکم العقل،و محلّ غسل الجانب الأیسر أو بعضه فی غسل الجنابة لمن اعتاد الموالاة فیه </w:t>
      </w:r>
      <w:r>
        <w:rPr>
          <w:rStyle w:val="FootnoteAnchor"/>
          <w:rtl w:val="true"/>
        </w:rPr>
        <w:footnoteReference w:id="1087"/>
      </w:r>
      <w:r>
        <w:rPr>
          <w:rFonts w:ascii="IRNazanin" w:hAnsi="IRNazanin" w:eastAsia="IRNazanin"/>
          <w:color w:val="111111"/>
          <w:sz w:val="28"/>
          <w:sz w:val="28"/>
          <w:szCs w:val="28"/>
          <w:rtl w:val="true"/>
          <w:lang w:bidi="fa-IR"/>
        </w:rPr>
        <w:t>قبل تخلّل فصل یخلّ بما اعتاده من الموالاة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ممّا لا إشکال فیه،إلاّ الأخیر؛فإنّه ربما یتخیّل </w:t>
      </w:r>
      <w:r>
        <w:rPr>
          <w:rStyle w:val="FootnoteAnchor"/>
          <w:rtl w:val="true"/>
        </w:rPr>
        <w:footnoteReference w:id="1088"/>
      </w:r>
      <w:r>
        <w:rPr>
          <w:rFonts w:ascii="IRNazanin" w:hAnsi="IRNazanin" w:eastAsia="IRNazanin"/>
          <w:color w:val="111111"/>
          <w:sz w:val="28"/>
          <w:sz w:val="28"/>
          <w:szCs w:val="28"/>
          <w:rtl w:val="true"/>
          <w:lang w:bidi="fa-IR"/>
        </w:rPr>
        <w:t>انصراف إطلاق الأخبار إلی غیره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فتح هذا الباب بالنسبة إلی العادة یوجب مخالفة إطلاقات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اعتاد الصلاة فی أوّل وقتها أو مع الجماعة،فشکّ فی فعلها بعد ذلک،فلا یجب علیه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اعتاد فعل شیء بعد الفراغ من الصلاة فرأی نفسه فیه و شکّ فی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 اعتاد </w:t>
      </w:r>
    </w:p>
    <w:p>
      <w:pPr>
        <w:pStyle w:val="BookText"/>
        <w:rPr/>
      </w:pPr>
      <w:r>
        <w:rPr>
          <w:rFonts w:ascii="IRNazanin" w:hAnsi="IRNazanin" w:eastAsia="IRNazanin"/>
          <w:color w:val="111111"/>
          <w:sz w:val="28"/>
          <w:sz w:val="28"/>
          <w:szCs w:val="28"/>
          <w:rtl w:val="true"/>
          <w:lang w:bidi="fa-IR"/>
        </w:rPr>
        <w:t>الوضوء بعد الحدث بلا فصل یعتدّ به،أو قبل دخول الوقت للتهیّؤ، فشکّ بعد ذلک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الفروع التی یبعد التزام الفقیه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جماعة من الأصحاب مسألة معتاد الموالاة فی غسل الجنابة إذا شکّ فی الجزء الأخیر،کالعلاّمة </w:t>
      </w:r>
      <w:r>
        <w:rPr>
          <w:rStyle w:val="FootnoteAnchor"/>
          <w:rtl w:val="true"/>
        </w:rPr>
        <w:footnoteReference w:id="1089"/>
      </w:r>
      <w:r>
        <w:rPr>
          <w:rFonts w:ascii="IRNazanin" w:hAnsi="IRNazanin" w:eastAsia="IRNazanin"/>
          <w:color w:val="111111"/>
          <w:sz w:val="28"/>
          <w:sz w:val="28"/>
          <w:szCs w:val="28"/>
          <w:rtl w:val="true"/>
          <w:lang w:bidi="fa-IR"/>
        </w:rPr>
        <w:t xml:space="preserve">و ولده </w:t>
      </w:r>
      <w:r>
        <w:rPr>
          <w:rStyle w:val="FootnoteAnchor"/>
          <w:rtl w:val="true"/>
        </w:rPr>
        <w:footnoteReference w:id="109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09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92"/>
      </w:r>
      <w:r>
        <w:rPr>
          <w:rFonts w:ascii="IRNazanin" w:hAnsi="IRNazanin" w:eastAsia="IRNazanin"/>
          <w:color w:val="111111"/>
          <w:sz w:val="28"/>
          <w:sz w:val="28"/>
          <w:szCs w:val="28"/>
          <w:rtl w:val="true"/>
          <w:lang w:bidi="fa-IR"/>
        </w:rPr>
        <w:t xml:space="preserve">و غیرهم </w:t>
      </w:r>
      <w:r>
        <w:rPr>
          <w:rStyle w:val="FootnoteAnchor"/>
          <w:rtl w:val="true"/>
        </w:rPr>
        <w:footnoteReference w:id="1093"/>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فخر الدین علی مختاره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خرق العادة علی خلاف الأصل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یحضرنی کلام منهم فی غیر هذا المقام،فلا بدّ من التتبّع و التأمّل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یقرب فی نفسی عاجلا هو الالتفات إلی الشکّ،و إن کان الظاهر من قوله علیه السّلام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،أنّ هذه القاعدة من باب تقدیم الظاهر علی الأصل،فهو دائر مدار الظهور النوعیّ و لو کان من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بعموم ما یستفاد من الروایة أیضا مشکل،فتأمّل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ما ذکرنا</w:t>
      </w:r>
      <w:r>
        <w:rPr>
          <w:rFonts w:eastAsia="IRNazanin" w:cs="IRNazanin"/>
          <w:color w:val="111111"/>
          <w:sz w:val="28"/>
          <w:szCs w:val="28"/>
          <w:rtl w:val="true"/>
          <w:lang w:bidi="fa-IR"/>
        </w:rPr>
        <w:t xml:space="preserve">. </w:t>
      </w:r>
      <w:bookmarkStart w:id="1131" w:name="pg12985_125180"/>
    </w:p>
    <w:p>
      <w:pPr>
        <w:pStyle w:val="Heading6"/>
        <w:numPr>
          <w:ilvl w:val="5"/>
          <w:numId w:val="1"/>
        </w:numPr>
        <w:rPr/>
      </w:pPr>
      <w:bookmarkStart w:id="1132" w:name="__RefHeading___Toc5767687_3224264995"/>
      <w:bookmarkStart w:id="1133" w:name="_Toc452"/>
      <w:bookmarkEnd w:id="1131"/>
      <w:bookmarkEnd w:id="1132"/>
      <w:r>
        <w:rPr>
          <w:rtl w:val="true"/>
        </w:rPr>
        <w:t>الموضع الثالث هل یعتبر فی التجاوز و الفراغ الدخول فی الغیر،أم لا؟</w:t>
      </w:r>
      <w:r>
        <w:rPr>
          <w:rtl w:val="true"/>
        </w:rPr>
        <w:t>:</w:t>
      </w:r>
      <w:bookmarkEnd w:id="1133"/>
    </w:p>
    <w:p>
      <w:pPr>
        <w:pStyle w:val="BookText"/>
        <w:rPr/>
      </w:pPr>
      <w:r>
        <w:rPr>
          <w:rFonts w:ascii="IRNazanin" w:hAnsi="IRNazanin" w:eastAsia="IRNazanin"/>
          <w:color w:val="111111"/>
          <w:sz w:val="28"/>
          <w:sz w:val="28"/>
          <w:szCs w:val="28"/>
          <w:rtl w:val="true"/>
          <w:lang w:bidi="fa-IR"/>
        </w:rPr>
        <w:t>الدخول فی غیر المشکوک إن کان محقّقا للتجاوز عن المحلّ، فلا إشکال فی اعتباره،و إلاّ فظاهر الصحیحتین الاولیتین اعتباره، و ظاهر إطلاق موثّقة ابن مسلم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التقیید فی الصحیحین علی الغالب خصوصا فی أفعال الصلاة؛فإنّ الخروج من أفعالها یتحقّق غالبا بالدخول فی الغیر،و حینئذ فیلغو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ورود المطلق علی الغالب،فلا یحکم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ظاهر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بناء علی ما سیجیء من التقریب </w:t>
      </w:r>
      <w:r>
        <w:rPr>
          <w:rStyle w:val="FootnoteAnchor"/>
          <w:rtl w:val="true"/>
        </w:rPr>
        <w:footnoteReference w:id="109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یبعّده أنّ الظاهر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إسماعیل ابن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و إن شکّ فی السجود بعد ما قام فلیمض</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بملاحظة مقام التحدید و مقام التوطئة للقاعدة المقرّرة </w:t>
      </w:r>
      <w:bookmarkStart w:id="1134" w:name="pg12985_125181"/>
    </w:p>
    <w:p>
      <w:pPr>
        <w:pStyle w:val="BookText"/>
        <w:rPr/>
      </w:pPr>
      <w:bookmarkEnd w:id="1134"/>
      <w:r>
        <w:rPr>
          <w:rFonts w:ascii="IRNazanin" w:hAnsi="IRNazanin" w:eastAsia="IRNazanin"/>
          <w:color w:val="111111"/>
          <w:sz w:val="28"/>
          <w:sz w:val="28"/>
          <w:szCs w:val="28"/>
          <w:rtl w:val="true"/>
          <w:lang w:bidi="fa-IR"/>
        </w:rPr>
        <w:t>بقوله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السجود و القیام حدّا للغیر الذی یعتبر الدخول فیه،و أنّه لا غیر أقرب من الأوّل بالنسبة إلی الرکوع،و من الثانی بالنسبة إلی السجود؛إذ لو کان الهویّ للسجود کافیا عند الشکّ فی الرکوع،و النهوض للقیام کافیا عند الشکّ فی السجود،قبح فی مقام التوطئة للقاعدة الآتیة التحدید بالسجود و القیام،و لم یکن وجه لجزم المشهور </w:t>
      </w:r>
      <w:r>
        <w:rPr>
          <w:rStyle w:val="FootnoteAnchor"/>
          <w:rtl w:val="true"/>
        </w:rPr>
        <w:footnoteReference w:id="1101"/>
      </w:r>
      <w:r>
        <w:rPr>
          <w:rFonts w:ascii="IRNazanin" w:hAnsi="IRNazanin" w:eastAsia="IRNazanin"/>
          <w:color w:val="111111"/>
          <w:sz w:val="28"/>
          <w:sz w:val="28"/>
          <w:szCs w:val="28"/>
          <w:rtl w:val="true"/>
          <w:lang w:bidi="fa-IR"/>
        </w:rPr>
        <w:t>بوجوب الالتفات إذا شکّ قبل الاستواء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ارتکبه بعض من تأخّر </w:t>
      </w:r>
      <w:r>
        <w:rPr>
          <w:rStyle w:val="FootnoteAnchor"/>
          <w:rtl w:val="true"/>
        </w:rPr>
        <w:footnoteReference w:id="1102"/>
      </w:r>
      <w:r>
        <w:rPr>
          <w:rFonts w:ascii="IRNazanin" w:hAnsi="IRNazanin" w:eastAsia="IRNazanin"/>
          <w:color w:val="111111"/>
          <w:sz w:val="28"/>
          <w:sz w:val="28"/>
          <w:szCs w:val="28"/>
          <w:rtl w:val="true"/>
          <w:lang w:bidi="fa-IR"/>
        </w:rPr>
        <w:t>،من التزام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الشکّ فی السجود قبل تمام القیام بمفهوم الروایة، ضعیف جدّا؛لأنّ الظاهر أنّ القید وارد فی مقام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التحدید بذلک توطئة للقاعدة،و هی </w:t>
      </w:r>
      <w:r>
        <w:rPr>
          <w:rStyle w:val="FootnoteAnchor"/>
          <w:rtl w:val="true"/>
        </w:rPr>
        <w:footnoteReference w:id="1103"/>
      </w:r>
      <w:r>
        <w:rPr>
          <w:rFonts w:ascii="IRNazanin" w:hAnsi="IRNazanin" w:eastAsia="IRNazanin"/>
          <w:color w:val="111111"/>
          <w:sz w:val="28"/>
          <w:sz w:val="28"/>
          <w:szCs w:val="28"/>
          <w:rtl w:val="true"/>
          <w:lang w:bidi="fa-IR"/>
        </w:rPr>
        <w:t xml:space="preserve">بمنزلة ضابطة کلّیة،کما لا یخفی علی من له أدنی ذوق فی فهم الکلام،فکیف یجعل فردا خارجا بمفهوم القید </w:t>
      </w:r>
      <w:r>
        <w:rPr>
          <w:rStyle w:val="FootnoteAnchor"/>
          <w:rtl w:val="true"/>
        </w:rPr>
        <w:footnoteReference w:id="1104"/>
      </w:r>
      <w:r>
        <w:rPr>
          <w:rFonts w:ascii="Amiri" w:hAnsi="Amiri" w:eastAsia="Amiri" w:cs="Amiri"/>
          <w:color w:val="111111"/>
          <w:sz w:val="28"/>
          <w:sz w:val="28"/>
          <w:szCs w:val="28"/>
          <w:rtl w:val="true"/>
          <w:lang w:bidi="ar-SA"/>
        </w:rPr>
        <w:t>عن عموم القاعدة؟</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5767689_3224264995"/>
      <w:bookmarkStart w:id="1136" w:name="_Toc453"/>
      <w:bookmarkEnd w:id="1135"/>
      <w:r>
        <w:rPr>
          <w:rtl w:val="true"/>
        </w:rPr>
        <w:t>عدم کفایة الدخول فی مقدّمات الغیر</w:t>
      </w:r>
      <w:r>
        <w:rPr>
          <w:rtl w:val="true"/>
        </w:rPr>
        <w:t>:</w:t>
      </w:r>
      <w:bookmarkEnd w:id="113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هذا کاشفا عن خروج مقدّمات أفعال الصلاة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یکفی فی الصلاة مجرّد الدخول و لو فی فعل غیر </w:t>
      </w:r>
      <w:bookmarkStart w:id="1137" w:name="pg12985_125182"/>
    </w:p>
    <w:p>
      <w:pPr>
        <w:pStyle w:val="BookText"/>
        <w:rPr/>
      </w:pPr>
      <w:bookmarkEnd w:id="1137"/>
      <w:r>
        <w:rPr>
          <w:rFonts w:ascii="IRNazanin" w:hAnsi="IRNazanin" w:eastAsia="IRNazanin"/>
          <w:color w:val="111111"/>
          <w:sz w:val="28"/>
          <w:sz w:val="28"/>
          <w:szCs w:val="28"/>
          <w:rtl w:val="true"/>
          <w:lang w:bidi="fa-IR"/>
        </w:rPr>
        <w:t>أصلی،فضلا عن کفایة مجرّد الفراغ</w:t>
      </w:r>
      <w:r>
        <w:rPr>
          <w:rFonts w:eastAsia="IRNazanin" w:cs="IRNazanin"/>
          <w:color w:val="111111"/>
          <w:sz w:val="28"/>
          <w:szCs w:val="28"/>
          <w:rtl w:val="true"/>
          <w:lang w:bidi="fa-IR"/>
        </w:rPr>
        <w:t>.</w:t>
      </w:r>
    </w:p>
    <w:p>
      <w:pPr>
        <w:pStyle w:val="Heading6"/>
        <w:numPr>
          <w:ilvl w:val="5"/>
          <w:numId w:val="1"/>
        </w:numPr>
        <w:rPr/>
      </w:pPr>
      <w:bookmarkStart w:id="1138" w:name="__RefHeading___Toc5767691_3224264995"/>
      <w:bookmarkStart w:id="1139" w:name="_Toc454"/>
      <w:bookmarkEnd w:id="1138"/>
      <w:r>
        <w:rPr>
          <w:rtl w:val="true"/>
        </w:rPr>
        <w:t>الأقوی اعتبار الدخول فی الغیر و عدم کفایة مجرّد الفراغ</w:t>
      </w:r>
      <w:r>
        <w:rPr>
          <w:rtl w:val="true"/>
        </w:rPr>
        <w:t>:</w:t>
      </w:r>
      <w:bookmarkEnd w:id="1139"/>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الدخول فی الغیر و عدم کفایة مجرّد الفراغ،إلاّ أنّه قد یکون الفراغ عن الشیء ملازما للدخول فی غیره،کما لو فرغ عن الصلاة و الوضوء؛فإنّ حالة عدم الاشتغال بهما یعدّ مغایرة لحالهما و إن لم یشتغل بفعل وجودیّ،فهو دخول فی الغیر بالنسبة إلیهما</w:t>
      </w:r>
      <w:r>
        <w:rPr>
          <w:rFonts w:eastAsia="IRNazanin" w:cs="IRNazanin"/>
          <w:color w:val="111111"/>
          <w:sz w:val="28"/>
          <w:szCs w:val="28"/>
          <w:rtl w:val="true"/>
          <w:lang w:bidi="fa-IR"/>
        </w:rPr>
        <w:t>.</w:t>
      </w:r>
    </w:p>
    <w:p>
      <w:pPr>
        <w:pStyle w:val="Heading6"/>
        <w:numPr>
          <w:ilvl w:val="5"/>
          <w:numId w:val="1"/>
        </w:numPr>
        <w:rPr/>
      </w:pPr>
      <w:bookmarkStart w:id="1140" w:name="__RefHeading___Toc5767693_3224264995"/>
      <w:bookmarkStart w:id="1141" w:name="_Toc455"/>
      <w:bookmarkEnd w:id="1140"/>
      <w:r>
        <w:rPr>
          <w:rtl w:val="true"/>
        </w:rPr>
        <w:t>عدم صحّة التفصیل بین الصلاة و الوضوء</w:t>
      </w:r>
      <w:r>
        <w:rPr>
          <w:rtl w:val="true"/>
        </w:rPr>
        <w:t>:</w:t>
      </w:r>
      <w:bookmarkEnd w:id="114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التفصیل بین الصلاة و الوضوء،بالتزام کفایة مجرّد الفراغ من الوضوء و لو مع الشکّ فی الجزء الأخیر منه،فیردّه اتحاد الدلیل فی البابین </w:t>
      </w:r>
      <w:r>
        <w:rPr>
          <w:rStyle w:val="FootnoteAnchor"/>
          <w:rtl w:val="true"/>
        </w:rPr>
        <w:footnoteReference w:id="1105"/>
      </w:r>
      <w:r>
        <w:rPr>
          <w:rFonts w:ascii="IRNazanin" w:hAnsi="IRNazanin" w:eastAsia="IRNazanin"/>
          <w:color w:val="111111"/>
          <w:sz w:val="28"/>
          <w:sz w:val="28"/>
          <w:szCs w:val="28"/>
          <w:rtl w:val="true"/>
          <w:lang w:bidi="fa-IR"/>
        </w:rPr>
        <w:t>لأنّ ما ورد،من قوله علیه السّلام فی من شکّ فی الوضوء بعد ما فرغ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عامّ بمقتضی التعلیل لغیر الوضوء أیضا؛و لذا استفید منه حکم الغسل و </w:t>
      </w:r>
      <w:r>
        <w:rPr>
          <w:rStyle w:val="FootnoteAnchor"/>
          <w:rtl w:val="true"/>
        </w:rPr>
        <w:footnoteReference w:id="1107"/>
      </w:r>
      <w:r>
        <w:rPr>
          <w:rFonts w:ascii="IRNazanin" w:hAnsi="IRNazanin" w:eastAsia="IRNazanin"/>
          <w:color w:val="111111"/>
          <w:sz w:val="28"/>
          <w:sz w:val="28"/>
          <w:szCs w:val="28"/>
          <w:rtl w:val="true"/>
          <w:lang w:bidi="fa-IR"/>
        </w:rPr>
        <w:t>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موثّقة ابن أبی یعفور المتقدّمة </w:t>
      </w:r>
      <w:r>
        <w:rPr>
          <w:rStyle w:val="FootnoteAnchor"/>
          <w:rtl w:val="true"/>
        </w:rPr>
        <w:footnoteReference w:id="1108"/>
      </w:r>
      <w:r>
        <w:rPr>
          <w:rFonts w:ascii="IRNazanin" w:hAnsi="IRNazanin" w:eastAsia="IRNazanin"/>
          <w:color w:val="111111"/>
          <w:sz w:val="28"/>
          <w:sz w:val="28"/>
          <w:szCs w:val="28"/>
          <w:rtl w:val="true"/>
          <w:lang w:bidi="fa-IR"/>
        </w:rPr>
        <w:t>،صدرها دالّ علی اعتبار الدخول فی الغیر فی الوضوء،و ذیلها یدلّ علی عدم العبرة بالشکّ بمجرّد التجاوز مطلقا من غیر تقیید بالوضوء،بل ظاهرها یأبی عن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روایتا زرارة و أبی بصیر المتقدّمتان </w:t>
      </w:r>
      <w:r>
        <w:rPr>
          <w:rStyle w:val="FootnoteAnchor"/>
          <w:rtl w:val="true"/>
        </w:rPr>
        <w:footnoteReference w:id="1109"/>
      </w:r>
      <w:r>
        <w:rPr>
          <w:rFonts w:ascii="IRNazanin" w:hAnsi="IRNazanin" w:eastAsia="IRNazanin"/>
          <w:color w:val="111111"/>
          <w:sz w:val="28"/>
          <w:sz w:val="28"/>
          <w:szCs w:val="28"/>
          <w:rtl w:val="true"/>
          <w:lang w:bidi="fa-IR"/>
        </w:rPr>
        <w:t xml:space="preserve">آبیتان عن </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أصرح من جمیع ذلک فی الإباء عن التفصیل بین الوضوء و الصلاة قوله علیه السّلام فی الروایة المتقدّمة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w:t>
      </w:r>
      <w:r>
        <w:rPr>
          <w:rFonts w:eastAsia="IRNazanin" w:cs="IRNazanin"/>
          <w:color w:val="111111"/>
          <w:sz w:val="28"/>
          <w:szCs w:val="28"/>
          <w:rtl w:val="true"/>
          <w:lang w:bidi="fa-IR"/>
        </w:rPr>
        <w:t xml:space="preserve">». </w:t>
      </w:r>
      <w:bookmarkStart w:id="1142" w:name="pg12985_125184"/>
    </w:p>
    <w:p>
      <w:pPr>
        <w:pStyle w:val="Heading6"/>
        <w:numPr>
          <w:ilvl w:val="5"/>
          <w:numId w:val="1"/>
        </w:numPr>
        <w:rPr/>
      </w:pPr>
      <w:bookmarkStart w:id="1143" w:name="__RefHeading___Toc5767695_3224264995"/>
      <w:bookmarkStart w:id="1144" w:name="_Toc456"/>
      <w:bookmarkEnd w:id="1142"/>
      <w:bookmarkEnd w:id="1143"/>
      <w:r>
        <w:rPr>
          <w:rtl w:val="true"/>
        </w:rPr>
        <w:t>الموضع الرابع عدم جریان القاعدة فی أفعال الطهارات الثلاث</w:t>
      </w:r>
      <w:bookmarkEnd w:id="1144"/>
    </w:p>
    <w:p>
      <w:pPr>
        <w:pStyle w:val="BookText"/>
        <w:rPr/>
      </w:pPr>
      <w:r>
        <w:rPr>
          <w:rFonts w:ascii="IRNazanin" w:hAnsi="IRNazanin" w:eastAsia="IRNazanin"/>
          <w:color w:val="111111"/>
          <w:sz w:val="28"/>
          <w:sz w:val="28"/>
          <w:szCs w:val="28"/>
          <w:rtl w:val="true"/>
          <w:lang w:bidi="fa-IR"/>
        </w:rPr>
        <w:t xml:space="preserve">قد خرج من الکلّیّة المذکورة أفعال الطهارات الثلاث؛فإنّهم أجمعوا </w:t>
      </w:r>
      <w:r>
        <w:rPr>
          <w:rStyle w:val="FootnoteAnchor"/>
          <w:rtl w:val="true"/>
        </w:rPr>
        <w:footnoteReference w:id="1111"/>
      </w:r>
      <w:r>
        <w:rPr>
          <w:rFonts w:ascii="IRNazanin" w:hAnsi="IRNazanin" w:eastAsia="IRNazanin"/>
          <w:color w:val="111111"/>
          <w:sz w:val="28"/>
          <w:sz w:val="28"/>
          <w:szCs w:val="28"/>
          <w:rtl w:val="true"/>
          <w:lang w:bidi="fa-IR"/>
        </w:rPr>
        <w:t xml:space="preserve">علی أنّ الشاکّ فی فعل من أفعال الوضوء قبل إتمام الوضوء یأتی به و إن دخل فی فعل آخر،و أمّا الغسل و التیمّم فقد صرّح بذلک فیهما بعضهم </w:t>
      </w:r>
      <w:r>
        <w:rPr>
          <w:rStyle w:val="FootnoteAnchor"/>
          <w:rtl w:val="true"/>
        </w:rPr>
        <w:footnoteReference w:id="1112"/>
      </w:r>
      <w:r>
        <w:rPr>
          <w:rFonts w:ascii="IRNazanin" w:hAnsi="IRNazanin" w:eastAsia="IRNazanin"/>
          <w:color w:val="111111"/>
          <w:sz w:val="28"/>
          <w:sz w:val="28"/>
          <w:szCs w:val="28"/>
          <w:rtl w:val="true"/>
          <w:lang w:bidi="fa-IR"/>
        </w:rPr>
        <w:t xml:space="preserve">علی وجه یظهر منه کونه من المسلّمات،و قد نصّ علی الحکم فی الغسل جمع ممّن تأخّر عن المحقّق،کالعلاّمة </w:t>
      </w:r>
      <w:r>
        <w:rPr>
          <w:rStyle w:val="FootnoteAnchor"/>
          <w:rtl w:val="true"/>
        </w:rPr>
        <w:footnoteReference w:id="1113"/>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114"/>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115"/>
      </w:r>
      <w:r>
        <w:rPr>
          <w:rFonts w:ascii="IRNazanin" w:hAnsi="IRNazanin" w:eastAsia="IRNazanin"/>
          <w:color w:val="111111"/>
          <w:sz w:val="28"/>
          <w:sz w:val="28"/>
          <w:szCs w:val="28"/>
          <w:rtl w:val="true"/>
          <w:lang w:bidi="fa-IR"/>
        </w:rPr>
        <w:t xml:space="preserve">،و نصّ غیر واحد من هؤلاء </w:t>
      </w:r>
      <w:r>
        <w:rPr>
          <w:rStyle w:val="FootnoteAnchor"/>
          <w:rtl w:val="true"/>
        </w:rPr>
        <w:footnoteReference w:id="1116"/>
      </w:r>
      <w:r>
        <w:rPr>
          <w:rFonts w:ascii="IRNazanin" w:hAnsi="IRNazanin" w:eastAsia="IRNazanin"/>
          <w:color w:val="111111"/>
          <w:sz w:val="28"/>
          <w:sz w:val="28"/>
          <w:szCs w:val="28"/>
          <w:rtl w:val="true"/>
          <w:lang w:bidi="fa-IR"/>
        </w:rPr>
        <w:t>علی کون التیمّم کذلک</w:t>
      </w:r>
      <w:r>
        <w:rPr>
          <w:rFonts w:eastAsia="IRNazanin" w:cs="IRNazanin"/>
          <w:color w:val="111111"/>
          <w:sz w:val="28"/>
          <w:szCs w:val="28"/>
          <w:rtl w:val="true"/>
          <w:lang w:bidi="fa-IR"/>
        </w:rPr>
        <w:t>.</w:t>
      </w:r>
    </w:p>
    <w:p>
      <w:pPr>
        <w:pStyle w:val="Heading6"/>
        <w:numPr>
          <w:ilvl w:val="5"/>
          <w:numId w:val="1"/>
        </w:numPr>
        <w:rPr/>
      </w:pPr>
      <w:bookmarkStart w:id="1145" w:name="__RefHeading___Toc5767697_3224264995"/>
      <w:bookmarkStart w:id="1146" w:name="_Toc457"/>
      <w:bookmarkEnd w:id="1145"/>
      <w:r>
        <w:rPr>
          <w:rtl w:val="true"/>
        </w:rPr>
        <w:t>مستند الخروج</w:t>
      </w:r>
      <w:r>
        <w:rPr>
          <w:rtl w:val="true"/>
        </w:rPr>
        <w:t>:</w:t>
      </w:r>
      <w:bookmarkEnd w:id="1146"/>
    </w:p>
    <w:p>
      <w:pPr>
        <w:pStyle w:val="BookText"/>
        <w:rPr/>
      </w:pPr>
      <w:r>
        <w:rPr>
          <w:rFonts w:ascii="IRNazanin" w:hAnsi="IRNazanin" w:eastAsia="IRNazanin"/>
          <w:color w:val="111111"/>
          <w:sz w:val="28"/>
          <w:sz w:val="28"/>
          <w:szCs w:val="28"/>
          <w:rtl w:val="true"/>
          <w:lang w:bidi="fa-IR"/>
        </w:rPr>
        <w:t>و کیف کان،فمستند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المخصّصة للقاعدة المتقدّمة</w:t>
      </w:r>
      <w:r>
        <w:rPr>
          <w:rFonts w:eastAsia="IRNazanin" w:cs="IRNazanin"/>
          <w:color w:val="111111"/>
          <w:sz w:val="28"/>
          <w:szCs w:val="28"/>
          <w:rtl w:val="true"/>
          <w:lang w:bidi="fa-IR"/>
        </w:rPr>
        <w:t>.</w:t>
      </w:r>
    </w:p>
    <w:p>
      <w:pPr>
        <w:pStyle w:val="Heading6"/>
        <w:numPr>
          <w:ilvl w:val="5"/>
          <w:numId w:val="1"/>
        </w:numPr>
        <w:rPr/>
      </w:pPr>
      <w:bookmarkStart w:id="1147" w:name="__RefHeading___Toc5767699_3224264995"/>
      <w:bookmarkStart w:id="1148" w:name="_Toc458"/>
      <w:bookmarkEnd w:id="1147"/>
      <w:r>
        <w:rPr>
          <w:rtl w:val="true"/>
        </w:rPr>
        <w:t>ظاهر روایة ابن أبی یعفور أنّ حکم الوضوء من باب القاعدة</w:t>
      </w:r>
      <w:r>
        <w:rPr>
          <w:rtl w:val="true"/>
        </w:rPr>
        <w:t>:</w:t>
      </w:r>
      <w:bookmarkEnd w:id="11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یظهر من روایة ابن أبی یعفور المتقدّمة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و قد دخلت فی غیره فشکّک لیس بشیء،إنّما الشکّ إذا کنت فی شیء </w:t>
      </w:r>
      <w:bookmarkStart w:id="1149" w:name="pg12985_125185"/>
    </w:p>
    <w:p>
      <w:pPr>
        <w:pStyle w:val="BookText"/>
        <w:rPr/>
      </w:pPr>
      <w:bookmarkEnd w:id="1149"/>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الوضوء من باب القاعدة،لا خارج عنها،بناء علی 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الوضوء؛لئلاّ یخالف الإجماع علی وجوب الالتفات إذا دخل فی غیر المشکوک من أفعال الوضوء،و حینئذ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قاعدة الشکّ المتعلّق بجزء من أجزاء العمل،و أنّه إنّما یعتبر إذا کان مشتغلا بذلک العمل غیر متجاوز عنه</w:t>
      </w:r>
      <w:r>
        <w:rPr>
          <w:rFonts w:eastAsia="IRNazanin" w:cs="IRNazanin"/>
          <w:color w:val="111111"/>
          <w:sz w:val="28"/>
          <w:szCs w:val="28"/>
          <w:rtl w:val="true"/>
          <w:lang w:bidi="fa-IR"/>
        </w:rPr>
        <w:t>.</w:t>
      </w:r>
    </w:p>
    <w:p>
      <w:pPr>
        <w:pStyle w:val="Heading6"/>
        <w:numPr>
          <w:ilvl w:val="5"/>
          <w:numId w:val="1"/>
        </w:numPr>
        <w:rPr/>
      </w:pPr>
      <w:bookmarkStart w:id="1150" w:name="__RefHeading___Toc5767701_3224264995"/>
      <w:bookmarkStart w:id="1151" w:name="_Toc459"/>
      <w:bookmarkEnd w:id="1150"/>
      <w:r>
        <w:rPr>
          <w:rtl w:val="true"/>
        </w:rPr>
        <w:t>الإشکال فی ظاهر ذیل الروایة</w:t>
      </w:r>
      <w:r>
        <w:rPr>
          <w:rtl w:val="true"/>
        </w:rPr>
        <w:t>:</w:t>
      </w:r>
      <w:bookmarkEnd w:id="1151"/>
    </w:p>
    <w:p>
      <w:pPr>
        <w:pStyle w:val="BookText"/>
        <w:rPr/>
      </w:pPr>
      <w:r>
        <w:rPr>
          <w:rFonts w:ascii="IRNazanin" w:hAnsi="IRNazanin" w:eastAsia="IRNazanin"/>
          <w:color w:val="111111"/>
          <w:sz w:val="28"/>
          <w:sz w:val="28"/>
          <w:szCs w:val="28"/>
          <w:rtl w:val="true"/>
          <w:lang w:bidi="fa-IR"/>
        </w:rPr>
        <w:t xml:space="preserve">هذا،و لکنّ الاعتماد علی ظاهر </w:t>
      </w:r>
      <w:r>
        <w:rPr>
          <w:rStyle w:val="FootnoteAnchor"/>
          <w:rtl w:val="true"/>
        </w:rPr>
        <w:footnoteReference w:id="1118"/>
      </w:r>
      <w:r>
        <w:rPr>
          <w:rFonts w:ascii="IRNazanin" w:hAnsi="IRNazanin" w:eastAsia="IRNazanin"/>
          <w:color w:val="111111"/>
          <w:sz w:val="28"/>
          <w:sz w:val="28"/>
          <w:szCs w:val="28"/>
          <w:rtl w:val="true"/>
          <w:lang w:bidi="fa-IR"/>
        </w:rPr>
        <w:t>ذیل الروایة مشکل؛من جهة أنّه یقتضی بظاهر الحصر أنّ الشکّ الواقع فی غسل الید باعتبار جزء من أجزائه لا یعتنی به إذا جاوز غسل الید،مضافا إلی أنّه معارض للأخبار السابقة فیما إذا شکّ فی جزء من الوضوء بعد الدخول فی جزء آخر قبل الفراغ منه؛لأنّه باعتبار أنّه شکّ فی وجود شیء بعد تجاوز محلّه یدخل فی الأخبار السابقة،و من حیث إنّه شکّ فی أجزاء عمل قبل الفراغ منه یدخل فی هذا الخبر</w:t>
      </w:r>
      <w:r>
        <w:rPr>
          <w:rFonts w:eastAsia="IRNazanin" w:cs="IRNazanin"/>
          <w:color w:val="111111"/>
          <w:sz w:val="28"/>
          <w:szCs w:val="28"/>
          <w:rtl w:val="true"/>
          <w:lang w:bidi="fa-IR"/>
        </w:rPr>
        <w:t>.</w:t>
      </w:r>
    </w:p>
    <w:p>
      <w:pPr>
        <w:pStyle w:val="Heading6"/>
        <w:numPr>
          <w:ilvl w:val="5"/>
          <w:numId w:val="1"/>
        </w:numPr>
        <w:rPr/>
      </w:pPr>
      <w:bookmarkStart w:id="1152" w:name="__RefHeading___Toc5767703_3224264995"/>
      <w:bookmarkStart w:id="1153" w:name="_Toc460"/>
      <w:bookmarkEnd w:id="1152"/>
      <w:r>
        <w:rPr>
          <w:rtl w:val="true"/>
        </w:rPr>
        <w:t>دفع الإشکال عن الروایة</w:t>
      </w:r>
      <w:r>
        <w:rPr>
          <w:rtl w:val="true"/>
        </w:rPr>
        <w:t>:</w:t>
      </w:r>
      <w:bookmarkEnd w:id="1153"/>
    </w:p>
    <w:p>
      <w:pPr>
        <w:pStyle w:val="BookText"/>
        <w:rPr/>
      </w:pPr>
      <w:r>
        <w:rPr>
          <w:rFonts w:ascii="IRNazanin" w:hAnsi="IRNazanin" w:eastAsia="IRNazanin"/>
          <w:color w:val="111111"/>
          <w:sz w:val="28"/>
          <w:sz w:val="28"/>
          <w:szCs w:val="28"/>
          <w:rtl w:val="true"/>
          <w:lang w:bidi="fa-IR"/>
        </w:rPr>
        <w:t>و یمکن أن یقال لدفع جمیع ما فی الخبر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بتمامه فی نظر الشارع فعل واحد باعتبار وحدة مسبّبه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یلاحظ کلّ فعل منه بحیاله حتّی یکون موردا لتعارض هذا الخبر مع الأخبار السابقة،و لا یلاحظ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مستقلا یشکّ فی بعض أجزائه قبل تجاوزه أو بعده لیوجب ذلک الإشکال فی الحصر المستفاد من الذیل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 الوضوء فعلا واحدا لم یلاحظ الشارع </w:t>
      </w:r>
      <w:bookmarkStart w:id="1154" w:name="pg12985_125186"/>
    </w:p>
    <w:p>
      <w:pPr>
        <w:pStyle w:val="BookText"/>
        <w:rPr/>
      </w:pPr>
      <w:bookmarkEnd w:id="1154"/>
      <w:r>
        <w:rPr>
          <w:rFonts w:ascii="IRNazanin" w:hAnsi="IRNazanin" w:eastAsia="IRNazanin"/>
          <w:color w:val="111111"/>
          <w:sz w:val="28"/>
          <w:sz w:val="28"/>
          <w:szCs w:val="28"/>
          <w:rtl w:val="true"/>
          <w:lang w:bidi="fa-IR"/>
        </w:rPr>
        <w:t>أجزاءه أفعالا مستقلّة یجری فیها حکم الشکّ بعد تجاوز المحلّ،لم یتوجّه شیء من الإشکالین فی الاعتماد علی الخبر،و لم یکن حکم الوضوء مخالفا للقاعدة؛إذ الشکّ فی أجزاء الوضوء قبل الفراغ لیس إلاّ شکّا واقعا فی الشیء قبل التجاوز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القرینة علی هذا الاعتبار جعل القاعدة ضابطة لحکم الشکّ فی أجزاء الوضوء قبل الفراغ عنه أو بعده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5" w:name="__RefHeading___Toc5767705_3224264995"/>
      <w:bookmarkStart w:id="1156" w:name="_Toc461"/>
      <w:bookmarkEnd w:id="1155"/>
      <w:r>
        <w:rPr>
          <w:rtl w:val="true"/>
        </w:rPr>
        <w:t>عدم غرابة فرض الوضوء فعلا واحدا</w:t>
      </w:r>
      <w:r>
        <w:rPr>
          <w:rtl w:val="true"/>
        </w:rPr>
        <w:t>:</w:t>
      </w:r>
      <w:bookmarkEnd w:id="1156"/>
    </w:p>
    <w:p>
      <w:pPr>
        <w:pStyle w:val="BookText"/>
        <w:rPr/>
      </w:pPr>
      <w:r>
        <w:rPr>
          <w:rFonts w:ascii="IRNazanin" w:hAnsi="IRNazanin" w:eastAsia="IRNazanin"/>
          <w:color w:val="111111"/>
          <w:sz w:val="28"/>
          <w:sz w:val="28"/>
          <w:szCs w:val="28"/>
          <w:rtl w:val="true"/>
          <w:lang w:bidi="fa-IR"/>
        </w:rPr>
        <w:t xml:space="preserve">ثمّ إنّ فرض الوضوء فعلا واحدا لا یلاحظ حکم الشکّ بالنسبة إلی أجزائه،لیس أمرا غریبا؛فقد ارتکب المشهور مثله فی الأخبار السابقة بالنسبة إلی أفعال الصلاة؛حیث لم یجروا حکم الشکّ بعد التجاوز فی کلّ جزء من أجزاء القراءة حتّی الکلمات و الحروف،بل الأظهر عندهم کون الفاتحة فعلا واحدا،بل جعل بعضهم القراءة فعلا واحدا </w:t>
      </w:r>
      <w:r>
        <w:rPr>
          <w:rStyle w:val="FootnoteAnchor"/>
          <w:rtl w:val="true"/>
        </w:rPr>
        <w:footnoteReference w:id="1120"/>
      </w:r>
      <w:r>
        <w:rPr>
          <w:rFonts w:ascii="IRNazanin" w:hAnsi="IRNazanin" w:eastAsia="IRNazanin"/>
          <w:color w:val="111111"/>
          <w:sz w:val="28"/>
          <w:sz w:val="28"/>
          <w:szCs w:val="28"/>
          <w:rtl w:val="true"/>
          <w:lang w:bidi="fa-IR"/>
        </w:rPr>
        <w:t xml:space="preserve">،و قد عرفت النصّ فی الروایات علی عدم اعتبار الهویّ للسجود و النهوض للقیام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یشهد لهذا التوجیه إلحاق المشهور الغسل و التیمّم بالوضوء فی هذا الحکم </w:t>
      </w:r>
      <w:r>
        <w:rPr>
          <w:rStyle w:val="FootnoteAnchor"/>
          <w:rtl w:val="true"/>
        </w:rPr>
        <w:footnoteReference w:id="1122"/>
      </w:r>
      <w:r>
        <w:rPr>
          <w:rFonts w:ascii="IRNazanin" w:hAnsi="IRNazanin" w:eastAsia="IRNazanin"/>
          <w:color w:val="111111"/>
          <w:sz w:val="28"/>
          <w:sz w:val="28"/>
          <w:szCs w:val="28"/>
          <w:rtl w:val="true"/>
          <w:lang w:bidi="fa-IR"/>
        </w:rPr>
        <w:t>إذ لا وجه له ظاهرا إلاّ ملاحظة کون الوضوء أمرا واحدا یطلب منه أمر واحد غیر قابل للتبعیض،أعنی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bookmarkStart w:id="1157" w:name="pg12985_125187"/>
    </w:p>
    <w:p>
      <w:pPr>
        <w:pStyle w:val="Heading6"/>
        <w:numPr>
          <w:ilvl w:val="5"/>
          <w:numId w:val="1"/>
        </w:numPr>
        <w:rPr/>
      </w:pPr>
      <w:bookmarkStart w:id="1158" w:name="__RefHeading___Toc5767707_3224264995"/>
      <w:bookmarkStart w:id="1159" w:name="_Toc462"/>
      <w:bookmarkEnd w:id="1157"/>
      <w:bookmarkEnd w:id="1158"/>
      <w:r>
        <w:rPr>
          <w:rtl w:val="true"/>
        </w:rPr>
        <w:t xml:space="preserve">الموضع الخامس </w:t>
      </w:r>
      <w:r>
        <w:rPr>
          <w:rtl w:val="true"/>
        </w:rPr>
        <w:t>:</w:t>
      </w:r>
      <w:r>
        <w:rPr>
          <w:rtl w:val="true"/>
        </w:rPr>
        <w:t>هل تجری القاعدة فی الشروط کما تجری فی الأجزاء؟</w:t>
      </w:r>
      <w:bookmarkEnd w:id="1159"/>
    </w:p>
    <w:p>
      <w:pPr>
        <w:pStyle w:val="BookText"/>
        <w:rPr/>
      </w:pPr>
      <w:r>
        <w:rPr>
          <w:rFonts w:ascii="IRNazanin" w:hAnsi="IRNazanin" w:eastAsia="IRNazanin"/>
          <w:color w:val="111111"/>
          <w:sz w:val="28"/>
          <w:sz w:val="28"/>
          <w:szCs w:val="28"/>
          <w:rtl w:val="true"/>
          <w:lang w:bidi="fa-IR"/>
        </w:rPr>
        <w:t xml:space="preserve">ذکر بعض الأساطین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الشکّ فی الشروط بالنسبة إلی الفراغ عن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الدخول فیه،بل الکون علی هیئة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الأجزاء فی عدم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بالشکّ فی الوقت و القبلة و اللباس و الطهارة بأقسامها و الاستقرار و نحوها،بعد الدخول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الوضوء و غیره،انتهی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بعض من تأخّر عنه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إلغاء الشکّ فی الشرط بالنسبة إلی غیر ما دخل فیه من الغایات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أبعد ما بینه و بین ما ذکره بعض الأصحاب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الشکّ فی الشرط حتّی بعد الفراغ عن المشروط،فأوجب إعادة المشروط</w:t>
      </w:r>
      <w:r>
        <w:rPr>
          <w:rFonts w:eastAsia="IRNazanin" w:cs="IRNazanin"/>
          <w:color w:val="111111"/>
          <w:sz w:val="28"/>
          <w:szCs w:val="28"/>
          <w:rtl w:val="true"/>
          <w:lang w:bidi="fa-IR"/>
        </w:rPr>
        <w:t>.</w:t>
      </w:r>
    </w:p>
    <w:p>
      <w:pPr>
        <w:pStyle w:val="Heading6"/>
        <w:numPr>
          <w:ilvl w:val="5"/>
          <w:numId w:val="1"/>
        </w:numPr>
        <w:rPr/>
      </w:pPr>
      <w:bookmarkStart w:id="1160" w:name="__RefHeading___Toc5767709_3224264995"/>
      <w:bookmarkStart w:id="1161" w:name="_Toc463"/>
      <w:bookmarkEnd w:id="1160"/>
      <w:r>
        <w:rPr>
          <w:rtl w:val="true"/>
        </w:rPr>
        <w:t>الأقوی التفصیل</w:t>
      </w:r>
      <w:r>
        <w:rPr>
          <w:rtl w:val="true"/>
        </w:rPr>
        <w:t>:</w:t>
      </w:r>
      <w:bookmarkEnd w:id="11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الفراغ عن المشروط فیلغو الشکّ فی الشرط بالنسبة إلیه؛لعموم لغویّة الشکّ فی الشیء بعد التجاوز عنه، و أمّا بالنسبة إلی مشروط آخر لم یدخل فیه فلا ینبغی الإشکال فی </w:t>
      </w:r>
      <w:bookmarkStart w:id="1162" w:name="pg12985_125188"/>
    </w:p>
    <w:p>
      <w:pPr>
        <w:pStyle w:val="BookText"/>
        <w:rPr/>
      </w:pPr>
      <w:bookmarkEnd w:id="1162"/>
      <w:r>
        <w:rPr>
          <w:rFonts w:ascii="IRNazanin" w:hAnsi="IRNazanin" w:eastAsia="IRNazanin"/>
          <w:color w:val="111111"/>
          <w:sz w:val="28"/>
          <w:sz w:val="28"/>
          <w:szCs w:val="28"/>
          <w:rtl w:val="true"/>
          <w:lang w:bidi="fa-IR"/>
        </w:rPr>
        <w:t>اعتبار الشکّ فیه؛لأنّ الشرط المذکور من حیث کونه شرطا لهذا المشروط لم یتجاوز عنه،بل محلّه باق،فالشکّ فی تحقّق شرط هذا المشروط شکّ فی الشیء قبل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بنی بعضهم </w:t>
      </w:r>
      <w:r>
        <w:rPr>
          <w:rStyle w:val="FootnoteAnchor"/>
          <w:rtl w:val="true"/>
        </w:rPr>
        <w:footnoteReference w:id="1127"/>
      </w:r>
      <w:r>
        <w:rPr>
          <w:rFonts w:ascii="IRNazanin" w:hAnsi="IRNazanin" w:eastAsia="IRNazanin"/>
          <w:color w:val="111111"/>
          <w:sz w:val="28"/>
          <w:sz w:val="28"/>
          <w:szCs w:val="28"/>
          <w:rtl w:val="true"/>
          <w:lang w:bidi="fa-IR"/>
        </w:rPr>
        <w:t xml:space="preserve">ذلک علی أنّ معنی عدم العبرة بالشکّ فی الشیء بعد تجاوز المحلّ،هو البناء علی الحصول مطلقا و لو لمشروط آخر </w:t>
      </w:r>
      <w:r>
        <w:rPr>
          <w:rStyle w:val="FootnoteAnchor"/>
          <w:rtl w:val="true"/>
        </w:rPr>
        <w:footnoteReference w:id="1128"/>
      </w:r>
      <w:r>
        <w:rPr>
          <w:rFonts w:ascii="IRNazanin" w:hAnsi="IRNazanin" w:eastAsia="IRNazanin"/>
          <w:color w:val="111111"/>
          <w:sz w:val="28"/>
          <w:sz w:val="28"/>
          <w:szCs w:val="28"/>
          <w:rtl w:val="true"/>
          <w:lang w:bidi="fa-IR"/>
        </w:rPr>
        <w:t>،أو یختصّ بالمدخول</w:t>
      </w:r>
      <w:r>
        <w:rPr>
          <w:rFonts w:eastAsia="IRNazanin" w:cs="IRNazanin"/>
          <w:color w:val="111111"/>
          <w:sz w:val="28"/>
          <w:szCs w:val="28"/>
          <w:rtl w:val="true"/>
          <w:lang w:bidi="fa-IR"/>
        </w:rPr>
        <w:t>.</w:t>
      </w:r>
    </w:p>
    <w:p>
      <w:pPr>
        <w:pStyle w:val="Heading6"/>
        <w:numPr>
          <w:ilvl w:val="5"/>
          <w:numId w:val="1"/>
        </w:numPr>
        <w:rPr/>
      </w:pPr>
      <w:bookmarkStart w:id="1163" w:name="__RefHeading___Toc5767711_3224264995"/>
      <w:bookmarkStart w:id="1164" w:name="_Toc464"/>
      <w:bookmarkEnd w:id="1163"/>
      <w:r>
        <w:rPr>
          <w:rtl w:val="true"/>
        </w:rPr>
        <w:t>معنی عدم العبرة بالشکّ بعد تجاوز المحلّ</w:t>
      </w:r>
      <w:r>
        <w:rPr>
          <w:rtl w:val="true"/>
        </w:rPr>
        <w:t>:</w:t>
      </w:r>
      <w:bookmarkEnd w:id="1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معناه البناء علی حصول المشکوک فیه، لکن بعنوانه الذی یتحقّق معه تجاوز المحلّ،لا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أثناء العصر فی فعل الظهر بنی علی تحقّق الظهر بعنوان أنّه شرط للعصر و لعدم وجوب العدول إلیه،لا علی تحقّقه مطلقا،حتّی لا یحتاج إلی إعادتها بعد فعل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المشکوک فیما نحن فیه إنّما فات محلّه من حیث کونه شرطا للمشروط المتحقّق،لا من حیث کونه شرطا للمشروط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الدخول فی المشروط أیضا لا یکفی فی إلغاء الشکّ فی الشرط،بل لا بدّ من الفراغ عنه؛لأنّ نسبة الشرط إلی جمیع أجزاء المشروط نسبة واحدة،و تجاوز محلّه باعتبار کونه شرطا للأجزاء الماضیة،فلا بدّ من إحرازه للأجزاء المستقبلة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نعم،ربما یدّعی فی مثل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إحرازه لجمیع أجزاء الصلاة قبل الصلاة لا عند کلّ جزء</w:t>
      </w:r>
      <w:r>
        <w:rPr>
          <w:rFonts w:eastAsia="IRNazanin" w:cs="IRNazanin"/>
          <w:color w:val="111111"/>
          <w:sz w:val="28"/>
          <w:szCs w:val="28"/>
          <w:rtl w:val="true"/>
          <w:lang w:bidi="fa-IR"/>
        </w:rPr>
        <w:t xml:space="preserve">. </w:t>
      </w:r>
      <w:bookmarkStart w:id="1165" w:name="pg12985_125189"/>
    </w:p>
    <w:p>
      <w:pPr>
        <w:pStyle w:val="Heading6"/>
        <w:numPr>
          <w:ilvl w:val="5"/>
          <w:numId w:val="1"/>
        </w:numPr>
        <w:rPr/>
      </w:pPr>
      <w:bookmarkStart w:id="1166" w:name="__RefHeading___Toc5767713_3224264995"/>
      <w:bookmarkStart w:id="1167" w:name="_Toc465"/>
      <w:bookmarkEnd w:id="1165"/>
      <w:bookmarkEnd w:id="1166"/>
      <w:r>
        <w:rPr>
          <w:rtl w:val="true"/>
        </w:rPr>
        <w:t>التفصیل بین الوضوء و نحوه و بین غیره</w:t>
      </w:r>
      <w:r>
        <w:rPr>
          <w:rtl w:val="true"/>
        </w:rPr>
        <w:t>:</w:t>
      </w:r>
      <w:bookmarkEnd w:id="1167"/>
    </w:p>
    <w:p>
      <w:pPr>
        <w:pStyle w:val="BookText"/>
        <w:rPr/>
      </w:pPr>
      <w:r>
        <w:rPr>
          <w:rFonts w:ascii="IRNazanin" w:hAnsi="IRNazanin" w:eastAsia="IRNazanin"/>
          <w:color w:val="111111"/>
          <w:sz w:val="28"/>
          <w:sz w:val="28"/>
          <w:szCs w:val="28"/>
          <w:rtl w:val="true"/>
          <w:lang w:bidi="fa-IR"/>
        </w:rPr>
        <w:t>و من هنا قد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کان من قبیل الوضوء ممّا یکون محلّ إحرازه قبل الدخول فی العبادة،و بین غیره ممّا لیس کذلک، کالاستقبال و الستر </w:t>
      </w:r>
      <w:r>
        <w:rPr>
          <w:rStyle w:val="FootnoteAnchor"/>
          <w:rtl w:val="true"/>
        </w:rPr>
        <w:footnoteReference w:id="1129"/>
      </w:r>
      <w:r>
        <w:rPr>
          <w:rFonts w:ascii="IRNazanin" w:hAnsi="IRNazanin" w:eastAsia="IRNazanin"/>
          <w:color w:val="111111"/>
          <w:sz w:val="28"/>
          <w:sz w:val="28"/>
          <w:szCs w:val="28"/>
          <w:rtl w:val="true"/>
          <w:lang w:bidi="fa-IR"/>
        </w:rPr>
        <w:t>،فإنّ إحرازهما ممکن فی کلّ جزء،و لیس المحلّ الموظّف لإحرازهما قبل الصلاة بالخصوص،بخلاف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شکّ فی أثناء الصلاة فی الستر أو الساتر وجب علیه إحرازه فی أثناء الصلاة للأجزاء المستقبلة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لا تخلو عن إشکال،إلاّ أنّه ربما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التفصیل بین الشکّ فی الوضوء فی أثناء الصلاة،و فیه بعده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علی وضوء ثمّ یشکّ،علی وضوء هو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ذکرها </w:t>
      </w:r>
      <w:r>
        <w:rPr>
          <w:rStyle w:val="FootnoteAnchor"/>
          <w:rtl w:val="true"/>
        </w:rPr>
        <w:footnoteReference w:id="1131"/>
      </w:r>
      <w:r>
        <w:rPr>
          <w:rFonts w:ascii="IRNazanin" w:hAnsi="IRNazanin" w:eastAsia="IRNazanin"/>
          <w:color w:val="111111"/>
          <w:sz w:val="28"/>
          <w:sz w:val="28"/>
          <w:szCs w:val="28"/>
          <w:rtl w:val="true"/>
          <w:lang w:bidi="fa-IR"/>
        </w:rPr>
        <w:t xml:space="preserve">و هو فی صلاته انصرف </w:t>
      </w:r>
      <w:r>
        <w:rPr>
          <w:rStyle w:val="FootnoteAnchor"/>
          <w:rtl w:val="true"/>
        </w:rPr>
        <w:footnoteReference w:id="1132"/>
      </w:r>
      <w:r>
        <w:rPr>
          <w:rFonts w:ascii="IRNazanin" w:hAnsi="IRNazanin" w:eastAsia="IRNazanin"/>
          <w:color w:val="111111"/>
          <w:sz w:val="28"/>
          <w:sz w:val="28"/>
          <w:szCs w:val="28"/>
          <w:rtl w:val="true"/>
          <w:lang w:bidi="fa-IR"/>
        </w:rPr>
        <w:t>و أعادها،و إن ذکر و قد فرغ من صلاته أجزأه ذلک</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،بناء علی أنّ مورد السؤال الکون علی الوضوء باعتقاده ثمّ شکّ فی ذلک</w:t>
      </w:r>
      <w:r>
        <w:rPr>
          <w:rFonts w:eastAsia="IRNazanin" w:cs="IRNazanin"/>
          <w:color w:val="111111"/>
          <w:sz w:val="28"/>
          <w:szCs w:val="28"/>
          <w:rtl w:val="true"/>
          <w:lang w:bidi="fa-IR"/>
        </w:rPr>
        <w:t xml:space="preserve">. </w:t>
      </w:r>
      <w:bookmarkStart w:id="1168" w:name="pg12985_125190"/>
    </w:p>
    <w:p>
      <w:pPr>
        <w:pStyle w:val="Heading6"/>
        <w:numPr>
          <w:ilvl w:val="5"/>
          <w:numId w:val="1"/>
        </w:numPr>
        <w:rPr/>
      </w:pPr>
      <w:bookmarkStart w:id="1169" w:name="__RefHeading___Toc5767715_3224264995"/>
      <w:bookmarkStart w:id="1170" w:name="_Toc466"/>
      <w:bookmarkEnd w:id="1168"/>
      <w:bookmarkEnd w:id="1169"/>
      <w:r>
        <w:rPr>
          <w:rtl w:val="true"/>
        </w:rPr>
        <w:t xml:space="preserve">الموضع السادس </w:t>
      </w:r>
      <w:r>
        <w:rPr>
          <w:rtl w:val="true"/>
        </w:rPr>
        <w:t>:</w:t>
      </w:r>
      <w:r>
        <w:rPr>
          <w:rtl w:val="true"/>
        </w:rPr>
        <w:t>هَل یلحق الشکّ فی الصحّة بالشکّ فی الإتیان؟</w:t>
      </w:r>
      <w:bookmarkEnd w:id="1170"/>
    </w:p>
    <w:p>
      <w:pPr>
        <w:pStyle w:val="BookText"/>
        <w:rPr/>
      </w:pPr>
      <w:r>
        <w:rPr>
          <w:rFonts w:ascii="IRNazanin" w:hAnsi="IRNazanin" w:eastAsia="IRNazanin"/>
          <w:color w:val="111111"/>
          <w:sz w:val="28"/>
          <w:sz w:val="28"/>
          <w:szCs w:val="28"/>
          <w:rtl w:val="true"/>
          <w:lang w:bidi="fa-IR"/>
        </w:rPr>
        <w:t>أنّ الشکّ فی صحّة الشیء المأتی به حکمه حکم الشکّ فی الإتیان،بل هو هو؛لأنّ مرجعه إلی الشکّ فی وجود الشیء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یرجع فیه الشکّ إلی الشکّ فی ترک بعض ما یعتبر فی الصحّة،کما لو شکّ فی تحقّق الموالاة المعتبرة فی حروف الکلمة أو کلمات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الإلحاق لا یخلو عن إشکال؛لأنّ الظاهر من أخبار الشکّ فی الشیء اختصاصها بغیر هذه الصورة،إلاّ أن یدّعی تنقیح المناط،أو یستند فیه إلی بعض ما یستفاد منه العموم،مثل موثّقة ابن أبی یعفور </w:t>
      </w:r>
      <w:r>
        <w:rPr>
          <w:rStyle w:val="FootnoteAnchor"/>
          <w:rtl w:val="true"/>
        </w:rPr>
        <w:footnoteReference w:id="1134"/>
      </w:r>
      <w:r>
        <w:rPr>
          <w:rFonts w:ascii="IRNazanin" w:hAnsi="IRNazanin" w:eastAsia="IRNazanin"/>
          <w:color w:val="111111"/>
          <w:sz w:val="28"/>
          <w:sz w:val="28"/>
          <w:szCs w:val="28"/>
          <w:rtl w:val="true"/>
          <w:lang w:bidi="fa-IR"/>
        </w:rPr>
        <w:t>،أو یجعل أصالة الصحّة فی فعل الفاعل المرید للصحیح أصلا برأسه،و مدرکه ظهور حال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الدین فی الإیضاح فی مسألة الشکّ فی بعض أفعال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فی فعل العاقل المکلّف الذی یقصد براءة ذمّته بفعل صحیح،و هو یعلم الکیفیة و الکمیّة،الصحّة </w:t>
      </w:r>
      <w:r>
        <w:rPr>
          <w:rStyle w:val="FootnoteAnchor"/>
          <w:rtl w:val="true"/>
        </w:rPr>
        <w:footnoteReference w:id="1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اعتباره من عموم التعلیل المتقدّم فی قوله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فإنّه بمنزلة صغری لقوله</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أذکر فلا یترک ما یعتبر فی صحّة عمله الذی یرید به إبراء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الترک سهوا خلاف فرض الذکر،و عمدا خلاف إرادة الإبراء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171" w:name="pg12985_125192"/>
    </w:p>
    <w:p>
      <w:pPr>
        <w:pStyle w:val="Heading6"/>
        <w:numPr>
          <w:ilvl w:val="5"/>
          <w:numId w:val="1"/>
        </w:numPr>
        <w:rPr/>
      </w:pPr>
      <w:bookmarkStart w:id="1172" w:name="__RefHeading___Toc5767717_3224264995"/>
      <w:bookmarkStart w:id="1173" w:name="_Toc467"/>
      <w:bookmarkEnd w:id="1171"/>
      <w:bookmarkEnd w:id="1172"/>
      <w:r>
        <w:rPr>
          <w:rtl w:val="true"/>
        </w:rPr>
        <w:t>الموضع السابع  المراد من الشکّ فی موضوع هذه القاعدة</w:t>
      </w:r>
      <w:r>
        <w:rPr>
          <w:rtl w:val="true"/>
        </w:rPr>
        <w:t>:</w:t>
      </w:r>
      <w:bookmarkEnd w:id="1173"/>
    </w:p>
    <w:p>
      <w:pPr>
        <w:pStyle w:val="BookText"/>
        <w:rPr/>
      </w:pPr>
      <w:r>
        <w:rPr>
          <w:rFonts w:ascii="IRNazanin" w:hAnsi="IRNazanin" w:eastAsia="IRNazanin"/>
          <w:color w:val="111111"/>
          <w:sz w:val="28"/>
          <w:sz w:val="28"/>
          <w:szCs w:val="28"/>
          <w:rtl w:val="true"/>
          <w:lang w:bidi="fa-IR"/>
        </w:rPr>
        <w:t xml:space="preserve">الظاهر أنّ المراد بالشکّ فی موضوع </w:t>
      </w:r>
      <w:r>
        <w:rPr>
          <w:rStyle w:val="FootnoteAnchor"/>
          <w:rtl w:val="true"/>
        </w:rPr>
        <w:footnoteReference w:id="1138"/>
      </w:r>
      <w:r>
        <w:rPr>
          <w:rFonts w:ascii="IRNazanin" w:hAnsi="IRNazanin" w:eastAsia="IRNazanin"/>
          <w:color w:val="111111"/>
          <w:sz w:val="28"/>
          <w:sz w:val="28"/>
          <w:szCs w:val="28"/>
          <w:rtl w:val="true"/>
          <w:lang w:bidi="fa-IR"/>
        </w:rPr>
        <w:t>هذا الأصل،هو الشکّ الطارئ بسبب الغفلة عن صورة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کیفیّة غسل الید،و أنّه کان بارتماسها فی الماء،لکن شکّ فی أنّ ما تحت خاتمه ینغسل بالارتماس أم لا،ففی الحکم بعدم الالتفات،وجهان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بعض الأخبار،و من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،فإنّ التعلیل یدلّ علی تخصیص الحکم بمورده مع عموم السؤال،فیدلّ علی نفیه عن غیر مورد العلّة</w:t>
      </w:r>
      <w:r>
        <w:rPr>
          <w:rFonts w:eastAsia="IRNazanin" w:cs="IRNazanin"/>
          <w:color w:val="111111"/>
          <w:sz w:val="28"/>
          <w:szCs w:val="28"/>
          <w:rtl w:val="true"/>
          <w:lang w:bidi="fa-IR"/>
        </w:rPr>
        <w:t>.</w:t>
      </w:r>
    </w:p>
    <w:p>
      <w:pPr>
        <w:pStyle w:val="Heading6"/>
        <w:numPr>
          <w:ilvl w:val="5"/>
          <w:numId w:val="1"/>
        </w:numPr>
        <w:rPr/>
      </w:pPr>
      <w:bookmarkStart w:id="1174" w:name="__RefHeading___Toc5767719_3224264995"/>
      <w:bookmarkStart w:id="1175" w:name="_Toc468"/>
      <w:bookmarkEnd w:id="1174"/>
      <w:r>
        <w:rPr>
          <w:rtl w:val="true"/>
        </w:rPr>
        <w:t>عدم الفرق بین أن یکون المحتمل الترک نسیانا أو تعمّدا</w:t>
      </w:r>
      <w:r>
        <w:rPr>
          <w:rtl w:val="true"/>
        </w:rPr>
        <w:t>:</w:t>
      </w:r>
      <w:bookmarkEnd w:id="1175"/>
    </w:p>
    <w:p>
      <w:pPr>
        <w:pStyle w:val="BookText"/>
        <w:rPr/>
      </w:pPr>
      <w:r>
        <w:rPr>
          <w:rFonts w:ascii="IRNazanin" w:hAnsi="IRNazanin" w:eastAsia="IRNazanin"/>
          <w:color w:val="111111"/>
          <w:sz w:val="28"/>
          <w:sz w:val="28"/>
          <w:szCs w:val="28"/>
          <w:rtl w:val="true"/>
          <w:lang w:bidi="fa-IR"/>
        </w:rPr>
        <w:t xml:space="preserve">نعم،لا فرق بین أن یکون المحتمل ترک الجزء نسیانا،أو ترکه تعمّدا، و </w:t>
      </w:r>
      <w:r>
        <w:rPr>
          <w:rStyle w:val="FootnoteAnchor"/>
          <w:rtl w:val="true"/>
        </w:rPr>
        <w:footnoteReference w:id="1140"/>
      </w:r>
      <w:r>
        <w:rPr>
          <w:rFonts w:ascii="IRNazanin" w:hAnsi="IRNazanin" w:eastAsia="IRNazanin"/>
          <w:color w:val="111111"/>
          <w:sz w:val="28"/>
          <w:sz w:val="28"/>
          <w:szCs w:val="28"/>
          <w:rtl w:val="true"/>
          <w:lang w:bidi="fa-IR"/>
        </w:rPr>
        <w:t xml:space="preserve">التعلیل المذکور بضمیمة الکبری المتقدّمة </w:t>
      </w:r>
      <w:r>
        <w:rPr>
          <w:rStyle w:val="FootnoteAnchor"/>
          <w:rtl w:val="true"/>
        </w:rPr>
        <w:footnoteReference w:id="1141"/>
      </w:r>
      <w:r>
        <w:rPr>
          <w:rFonts w:ascii="IRNazanin" w:hAnsi="IRNazanin" w:eastAsia="IRNazanin"/>
          <w:color w:val="111111"/>
          <w:sz w:val="28"/>
          <w:sz w:val="28"/>
          <w:szCs w:val="28"/>
          <w:rtl w:val="true"/>
          <w:lang w:bidi="fa-IR"/>
        </w:rPr>
        <w:t>یدلّ علی نفی الاحتمالین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الشکّ من جهة احتمال وجود الحائل علی البدن،ففی شمول الأخبار له،الوجهان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یجری هنا أصالة عدم الحائل، فیحکم بعدمه حتّی لو لم یفرغ عن الوضوء،بل لم یشرع فی غسل موضع احتمال الحائل،لکنّه من الاصول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بعض الکلام فی ذلک فی بعض الامور المتقدّمة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1176" w:name="pg12985_125193"/>
    </w:p>
    <w:p>
      <w:pPr>
        <w:pStyle w:val="Heading6"/>
        <w:numPr>
          <w:ilvl w:val="5"/>
          <w:numId w:val="1"/>
        </w:numPr>
        <w:rPr/>
      </w:pPr>
      <w:bookmarkStart w:id="1177" w:name="__RefHeading___Toc5767721_3224264995"/>
      <w:bookmarkStart w:id="1178" w:name="_Toc469"/>
      <w:bookmarkEnd w:id="1176"/>
      <w:bookmarkEnd w:id="1177"/>
      <w:r>
        <w:rPr>
          <w:rtl w:val="true"/>
        </w:rPr>
        <w:t>المسألة الثالثة فی أصالة الصحّة فی فعل الغیر</w:t>
      </w:r>
      <w:bookmarkEnd w:id="1178"/>
    </w:p>
    <w:p>
      <w:pPr>
        <w:pStyle w:val="Heading6"/>
        <w:numPr>
          <w:ilvl w:val="5"/>
          <w:numId w:val="1"/>
        </w:numPr>
        <w:rPr/>
      </w:pPr>
      <w:bookmarkStart w:id="1179" w:name="__RefHeading___Toc5767723_3224264995"/>
      <w:bookmarkStart w:id="1180" w:name="_Toc470"/>
      <w:bookmarkEnd w:id="1179"/>
      <w:r>
        <w:rPr>
          <w:rtl w:val="true"/>
        </w:rPr>
        <w:t>أصالة الصحّة من الاصول المجمع علیها بین المسلمین</w:t>
      </w:r>
      <w:r>
        <w:rPr>
          <w:rtl w:val="true"/>
        </w:rPr>
        <w:t>:</w:t>
      </w:r>
      <w:bookmarkEnd w:id="1180"/>
    </w:p>
    <w:p>
      <w:pPr>
        <w:pStyle w:val="BookText"/>
        <w:rPr/>
      </w:pPr>
      <w:r>
        <w:rPr>
          <w:rFonts w:ascii="IRNazanin" w:hAnsi="IRNazanin" w:eastAsia="IRNazanin"/>
          <w:color w:val="111111"/>
          <w:sz w:val="28"/>
          <w:sz w:val="28"/>
          <w:szCs w:val="28"/>
          <w:rtl w:val="true"/>
          <w:lang w:bidi="fa-IR"/>
        </w:rPr>
        <w:t xml:space="preserve">و هی فی الجملة من الاصول المجمع علیها فتوی و عملا </w:t>
      </w:r>
      <w:r>
        <w:rPr>
          <w:rStyle w:val="FootnoteAnchor"/>
          <w:rtl w:val="true"/>
        </w:rPr>
        <w:footnoteReference w:id="1143"/>
      </w:r>
      <w:r>
        <w:rPr>
          <w:rFonts w:ascii="IRNazanin" w:hAnsi="IRNazanin" w:eastAsia="IRNazanin"/>
          <w:color w:val="111111"/>
          <w:sz w:val="28"/>
          <w:sz w:val="28"/>
          <w:szCs w:val="28"/>
          <w:rtl w:val="true"/>
          <w:lang w:bidi="fa-IR"/>
        </w:rPr>
        <w:t xml:space="preserve">بین المسلمین،فلا عبرة فی موردها بأصالة الفساد المتّفق علیها عند الشکّ </w:t>
      </w:r>
      <w:r>
        <w:rPr>
          <w:rStyle w:val="FootnoteAnchor"/>
          <w:rtl w:val="true"/>
        </w:rPr>
        <w:footnoteReference w:id="1144"/>
      </w:r>
      <w:r>
        <w:rPr>
          <w:rFonts w:ascii="IRNazanin" w:hAnsi="IRNazanin" w:eastAsia="IRNazanin"/>
          <w:color w:val="111111"/>
          <w:sz w:val="28"/>
          <w:sz w:val="28"/>
          <w:szCs w:val="28"/>
          <w:rtl w:val="true"/>
          <w:lang w:bidi="fa-IR"/>
        </w:rPr>
        <w:t>، إلاّ أنّ معرفة مواردها،و مقدار ما یترتّب علیها من الآثار،و معرفة حالها عند مقابلتها لما عدا أصالة الفساد من الاصول،یتوقّف علی بیان مدرکها من الأدلّة الأربعة</w:t>
      </w:r>
      <w:r>
        <w:rPr>
          <w:rFonts w:eastAsia="IRNazanin" w:cs="IRNazanin"/>
          <w:color w:val="111111"/>
          <w:sz w:val="28"/>
          <w:szCs w:val="28"/>
          <w:rtl w:val="true"/>
          <w:lang w:bidi="fa-IR"/>
        </w:rPr>
        <w:t>.</w:t>
      </w:r>
    </w:p>
    <w:p>
      <w:pPr>
        <w:pStyle w:val="Heading6"/>
        <w:numPr>
          <w:ilvl w:val="5"/>
          <w:numId w:val="1"/>
        </w:numPr>
        <w:rPr/>
      </w:pPr>
      <w:bookmarkStart w:id="1181" w:name="__RefHeading___Toc5767725_3224264995"/>
      <w:bookmarkStart w:id="1182" w:name="_Toc471"/>
      <w:bookmarkEnd w:id="1181"/>
      <w:r>
        <w:rPr>
          <w:rtl w:val="true"/>
        </w:rPr>
        <w:t>مدرک أصالة الصحّة</w:t>
      </w:r>
      <w:r>
        <w:rPr>
          <w:rtl w:val="true"/>
        </w:rPr>
        <w:t>:</w:t>
      </w:r>
      <w:bookmarkEnd w:id="1182"/>
    </w:p>
    <w:p>
      <w:pPr>
        <w:pStyle w:val="BookText"/>
        <w:rPr/>
      </w:pPr>
      <w:r>
        <w:rPr>
          <w:rFonts w:ascii="IRNazanin" w:hAnsi="IRNazanin" w:eastAsia="IRNazanin"/>
          <w:color w:val="111111"/>
          <w:sz w:val="28"/>
          <w:sz w:val="28"/>
          <w:szCs w:val="28"/>
          <w:rtl w:val="true"/>
          <w:lang w:bidi="fa-IR"/>
        </w:rPr>
        <w:t>و لا بدّ من تقدیم ما فیه إشارة إلی هذه القاعدة فی الجملة من الکتاب و السنّة</w:t>
      </w:r>
      <w:r>
        <w:rPr>
          <w:rFonts w:eastAsia="IRNazanin" w:cs="IRNazanin"/>
          <w:color w:val="111111"/>
          <w:sz w:val="28"/>
          <w:szCs w:val="28"/>
          <w:rtl w:val="true"/>
          <w:lang w:bidi="fa-IR"/>
        </w:rPr>
        <w:t>.</w:t>
      </w:r>
    </w:p>
    <w:p>
      <w:pPr>
        <w:pStyle w:val="Heading6"/>
        <w:numPr>
          <w:ilvl w:val="5"/>
          <w:numId w:val="1"/>
        </w:numPr>
        <w:rPr/>
      </w:pPr>
      <w:bookmarkStart w:id="1183" w:name="__RefHeading___Toc5767727_3224264995"/>
      <w:bookmarkStart w:id="1184" w:name="_Toc472"/>
      <w:bookmarkEnd w:id="1183"/>
      <w:r>
        <w:rPr>
          <w:rtl w:val="true"/>
        </w:rPr>
        <w:t>الاستدلال بالآیات و المناقشة فیه</w:t>
      </w:r>
      <w:r>
        <w:rPr>
          <w:rtl w:val="true"/>
        </w:rPr>
        <w:t>:</w:t>
      </w:r>
      <w:bookmarkEnd w:id="1184"/>
    </w:p>
    <w:p>
      <w:pPr>
        <w:pStyle w:val="BookText"/>
        <w:rPr/>
      </w:pPr>
      <w:r>
        <w:rPr>
          <w:rFonts w:ascii="IRNazanin" w:hAnsi="IRNazanin" w:eastAsia="IRNazanin"/>
          <w:color w:val="111111"/>
          <w:sz w:val="28"/>
          <w:sz w:val="28"/>
          <w:szCs w:val="28"/>
          <w:rtl w:val="true"/>
          <w:lang w:bidi="fa-IR"/>
        </w:rPr>
        <w:t>أمّا الکتاب،فمنه آیات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w:t>
      </w:r>
      <w:r>
        <w:rPr>
          <w:rStyle w:val="FootnoteAnchor"/>
          <w:rtl w:val="true"/>
        </w:rPr>
        <w:footnoteReference w:id="1145"/>
      </w:r>
      <w:r>
        <w:rPr>
          <w:rFonts w:ascii="IRNazanin" w:hAnsi="IRNazanin" w:eastAsia="IRNazanin"/>
          <w:color w:val="111111"/>
          <w:sz w:val="28"/>
          <w:sz w:val="28"/>
          <w:szCs w:val="28"/>
          <w:rtl w:val="true"/>
          <w:lang w:bidi="fa-IR"/>
        </w:rPr>
        <w:t>،بناء علی تفسیره بما فی الکافی،من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إلاّ خیرا حتّی تعلموا ما هو</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و لعلّ مبناه علی إرادة الظنّ و الاعتقاد من القول</w:t>
      </w:r>
      <w:r>
        <w:rPr>
          <w:rFonts w:eastAsia="IRNazanin" w:cs="IRNazanin"/>
          <w:color w:val="111111"/>
          <w:sz w:val="28"/>
          <w:szCs w:val="28"/>
          <w:rtl w:val="true"/>
          <w:lang w:bidi="fa-IR"/>
        </w:rPr>
        <w:t xml:space="preserve">. </w:t>
      </w:r>
      <w:bookmarkStart w:id="1185" w:name="pg12985_125194"/>
    </w:p>
    <w:p>
      <w:pPr>
        <w:pStyle w:val="BookText"/>
        <w:rPr/>
      </w:pPr>
      <w:bookmarkEnd w:id="118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إِنَّ بَعْضَ الظَّنِّ إِثْمٌ </w:t>
      </w:r>
      <w:r>
        <w:rPr>
          <w:rStyle w:val="FootnoteAnchor"/>
          <w:rtl w:val="true"/>
        </w:rPr>
        <w:footnoteReference w:id="1147"/>
      </w:r>
      <w:r>
        <w:rPr>
          <w:rFonts w:ascii="IRNazanin" w:hAnsi="IRNazanin" w:eastAsia="IRNazanin"/>
          <w:color w:val="111111"/>
          <w:sz w:val="28"/>
          <w:sz w:val="28"/>
          <w:szCs w:val="28"/>
          <w:rtl w:val="true"/>
          <w:lang w:bidi="fa-IR"/>
        </w:rPr>
        <w:t>،فإنّ ظنّ السوء إثم،و إلاّ لم یکن شیء من الظنّ إثما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48"/>
      </w:r>
      <w:r>
        <w:rPr>
          <w:rFonts w:ascii="Amiri" w:hAnsi="Amiri" w:eastAsia="Amiri" w:cs="Amiri"/>
          <w:color w:val="111111"/>
          <w:sz w:val="28"/>
          <w:sz w:val="28"/>
          <w:szCs w:val="28"/>
          <w:rtl w:val="true"/>
          <w:lang w:bidi="ar-SA"/>
        </w:rPr>
        <w:t>،بناء علی أنّ الخارج من عمومه لیس إلاّ ما علم فساده؛لأنّه المتیقّن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 یظهر من المحقّق الثانی،حیث تمسّک فی مسألة بیع الراهن مدّعیا لسبق إذن المرتهن،و أنکر المرتهن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صحّة البیع و لزومه و وجوب الوفاء بالعقد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ما فیه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دلالة الآیتین الاولیتین</w:t>
      </w:r>
      <w:r>
        <w:rPr>
          <w:rFonts w:eastAsia="IRNazanin" w:cs="IRNazanin"/>
          <w:color w:val="111111"/>
          <w:sz w:val="28"/>
          <w:szCs w:val="28"/>
          <w:rtl w:val="true"/>
          <w:lang w:bidi="fa-IR"/>
        </w:rPr>
        <w:t>.</w:t>
      </w:r>
    </w:p>
    <w:p>
      <w:pPr>
        <w:pStyle w:val="Heading6"/>
        <w:numPr>
          <w:ilvl w:val="5"/>
          <w:numId w:val="1"/>
        </w:numPr>
        <w:rPr/>
      </w:pPr>
      <w:bookmarkStart w:id="1186" w:name="__RefHeading___Toc5767729_3224264995"/>
      <w:bookmarkStart w:id="1187" w:name="_Toc473"/>
      <w:bookmarkEnd w:id="1186"/>
      <w:r>
        <w:rPr>
          <w:rtl w:val="true"/>
        </w:rPr>
        <w:t>و أمّا السنّة</w:t>
      </w:r>
      <w:r>
        <w:rPr>
          <w:rtl w:val="true"/>
        </w:rPr>
        <w:t xml:space="preserve">: </w:t>
      </w:r>
      <w:r>
        <w:rPr>
          <w:rtl w:val="true"/>
        </w:rPr>
        <w:t>الاستدلال بالأخبار</w:t>
      </w:r>
      <w:bookmarkEnd w:id="11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الکافی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یقلّبک عنه،و لا تظنّنّ بکلمة خرجت من أخیک سوءا و أنت تجد لها فی الخیر سبیلا</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1188" w:name="pg12985_125195"/>
    </w:p>
    <w:p>
      <w:pPr>
        <w:pStyle w:val="BookText"/>
        <w:rPr/>
      </w:pPr>
      <w:bookmarkEnd w:id="118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علیه السّلام لمحمّد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محمّد،کذّب سمعک و بصرک عن أخیک،فإن شهد عندک خمسون قسامة أنّه قال،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أقل،فصدّقه و کذّبهم</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مستفیضا،من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یتّهم أخاه</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أخاه انماث الإیمان فی قلبه،کما ینماث الملح فی الماء</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فلا حرمة بینهما</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فهو ملعون ملعون</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،إلی غیر ذلک من الأخبار المشتملة علی هذه المضامین،أو ما یقرب منها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9" w:name="__RefHeading___Toc5767731_3224264995"/>
      <w:bookmarkStart w:id="1190" w:name="_Toc474"/>
      <w:bookmarkEnd w:id="1189"/>
      <w:r>
        <w:rPr>
          <w:rtl w:val="true"/>
        </w:rPr>
        <w:t>المناقشة فی دلالة الأخبار</w:t>
      </w:r>
      <w:r>
        <w:rPr>
          <w:rtl w:val="true"/>
        </w:rPr>
        <w:t>:</w:t>
      </w:r>
      <w:bookmarkEnd w:id="11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دلالة هذه الأخبار إلاّ علی أنّه لا بدّ من أن یحمل ما یصدر من الفاعل علی الوجه الحسن عند الفاعل،و لا یحمل علی الوجه القبیح عنده،و هذا غیر ما نحن بصدده؛فإنّه إذا فرض دوران العقد الصادر منه بین کونه صحیحا أو فاسدا لا علی وجه قبیح،بل فرضنا الأمرین فی حقّه مباحا،کبیع الراهن بعد رجوع المرتهن عن الإذن واقعا أو قبله،فإنّ الحکم بأصالة عدم ترتّب الأثر </w:t>
      </w:r>
      <w:bookmarkStart w:id="1191" w:name="pg12985_125196"/>
    </w:p>
    <w:p>
      <w:pPr>
        <w:pStyle w:val="BookText"/>
        <w:rPr/>
      </w:pPr>
      <w:bookmarkEnd w:id="1191"/>
      <w:r>
        <w:rPr>
          <w:rFonts w:ascii="IRNazanin" w:hAnsi="IRNazanin" w:eastAsia="IRNazanin"/>
          <w:color w:val="111111"/>
          <w:sz w:val="28"/>
          <w:sz w:val="28"/>
          <w:szCs w:val="28"/>
          <w:rtl w:val="true"/>
          <w:lang w:bidi="fa-IR"/>
        </w:rPr>
        <w:t>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خروجا عن الأخبار المتقدّمة الآمرة بحسن الظنّ بالمؤمن فی المقام،خصوصا إذا کان المشکوک فعل غیر المؤمن،أو فعل المؤمن الذی یعتقد بصحّة ما هو الفاسد عند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أنّه یلزم من الحسن ترتیب الآثار،و من القبیح عدم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کالمعاملة المردّدة بین الربویّة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من الحمل علی الحسن بمقتضی تلک الأخبار الحکم بترتّب الآثار؛لأنّ مفادها الحکم بصفة الحسن فی فعل المؤمن،بمعنی عدم الجرح فی فعله، لا ترتیب جمیع آثار ذلک الفعل الحسن،أ لا تری أنّه لو دار الأمر بین کون الکلام المسموع من مؤمن بعید سلاما،أو تحیّة،أو شتما،لم یلزم من الحمل علی الحسن وجوب ردّ السلام</w:t>
      </w:r>
      <w:r>
        <w:rPr>
          <w:rFonts w:eastAsia="IRNazanin" w:cs="IRNazanin"/>
          <w:color w:val="111111"/>
          <w:sz w:val="28"/>
          <w:szCs w:val="28"/>
          <w:rtl w:val="true"/>
          <w:lang w:bidi="fa-IR"/>
        </w:rPr>
        <w:t>.</w:t>
      </w:r>
    </w:p>
    <w:p>
      <w:pPr>
        <w:pStyle w:val="Heading6"/>
        <w:numPr>
          <w:ilvl w:val="5"/>
          <w:numId w:val="1"/>
        </w:numPr>
        <w:rPr/>
      </w:pPr>
      <w:bookmarkStart w:id="1192" w:name="__RefHeading___Toc5767733_3224264995"/>
      <w:bookmarkStart w:id="1193" w:name="_Toc475"/>
      <w:bookmarkEnd w:id="1192"/>
      <w:r>
        <w:rPr>
          <w:rtl w:val="true"/>
        </w:rPr>
        <w:t>مما یوید عدم دلالة الاخبار</w:t>
      </w:r>
      <w:bookmarkEnd w:id="1193"/>
    </w:p>
    <w:p>
      <w:pPr>
        <w:pStyle w:val="BookText"/>
        <w:rPr/>
      </w:pPr>
      <w:r>
        <w:rPr>
          <w:rFonts w:ascii="IRNazanin" w:hAnsi="IRNazanin" w:eastAsia="IRNazanin"/>
          <w:color w:val="111111"/>
          <w:sz w:val="28"/>
          <w:sz w:val="28"/>
          <w:szCs w:val="28"/>
          <w:rtl w:val="true"/>
          <w:lang w:bidi="fa-IR"/>
        </w:rPr>
        <w:t>و ممّا یؤیّد ما ذکرنا،جمع الإمام علیه السّلام فی روایة محمد بن الفضل، بین تکذیب خمسین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البیّنة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الأخ المؤمن، فإنّه ممّا لا یمکن إلاّ بحمل تصدیق المؤمن علی الحکم بمطابقة الواقع، المستلزم لتکذیب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المخالفة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الحکم بصدقهم فی اعتقادهم؛لأنّهم أولی بحسن الظنّ بهم من المؤمن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تکذیب السمع و البصر تکذیبهما فیما یفهمان من ظواهر بعض الأفعال من القبح،کما إذا تری شخصا ظاهر الصحّة یشرب الخمر فی مجلس یظنّ أنّه مجلس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کان،فعدم وفاء الأخبار بما نحن بصدده أوضح من أن یحتاج إلی البیان،حتّی المرسل الأوّل،بقرینة ذکر الأخ،و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5767735_3224264995"/>
      <w:bookmarkStart w:id="1195" w:name="_Toc476"/>
      <w:bookmarkEnd w:id="1194"/>
      <w:r>
        <w:rPr>
          <w:rtl w:val="true"/>
        </w:rPr>
        <w:t>مما یوید عدم الدلالة ایضا</w:t>
      </w:r>
      <w:bookmarkEnd w:id="11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 أیضا،ما ورد فی غیر واحد من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عدم جواز الوثوق بالمؤمن کلّ الوثوق،مثل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بأخیک کلّ الثقة؛فإنّ صرعة الاسترسال لا تستقال</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نهج البلاغة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استولی الصلاح علی الزمان و أهله،ثمّ أساء رجل الظنّ برجل لم یظهر </w:t>
      </w:r>
      <w:r>
        <w:rPr>
          <w:rStyle w:val="FootnoteAnchor"/>
          <w:rtl w:val="true"/>
        </w:rPr>
        <w:footnoteReference w:id="1159"/>
      </w:r>
      <w:r>
        <w:rPr>
          <w:rFonts w:ascii="IRNazanin" w:hAnsi="IRNazanin" w:eastAsia="IRNazanin"/>
          <w:color w:val="111111"/>
          <w:sz w:val="28"/>
          <w:sz w:val="28"/>
          <w:szCs w:val="28"/>
          <w:rtl w:val="true"/>
          <w:lang w:bidi="fa-IR"/>
        </w:rPr>
        <w:t xml:space="preserve">منه خزیة </w:t>
      </w:r>
      <w:r>
        <w:rPr>
          <w:rStyle w:val="FootnoteAnchor"/>
          <w:rtl w:val="true"/>
        </w:rPr>
        <w:footnoteReference w:id="1160"/>
      </w:r>
      <w:r>
        <w:rPr>
          <w:rFonts w:ascii="IRNazanin" w:hAnsi="IRNazanin" w:eastAsia="IRNazanin"/>
          <w:color w:val="111111"/>
          <w:sz w:val="28"/>
          <w:sz w:val="28"/>
          <w:szCs w:val="28"/>
          <w:rtl w:val="true"/>
          <w:lang w:bidi="fa-IR"/>
        </w:rPr>
        <w:t>،فقد ظلم، و إذا استولی الفساد علی الزمان و أهله،ثمّ أحسن رجل الظنّ برجل، فقد غرّر</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 قول أبی الحسن علیه السّلام فی روایة محمّد بن هارون الجلاّب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الجور أغلب من الحقّ،لا یحلّ لأحد أن یظنّ بأحد خیرا،حتّی یعرف ذلک منه</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یجده المتتبّع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الجمع بینها و بین الأخبار المتقدّمة یحصل بأن یراد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ترتیب آثار التهمة،و الحمل علی الوجه الحسن من حیث مجرّد الحسن،و التوقّف فیه من حیث ترتیب سائر الآثار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ما ورد،من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یخلو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و الحسد و الطیرة،فإذا حسدت فلا تبغ،و إذا ظننت فلا تحقّق،و إذا </w:t>
      </w:r>
      <w:bookmarkStart w:id="1196" w:name="pg12985_125198"/>
    </w:p>
    <w:p>
      <w:pPr>
        <w:pStyle w:val="BookText"/>
        <w:rPr/>
      </w:pPr>
      <w:bookmarkEnd w:id="1196"/>
      <w:r>
        <w:rPr>
          <w:rFonts w:ascii="Amiri" w:hAnsi="Amiri" w:eastAsia="Amiri" w:cs="Amiri"/>
          <w:color w:val="111111"/>
          <w:sz w:val="28"/>
          <w:sz w:val="28"/>
          <w:szCs w:val="28"/>
          <w:rtl w:val="true"/>
          <w:lang w:bidi="ar-SA"/>
        </w:rPr>
        <w:t>تطیّرت فامض</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7" w:name="__RefHeading___Toc5767737_3224264995"/>
      <w:bookmarkStart w:id="1198" w:name="_Toc477"/>
      <w:bookmarkEnd w:id="1197"/>
      <w:r>
        <w:rPr>
          <w:rtl w:val="true"/>
        </w:rPr>
        <w:t>الثالث</w:t>
      </w:r>
      <w:r>
        <w:rPr>
          <w:rtl w:val="true"/>
        </w:rPr>
        <w:t>:</w:t>
      </w:r>
      <w:r>
        <w:rPr>
          <w:rtl w:val="true"/>
        </w:rPr>
        <w:t>الإجماع القولیّ و العملیّ</w:t>
      </w:r>
      <w:bookmarkEnd w:id="1198"/>
    </w:p>
    <w:p>
      <w:pPr>
        <w:pStyle w:val="BookText"/>
        <w:rPr/>
      </w:pPr>
      <w:r>
        <w:rPr>
          <w:rFonts w:ascii="IRNazanin" w:hAnsi="IRNazanin" w:eastAsia="IRNazanin"/>
          <w:color w:val="111111"/>
          <w:sz w:val="28"/>
          <w:sz w:val="28"/>
          <w:szCs w:val="28"/>
          <w:rtl w:val="true"/>
          <w:lang w:bidi="fa-IR"/>
        </w:rPr>
        <w:t xml:space="preserve">أمّا القولیّ ،فهو مستفاد من تتبّع فتاوی الفقهاء فی موارد کثیرة </w:t>
      </w:r>
      <w:r>
        <w:rPr>
          <w:rStyle w:val="FootnoteAnchor"/>
          <w:rtl w:val="true"/>
        </w:rPr>
        <w:footnoteReference w:id="1165"/>
      </w:r>
      <w:r>
        <w:rPr>
          <w:rFonts w:ascii="IRNazanin" w:hAnsi="IRNazanin" w:eastAsia="IRNazanin"/>
          <w:color w:val="111111"/>
          <w:sz w:val="28"/>
          <w:sz w:val="28"/>
          <w:szCs w:val="28"/>
          <w:rtl w:val="true"/>
          <w:lang w:bidi="fa-IR"/>
        </w:rPr>
        <w:t xml:space="preserve">،فإنّهم لا یختلفون فی أنّ قول مدّعی الصحّة فی الجملة مطابق للأصل و إن اختلفوا فی ترجیحه علی سائر الاصول،کما ستعرف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9" w:name="__RefHeading___Toc5767739_3224264995"/>
      <w:bookmarkStart w:id="1200" w:name="_Toc478"/>
      <w:bookmarkEnd w:id="1199"/>
      <w:r>
        <w:rPr>
          <w:rtl w:val="true"/>
        </w:rPr>
        <w:t>الاستدلال بالإجماع العملی</w:t>
      </w:r>
      <w:bookmarkEnd w:id="1200"/>
    </w:p>
    <w:p>
      <w:pPr>
        <w:pStyle w:val="BookText"/>
        <w:rPr/>
      </w:pPr>
      <w:r>
        <w:rPr>
          <w:rFonts w:ascii="IRNazanin" w:hAnsi="IRNazanin" w:eastAsia="IRNazanin"/>
          <w:color w:val="111111"/>
          <w:sz w:val="28"/>
          <w:sz w:val="28"/>
          <w:szCs w:val="28"/>
          <w:rtl w:val="true"/>
          <w:lang w:bidi="fa-IR"/>
        </w:rPr>
        <w:t>و أمّا العملیّ،فلا یخفی علی أحد أنّ سیرة المسلمین فی جمیع الأعصار،علی حمل الأعمال علی الصحیح،و ترتیب آثار الصحّة فی عباداتهم و معاملاتهم،و لا أظنّ أحدا ینکر ذلک إلاّ مکابرة</w:t>
      </w:r>
      <w:r>
        <w:rPr>
          <w:rFonts w:eastAsia="IRNazanin" w:cs="IRNazanin"/>
          <w:color w:val="111111"/>
          <w:sz w:val="28"/>
          <w:szCs w:val="28"/>
          <w:rtl w:val="true"/>
          <w:lang w:bidi="fa-IR"/>
        </w:rPr>
        <w:t>.</w:t>
      </w:r>
    </w:p>
    <w:p>
      <w:pPr>
        <w:pStyle w:val="Heading6"/>
        <w:numPr>
          <w:ilvl w:val="5"/>
          <w:numId w:val="1"/>
        </w:numPr>
        <w:rPr/>
      </w:pPr>
      <w:bookmarkStart w:id="1201" w:name="__RefHeading___Toc5767741_3224264995"/>
      <w:bookmarkStart w:id="1202" w:name="_Toc479"/>
      <w:bookmarkEnd w:id="1201"/>
      <w:r>
        <w:rPr>
          <w:rtl w:val="true"/>
        </w:rPr>
        <w:t>الرابع</w:t>
      </w:r>
      <w:r>
        <w:rPr>
          <w:rtl w:val="true"/>
        </w:rPr>
        <w:t>:</w:t>
      </w:r>
      <w:r>
        <w:rPr>
          <w:rtl w:val="true"/>
        </w:rPr>
        <w:t>العقل المستقلّ</w:t>
      </w:r>
      <w:bookmarkEnd w:id="1202"/>
    </w:p>
    <w:p>
      <w:pPr>
        <w:pStyle w:val="BookText"/>
        <w:rPr/>
      </w:pPr>
      <w:r>
        <w:rPr>
          <w:rFonts w:ascii="IRNazanin" w:hAnsi="IRNazanin" w:eastAsia="IRNazanin"/>
          <w:color w:val="111111"/>
          <w:sz w:val="28"/>
          <w:sz w:val="28"/>
          <w:szCs w:val="28"/>
          <w:rtl w:val="true"/>
          <w:lang w:bidi="fa-IR"/>
        </w:rPr>
        <w:t>الحاکم بأنّه لو لم یبن علی هذا الأصل لزم اختلال نظام المعاد و المعاش،بل الاختلال الحاصل من ترک العمل بهذا الأصل أزید من الاختلال الحاصل من ترک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الإمام علیه السّلام قال لحفص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بأنّ الید دلیل الملک،و یجوز الشهادة بالملک بمجرّد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لا ذلک لما قام للمسلمین سوق</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،فیدلّ بفحواه علی اعتبار أصالة الصحّة فی أعمال </w:t>
      </w:r>
    </w:p>
    <w:p>
      <w:pPr>
        <w:pStyle w:val="BookText"/>
        <w:rPr/>
      </w:pPr>
      <w:r>
        <w:rPr>
          <w:rFonts w:ascii="IRNazanin" w:hAnsi="IRNazanin" w:eastAsia="IRNazanin"/>
          <w:color w:val="111111"/>
          <w:sz w:val="28"/>
          <w:sz w:val="28"/>
          <w:szCs w:val="28"/>
          <w:rtl w:val="true"/>
          <w:lang w:bidi="fa-IR"/>
        </w:rPr>
        <w:t>المسلمین،مضافا إلی دلالته بظاهر اللفظ؛حیث إنّ الظاهر أنّ کلّ ما لولاه لزم الاختلال فهو حقّ؛لأنّ الاختلال باطل،و المستلزم للباطل باطل،فنقیضه حقّ،و هو اعتبار أصالة الصحّة عند الشکّ فی صحّة ما صدر عن الغیر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نفی الحرج </w:t>
      </w:r>
      <w:r>
        <w:rPr>
          <w:rStyle w:val="FootnoteAnchor"/>
          <w:rtl w:val="true"/>
        </w:rPr>
        <w:footnoteReference w:id="1168"/>
      </w:r>
      <w:r>
        <w:rPr>
          <w:rFonts w:ascii="IRNazanin" w:hAnsi="IRNazanin" w:eastAsia="IRNazanin"/>
          <w:color w:val="111111"/>
          <w:sz w:val="28"/>
          <w:sz w:val="28"/>
          <w:szCs w:val="28"/>
          <w:rtl w:val="true"/>
          <w:lang w:bidi="fa-IR"/>
        </w:rPr>
        <w:t xml:space="preserve">،و توسعة الدین </w:t>
      </w:r>
      <w:r>
        <w:rPr>
          <w:rStyle w:val="FootnoteAnchor"/>
          <w:rtl w:val="true"/>
        </w:rPr>
        <w:footnoteReference w:id="1169"/>
      </w:r>
      <w:r>
        <w:rPr>
          <w:rFonts w:ascii="IRNazanin" w:hAnsi="IRNazanin" w:eastAsia="IRNazanin"/>
          <w:color w:val="111111"/>
          <w:sz w:val="28"/>
          <w:sz w:val="28"/>
          <w:szCs w:val="28"/>
          <w:rtl w:val="true"/>
          <w:lang w:bidi="fa-IR"/>
        </w:rPr>
        <w:t xml:space="preserve">، و ذمّ من ضیّقوا علی أنفسهم بجهالتهم </w:t>
      </w:r>
      <w:r>
        <w:rPr>
          <w:rStyle w:val="FootnoteAnchor"/>
          <w:rtl w:val="true"/>
        </w:rPr>
        <w:footnoteReference w:id="1170"/>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12985_125201"/>
      <w:bookmarkStart w:id="1204" w:name="pg12985_125201"/>
      <w:bookmarkEnd w:id="1204"/>
    </w:p>
    <w:p>
      <w:pPr>
        <w:pStyle w:val="Heading6"/>
        <w:numPr>
          <w:ilvl w:val="5"/>
          <w:numId w:val="1"/>
        </w:numPr>
        <w:rPr/>
      </w:pPr>
      <w:bookmarkStart w:id="1205" w:name="pg12985_125201"/>
      <w:bookmarkStart w:id="1206" w:name="__RefHeading___Toc5767743_3224264995"/>
      <w:bookmarkStart w:id="1207" w:name="_Toc480"/>
      <w:bookmarkEnd w:id="1205"/>
      <w:bookmarkEnd w:id="1206"/>
      <w:r>
        <w:rPr>
          <w:rtl w:val="true"/>
        </w:rPr>
        <w:t>و ینبغی التنبیه علی أمور</w:t>
      </w:r>
      <w:r>
        <w:rPr>
          <w:rtl w:val="true"/>
        </w:rPr>
        <w:t>:</w:t>
      </w:r>
      <w:bookmarkEnd w:id="1207"/>
    </w:p>
    <w:p>
      <w:pPr>
        <w:pStyle w:val="Heading6"/>
        <w:numPr>
          <w:ilvl w:val="5"/>
          <w:numId w:val="1"/>
        </w:numPr>
        <w:rPr/>
      </w:pPr>
      <w:bookmarkStart w:id="1208" w:name="__RefHeading___Toc5767745_3224264995"/>
      <w:bookmarkStart w:id="1209" w:name="_Toc481"/>
      <w:bookmarkEnd w:id="1208"/>
      <w:r>
        <w:rPr>
          <w:rtl w:val="true"/>
        </w:rPr>
        <w:t xml:space="preserve">الأمر  الأوّل </w:t>
      </w:r>
      <w:r>
        <w:rPr>
          <w:rtl w:val="true"/>
        </w:rPr>
        <w:t>:</w:t>
      </w:r>
      <w:r>
        <w:rPr>
          <w:rtl w:val="true"/>
        </w:rPr>
        <w:t>هل یحمل فعل المسلم علی الصحّة الواقعیّة أو الصحّة عند الفاعل؟</w:t>
      </w:r>
      <w:bookmarkEnd w:id="120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المحمول علیه فعل المسلم،هل الصحّة باعتقاد الفاعل أو الصحّة الواقعیّة؟ </w:t>
      </w:r>
      <w:bookmarkStart w:id="1210" w:name="pg12985_125202"/>
    </w:p>
    <w:p>
      <w:pPr>
        <w:pStyle w:val="BookText"/>
        <w:rPr/>
      </w:pPr>
      <w:bookmarkEnd w:id="1210"/>
      <w:r>
        <w:rPr>
          <w:rFonts w:ascii="IRNazanin" w:hAnsi="IRNazanin" w:eastAsia="IRNazanin"/>
          <w:color w:val="111111"/>
          <w:sz w:val="28"/>
          <w:sz w:val="28"/>
          <w:szCs w:val="28"/>
          <w:rtl w:val="true"/>
          <w:lang w:bidi="fa-IR"/>
        </w:rPr>
        <w:t>فلو علم أنّ معتقد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یعذر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البیع أو النکاح بالفارسیة </w:t>
      </w:r>
      <w:r>
        <w:rPr>
          <w:rStyle w:val="FootnoteAnchor"/>
          <w:rtl w:val="true"/>
        </w:rPr>
        <w:footnoteReference w:id="1172"/>
      </w:r>
      <w:r>
        <w:rPr>
          <w:rFonts w:ascii="IRNazanin" w:hAnsi="IRNazanin" w:eastAsia="IRNazanin"/>
          <w:color w:val="111111"/>
          <w:sz w:val="28"/>
          <w:sz w:val="28"/>
          <w:szCs w:val="28"/>
          <w:rtl w:val="true"/>
          <w:lang w:bidi="fa-IR"/>
        </w:rPr>
        <w:t xml:space="preserve">فی العقد،فشکّ فیما صدر عنه،مع اعتقاد الشاکّ اعتبار العربیّة </w:t>
      </w:r>
      <w:r>
        <w:rPr>
          <w:rStyle w:val="FootnoteAnchor"/>
          <w:rtl w:val="true"/>
        </w:rPr>
        <w:footnoteReference w:id="1173"/>
      </w:r>
      <w:r>
        <w:rPr>
          <w:rFonts w:ascii="IRNazanin" w:hAnsi="IRNazanin" w:eastAsia="IRNazanin"/>
          <w:color w:val="111111"/>
          <w:sz w:val="28"/>
          <w:sz w:val="28"/>
          <w:szCs w:val="28"/>
          <w:rtl w:val="true"/>
          <w:lang w:bidi="fa-IR"/>
        </w:rPr>
        <w:t>،فهل یحمل علی کونه واقعا بالعربیّة،حتّی إذا ادّعی علیه أنّه أوقعه بالفارسیّة،و ادّعی هو أنّه أوقعه بالعربیّة،فهل یحکم الحاکم المعتقد بفساد الفارسیّة،بوقوعه بالعربیّة أم لا؟وجهان،بل قولان</w:t>
      </w:r>
      <w:r>
        <w:rPr>
          <w:rFonts w:eastAsia="IRNazanin" w:cs="IRNazanin"/>
          <w:color w:val="111111"/>
          <w:sz w:val="28"/>
          <w:szCs w:val="28"/>
          <w:rtl w:val="true"/>
          <w:lang w:bidi="fa-IR"/>
        </w:rPr>
        <w:t>:</w:t>
      </w:r>
    </w:p>
    <w:p>
      <w:pPr>
        <w:pStyle w:val="Heading6"/>
        <w:numPr>
          <w:ilvl w:val="5"/>
          <w:numId w:val="1"/>
        </w:numPr>
        <w:rPr/>
      </w:pPr>
      <w:bookmarkStart w:id="1211" w:name="__RefHeading___Toc5767747_3224264995"/>
      <w:bookmarkStart w:id="1212" w:name="_Toc482"/>
      <w:bookmarkEnd w:id="1211"/>
      <w:r>
        <w:rPr>
          <w:rtl w:val="true"/>
        </w:rPr>
        <w:t>ظاهر المشهور الحمل علی الصحّة الواقعیّة</w:t>
      </w:r>
      <w:bookmarkEnd w:id="1212"/>
    </w:p>
    <w:p>
      <w:pPr>
        <w:pStyle w:val="BookText"/>
        <w:rPr/>
      </w:pPr>
      <w:r>
        <w:rPr>
          <w:rFonts w:ascii="IRNazanin" w:hAnsi="IRNazanin" w:eastAsia="IRNazanin"/>
          <w:color w:val="111111"/>
          <w:sz w:val="28"/>
          <w:sz w:val="28"/>
          <w:szCs w:val="28"/>
          <w:rtl w:val="true"/>
          <w:lang w:bidi="fa-IR"/>
        </w:rPr>
        <w:t xml:space="preserve">ظاهر المشهور الحمل علی الصحّة الواقعیّة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،فإذا شکّ المأموم فی أنّ الإمام المعتقد بعدم وجوب السورة،قرأها أم لا؟جاز له الائتمام به،و إن لم یکن له ذلک إذا علم بترکها</w:t>
      </w:r>
      <w:r>
        <w:rPr>
          <w:rFonts w:eastAsia="IRNazanin" w:cs="IRNazanin"/>
          <w:color w:val="111111"/>
          <w:sz w:val="28"/>
          <w:szCs w:val="28"/>
          <w:rtl w:val="true"/>
          <w:lang w:bidi="fa-IR"/>
        </w:rPr>
        <w:t>.</w:t>
      </w:r>
    </w:p>
    <w:p>
      <w:pPr>
        <w:pStyle w:val="Heading6"/>
        <w:numPr>
          <w:ilvl w:val="5"/>
          <w:numId w:val="1"/>
        </w:numPr>
        <w:rPr/>
      </w:pPr>
      <w:bookmarkStart w:id="1213" w:name="__RefHeading___Toc5767749_3224264995"/>
      <w:bookmarkStart w:id="1214" w:name="_Toc483"/>
      <w:bookmarkEnd w:id="1213"/>
      <w:r>
        <w:rPr>
          <w:rtl w:val="true"/>
        </w:rPr>
        <w:t>ظاهر بعض المتأخّرین الحمل علی الصحّة باعتقاد الفاعل</w:t>
      </w:r>
      <w:r>
        <w:rPr>
          <w:rtl w:val="true"/>
        </w:rPr>
        <w:t>:</w:t>
      </w:r>
      <w:bookmarkEnd w:id="1214"/>
    </w:p>
    <w:p>
      <w:pPr>
        <w:pStyle w:val="BookText"/>
        <w:rPr/>
      </w:pPr>
      <w:r>
        <w:rPr>
          <w:rFonts w:ascii="IRNazanin" w:hAnsi="IRNazanin" w:eastAsia="IRNazanin"/>
          <w:color w:val="111111"/>
          <w:sz w:val="28"/>
          <w:sz w:val="28"/>
          <w:szCs w:val="28"/>
          <w:rtl w:val="true"/>
          <w:lang w:bidi="fa-IR"/>
        </w:rPr>
        <w:t>و یظهر من بعض المتأخّرین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الزوجان فادّعی أحدهما وقوع العقد فی حال الإحرام و أنکر الآخر،فالقول قول من یدّعی الإحلال ترجیحا لجانب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الحمل علی الصحّة إنّما یتمّ إذا کان المدّعی لوقوع الفعل فی حال الإحرام عالما بفساد ذلک،أمّا مع اعترافهما بالجهل،فلا وجه للحمل علی الصحّة </w:t>
      </w:r>
      <w:r>
        <w:rPr>
          <w:rStyle w:val="FootnoteAnchor"/>
          <w:rtl w:val="true"/>
        </w:rPr>
        <w:footnoteReference w:id="11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ذلک من بعض من عاصرناه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اصوله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bookmarkStart w:id="1215" w:name="pg12985_125203"/>
    </w:p>
    <w:p>
      <w:pPr>
        <w:pStyle w:val="BookText"/>
        <w:rPr/>
      </w:pPr>
      <w:bookmarkEnd w:id="1215"/>
      <w:r>
        <w:rPr>
          <w:rFonts w:ascii="IRNazanin" w:hAnsi="IRNazanin" w:eastAsia="IRNazanin"/>
          <w:color w:val="111111"/>
          <w:sz w:val="28"/>
          <w:sz w:val="28"/>
          <w:szCs w:val="28"/>
          <w:rtl w:val="true"/>
          <w:lang w:bidi="fa-IR"/>
        </w:rPr>
        <w:t>تمسّک لهذا الأصل بالغلبة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یمکن إسناد هذا القول إلی کلّ من استند فی هذا الأصل إلی ظاهر حال المسلم،کالعلاّمة </w:t>
      </w:r>
      <w:r>
        <w:rPr>
          <w:rStyle w:val="FootnoteAnchor"/>
          <w:rtl w:val="true"/>
        </w:rPr>
        <w:footnoteReference w:id="1177"/>
      </w:r>
      <w:r>
        <w:rPr>
          <w:rFonts w:ascii="Amiri" w:hAnsi="Amiri" w:eastAsia="Amiri" w:cs="Amiri"/>
          <w:color w:val="111111"/>
          <w:sz w:val="28"/>
          <w:sz w:val="28"/>
          <w:szCs w:val="28"/>
          <w:rtl w:val="true"/>
          <w:lang w:bidi="ar-SA"/>
        </w:rPr>
        <w:t xml:space="preserve">و جماعة ممّن تأخّر عنه </w:t>
      </w:r>
      <w:r>
        <w:rPr>
          <w:rStyle w:val="FootnoteAnchor"/>
          <w:rtl w:val="true"/>
        </w:rPr>
        <w:footnoteReference w:id="1178"/>
      </w:r>
      <w:r>
        <w:rPr>
          <w:rFonts w:ascii="Amiri" w:hAnsi="Amiri" w:eastAsia="Amiri" w:cs="Amiri"/>
          <w:color w:val="111111"/>
          <w:sz w:val="28"/>
          <w:sz w:val="28"/>
          <w:szCs w:val="28"/>
          <w:rtl w:val="true"/>
          <w:lang w:bidi="ar-SA"/>
        </w:rPr>
        <w:t xml:space="preserve">،فإنّه لا یشمل إلاّ </w:t>
      </w:r>
      <w:r>
        <w:rPr>
          <w:rStyle w:val="FootnoteAnchor"/>
          <w:rtl w:val="true"/>
        </w:rPr>
        <w:footnoteReference w:id="1179"/>
      </w:r>
      <w:r>
        <w:rPr>
          <w:rFonts w:ascii="IRNazanin" w:hAnsi="IRNazanin" w:eastAsia="IRNazanin"/>
          <w:color w:val="111111"/>
          <w:sz w:val="28"/>
          <w:sz w:val="28"/>
          <w:szCs w:val="28"/>
          <w:rtl w:val="true"/>
          <w:lang w:bidi="fa-IR"/>
        </w:rPr>
        <w:t>صورة اعتقاد الصحّة،خصوصا إذا کان قد أمضاه الشارع لاجتهاد أو تقلید أو قیام بیّنة أو غیر ذلک</w:t>
      </w:r>
      <w:r>
        <w:rPr>
          <w:rFonts w:eastAsia="IRNazanin" w:cs="IRNazanin"/>
          <w:color w:val="111111"/>
          <w:sz w:val="28"/>
          <w:szCs w:val="28"/>
          <w:rtl w:val="true"/>
          <w:lang w:bidi="fa-IR"/>
        </w:rPr>
        <w:t>.</w:t>
      </w:r>
    </w:p>
    <w:p>
      <w:pPr>
        <w:pStyle w:val="Heading6"/>
        <w:numPr>
          <w:ilvl w:val="5"/>
          <w:numId w:val="1"/>
        </w:numPr>
        <w:rPr/>
      </w:pPr>
      <w:bookmarkStart w:id="1216" w:name="__RefHeading___Toc5767751_3224264995"/>
      <w:bookmarkStart w:id="1217" w:name="_Toc484"/>
      <w:bookmarkEnd w:id="1216"/>
      <w:r>
        <w:rPr>
          <w:rtl w:val="true"/>
        </w:rPr>
        <w:t>و المسألة محلّ إشکال</w:t>
      </w:r>
      <w:r>
        <w:rPr>
          <w:rtl w:val="true"/>
        </w:rPr>
        <w:t>:</w:t>
      </w:r>
      <w:bookmarkEnd w:id="1217"/>
    </w:p>
    <w:p>
      <w:pPr>
        <w:pStyle w:val="BookText"/>
        <w:rPr/>
      </w:pPr>
      <w:r>
        <w:rPr>
          <w:rFonts w:ascii="IRNazanin" w:hAnsi="IRNazanin" w:eastAsia="IRNazanin"/>
          <w:color w:val="111111"/>
          <w:sz w:val="28"/>
          <w:sz w:val="28"/>
          <w:szCs w:val="28"/>
          <w:rtl w:val="true"/>
          <w:lang w:bidi="fa-IR"/>
        </w:rPr>
        <w:t>من إطلاق الأصحاب،و من عدم مساعدة أدلّتهم؛فإنّ العمدة الإجماع و لزوم الاختلال،و الإجماع الفتوائیّ مع ما عرفت مشکل،و العملیّ فی مورد العلم باعتقاد الفاعل للصحّة أیضا مشکل،و الاختلال یندفع بالحمل علی الصحّة فی غیر المورد المذکور</w:t>
      </w:r>
      <w:r>
        <w:rPr>
          <w:rFonts w:eastAsia="IRNazanin" w:cs="IRNazanin"/>
          <w:color w:val="111111"/>
          <w:sz w:val="28"/>
          <w:szCs w:val="28"/>
          <w:rtl w:val="true"/>
          <w:lang w:bidi="fa-IR"/>
        </w:rPr>
        <w:t>.</w:t>
      </w:r>
    </w:p>
    <w:p>
      <w:pPr>
        <w:pStyle w:val="Heading6"/>
        <w:numPr>
          <w:ilvl w:val="5"/>
          <w:numId w:val="1"/>
        </w:numPr>
        <w:rPr/>
      </w:pPr>
      <w:bookmarkStart w:id="1218" w:name="__RefHeading___Toc5767753_3224264995"/>
      <w:bookmarkStart w:id="1219" w:name="_Toc485"/>
      <w:bookmarkEnd w:id="1218"/>
      <w:r>
        <w:rPr>
          <w:rtl w:val="true"/>
        </w:rPr>
        <w:t>صور المسألة</w:t>
      </w:r>
      <w:r>
        <w:rPr>
          <w:rtl w:val="true"/>
        </w:rPr>
        <w:t>:</w:t>
      </w:r>
      <w:bookmarkEnd w:id="1219"/>
    </w:p>
    <w:p>
      <w:pPr>
        <w:pStyle w:val="BookText"/>
        <w:rPr/>
      </w:pP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فی الفعل الصادر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عالما بعلم الفاعل بصحیح الفعل و فاسده،و إمّا أن یکون عالما بجهله و عدم علمه،و إمّا أن یکون جاهلا بحاله</w:t>
      </w:r>
      <w:r>
        <w:rPr>
          <w:rFonts w:eastAsia="IRNazanin" w:cs="IRNazanin"/>
          <w:color w:val="111111"/>
          <w:sz w:val="28"/>
          <w:szCs w:val="28"/>
          <w:rtl w:val="true"/>
          <w:lang w:bidi="fa-IR"/>
        </w:rPr>
        <w:t>.</w:t>
      </w:r>
    </w:p>
    <w:p>
      <w:pPr>
        <w:pStyle w:val="Heading6"/>
        <w:numPr>
          <w:ilvl w:val="5"/>
          <w:numId w:val="1"/>
        </w:numPr>
        <w:rPr/>
      </w:pPr>
      <w:bookmarkStart w:id="1220" w:name="__RefHeading___Toc5767755_3224264995"/>
      <w:bookmarkStart w:id="1221" w:name="_Toc486"/>
      <w:bookmarkEnd w:id="1220"/>
      <w:r>
        <w:rPr/>
        <w:t>1</w:t>
      </w:r>
      <w:r>
        <w:rPr>
          <w:rtl w:val="true"/>
        </w:rPr>
        <w:t>-</w:t>
      </w:r>
      <w:r>
        <w:rPr>
          <w:rtl w:val="true"/>
        </w:rPr>
        <w:t>أن یعلم کون الفاعل عالما بالصحّة و الفساد</w:t>
      </w:r>
      <w:r>
        <w:rPr>
          <w:rtl w:val="true"/>
        </w:rPr>
        <w:t>:</w:t>
      </w:r>
      <w:bookmarkEnd w:id="1221"/>
    </w:p>
    <w:p>
      <w:pPr>
        <w:pStyle w:val="BookText"/>
        <w:rPr/>
      </w:pPr>
      <w:r>
        <w:rPr>
          <w:rFonts w:ascii="IRNazanin" w:hAnsi="IRNazanin" w:eastAsia="IRNazanin"/>
          <w:color w:val="111111"/>
          <w:sz w:val="28"/>
          <w:sz w:val="28"/>
          <w:szCs w:val="28"/>
          <w:rtl w:val="true"/>
          <w:lang w:bidi="fa-IR"/>
        </w:rPr>
        <w:t>فإن علم بعلمه بالصحیح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یعلم بمطابقة اعتقاده لاعتقاد الشاکّ،أو یعلم مخالفته،أو یجهل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الحمل فی الصورة الاولی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الثانیة،فإن لم یتصادق اعتقادهما بالصحّة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w:t>
      </w:r>
      <w:bookmarkStart w:id="1222" w:name="pg12985_125204"/>
    </w:p>
    <w:p>
      <w:pPr>
        <w:pStyle w:val="BookText"/>
        <w:rPr/>
      </w:pPr>
      <w:bookmarkEnd w:id="1222"/>
      <w:r>
        <w:rPr>
          <w:rFonts w:ascii="IRNazanin" w:hAnsi="IRNazanin" w:eastAsia="IRNazanin"/>
          <w:color w:val="111111"/>
          <w:sz w:val="28"/>
          <w:sz w:val="28"/>
          <w:szCs w:val="28"/>
          <w:rtl w:val="true"/>
          <w:lang w:bidi="fa-IR"/>
        </w:rPr>
        <w:t>اعتقد أحدهما وجوب الجهر بالقراءة یوم الجمعة،و الآخر وجوب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وجوب الحمل علی الصحیح باعتقاد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کمثال العقد بالعربیّة و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بالفارسیّة منه سبب لترتّب الآثار علیه من کلّ أحد حتّی المعتقد بفساده،فلا ثمرة فی الحمل علی معتقد الحامل أو الفاعل،و إن قلنا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تعمیم الأصحاب فی فتاویهم و فی بعض معاقد إجماعاتهم علی تقدیم قول مدّعی الصحّة، و من اختصاص الأدلّة بغیر هذه الصورة</w:t>
      </w:r>
      <w:r>
        <w:rPr>
          <w:rFonts w:eastAsia="IRNazanin" w:cs="IRNazanin"/>
          <w:color w:val="111111"/>
          <w:sz w:val="28"/>
          <w:szCs w:val="28"/>
          <w:rtl w:val="true"/>
          <w:lang w:bidi="fa-IR"/>
        </w:rPr>
        <w:t>.</w:t>
      </w:r>
    </w:p>
    <w:p>
      <w:pPr>
        <w:pStyle w:val="Heading6"/>
        <w:numPr>
          <w:ilvl w:val="5"/>
          <w:numId w:val="1"/>
        </w:numPr>
        <w:rPr/>
      </w:pPr>
      <w:bookmarkStart w:id="1223" w:name="__RefHeading___Toc5767757_3224264995"/>
      <w:bookmarkStart w:id="1224" w:name="_Toc487"/>
      <w:bookmarkEnd w:id="1223"/>
      <w:r>
        <w:rPr/>
        <w:t>2</w:t>
      </w:r>
      <w:r>
        <w:rPr>
          <w:rtl w:val="true"/>
        </w:rPr>
        <w:t>-</w:t>
      </w:r>
      <w:r>
        <w:rPr>
          <w:rtl w:val="true"/>
        </w:rPr>
        <w:t>أن یعلم کونه جاهلا</w:t>
      </w:r>
      <w:r>
        <w:rPr>
          <w:rtl w:val="true"/>
        </w:rPr>
        <w:t>:</w:t>
      </w:r>
      <w:bookmarkEnd w:id="1224"/>
    </w:p>
    <w:p>
      <w:pPr>
        <w:pStyle w:val="BookText"/>
        <w:rPr/>
      </w:pPr>
      <w:r>
        <w:rPr>
          <w:rFonts w:ascii="IRNazanin" w:hAnsi="IRNazanin" w:eastAsia="IRNazanin"/>
          <w:color w:val="111111"/>
          <w:sz w:val="28"/>
          <w:sz w:val="28"/>
          <w:szCs w:val="28"/>
          <w:rtl w:val="true"/>
          <w:lang w:bidi="fa-IR"/>
        </w:rPr>
        <w:t xml:space="preserve">و إن جهل الحال،فالظاهر الحمل لجریان الأدلّة،بل یمکن جریان الحمل علی الصحّة فی اعتقاده،فیحمل علی کونه مطابقا لاعتقاد الحامل؛ لأنّه الصحیح،و سیجیء </w:t>
      </w:r>
      <w:r>
        <w:rPr>
          <w:rStyle w:val="FootnoteAnchor"/>
          <w:rtl w:val="true"/>
        </w:rPr>
        <w:footnoteReference w:id="1180"/>
      </w:r>
      <w:r>
        <w:rPr>
          <w:rFonts w:ascii="IRNazanin" w:hAnsi="IRNazanin" w:eastAsia="IRNazanin"/>
          <w:color w:val="111111"/>
          <w:sz w:val="28"/>
          <w:sz w:val="28"/>
          <w:szCs w:val="28"/>
          <w:rtl w:val="true"/>
          <w:lang w:bidi="fa-IR"/>
        </w:rPr>
        <w:t xml:space="preserve">الکلام فیه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5" w:name="__RefHeading___Toc5767759_3224264995"/>
      <w:bookmarkStart w:id="1226" w:name="_Toc488"/>
      <w:bookmarkEnd w:id="1225"/>
      <w:r>
        <w:rPr/>
        <w:t>3</w:t>
      </w:r>
      <w:r>
        <w:rPr>
          <w:rtl w:val="true"/>
        </w:rPr>
        <w:t>-</w:t>
      </w:r>
      <w:r>
        <w:rPr>
          <w:rtl w:val="true"/>
        </w:rPr>
        <w:t>أن یجهل حاله</w:t>
      </w:r>
      <w:bookmarkEnd w:id="1226"/>
    </w:p>
    <w:p>
      <w:pPr>
        <w:pStyle w:val="BookText"/>
        <w:rPr/>
      </w:pPr>
      <w:r>
        <w:rPr>
          <w:rFonts w:ascii="IRNazanin" w:hAnsi="IRNazanin" w:eastAsia="IRNazanin"/>
          <w:color w:val="111111"/>
          <w:sz w:val="28"/>
          <w:sz w:val="28"/>
          <w:szCs w:val="28"/>
          <w:rtl w:val="true"/>
          <w:lang w:bidi="fa-IR"/>
        </w:rPr>
        <w:t>و إن کان عالما بجهله بالحال و عدم علمه بالصحیح و الفاسد،ففیه أیضا الاشکال المتقدّم،خصوصا إذا کان جهله مجامعا لتکلیفه بالاجتناب،کما إذا علمنا أنّه أقدم علی بیع أحد المشتبهین بالنجس،إلاّ أنّه یحتمل أن یکون قد اتّفق المبیع غیر نجس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إن کان جاهلا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الإشکال فی بعض هذه الصور أهون منه فی بعض،فلا بدّ من التتبّع و التأمّل</w:t>
      </w:r>
      <w:r>
        <w:rPr>
          <w:rFonts w:eastAsia="IRNazanin" w:cs="IRNazanin"/>
          <w:color w:val="111111"/>
          <w:sz w:val="28"/>
          <w:szCs w:val="28"/>
          <w:rtl w:val="true"/>
          <w:lang w:bidi="fa-IR"/>
        </w:rPr>
        <w:t xml:space="preserve">. </w:t>
      </w:r>
      <w:bookmarkStart w:id="1227" w:name="pg12985_125205"/>
    </w:p>
    <w:p>
      <w:pPr>
        <w:pStyle w:val="Heading6"/>
        <w:numPr>
          <w:ilvl w:val="5"/>
          <w:numId w:val="1"/>
        </w:numPr>
        <w:rPr/>
      </w:pPr>
      <w:bookmarkStart w:id="1228" w:name="__RefHeading___Toc5767761_3224264995"/>
      <w:bookmarkStart w:id="1229" w:name="_Toc489"/>
      <w:bookmarkEnd w:id="1227"/>
      <w:bookmarkEnd w:id="1228"/>
      <w:r>
        <w:rPr>
          <w:rtl w:val="true"/>
        </w:rPr>
        <w:t>الأمر  الثانی هل یعتبر فی جریان أصالة الصحّة فی العقود استکمال أرکان العقد؟</w:t>
      </w:r>
      <w:bookmarkEnd w:id="1229"/>
    </w:p>
    <w:p>
      <w:pPr>
        <w:pStyle w:val="BookText"/>
        <w:rPr/>
      </w:pPr>
      <w:r>
        <w:rPr>
          <w:rFonts w:ascii="IRNazanin" w:hAnsi="IRNazanin" w:eastAsia="IRNazanin"/>
          <w:color w:val="111111"/>
          <w:sz w:val="28"/>
          <w:sz w:val="28"/>
          <w:szCs w:val="28"/>
          <w:rtl w:val="true"/>
          <w:lang w:bidi="fa-IR"/>
        </w:rPr>
        <w:t>أنّ الظاهر من المحقّق الثانی أنّ أصالة الصحّة إنّما تجری فی العقود بعد استکمال العقد للأرکان</w:t>
      </w:r>
      <w:r>
        <w:rPr>
          <w:rFonts w:eastAsia="IRNazanin" w:cs="IRNazanin"/>
          <w:color w:val="111111"/>
          <w:sz w:val="28"/>
          <w:szCs w:val="28"/>
          <w:rtl w:val="true"/>
          <w:lang w:bidi="fa-IR"/>
        </w:rPr>
        <w:t>.</w:t>
      </w:r>
    </w:p>
    <w:p>
      <w:pPr>
        <w:pStyle w:val="Heading6"/>
        <w:numPr>
          <w:ilvl w:val="5"/>
          <w:numId w:val="1"/>
        </w:numPr>
        <w:rPr/>
      </w:pPr>
      <w:bookmarkStart w:id="1230" w:name="__RefHeading___Toc5767763_3224264995"/>
      <w:bookmarkStart w:id="1231" w:name="_Toc490"/>
      <w:bookmarkEnd w:id="1230"/>
      <w:r>
        <w:rPr>
          <w:rtl w:val="true"/>
        </w:rPr>
        <w:t>کلام المحقق الثانی فی باب الضمان</w:t>
      </w:r>
      <w:r>
        <w:rPr>
          <w:rtl w:val="true"/>
        </w:rPr>
        <w:t>:</w:t>
      </w:r>
      <w:bookmarkEnd w:id="1231"/>
    </w:p>
    <w:p>
      <w:pPr>
        <w:pStyle w:val="BookText"/>
        <w:rPr/>
      </w:pPr>
      <w:r>
        <w:rPr>
          <w:rFonts w:ascii="IRNazanin" w:hAnsi="IRNazanin" w:eastAsia="IRNazanin"/>
          <w:color w:val="111111"/>
          <w:sz w:val="28"/>
          <w:sz w:val="28"/>
          <w:szCs w:val="28"/>
          <w:rtl w:val="true"/>
          <w:lang w:bidi="fa-IR"/>
        </w:rPr>
        <w:t>قال فی جامع المقاصد،فیما لو اختلف الضامن و المضمون له،فقال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أنا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رجّح تقدیم 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للمضمون له أصالة الصحّة فی العقود،و ظاهر حال العاقد الآخر أنّه لا یتصرّف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فی العقود الصحّة بعد استکمال أرکانها لیتحقّق وجود العقد،أمّا قبله فلا وجود له،فلو اختلفا فی کون المعقود علیه هو الحرّ أو العبد،حلف منکر وقوع العقد علی العبد،و کذا الظاهر إنّما یتمّ مع الاستکمال المذکور،لا مطلقا </w:t>
      </w:r>
      <w:r>
        <w:rPr>
          <w:rStyle w:val="FootnoteAnchor"/>
          <w:rtl w:val="true"/>
        </w:rPr>
        <w:footnoteReference w:id="11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2" w:name="__RefHeading___Toc5767765_3224264995"/>
      <w:bookmarkStart w:id="1233" w:name="_Toc491"/>
      <w:bookmarkEnd w:id="1232"/>
      <w:r>
        <w:rPr>
          <w:rtl w:val="true"/>
        </w:rPr>
        <w:t>کلامه فی باب الاجارة</w:t>
      </w:r>
      <w:r>
        <w:rPr>
          <w:rtl w:val="true"/>
        </w:rPr>
        <w:t>:</w:t>
      </w:r>
      <w:bookmarkEnd w:id="1233"/>
    </w:p>
    <w:p>
      <w:pPr>
        <w:pStyle w:val="BookText"/>
        <w:rPr/>
      </w:pPr>
      <w:r>
        <w:rPr>
          <w:rFonts w:ascii="IRNazanin" w:hAnsi="IRNazanin" w:eastAsia="IRNazanin"/>
          <w:color w:val="111111"/>
          <w:sz w:val="28"/>
          <w:sz w:val="28"/>
          <w:szCs w:val="28"/>
          <w:rtl w:val="true"/>
          <w:lang w:bidi="fa-IR"/>
        </w:rPr>
        <w:t>و قال فی باب الإجارة،ما هذا لفظه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أنّه إذا حصل الاتفاق علی حصول جمیع الامور </w:t>
      </w:r>
      <w:bookmarkStart w:id="1234" w:name="pg12985_125206"/>
    </w:p>
    <w:p>
      <w:pPr>
        <w:pStyle w:val="BookText"/>
        <w:rPr/>
      </w:pPr>
      <w:bookmarkEnd w:id="1234"/>
      <w:r>
        <w:rPr>
          <w:rFonts w:ascii="IRNazanin" w:hAnsi="IRNazanin" w:eastAsia="IRNazanin"/>
          <w:color w:val="111111"/>
          <w:sz w:val="28"/>
          <w:sz w:val="28"/>
          <w:szCs w:val="28"/>
          <w:rtl w:val="true"/>
          <w:lang w:bidi="fa-IR"/>
        </w:rPr>
        <w:t>المعتبرة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الإیجاب و القبول من الکاملین،و جریانهما علی العوضین المعتبرین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الاختلاف فی شرط مفسد،فالقول قول مدّعی الصحّة بیمینه؛لأنّه الموافق للأصل؛لأنّ الأصل عدم ذلک المفسد،و الأصل فی فعل المسلم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حصل الشک </w:t>
      </w:r>
      <w:r>
        <w:rPr>
          <w:rStyle w:val="FootnoteAnchor"/>
          <w:rtl w:val="true"/>
        </w:rPr>
        <w:footnoteReference w:id="1183"/>
      </w:r>
      <w:r>
        <w:rPr>
          <w:rFonts w:ascii="IRNazanin" w:hAnsi="IRNazanin" w:eastAsia="IRNazanin"/>
          <w:color w:val="111111"/>
          <w:sz w:val="28"/>
          <w:sz w:val="28"/>
          <w:szCs w:val="28"/>
          <w:rtl w:val="true"/>
          <w:lang w:bidi="fa-IR"/>
        </w:rPr>
        <w:t xml:space="preserve">فی الصحّة و الفساد فی بعض الامور المعتبرة و عدمه،فإنّ الأصل </w:t>
      </w:r>
      <w:r>
        <w:rPr>
          <w:rStyle w:val="FootnoteAnchor"/>
          <w:rtl w:val="true"/>
        </w:rPr>
        <w:footnoteReference w:id="1184"/>
      </w:r>
      <w:r>
        <w:rPr>
          <w:rFonts w:ascii="IRNazanin" w:hAnsi="IRNazanin" w:eastAsia="IRNazanin"/>
          <w:color w:val="111111"/>
          <w:sz w:val="28"/>
          <w:sz w:val="28"/>
          <w:szCs w:val="28"/>
          <w:rtl w:val="true"/>
          <w:lang w:bidi="fa-IR"/>
        </w:rPr>
        <w:t>لا یثمر هنا؛فإنّ الأصل عدم السبب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لو ادّعی أنّی اشتریت العبد فقال بعتک الحرّ </w:t>
      </w:r>
      <w:r>
        <w:rPr>
          <w:rStyle w:val="FootnoteAnchor"/>
          <w:rtl w:val="true"/>
        </w:rPr>
        <w:footnoteReference w:id="11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5" w:name="__RefHeading___Toc5767767_3224264995"/>
      <w:bookmarkStart w:id="1236" w:name="_Toc492"/>
      <w:bookmarkEnd w:id="1235"/>
      <w:r>
        <w:rPr>
          <w:rtl w:val="true"/>
        </w:rPr>
        <w:t>کلام العلاّمة رحمه اللّه فی القواعد</w:t>
      </w:r>
      <w:r>
        <w:rPr>
          <w:rtl w:val="true"/>
        </w:rPr>
        <w:t>:</w:t>
      </w:r>
      <w:bookmarkEnd w:id="1236"/>
    </w:p>
    <w:p>
      <w:pPr>
        <w:pStyle w:val="BookText"/>
        <w:rPr/>
      </w:pPr>
      <w:r>
        <w:rPr>
          <w:rFonts w:ascii="IRNazanin" w:hAnsi="IRNazanin" w:eastAsia="IRNazanin"/>
          <w:color w:val="111111"/>
          <w:sz w:val="28"/>
          <w:sz w:val="28"/>
          <w:szCs w:val="28"/>
          <w:rtl w:val="true"/>
          <w:lang w:bidi="fa-IR"/>
        </w:rPr>
        <w:t>و یظهر هذا من بعض کلمات العلاّمة رحمه اللّه،قال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ضمان الصبیّ و لو أذن له الولیّ،فإن اختلفا قدّم قول الضامن؛لأصالة براءة الذمّة و عدم البلوغ،و لیس لمدّعی الصحّة </w:t>
      </w:r>
      <w:r>
        <w:rPr>
          <w:rStyle w:val="FootnoteAnchor"/>
          <w:rtl w:val="true"/>
        </w:rPr>
        <w:footnoteReference w:id="1186"/>
      </w:r>
      <w:r>
        <w:rPr>
          <w:rFonts w:ascii="IRNazanin" w:hAnsi="IRNazanin" w:eastAsia="IRNazanin"/>
          <w:color w:val="111111"/>
          <w:sz w:val="28"/>
          <w:sz w:val="28"/>
          <w:szCs w:val="28"/>
          <w:rtl w:val="true"/>
          <w:lang w:bidi="fa-IR"/>
        </w:rPr>
        <w:t>أصل یستند إلیه،و لا ظاهر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لو ادّعی شرطا فاسدا؛ لأنّ الظاهر أنّهما لا یتصرّفان باطلا،و کذا البحث فی من عرف له حالة جنون </w:t>
      </w:r>
      <w:r>
        <w:rPr>
          <w:rStyle w:val="FootnoteAnchor"/>
          <w:rtl w:val="true"/>
        </w:rPr>
        <w:footnoteReference w:id="11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7" w:name="__RefHeading___Toc5767769_3224264995"/>
      <w:bookmarkStart w:id="1238" w:name="_Toc493"/>
      <w:bookmarkEnd w:id="1237"/>
      <w:r>
        <w:rPr>
          <w:rtl w:val="true"/>
        </w:rPr>
        <w:t>کلامه فی التذکرة</w:t>
      </w:r>
      <w:r>
        <w:rPr>
          <w:rtl w:val="true"/>
        </w:rPr>
        <w:t>:</w:t>
      </w:r>
      <w:bookmarkEnd w:id="1238"/>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الضامن ضمن بعد البلوغ،و 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ضمنت لک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عیّنا له وقتا لا یحتمل بلوغه فیه </w:t>
      </w:r>
    </w:p>
    <w:p>
      <w:pPr>
        <w:pStyle w:val="BookText"/>
        <w:rPr/>
      </w:pPr>
      <w:r>
        <w:rPr>
          <w:rFonts w:ascii="IRNazanin" w:hAnsi="IRNazanin" w:eastAsia="IRNazanin"/>
          <w:color w:val="111111"/>
          <w:sz w:val="28"/>
          <w:sz w:val="28"/>
          <w:szCs w:val="28"/>
          <w:rtl w:val="true"/>
          <w:lang w:bidi="fa-IR"/>
        </w:rPr>
        <w:t>قدّم قول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یعیّنا وقتا،فالقول قول الضامن بیمینه،و به قال الشافعیّ؛لأصالة عدم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قول المضمون له؛لأنّ الأصل صحّة الفعل </w:t>
      </w:r>
      <w:r>
        <w:rPr>
          <w:rStyle w:val="FootnoteAnchor"/>
          <w:rtl w:val="true"/>
        </w:rPr>
        <w:footnoteReference w:id="1188"/>
      </w:r>
      <w:r>
        <w:rPr>
          <w:rFonts w:ascii="IRNazanin" w:hAnsi="IRNazanin" w:eastAsia="IRNazanin"/>
          <w:color w:val="111111"/>
          <w:sz w:val="28"/>
          <w:sz w:val="28"/>
          <w:szCs w:val="28"/>
          <w:rtl w:val="true"/>
          <w:lang w:bidi="fa-IR"/>
        </w:rPr>
        <w:t>و سلامته،کما لو اختلفا فی شرط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المختلفین فی الشرط المفسد یقدّم فیه قول مدّعی الصحّة؛لاتفاقهما علی أهلیّة التصرّف؛إذ </w:t>
      </w:r>
      <w:r>
        <w:rPr>
          <w:rStyle w:val="FootnoteAnchor"/>
          <w:rtl w:val="true"/>
        </w:rPr>
        <w:footnoteReference w:id="1189"/>
      </w:r>
      <w:r>
        <w:rPr>
          <w:rFonts w:ascii="IRNazanin" w:hAnsi="IRNazanin" w:eastAsia="IRNazanin"/>
          <w:color w:val="111111"/>
          <w:sz w:val="28"/>
          <w:sz w:val="28"/>
          <w:szCs w:val="28"/>
          <w:rtl w:val="true"/>
          <w:lang w:bidi="fa-IR"/>
        </w:rPr>
        <w:t>من له أهلیّة التصرّف لا یتصرّف إلاّ تصرّفا صحیحا،فکان القول قول مدّعی الصحّة؛لأنّه مدّع للظاهر،و هنا اختلفا فی أهلیّة التصرّف،فلیس مع من یدّعی الأهلیّة ظاهر یستند إلیه و لا أصل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ادّعی أنّه ضمن بعد البلوغ و قبل الرشد </w:t>
      </w:r>
      <w:r>
        <w:rPr>
          <w:rStyle w:val="FootnoteAnchor"/>
          <w:rtl w:val="true"/>
        </w:rPr>
        <w:footnoteReference w:id="1190"/>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 یعلم الفرق بین دعوی الضامن الصغر و بین دعوی البائع إیّاه،حیث صرّح العلاّمة و المحقّق الثانی بجریان أصالة الصحّة،و إن اختلفا بین من </w:t>
      </w:r>
      <w:r>
        <w:rPr>
          <w:rStyle w:val="FootnoteAnchor"/>
          <w:rtl w:val="true"/>
        </w:rPr>
        <w:footnoteReference w:id="1191"/>
      </w:r>
      <w:r>
        <w:rPr>
          <w:rFonts w:ascii="IRNazanin" w:hAnsi="IRNazanin" w:eastAsia="IRNazanin"/>
          <w:color w:val="111111"/>
          <w:sz w:val="28"/>
          <w:sz w:val="28"/>
          <w:szCs w:val="28"/>
          <w:rtl w:val="true"/>
          <w:lang w:bidi="fa-IR"/>
        </w:rPr>
        <w:t xml:space="preserve">عارضها بأصالة عدم البلوغ،و بین من </w:t>
      </w:r>
      <w:r>
        <w:rPr>
          <w:rStyle w:val="FootnoteAnchor"/>
          <w:rtl w:val="true"/>
        </w:rPr>
        <w:footnoteReference w:id="1192"/>
      </w:r>
      <w:r>
        <w:rPr>
          <w:rFonts w:ascii="Amiri" w:hAnsi="Amiri" w:eastAsia="Amiri" w:cs="Amiri"/>
          <w:color w:val="111111"/>
          <w:sz w:val="28"/>
          <w:sz w:val="28"/>
          <w:szCs w:val="28"/>
          <w:rtl w:val="true"/>
          <w:lang w:bidi="ar-SA"/>
        </w:rPr>
        <w:t>ضعّف هذه المعارضة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عن قطب الدین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اعترض علی شیخه العلاّمة فی </w:t>
      </w:r>
      <w:bookmarkStart w:id="1239" w:name="pg12985_125208"/>
    </w:p>
    <w:p>
      <w:pPr>
        <w:pStyle w:val="BookText"/>
        <w:rPr/>
      </w:pPr>
      <w:bookmarkEnd w:id="1239"/>
      <w:r>
        <w:rPr>
          <w:rFonts w:ascii="IRNazanin" w:hAnsi="IRNazanin" w:eastAsia="IRNazanin"/>
          <w:color w:val="111111"/>
          <w:sz w:val="28"/>
          <w:sz w:val="28"/>
          <w:szCs w:val="28"/>
          <w:rtl w:val="true"/>
          <w:lang w:bidi="fa-IR"/>
        </w:rPr>
        <w:t xml:space="preserve">مسألة الضمان بأصالة الصحّة،فعارضها بأصالة عدم البلوغ،و بقی </w:t>
      </w:r>
      <w:r>
        <w:rPr>
          <w:rStyle w:val="FootnoteAnchor"/>
          <w:rtl w:val="true"/>
        </w:rPr>
        <w:footnoteReference w:id="1194"/>
      </w:r>
      <w:r>
        <w:rPr>
          <w:rFonts w:ascii="IRNazanin" w:hAnsi="IRNazanin" w:eastAsia="IRNazanin"/>
          <w:color w:val="111111"/>
          <w:sz w:val="28"/>
          <w:sz w:val="28"/>
          <w:szCs w:val="28"/>
          <w:rtl w:val="true"/>
          <w:lang w:bidi="fa-IR"/>
        </w:rPr>
        <w:t>أصالة البراءة سلیمة عن المعارض</w:t>
      </w:r>
      <w:r>
        <w:rPr>
          <w:rFonts w:eastAsia="IRNazanin" w:cs="IRNazanin"/>
          <w:color w:val="111111"/>
          <w:sz w:val="28"/>
          <w:szCs w:val="28"/>
          <w:rtl w:val="true"/>
          <w:lang w:bidi="fa-IR"/>
        </w:rPr>
        <w:t>.</w:t>
      </w:r>
    </w:p>
    <w:p>
      <w:pPr>
        <w:pStyle w:val="Heading6"/>
        <w:numPr>
          <w:ilvl w:val="5"/>
          <w:numId w:val="1"/>
        </w:numPr>
        <w:rPr/>
      </w:pPr>
      <w:bookmarkStart w:id="1240" w:name="__RefHeading___Toc5767771_3224264995"/>
      <w:bookmarkStart w:id="1241" w:name="_Toc494"/>
      <w:bookmarkEnd w:id="1240"/>
      <w:r>
        <w:rPr>
          <w:rtl w:val="true"/>
        </w:rPr>
        <w:t>الأقوی التعمیم و عدم اعتبار استکمال الأرکان</w:t>
      </w:r>
      <w:r>
        <w:rPr>
          <w:rtl w:val="true"/>
        </w:rPr>
        <w:t>:</w:t>
      </w:r>
      <w:bookmarkEnd w:id="1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بالنظر إلی الأدلّة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 و لزوم الاختلال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شکّ المکلّف أنّ هذا الذی اشتراه هل اشتراه فی حال صغره؟بنی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حیث الشکّ فی تملیک البائع البالغ،و أنّه کان فی محلّه أم کان فاسدا،جری مثل ذلک فی مسألة التداعی أیضا</w:t>
      </w:r>
      <w:r>
        <w:rPr>
          <w:rFonts w:eastAsia="IRNazanin" w:cs="IRNazanin"/>
          <w:color w:val="111111"/>
          <w:sz w:val="28"/>
          <w:szCs w:val="28"/>
          <w:rtl w:val="true"/>
          <w:lang w:bidi="fa-IR"/>
        </w:rPr>
        <w:t>.</w:t>
      </w:r>
    </w:p>
    <w:p>
      <w:pPr>
        <w:pStyle w:val="Heading6"/>
        <w:numPr>
          <w:ilvl w:val="5"/>
          <w:numId w:val="1"/>
        </w:numPr>
        <w:rPr/>
      </w:pPr>
      <w:bookmarkStart w:id="1242" w:name="__RefHeading___Toc5767773_3224264995"/>
      <w:bookmarkStart w:id="1243" w:name="_Toc495"/>
      <w:bookmarkEnd w:id="1242"/>
      <w:r>
        <w:rPr>
          <w:rtl w:val="true"/>
        </w:rPr>
        <w:t>المناقشة فیما ذکره المحقق الثانی</w:t>
      </w:r>
      <w:r>
        <w:rPr>
          <w:rtl w:val="true"/>
        </w:rPr>
        <w:t>:</w:t>
      </w:r>
      <w:bookmarkEnd w:id="1243"/>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195"/>
      </w:r>
      <w:r>
        <w:rPr>
          <w:rFonts w:ascii="IRNazanin" w:hAnsi="IRNazanin" w:eastAsia="IRNazanin"/>
          <w:color w:val="111111"/>
          <w:sz w:val="28"/>
          <w:sz w:val="28"/>
          <w:szCs w:val="28"/>
          <w:rtl w:val="true"/>
          <w:lang w:bidi="fa-IR"/>
        </w:rPr>
        <w:t>إنّ ما ذکره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وجود للعقد قبل استکمال أرکانه،إن أراد الوجود الشرعیّ فهو عین الصحّة، و إن أراد الوجود العرفیّ فهو متحقّق مع الشکّ،بل مع القطع بالعدم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الاختلاف فی کون المعقود علیه هو الحرّ أو العبد </w:t>
      </w:r>
      <w:r>
        <w:rPr>
          <w:rStyle w:val="FootnoteAnchor"/>
          <w:rtl w:val="true"/>
        </w:rPr>
        <w:footnoteReference w:id="1196"/>
      </w:r>
      <w:r>
        <w:rPr>
          <w:rFonts w:ascii="IRNazanin" w:hAnsi="IRNazanin" w:eastAsia="IRNazanin"/>
          <w:color w:val="111111"/>
          <w:sz w:val="28"/>
          <w:sz w:val="28"/>
          <w:szCs w:val="28"/>
          <w:rtl w:val="true"/>
          <w:lang w:bidi="fa-IR"/>
        </w:rPr>
        <w:t xml:space="preserve">،فهو داخل فی المسألة المعنونة فی کلام القدماء و المتأخّرین،و هی </w:t>
      </w:r>
    </w:p>
    <w:p>
      <w:pPr>
        <w:pStyle w:val="BookText"/>
        <w:rPr/>
      </w:pP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بحرّ،فراجع کتب الفاضلین </w:t>
      </w:r>
      <w:r>
        <w:rPr>
          <w:rStyle w:val="FootnoteAnchor"/>
          <w:rtl w:val="true"/>
        </w:rPr>
        <w:footnoteReference w:id="1197"/>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إنّما یتمّ مع الاستکمال المذکور لا مطلقا،فهو إنّما یتمّ إذا کان الشکّ من جهة بلوغ الفاعل،و لم یکن هناک طرف آخر معلوم البلوغ یستلزم صحّة فعله صحّة فعل هذا الفاعل،کما لو شکّ فی أنّ الإبراء أو الوصیّة هل صدر منه حال البلوغ أم قبله؟أمّا إذا کان الشکّ فی رکن آخر من العقد،کأحد العوضین، أو فی أهلیّة أحد طرفی العقد،فیمکن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الفاعل فی الأوّل،و من الطرف الآخر فی الثانی،أنّه لا یتصرّف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نعم،مسألة الضمان یمکن أن یکون من الأوّل،إذا فرض وقوعه بغیر إذن من المدیون،و لا قبول من الغریم؛فإنّ الضمان حینئذ فعل واحد شکّ فی صدوره من بالغ أو غیره،و لیس له طرف آخر، فلا ظهور فی عدم کون تصرّفه فاسدا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لم یرد خصوص ما کان من هذا القبیل، بل یشمل کلامه الصورتین الأخیرتین،فراجع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نعم،یحتمل ذلک فی عبارة التذکرة</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تقدیم قول منکر الشرط المفسد لیس لتقدیم قول مدّعی الصحّة،بل لأنّ القول قول منکر الشرط،صحیحا کان أو فاسدا؛ لأصالة عدم الاشتراط،و لا دخل لهذا بحدیث أصالة الصحّة و إن کان مؤدّاه صحّة العقد فیما کان الشرط المدّعی مفسدا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لا بدّ من التأمّل و التتبّع</w:t>
      </w:r>
      <w:r>
        <w:rPr>
          <w:rFonts w:eastAsia="IRNazanin" w:cs="IRNazanin"/>
          <w:color w:val="111111"/>
          <w:sz w:val="28"/>
          <w:szCs w:val="28"/>
          <w:rtl w:val="true"/>
          <w:lang w:bidi="fa-IR"/>
        </w:rPr>
        <w:t xml:space="preserve">. </w:t>
      </w:r>
      <w:bookmarkStart w:id="1244" w:name="pg12985_125211"/>
    </w:p>
    <w:p>
      <w:pPr>
        <w:pStyle w:val="Heading6"/>
        <w:numPr>
          <w:ilvl w:val="5"/>
          <w:numId w:val="1"/>
        </w:numPr>
        <w:rPr/>
      </w:pPr>
      <w:bookmarkStart w:id="1245" w:name="__RefHeading___Toc5767775_3224264995"/>
      <w:bookmarkStart w:id="1246" w:name="_Toc496"/>
      <w:bookmarkEnd w:id="1244"/>
      <w:bookmarkEnd w:id="1245"/>
      <w:r>
        <w:rPr>
          <w:rtl w:val="true"/>
        </w:rPr>
        <w:t>الثالث صحّة کلّ شیء بحسبه و باعتبار آثار نفسه</w:t>
      </w:r>
      <w:bookmarkEnd w:id="1246"/>
    </w:p>
    <w:p>
      <w:pPr>
        <w:pStyle w:val="BookText"/>
        <w:rPr/>
      </w:pPr>
      <w:r>
        <w:rPr>
          <w:rFonts w:ascii="IRNazanin" w:hAnsi="IRNazanin" w:eastAsia="IRNazanin"/>
          <w:color w:val="111111"/>
          <w:sz w:val="28"/>
          <w:sz w:val="28"/>
          <w:szCs w:val="28"/>
          <w:rtl w:val="true"/>
          <w:lang w:bidi="fa-IR"/>
        </w:rPr>
        <w:t>أنّ هذا الأصل إنّما یثبت صحّة الفعل إذا وقع الشکّ فی بعض الامور المعتبرة شرعا فی صحّته،بمعنی ترتّب الأثر المقصود منه علیه، فصحّة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الإیجاب عبارة عن کونه بحیث لو تعقّبه قبول صحیح لحصل أثر العقد،فی مقابل فاسده الذی لا یکون کذلک،کالإیجاب بالفارسیّة بناء علی القول باعتبار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تجرّد الإیجاب عن القبول لم یوجب ذلک فساد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شکّ فی تحقّق القبول من المشتری بعد العلم بصدور الإیجاب من البائع،فلا یقضی </w:t>
      </w:r>
      <w:r>
        <w:rPr>
          <w:rStyle w:val="FootnoteAnchor"/>
          <w:rtl w:val="true"/>
        </w:rPr>
        <w:footnoteReference w:id="1199"/>
      </w:r>
      <w:r>
        <w:rPr>
          <w:rFonts w:ascii="IRNazanin" w:hAnsi="IRNazanin" w:eastAsia="IRNazanin"/>
          <w:color w:val="111111"/>
          <w:sz w:val="28"/>
          <w:sz w:val="28"/>
          <w:szCs w:val="28"/>
          <w:rtl w:val="true"/>
          <w:lang w:bidi="fa-IR"/>
        </w:rPr>
        <w:t>أصالة الصحّة فی الإیجاب بوجود القبول؛لأنّ القبول معتبر فی العقد لا فی الإیجاب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شکّ فی تحقّق القبض فی الهبة أو فی الصرف أو السلم بعد العلم بتحقّق الإیجاب و القبول،لم یحکم بتحقّقه من حیث أصالة صحّة العقد</w:t>
      </w:r>
      <w:r>
        <w:rPr>
          <w:rFonts w:eastAsia="IRNazanin" w:cs="IRNazanin"/>
          <w:color w:val="111111"/>
          <w:sz w:val="28"/>
          <w:szCs w:val="28"/>
          <w:rtl w:val="true"/>
          <w:lang w:bidi="fa-IR"/>
        </w:rPr>
        <w:t xml:space="preserve">. </w:t>
      </w:r>
      <w:bookmarkStart w:id="1247" w:name="pg12985_125212"/>
    </w:p>
    <w:p>
      <w:pPr>
        <w:pStyle w:val="BookText"/>
        <w:rPr/>
      </w:pPr>
      <w:bookmarkEnd w:id="1247"/>
      <w:r>
        <w:rPr>
          <w:rFonts w:ascii="IRNazanin" w:hAnsi="IRNazanin" w:eastAsia="IRNazanin"/>
          <w:color w:val="111111"/>
          <w:sz w:val="28"/>
          <w:sz w:val="28"/>
          <w:szCs w:val="28"/>
          <w:rtl w:val="true"/>
          <w:lang w:bidi="fa-IR"/>
        </w:rPr>
        <w:t xml:space="preserve">و کذا </w:t>
      </w:r>
      <w:r>
        <w:rPr>
          <w:rStyle w:val="FootnoteAnchor"/>
          <w:rtl w:val="true"/>
        </w:rPr>
        <w:footnoteReference w:id="1200"/>
      </w:r>
      <w:r>
        <w:rPr>
          <w:rFonts w:ascii="IRNazanin" w:hAnsi="IRNazanin" w:eastAsia="IRNazanin"/>
          <w:color w:val="111111"/>
          <w:sz w:val="28"/>
          <w:sz w:val="28"/>
          <w:szCs w:val="28"/>
          <w:rtl w:val="true"/>
          <w:lang w:bidi="fa-IR"/>
        </w:rPr>
        <w:t>لو شکّ فی إجازة المالک لبیع الفضولیّ،لم یصحّ إحرازها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بعدم الجریان ما لو کان العقد فی نفسه لو خلّی و طبعه مبنیّا علی الفساد،بحیث یکون المصحّح طارئا علیه،کما لو ادّعی بائع الوقف وجود المصحّح له،و کذا الراهن أو المشتری من الفضولیّ إجازة المرتهن و المالک</w:t>
      </w:r>
      <w:r>
        <w:rPr>
          <w:rFonts w:eastAsia="IRNazanin" w:cs="IRNazanin"/>
          <w:color w:val="111111"/>
          <w:sz w:val="28"/>
          <w:szCs w:val="28"/>
          <w:rtl w:val="true"/>
          <w:lang w:bidi="fa-IR"/>
        </w:rPr>
        <w:t>.</w:t>
      </w:r>
    </w:p>
    <w:p>
      <w:pPr>
        <w:pStyle w:val="Heading6"/>
        <w:numPr>
          <w:ilvl w:val="5"/>
          <w:numId w:val="1"/>
        </w:numPr>
        <w:rPr/>
      </w:pPr>
      <w:bookmarkStart w:id="1248" w:name="__RefHeading___Toc5767777_3224264995"/>
      <w:bookmarkStart w:id="1249" w:name="_Toc497"/>
      <w:bookmarkEnd w:id="1248"/>
      <w:r>
        <w:rPr>
          <w:rtl w:val="true"/>
        </w:rPr>
        <w:t>و ممّا یتفرّع علی ذلک أیضا</w:t>
      </w:r>
      <w:r>
        <w:rPr>
          <w:rtl w:val="true"/>
        </w:rPr>
        <w:t>:</w:t>
      </w:r>
      <w:bookmarkEnd w:id="12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اختلف المرتهن الآذن فی بیع الرهن و الراهن البائع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اتّفاقهما علی رجوع المرتهن عن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تقدّم الرجوع علی البیع فیفسد،أو تأخّره فیصحّ،فلا یمکن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أصالة صحّة الإذن تقضی بوقوع البیع صحیحا، و لا أنّ أصالة صحّة الرجوع تقضی بکون البیع فاسدا؛لأنّ الإذن و الرجوع کلیهما قد فرض وقوعهما علی الوجه الصحیح،و هو صدوره عمّن له أهلیّة ذلک و التسلّط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ترتّب الأثر علیهما أنّه لو وقع فعل المأذون عقیب الإذن و قبل الرجوع ترتّب علیه الأثر،و لو وقع فعله بعد الرجوع کان فاسدا،أمّا لو لم یقع عقیب الإذن </w:t>
      </w:r>
      <w:r>
        <w:rPr>
          <w:rStyle w:val="FootnoteAnchor"/>
          <w:rtl w:val="true"/>
        </w:rPr>
        <w:footnoteReference w:id="1202"/>
      </w:r>
      <w:r>
        <w:rPr>
          <w:rFonts w:ascii="IRNazanin" w:hAnsi="IRNazanin" w:eastAsia="IRNazanin"/>
          <w:color w:val="111111"/>
          <w:sz w:val="28"/>
          <w:sz w:val="28"/>
          <w:szCs w:val="28"/>
          <w:rtl w:val="true"/>
          <w:lang w:bidi="fa-IR"/>
        </w:rPr>
        <w:t>فعل،بل وقع فی زمان ارتفاعه،ففساد هذا الواقع لا یخلّ بصحّة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فرض عدم وقوع الفعل عقیب الرجوع فانعقد صحیحا،فلیس هذا من جهة فساد الرجوع،کما لا 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نعم،أصالة </w:t>
      </w:r>
      <w:r>
        <w:rPr>
          <w:rStyle w:val="FootnoteAnchor"/>
          <w:rtl w:val="true"/>
        </w:rPr>
        <w:footnoteReference w:id="1203"/>
      </w:r>
      <w:r>
        <w:rPr>
          <w:rFonts w:ascii="IRNazanin" w:hAnsi="IRNazanin" w:eastAsia="IRNazanin"/>
          <w:color w:val="111111"/>
          <w:sz w:val="28"/>
          <w:sz w:val="28"/>
          <w:szCs w:val="28"/>
          <w:rtl w:val="true"/>
          <w:lang w:bidi="fa-IR"/>
        </w:rPr>
        <w:t>بقاء الإذن إلی أن یقع البیع قد یقضی بصحّته،و کذا أصالة عدم البیع قبل الرجوع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تقضی بفساده،لکنّهما لو تمّا لم یکونا من أصالة 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عدم وقوع البیع بعده یوجب لغویّته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 أصالة صحّة </w:t>
      </w:r>
      <w:r>
        <w:rPr>
          <w:rStyle w:val="FootnoteAnchor"/>
          <w:rtl w:val="true"/>
        </w:rPr>
        <w:footnoteReference w:id="1204"/>
      </w:r>
      <w:r>
        <w:rPr>
          <w:rFonts w:ascii="IRNazanin" w:hAnsi="IRNazanin" w:eastAsia="IRNazanin"/>
          <w:color w:val="111111"/>
          <w:sz w:val="28"/>
          <w:sz w:val="28"/>
          <w:szCs w:val="28"/>
          <w:rtl w:val="true"/>
          <w:lang w:bidi="fa-IR"/>
        </w:rPr>
        <w:t xml:space="preserve">الرجوع التی تمسّک بها </w:t>
      </w:r>
      <w:r>
        <w:rPr>
          <w:rStyle w:val="FootnoteAnchor"/>
          <w:rtl w:val="true"/>
        </w:rPr>
        <w:footnoteReference w:id="1205"/>
      </w:r>
      <w:r>
        <w:rPr>
          <w:rFonts w:ascii="IRNazanin" w:hAnsi="IRNazanin" w:eastAsia="IRNazanin"/>
          <w:color w:val="111111"/>
          <w:sz w:val="28"/>
          <w:sz w:val="28"/>
          <w:szCs w:val="28"/>
          <w:rtl w:val="true"/>
          <w:lang w:bidi="fa-IR"/>
        </w:rPr>
        <w:t xml:space="preserve">بعض المعاصرین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فی المسألة ما هو المشهور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بفساد البیع،و عدم جریان أصالة الصحّة فی المقام،لا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الکرکی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الإذن،و لا فی الرجوع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البیع،فلأنّ الشکّ إنّما وقع فی رضا من له الحقّ و هو المرتهن،و قد تقدّم </w:t>
      </w:r>
      <w:r>
        <w:rPr>
          <w:rStyle w:val="FootnoteAnchor"/>
          <w:rtl w:val="true"/>
        </w:rPr>
        <w:footnoteReference w:id="1209"/>
      </w:r>
      <w:r>
        <w:rPr>
          <w:rFonts w:ascii="IRNazanin" w:hAnsi="IRNazanin" w:eastAsia="IRNazanin"/>
          <w:color w:val="111111"/>
          <w:sz w:val="28"/>
          <w:sz w:val="28"/>
          <w:szCs w:val="28"/>
          <w:rtl w:val="true"/>
          <w:lang w:bidi="fa-IR"/>
        </w:rPr>
        <w:t>أنّ صحّة الإیجاب و القبول لا یقضی بتحقّق الرضا ممّن یعتبر رضاه،سواء 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کان له </w:t>
      </w:r>
    </w:p>
    <w:p>
      <w:pPr>
        <w:pStyle w:val="BookText"/>
        <w:rPr/>
      </w:pPr>
      <w:r>
        <w:rPr>
          <w:rFonts w:ascii="IRNazanin" w:hAnsi="IRNazanin" w:eastAsia="IRNazanin"/>
          <w:color w:val="111111"/>
          <w:sz w:val="28"/>
          <w:sz w:val="28"/>
          <w:szCs w:val="28"/>
          <w:rtl w:val="true"/>
          <w:lang w:bidi="fa-IR"/>
        </w:rPr>
        <w:t>حقّ فی المبیع،کالمرتهن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الإذن،فلما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صحّته تقضی بصحّة البیع إذا فرض وقوعه عقیبه لا بوقوعه عقیبه،کما أنّ صحّة الرجوع تقضی بفساد ما یفرض وقوعه بعده،لا أنّ البیع وقع بعده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بعد محتاجة إلی التأمّل بعد التتبّع فی کلمات الأصحاب</w:t>
      </w:r>
      <w:r>
        <w:rPr>
          <w:rFonts w:eastAsia="IRNazanin" w:cs="IRNazanin"/>
          <w:color w:val="111111"/>
          <w:sz w:val="28"/>
          <w:szCs w:val="28"/>
          <w:rtl w:val="true"/>
          <w:lang w:bidi="fa-IR"/>
        </w:rPr>
        <w:t xml:space="preserve">. </w:t>
      </w:r>
      <w:bookmarkStart w:id="1250" w:name="pg12985_125215"/>
    </w:p>
    <w:p>
      <w:pPr>
        <w:pStyle w:val="Heading6"/>
        <w:numPr>
          <w:ilvl w:val="5"/>
          <w:numId w:val="1"/>
        </w:numPr>
        <w:rPr/>
      </w:pPr>
      <w:bookmarkStart w:id="1251" w:name="__RefHeading___Toc5767779_3224264995"/>
      <w:bookmarkStart w:id="1252" w:name="_Toc498"/>
      <w:bookmarkEnd w:id="1250"/>
      <w:bookmarkEnd w:id="1251"/>
      <w:r>
        <w:rPr>
          <w:rtl w:val="true"/>
        </w:rPr>
        <w:t>الرابع اعتبار إحراز أصل العمل فی أصالة الصحّة</w:t>
      </w:r>
      <w:bookmarkEnd w:id="1252"/>
    </w:p>
    <w:p>
      <w:pPr>
        <w:pStyle w:val="BookText"/>
        <w:rPr/>
      </w:pPr>
      <w:r>
        <w:rPr>
          <w:rFonts w:ascii="IRNazanin" w:hAnsi="IRNazanin" w:eastAsia="IRNazanin"/>
          <w:color w:val="111111"/>
          <w:sz w:val="28"/>
          <w:sz w:val="28"/>
          <w:szCs w:val="28"/>
          <w:rtl w:val="true"/>
          <w:lang w:bidi="fa-IR"/>
        </w:rPr>
        <w:t>أنّ مقتضی الأصل ترتیب الشاکّ جمیع ما هو من آثار الفعل الصحیح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صلّی شخص علی میّت سقط عنه،و لو غسل ثوبا بعنوان التطهیر حکم بطهارته و إن شکّ فی شروط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الماء،و وروده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إن علم بمجرّد غسله؛فإنّ الغسل من حیث هو لیس فیه صحیح و فاسد؛و لذا لو شوهد من یأتی بصورة عمل من صلاة أو طهارة أو نسک حجّ،و لم یعلم قصده تحقّق </w:t>
      </w:r>
      <w:r>
        <w:rPr>
          <w:rStyle w:val="FootnoteAnchor"/>
          <w:rtl w:val="true"/>
        </w:rPr>
        <w:footnoteReference w:id="1210"/>
      </w:r>
      <w:r>
        <w:rPr>
          <w:rFonts w:ascii="IRNazanin" w:hAnsi="IRNazanin" w:eastAsia="IRNazanin"/>
          <w:color w:val="111111"/>
          <w:sz w:val="28"/>
          <w:sz w:val="28"/>
          <w:szCs w:val="28"/>
          <w:rtl w:val="true"/>
          <w:lang w:bidi="fa-IR"/>
        </w:rPr>
        <w:t>هذه العبادات،لم یحمل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أخبر بأنّه کان بعنوان تحقّقه </w:t>
      </w:r>
      <w:r>
        <w:rPr>
          <w:rStyle w:val="FootnoteAnchor"/>
          <w:rtl w:val="true"/>
        </w:rPr>
        <w:footnoteReference w:id="1211"/>
      </w:r>
      <w:r>
        <w:rPr>
          <w:rFonts w:ascii="IRNazanin" w:hAnsi="IRNazanin" w:eastAsia="IRNazanin"/>
          <w:color w:val="111111"/>
          <w:sz w:val="28"/>
          <w:sz w:val="28"/>
          <w:szCs w:val="28"/>
          <w:rtl w:val="true"/>
          <w:lang w:bidi="fa-IR"/>
        </w:rPr>
        <w:t>أمکن قبول قوله،من حیث إنّه مخبر عادل،أو من حیثیّة اخری</w:t>
      </w:r>
      <w:r>
        <w:rPr>
          <w:rFonts w:eastAsia="IRNazanin" w:cs="IRNazanin"/>
          <w:color w:val="111111"/>
          <w:sz w:val="28"/>
          <w:szCs w:val="28"/>
          <w:rtl w:val="true"/>
          <w:lang w:bidi="fa-IR"/>
        </w:rPr>
        <w:t>.</w:t>
      </w:r>
    </w:p>
    <w:p>
      <w:pPr>
        <w:pStyle w:val="Heading6"/>
        <w:numPr>
          <w:ilvl w:val="5"/>
          <w:numId w:val="1"/>
        </w:numPr>
        <w:rPr/>
      </w:pPr>
      <w:bookmarkStart w:id="1253" w:name="__RefHeading___Toc5767781_3224264995"/>
      <w:bookmarkStart w:id="1254" w:name="_Toc499"/>
      <w:bookmarkEnd w:id="1253"/>
      <w:r>
        <w:rPr>
          <w:rtl w:val="true"/>
        </w:rPr>
        <w:t>الإشکال فی الفرق بین صلاة الغیر علی المیّت و بین الصلاة عن المیت تبرّعا أو بالإجارة</w:t>
      </w:r>
      <w:r>
        <w:rPr>
          <w:rtl w:val="true"/>
        </w:rPr>
        <w:t>:</w:t>
      </w:r>
      <w:bookmarkEnd w:id="1254"/>
    </w:p>
    <w:p>
      <w:pPr>
        <w:pStyle w:val="BookText"/>
        <w:rPr/>
      </w:pPr>
      <w:r>
        <w:rPr>
          <w:rFonts w:ascii="IRNazanin" w:hAnsi="IRNazanin" w:eastAsia="IRNazanin"/>
          <w:color w:val="111111"/>
          <w:sz w:val="28"/>
          <w:sz w:val="28"/>
          <w:szCs w:val="28"/>
          <w:rtl w:val="true"/>
          <w:lang w:bidi="fa-IR"/>
        </w:rPr>
        <w:t>و قد یشکل الفرق بین ما ذکر من الاکتفاء بصلاة الغیر علی المیّت بحمله علی الصحیح،و بین الصلاة عن المیّت تبرّعا أو بالإجارة،فإنّ المشهور عدم الاکتفاء بها إلاّ أن یکون عادلا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فرّق بینهما بأنّا لا نعلم وقوع الصلاة من النائب فی مقام </w:t>
      </w:r>
      <w:bookmarkStart w:id="1255" w:name="pg12985_125216"/>
    </w:p>
    <w:p>
      <w:pPr>
        <w:pStyle w:val="BookText"/>
        <w:rPr/>
      </w:pPr>
      <w:bookmarkEnd w:id="1255"/>
      <w:r>
        <w:rPr>
          <w:rFonts w:ascii="IRNazanin" w:hAnsi="IRNazanin" w:eastAsia="IRNazanin"/>
          <w:color w:val="111111"/>
          <w:sz w:val="28"/>
          <w:sz w:val="28"/>
          <w:szCs w:val="28"/>
          <w:rtl w:val="true"/>
          <w:lang w:bidi="fa-IR"/>
        </w:rPr>
        <w:t>إبراء الذمّة و إتیان الصلاة علی أنّها صلاة؛لاحتمال ترکه لها بالمرّة،أو إتیانه بمجرّد الصورة لا بعنوان أنّها صلاة عنه،اختصّ الإشکال بما إذا علم من حاله کونه فی مقام الصلاة و إبراء ذمّة المیّت،إلاّ أنّه یحتمل عدم مبالاته بما یخلّ بالصلاة،کما یحتمل ذلک فی الصلاة علی المیّت،إلاّ أن یلتزم بالحمل علی الصحّة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12"/>
      </w:r>
      <w:r>
        <w:rPr>
          <w:rFonts w:ascii="IRNazanin" w:hAnsi="IRNazanin" w:eastAsia="IRNazanin"/>
          <w:color w:val="111111"/>
          <w:sz w:val="28"/>
          <w:sz w:val="28"/>
          <w:szCs w:val="28"/>
          <w:rtl w:val="true"/>
          <w:lang w:bidi="fa-IR"/>
        </w:rPr>
        <w:t xml:space="preserve">قد حکم بعضهم </w:t>
      </w:r>
      <w:r>
        <w:rPr>
          <w:rStyle w:val="FootnoteAnchor"/>
          <w:rtl w:val="true"/>
        </w:rPr>
        <w:footnoteReference w:id="1213"/>
      </w:r>
      <w:r>
        <w:rPr>
          <w:rFonts w:ascii="IRNazanin" w:hAnsi="IRNazanin" w:eastAsia="IRNazanin"/>
          <w:color w:val="111111"/>
          <w:sz w:val="28"/>
          <w:sz w:val="28"/>
          <w:szCs w:val="28"/>
          <w:rtl w:val="true"/>
          <w:lang w:bidi="fa-IR"/>
        </w:rPr>
        <w:t>باشتراط العدالة فیمن یوضّئ العاجز عن الوضوء إذا لم یعلم العاجز بصدور الفعل عن الموضّئ صحیحا؛و لعلّه لعدم إحراز کونه فی مقام إبراء ذمّة العاجز،لا لمجرّد احتمال عدم مبالاته فی الأجزاء و الشرائط،کما قد لا یبالی فی وضوء نفسه</w:t>
      </w:r>
      <w:r>
        <w:rPr>
          <w:rFonts w:eastAsia="IRNazanin" w:cs="IRNazanin"/>
          <w:color w:val="111111"/>
          <w:sz w:val="28"/>
          <w:szCs w:val="28"/>
          <w:rtl w:val="true"/>
          <w:lang w:bidi="fa-IR"/>
        </w:rPr>
        <w:t>.</w:t>
      </w:r>
    </w:p>
    <w:p>
      <w:pPr>
        <w:pStyle w:val="Heading6"/>
        <w:numPr>
          <w:ilvl w:val="5"/>
          <w:numId w:val="1"/>
        </w:numPr>
        <w:rPr/>
      </w:pPr>
      <w:bookmarkStart w:id="1256" w:name="__RefHeading___Toc5767783_3224264995"/>
      <w:bookmarkStart w:id="1257" w:name="_Toc500"/>
      <w:bookmarkEnd w:id="1256"/>
      <w:r>
        <w:rPr>
          <w:rtl w:val="true"/>
        </w:rPr>
        <w:t>توجیه الفرق</w:t>
      </w:r>
      <w:r>
        <w:rPr>
          <w:rtl w:val="true"/>
        </w:rPr>
        <w:t>:</w:t>
      </w:r>
      <w:bookmarkEnd w:id="1257"/>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الفعل الصادر عن المسلم علی وجه النیابة عن الغیر المکلّف بالعمل أوّلا و بالذات،کالعاجز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لفعل النائب عنوانین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إنّه فعل من أفعال النائب،و لذا یجب علیه مراعاة الأجزاء و الشروط المعتبرة فی المباشر </w:t>
      </w:r>
      <w:r>
        <w:rPr>
          <w:rStyle w:val="FootnoteAnchor"/>
          <w:rtl w:val="true"/>
        </w:rPr>
        <w:footnoteReference w:id="1214"/>
      </w:r>
      <w:r>
        <w:rPr>
          <w:rFonts w:ascii="IRNazanin" w:hAnsi="IRNazanin" w:eastAsia="IRNazanin"/>
          <w:color w:val="111111"/>
          <w:sz w:val="28"/>
          <w:sz w:val="28"/>
          <w:szCs w:val="28"/>
          <w:rtl w:val="true"/>
          <w:lang w:bidi="fa-IR"/>
        </w:rPr>
        <w:t>،و بهذا الاعتبار یترتّب علیه جمیع آثار صدور الفعل الصحیح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الاجرة، و جواز استیجاره ثانیا بناء علی اشتراط فراغ ذمّة الأجیر فی صحّة استیجاره ثانیا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فعل للمنوب عنه،حیث إنّه بمنزلة الفاعل بالتسبیب أو الآلة،و کان الفعل بعد قصد النیابة و البدلیّة قائما بالمنوب عنه،و بهذا الاعتبار یراعی فیه القصر و الإتمام فی الصلاة،و التمتّع و القران فی الحجّ،و الترتیب فی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من الحیثیّة الاولی لا تثبت الصحّة من هذه الحیثیّة الثانیة،بل لا بدّ من إحراز صدور الفعل الصحیح عنه علی وجه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فعل الغیر یسقط التکلیف عنه،من حیث إنّه فعل الغیر،کفت أصالة الصحّة فی السقوط،کما فی الصلاة علی المیّت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إنّما یسقط التکلیف عنه من حیث اعتبار کونه فعلا له و لو علی وجه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کلّف بتحصیل فعل بنفسه أو ببدن </w:t>
      </w:r>
      <w:r>
        <w:rPr>
          <w:rStyle w:val="FootnoteAnchor"/>
          <w:rtl w:val="true"/>
        </w:rPr>
        <w:footnoteReference w:id="1216"/>
      </w:r>
      <w:r>
        <w:rPr>
          <w:rFonts w:ascii="IRNazanin" w:hAnsi="IRNazanin" w:eastAsia="IRNazanin"/>
          <w:color w:val="111111"/>
          <w:sz w:val="28"/>
          <w:sz w:val="28"/>
          <w:szCs w:val="28"/>
          <w:rtl w:val="true"/>
          <w:lang w:bidi="fa-IR"/>
        </w:rPr>
        <w:t xml:space="preserve">غیره،کما فی استنابة </w:t>
      </w:r>
      <w:r>
        <w:rPr>
          <w:rStyle w:val="FootnoteAnchor"/>
          <w:rtl w:val="true"/>
        </w:rPr>
        <w:footnoteReference w:id="1217"/>
      </w:r>
      <w:r>
        <w:rPr>
          <w:rFonts w:ascii="IRNazanin" w:hAnsi="IRNazanin" w:eastAsia="IRNazanin"/>
          <w:color w:val="111111"/>
          <w:sz w:val="28"/>
          <w:sz w:val="28"/>
          <w:szCs w:val="28"/>
          <w:rtl w:val="true"/>
          <w:lang w:bidi="fa-IR"/>
        </w:rPr>
        <w:t xml:space="preserve">العاجز للحجّ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تنفع أصالة الصحّة فی سقوطه،بل یجب التفکیک بین أثری الفعل من الحیثیّتین،فیحکم باستحقاق النائب </w:t>
      </w:r>
      <w:r>
        <w:rPr>
          <w:rStyle w:val="FootnoteAnchor"/>
          <w:rtl w:val="true"/>
        </w:rPr>
        <w:footnoteReference w:id="1219"/>
      </w:r>
      <w:r>
        <w:rPr>
          <w:rFonts w:ascii="Amiri" w:hAnsi="Amiri" w:eastAsia="Amiri" w:cs="Amiri"/>
          <w:color w:val="111111"/>
          <w:sz w:val="28"/>
          <w:sz w:val="28"/>
          <w:szCs w:val="28"/>
          <w:rtl w:val="true"/>
          <w:lang w:bidi="ar-SA"/>
        </w:rPr>
        <w:t>الاجرة،و عدم براءة ذمّة المنوب عنه من الفعل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کما فی استیجار الولیّ للعمل عن المیّت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یبقی الإشکال فی استیجار الولیّ للعمل عن المیّت؛إذ لا یعتبر فیه قصد النیابة عن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ذمّة المیّت من آثار صحّة فعل الغیر من حیث هو فعله،لا من حیث اعتباره فعلا للولیّ،فلا بدّ أن یکتفی فیه بإحراز إتیان صورة الفعل بقصد إبراء ذمّة المیّت،و یحمل علی الصحیح من حیث الاحتمالات الأخر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التأمّل فی هذا المقام أیضا بعد التتبّع التامّ فی کلمات الأعلام</w:t>
      </w:r>
      <w:r>
        <w:rPr>
          <w:rFonts w:eastAsia="IRNazanin" w:cs="IRNazanin"/>
          <w:color w:val="111111"/>
          <w:sz w:val="28"/>
          <w:szCs w:val="28"/>
          <w:rtl w:val="true"/>
          <w:lang w:bidi="fa-IR"/>
        </w:rPr>
        <w:t xml:space="preserve">. </w:t>
      </w:r>
      <w:bookmarkStart w:id="1258" w:name="pg12985_125219"/>
    </w:p>
    <w:p>
      <w:pPr>
        <w:pStyle w:val="Heading6"/>
        <w:numPr>
          <w:ilvl w:val="5"/>
          <w:numId w:val="1"/>
        </w:numPr>
        <w:rPr/>
      </w:pPr>
      <w:bookmarkStart w:id="1259" w:name="__RefHeading___Toc5767785_3224264995"/>
      <w:bookmarkStart w:id="1260" w:name="_Toc501"/>
      <w:bookmarkEnd w:id="1258"/>
      <w:bookmarkEnd w:id="1259"/>
      <w:r>
        <w:rPr>
          <w:rtl w:val="true"/>
        </w:rPr>
        <w:t>الخامس عدم جواز الأخذ باللوازم فی أصالة الصحّة</w:t>
      </w:r>
      <w:bookmarkEnd w:id="1260"/>
    </w:p>
    <w:p>
      <w:pPr>
        <w:pStyle w:val="BookText"/>
        <w:rPr/>
      </w:pPr>
      <w:r>
        <w:rPr>
          <w:rFonts w:ascii="IRNazanin" w:hAnsi="IRNazanin" w:eastAsia="IRNazanin"/>
          <w:color w:val="111111"/>
          <w:sz w:val="28"/>
          <w:sz w:val="28"/>
          <w:szCs w:val="28"/>
          <w:rtl w:val="true"/>
          <w:lang w:bidi="fa-IR"/>
        </w:rPr>
        <w:t>أنّ الثابت من القاعدة المذکورة الحکم بوقوع الفعل بحیث یترتّب علیه الآثار الشرعیّة المترتّبة علی العمل الصحیح،أمّا ما یلازم الصحّة من الامور الخارجة عن حقیقة الصحیح فلا دلیل علی ترتّبها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أنّ الشراء الصادر من الغیر کان بما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بعین من أعیان ماله،فلا یحکم بخروج تلک العین من ترکته،بل یحکم بصحّة الشراء و عدم انتقال شیء من ترکته إلی البائع 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ذکرنا سابقا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لو شکّ فی صلاة العصر أنّه صلّی الظهر أم لا،یحکم بفعل الظهر من حیث کونه شرطا لصلاة العصر،لا فعل الظهر من حیث هو حتّی لا یجب إتیانه ثانیا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القواعد،فی آخر کتاب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 من غیر تعیین،فقال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سنة بدینار،ففی تقدیم قول المستأجر نظر،فإن قدّمنا قول المالک فالأقوی صحّة العقد فی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فی تقدیم قول المستأجر لو ادّعی اجرة مدّة معلومة أو عوضا معیّنا،و أنکر المالک التعیین فیهما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التقدیم فیما لم یتضمّن دعوی </w:t>
      </w:r>
      <w:r>
        <w:rPr>
          <w:rStyle w:val="FootnoteAnchor"/>
          <w:rtl w:val="true"/>
        </w:rPr>
        <w:footnoteReference w:id="12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261" w:name="pg12985_125221"/>
    </w:p>
    <w:p>
      <w:pPr>
        <w:pStyle w:val="Heading6"/>
        <w:numPr>
          <w:ilvl w:val="5"/>
          <w:numId w:val="1"/>
        </w:numPr>
        <w:rPr/>
      </w:pPr>
      <w:bookmarkStart w:id="1262" w:name="__RefHeading___Toc5767787_3224264995"/>
      <w:bookmarkStart w:id="1263" w:name="_Toc502"/>
      <w:bookmarkEnd w:id="1261"/>
      <w:bookmarkEnd w:id="1262"/>
      <w:r>
        <w:rPr>
          <w:rtl w:val="true"/>
        </w:rPr>
        <w:t>السادس وجه تقدیم أصالة الصحّة علی استصحاب الفساد</w:t>
      </w:r>
      <w:bookmarkEnd w:id="1263"/>
    </w:p>
    <w:p>
      <w:pPr>
        <w:pStyle w:val="BookText"/>
        <w:rPr/>
      </w:pPr>
      <w:r>
        <w:rPr>
          <w:rFonts w:ascii="IRNazanin" w:hAnsi="IRNazanin" w:eastAsia="IRNazanin"/>
          <w:color w:val="111111"/>
          <w:sz w:val="28"/>
          <w:sz w:val="28"/>
          <w:szCs w:val="28"/>
          <w:rtl w:val="true"/>
          <w:lang w:bidi="fa-IR"/>
        </w:rPr>
        <w:t>فی بیان ورود هذا الأصل علی الاستصحاب،فنقول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تقدیمه علی استصحاب الفساد و ما فی معناه </w:t>
      </w:r>
      <w:r>
        <w:rPr>
          <w:rStyle w:val="FootnoteAnchor"/>
          <w:rtl w:val="true"/>
        </w:rPr>
        <w:footnoteReference w:id="1224"/>
      </w:r>
      <w:r>
        <w:rPr>
          <w:rFonts w:ascii="IRNazanin" w:hAnsi="IRNazanin" w:eastAsia="IRNazanin"/>
          <w:color w:val="111111"/>
          <w:sz w:val="28"/>
          <w:sz w:val="28"/>
          <w:szCs w:val="28"/>
          <w:rtl w:val="true"/>
          <w:lang w:bidi="fa-IR"/>
        </w:rPr>
        <w:t xml:space="preserve">فواضح؛لأنّ الشکّ فی بقاء الحالة السابقة علی الفعل المشکوک أو ارتفاعها،ناش عن الشکّ فی سببیّة هذا الفعل و تأثیره،فإذا حکم بتأثیره فلا حکم لذلک الشکّ،خصوصا إذا جعلنا هذا الأصل من الظواهر المعتبرة،فیکون نظیر حکم الشارع بکون الخارج قبل الاستبراء بولا،الحاکم علی أصالة بقاء الطهارة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4" w:name="__RefHeading___Toc5767789_3224264995"/>
      <w:bookmarkStart w:id="1265" w:name="_Toc503"/>
      <w:bookmarkEnd w:id="1264"/>
      <w:r>
        <w:rPr>
          <w:rtl w:val="true"/>
        </w:rPr>
        <w:t>اضطراب کلمات الأصحاب فی تقدیم أصالة الصحّة علی الاستصحابات الموضوعیّة</w:t>
      </w:r>
      <w:r>
        <w:rPr>
          <w:rtl w:val="true"/>
        </w:rPr>
        <w:t>:</w:t>
      </w:r>
      <w:bookmarkEnd w:id="126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تقدیمه علی الاستصحابات الموضوعیّة المترتّب علیها الفساد </w:t>
      </w:r>
      <w:bookmarkStart w:id="1266" w:name="pg12985_125222"/>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عدم البلوغ،و عدم اختبار المبیع بالرؤیة أو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اضطربت فیه کلمات الأصحاب،خصوصا العلاّمة </w:t>
      </w:r>
      <w:r>
        <w:rPr>
          <w:rStyle w:val="FootnoteAnchor"/>
          <w:rtl w:val="true"/>
        </w:rPr>
        <w:footnoteReference w:id="1226"/>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7" w:name="__RefHeading___Toc5767791_3224264995"/>
      <w:bookmarkStart w:id="1268" w:name="_Toc504"/>
      <w:bookmarkEnd w:id="1267"/>
      <w:r>
        <w:rPr>
          <w:rtl w:val="true"/>
        </w:rPr>
        <w:t>التحقیق فی المسألة</w:t>
      </w:r>
      <w:r>
        <w:rPr>
          <w:rtl w:val="true"/>
        </w:rPr>
        <w:t>:</w:t>
      </w:r>
      <w:bookmarkEnd w:id="1268"/>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جعلنا هذا الأصل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ظاهر کلمات جماعة بل الأکثر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تقدیمه علی تلک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من الاصول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بالصحّة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ترتّب الأثر،فلا إشکال فی تقدیم الاستصحاب الموضوعیّ علیها؛لأنّه مزیل بالنسبة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ارید بها کون الفعل بحیث </w:t>
      </w:r>
      <w:r>
        <w:rPr>
          <w:rStyle w:val="FootnoteAnchor"/>
          <w:rtl w:val="true"/>
        </w:rPr>
        <w:footnoteReference w:id="1229"/>
      </w:r>
      <w:r>
        <w:rPr>
          <w:rFonts w:ascii="IRNazanin" w:hAnsi="IRNazanin" w:eastAsia="IRNazanin"/>
          <w:color w:val="111111"/>
          <w:sz w:val="28"/>
          <w:sz w:val="28"/>
          <w:szCs w:val="28"/>
          <w:rtl w:val="true"/>
          <w:lang w:bidi="fa-IR"/>
        </w:rPr>
        <w:t>یترتّب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الأصل مشخّصا للموضوع من حیث ثبوت الصحّة له،لا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تقدیمه علی الاستصحاب الموضوعیّ نظر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أصالة عدم بلوغ البائع تثبت کون الواقع فی الخارج بیعا صادرا عن غیر بالغ،فیترتّب علیه الفساد،کما فی نظائره من القیود العدمیّة المأخوذة فی الموضوعات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الحمل علی الصحیح تثبت کون الواقع بیعا صادرا عن بالغ،فیترتّب علیه الصحّة،فتتعارضان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231"/>
      </w:r>
      <w:r>
        <w:rPr>
          <w:rFonts w:ascii="IRNazanin" w:hAnsi="IRNazanin" w:eastAsia="IRNazanin"/>
          <w:color w:val="111111"/>
          <w:sz w:val="28"/>
          <w:sz w:val="28"/>
          <w:szCs w:val="28"/>
          <w:rtl w:val="true"/>
          <w:lang w:bidi="fa-IR"/>
        </w:rPr>
        <w:t xml:space="preserve">الحمل علی الصحیح یقتضی کون الواقع البیع الصادر عن بالغ،و هو سبب شرعی فی ارتفاع الحالة السابقة علی العقد، و أصالة عدم البلوغ لا توجب بقاء الحالة السابقة علی العقد من حیث إحراز البیع الصادر عن غیر بالغ بحکم الاستصحاب؛لأنّه لا یوجب الرجوع إلی الحالة السابقة علی هذا العقد؛فإنّه لیس ممّا یترتّب علیه و إن فرضنا أنّه یترتّب علیه آثار أخر؛لأنّ عدم المسبّب من آثار عدم </w:t>
      </w:r>
    </w:p>
    <w:p>
      <w:pPr>
        <w:pStyle w:val="BookText"/>
        <w:rPr/>
      </w:pPr>
      <w:r>
        <w:rPr>
          <w:rFonts w:ascii="IRNazanin" w:hAnsi="IRNazanin" w:eastAsia="IRNazanin"/>
          <w:color w:val="111111"/>
          <w:sz w:val="28"/>
          <w:sz w:val="28"/>
          <w:szCs w:val="28"/>
          <w:rtl w:val="true"/>
          <w:lang w:bidi="fa-IR"/>
        </w:rPr>
        <w:t>السبب لا من آثار ضدّه،فنقول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 السبب ما لم یدلّ دلیل شرعی علی وجوده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البقاء علی الحالة السابقة علی هذا البیع مستند إلی عدم السبب الشرعی،فإذا شکّ فیه بنی علی البقاء و عدم وجود المسبّب،ما لم یدلّ دلیل علی کون الموجود المردّد بین السبب و غیره هو السبب، فإذن لا منافاة بین الحکم بترتّب الآثار المترتّبة علی البیع الصادر عن غیر بالغ،و ترتّب الآثار المترتّبة علی البیع الصادر عن بالغ؛لأنّ الثانی یقتضی انتقال المال عن البائع،و الأوّل لا یقتضیه،لا أنّه یقتضی عدمه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9" w:name="pg12985_125229"/>
      <w:bookmarkStart w:id="1270" w:name="pg12985_125229"/>
      <w:bookmarkEnd w:id="1270"/>
    </w:p>
    <w:p>
      <w:pPr>
        <w:pStyle w:val="Heading6"/>
        <w:numPr>
          <w:ilvl w:val="5"/>
          <w:numId w:val="1"/>
        </w:numPr>
        <w:rPr/>
      </w:pPr>
      <w:bookmarkStart w:id="1271" w:name="pg12985_125229"/>
      <w:bookmarkStart w:id="1272" w:name="__RefHeading___Toc5767793_3224264995"/>
      <w:bookmarkStart w:id="1273" w:name="_Toc505"/>
      <w:bookmarkEnd w:id="1271"/>
      <w:bookmarkEnd w:id="1272"/>
      <w:r>
        <w:rPr>
          <w:rtl w:val="true"/>
        </w:rPr>
        <w:t>بقی الکلام فی أصالة الصحّة فی الأقوال و الاعتقادات</w:t>
      </w:r>
      <w:bookmarkEnd w:id="1273"/>
    </w:p>
    <w:p>
      <w:pPr>
        <w:pStyle w:val="Heading6"/>
        <w:numPr>
          <w:ilvl w:val="5"/>
          <w:numId w:val="1"/>
        </w:numPr>
        <w:rPr/>
      </w:pPr>
      <w:bookmarkStart w:id="1274" w:name="__RefHeading___Toc5767795_3224264995"/>
      <w:bookmarkStart w:id="1275" w:name="_Toc506"/>
      <w:bookmarkEnd w:id="1274"/>
      <w:r>
        <w:rPr>
          <w:rtl w:val="true"/>
        </w:rPr>
        <w:t>أصالة الصحّة فی الأقوال</w:t>
      </w:r>
      <w:r>
        <w:rPr>
          <w:rtl w:val="true"/>
        </w:rPr>
        <w:t>:</w:t>
      </w:r>
      <w:bookmarkEnd w:id="1275"/>
    </w:p>
    <w:p>
      <w:pPr>
        <w:pStyle w:val="BookText"/>
        <w:rPr/>
      </w:pPr>
      <w:r>
        <w:rPr>
          <w:rFonts w:ascii="IRNazanin" w:hAnsi="IRNazanin" w:eastAsia="IRNazanin"/>
          <w:color w:val="111111"/>
          <w:sz w:val="28"/>
          <w:sz w:val="28"/>
          <w:szCs w:val="28"/>
          <w:rtl w:val="true"/>
          <w:lang w:bidi="fa-IR"/>
        </w:rPr>
        <w:t>أمّا الأقوال،فالصحّة فیها تکون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حرکة من حرکات المکلّف،فیکون الشکّ من حیث کونه مباحا أو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الحمل علی الصحّة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کاشفا عن مقصود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من هذه الحیثیّة یکون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بذلک القول قصد الکشف بذلک عن معنی،أم لم یقصد،بل تکلّم به من غیر قصد لمعنی؟و لا إشکال فی أصالة الصحّة من هذه الحیثیّة بحیث لو ادّعی کون التکلّم لغوا أو غلطا لم یسمع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صادق فی اعتقاده و معتقد بمؤدّی ما یقوله،أم هو کاذب فی هذا التکلّم فی اعتقاده؟و لا إشکال فی أصالة الصحّة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أخبر بشیء جاز نسبة اعتقاد مضمون الخبر إلیه،و لا یسمع دعوی أنّه غیر معتقد لما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کذا،جاز أن یسند إلیه أنّه طالبه فی الواقع،لا أنّه مظهر للطلب صورة لمصلحة کالتوطین،أو لمفسدة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الأصلان ممّا قامت علیهما السیرة القطعیّة،مع إمکان إجراء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أدلّة تنزیه فعل </w:t>
      </w:r>
    </w:p>
    <w:p>
      <w:pPr>
        <w:pStyle w:val="BookText"/>
        <w:rPr/>
      </w:pPr>
      <w:r>
        <w:rPr>
          <w:rFonts w:ascii="IRNazanin" w:hAnsi="IRNazanin" w:eastAsia="IRNazanin"/>
          <w:color w:val="111111"/>
          <w:sz w:val="28"/>
          <w:sz w:val="28"/>
          <w:szCs w:val="28"/>
          <w:rtl w:val="true"/>
          <w:lang w:bidi="fa-IR"/>
        </w:rPr>
        <w:t>المسلم عن القبیح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المستند فیه لیس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صادقا فی الواقع أو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حجّیّة خبر المسلم لغیره،فمعنی حجّیّة خبره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الدلیل علی وجوب الحمل علی الصحیح بهذا المعنی،و الظاهر عدم الخلاف فی ذلک؛إذ لم یقل أحد بحجّیّة کلّ خبر صدر من مسلم، و لا دلیل یفی بعمومه علیه،حتّی نرتکب دعوی خروج ما خرج بالدلیل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الدلیل العامّ،من مثل الأخبار المتقدّمة </w:t>
      </w:r>
      <w:r>
        <w:rPr>
          <w:rStyle w:val="FootnoteAnchor"/>
          <w:rtl w:val="true"/>
        </w:rPr>
        <w:footnoteReference w:id="1235"/>
      </w:r>
      <w:r>
        <w:rPr>
          <w:rFonts w:ascii="IRNazanin" w:hAnsi="IRNazanin" w:eastAsia="IRNazanin"/>
          <w:color w:val="111111"/>
          <w:sz w:val="28"/>
          <w:sz w:val="28"/>
          <w:szCs w:val="28"/>
          <w:rtl w:val="true"/>
          <w:lang w:bidi="fa-IR"/>
        </w:rPr>
        <w:t>الآمرة بوجوب حمل أمر المسلم علی أحسنه،و ما دلّ علی وجوب تصدیق المؤمن و عدم اتّهامه عموما،و خصوص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عندک المسلمون فصدّقهم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ممّا ذکرنا فی بحث حجّیّة خبر الواحد،و ذکرنا عدم دلالتها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فرض دلیل عامّ علی حجّیّة خبر کلّ مسلم،کان الخارج منه أکثر من الداخل؛لقیام الإجماع علی عدم اعتباره فی الشهادات و لا فی الروایات إلاّ مع شروط خاصّة،و لا فی الحدسیّات و النظریّات إلاّ فی موارد خاصّة،مثل الفتوی و شبهها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فی خبر العدل الحجّیّة؛لجملة </w:t>
      </w:r>
      <w:bookmarkStart w:id="1276" w:name="pg12985_125231"/>
    </w:p>
    <w:p>
      <w:pPr>
        <w:pStyle w:val="BookText"/>
        <w:rPr/>
      </w:pPr>
      <w:bookmarkEnd w:id="1276"/>
      <w:r>
        <w:rPr>
          <w:rFonts w:ascii="Amiri" w:hAnsi="Amiri" w:eastAsia="Amiri" w:cs="Amiri"/>
          <w:color w:val="111111"/>
          <w:sz w:val="28"/>
          <w:sz w:val="28"/>
          <w:szCs w:val="28"/>
          <w:rtl w:val="true"/>
          <w:lang w:bidi="ar-SA"/>
        </w:rPr>
        <w:t xml:space="preserve">ممّا </w:t>
      </w:r>
      <w:r>
        <w:rPr>
          <w:rStyle w:val="FootnoteAnchor"/>
          <w:rtl w:val="true"/>
        </w:rPr>
        <w:footnoteReference w:id="1237"/>
      </w:r>
      <w:r>
        <w:rPr>
          <w:rFonts w:ascii="IRNazanin" w:hAnsi="IRNazanin" w:eastAsia="IRNazanin"/>
          <w:color w:val="111111"/>
          <w:sz w:val="28"/>
          <w:sz w:val="28"/>
          <w:szCs w:val="28"/>
          <w:rtl w:val="true"/>
          <w:lang w:bidi="fa-IR"/>
        </w:rPr>
        <w:t xml:space="preserve">ذکرناه فی أخبار الآحاد،و ذکرنا ما یوجب تضعیف ذلک، فراجع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7" w:name="__RefHeading___Toc5767797_3224264995"/>
      <w:bookmarkStart w:id="1278" w:name="_Toc507"/>
      <w:bookmarkEnd w:id="1277"/>
      <w:r>
        <w:rPr>
          <w:rtl w:val="true"/>
        </w:rPr>
        <w:t>أصالة الصحّة فی الاعتقادات</w:t>
      </w:r>
      <w:r>
        <w:rPr>
          <w:rtl w:val="true"/>
        </w:rPr>
        <w:t>:</w:t>
      </w:r>
      <w:bookmarkEnd w:id="1278"/>
    </w:p>
    <w:p>
      <w:pPr>
        <w:pStyle w:val="BookText"/>
        <w:rPr/>
      </w:pPr>
      <w:r>
        <w:rPr>
          <w:rFonts w:ascii="IRNazanin" w:hAnsi="IRNazanin" w:eastAsia="IRNazanin"/>
          <w:color w:val="111111"/>
          <w:sz w:val="28"/>
          <w:sz w:val="28"/>
          <w:szCs w:val="28"/>
          <w:rtl w:val="true"/>
          <w:lang w:bidi="fa-IR"/>
        </w:rPr>
        <w:t>و أمّا الاعتقادات،فنقول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الشکّ فی أنّ اعتقاده ناش عن مدرک صحیح من دون تقصیر عنه فی مقدّماته،أو من مدرک فاسد لتقصیر منه فی مقدّماته، فالظاهر وجوب الحمل علی الصحیح؛لظاهر بعض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حمل امور المسلمین علی الحسن دون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شکّ فی صحّته بمعنی المطابقة للواقع،فلا دلیل علی وجوب الحمل علی ذلک،و لو ثبت ذلک أوجب حجّیّة کلّ خبر أخبر به المسلم؛لما عرفت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الخبر کونه کاشفا عن اعتقاد المخبر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ثبت حجّیّة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یعلم أنّ العبرة باعتقاده بالمخبر به،کما فی المفتی و غیره ممّن یعتبر نظره فی المطلب،فیکون خبره کاشفا عن الحجّة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من الدلیل حجّیّة خصوص إخباره بالواقع،حتّی لا یقبل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بکذا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یدلّ الدلیل علی حجّیّة خصوص شهادته المتحقّقة تارة بالإخبار عن الواقع،و اخری بالإخبار بعلمه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المتّبع فی کلّ مورد ما دلّ علیه الدلیل،و قد یشتبه مقدار دلالة الدلیل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ما ذکرنا قبول تعدیلات أهل الرجال المکتوبة فی کتبهم،و صحّة التعویل فی العدالة علی اقتداء العدلین</w:t>
      </w:r>
      <w:r>
        <w:rPr>
          <w:rFonts w:eastAsia="IRNazanin" w:cs="IRNazanin"/>
          <w:color w:val="111111"/>
          <w:sz w:val="28"/>
          <w:szCs w:val="28"/>
          <w:rtl w:val="true"/>
          <w:lang w:bidi="fa-IR"/>
        </w:rPr>
        <w:t xml:space="preserve">. </w:t>
      </w:r>
      <w:bookmarkStart w:id="1279" w:name="pg12985_125233"/>
    </w:p>
    <w:p>
      <w:pPr>
        <w:pStyle w:val="Heading5"/>
        <w:numPr>
          <w:ilvl w:val="4"/>
          <w:numId w:val="1"/>
        </w:numPr>
        <w:rPr/>
      </w:pPr>
      <w:bookmarkStart w:id="1280" w:name="__RefHeading___Toc5767799_3224264995"/>
      <w:bookmarkStart w:id="1281" w:name="_Toc508"/>
      <w:bookmarkEnd w:id="1279"/>
      <w:bookmarkEnd w:id="1280"/>
      <w:r>
        <w:rPr>
          <w:rtl w:val="true"/>
        </w:rPr>
        <w:t>المقام الثانی فی بیان تعارض الاستصحاب مع القرعة</w:t>
      </w:r>
      <w:bookmarkEnd w:id="1281"/>
    </w:p>
    <w:p>
      <w:pPr>
        <w:pStyle w:val="Heading6"/>
        <w:numPr>
          <w:ilvl w:val="5"/>
          <w:numId w:val="1"/>
        </w:numPr>
        <w:rPr/>
      </w:pPr>
      <w:bookmarkStart w:id="1282" w:name="__RefHeading___Toc5767801_3224264995"/>
      <w:bookmarkStart w:id="1283" w:name="_Toc509"/>
      <w:bookmarkEnd w:id="1282"/>
      <w:r>
        <w:rPr>
          <w:rtl w:val="true"/>
        </w:rPr>
        <w:t>تقدم الاستصحاب علی القرعة</w:t>
      </w:r>
      <w:r>
        <w:rPr>
          <w:rtl w:val="true"/>
        </w:rPr>
        <w:t>:</w:t>
      </w:r>
      <w:bookmarkEnd w:id="1283"/>
    </w:p>
    <w:p>
      <w:pPr>
        <w:pStyle w:val="BookText"/>
        <w:rPr/>
      </w:pPr>
      <w:r>
        <w:rPr>
          <w:rFonts w:ascii="IRNazanin" w:hAnsi="IRNazanin" w:eastAsia="IRNazanin"/>
          <w:color w:val="111111"/>
          <w:sz w:val="28"/>
          <w:sz w:val="28"/>
          <w:szCs w:val="28"/>
          <w:rtl w:val="true"/>
          <w:lang w:bidi="fa-IR"/>
        </w:rPr>
        <w:t>و تفصیل القول فیها یحتاج إلی بسط لا یسعه الوقت،و مجمل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ظاهر أخبارها أعمّ من جمیع أدلّة الاستصحاب؛فلا بدّ من تخصیصها بها،فیختصّ القرعة بموارد لا یجری فیها الاستصحاب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4" w:name="__RefHeading___Toc5767803_3224264995"/>
      <w:bookmarkStart w:id="1285" w:name="_Toc510"/>
      <w:bookmarkEnd w:id="1284"/>
      <w:r>
        <w:rPr>
          <w:rtl w:val="true"/>
        </w:rPr>
        <w:t>تعارض القرعة مع سائر الأصول</w:t>
      </w:r>
      <w:r>
        <w:rPr>
          <w:rtl w:val="true"/>
        </w:rPr>
        <w:t>:</w:t>
      </w:r>
      <w:bookmarkEnd w:id="12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نعم،القرعة واردة علی أصالة التخییر،و أصالتی الإباحة و الاحتیاط إذا کان مدرکهما العقل،و إن کان مدرکهما تعبّد الشارع بهما فی مواردهما فدلیل القرعة حاکم علیهما،کما لا یخفی</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ذکر فی محلّه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القرعة لا یعمل بها بدون جبر عمومها بعمل الأصحاب أو جماعة منهم،و اللّه العالم</w:t>
      </w:r>
      <w:r>
        <w:rPr>
          <w:rFonts w:eastAsia="IRNazanin" w:cs="IRNazanin"/>
          <w:color w:val="111111"/>
          <w:sz w:val="28"/>
          <w:szCs w:val="28"/>
          <w:rtl w:val="true"/>
          <w:lang w:bidi="fa-IR"/>
        </w:rPr>
        <w:t xml:space="preserve">. </w:t>
      </w:r>
      <w:bookmarkStart w:id="1286" w:name="pg12985_125235"/>
    </w:p>
    <w:p>
      <w:pPr>
        <w:pStyle w:val="Heading5"/>
        <w:numPr>
          <w:ilvl w:val="4"/>
          <w:numId w:val="1"/>
        </w:numPr>
        <w:rPr/>
      </w:pPr>
      <w:bookmarkStart w:id="1287" w:name="__RefHeading___Toc5767805_3224264995"/>
      <w:bookmarkStart w:id="1288" w:name="_Toc511"/>
      <w:bookmarkEnd w:id="1286"/>
      <w:bookmarkEnd w:id="1287"/>
      <w:r>
        <w:rPr>
          <w:rtl w:val="true"/>
        </w:rPr>
        <w:t>المقام الثالث فی تعارض الاستصحاب مع ما عداه من الاصول العملیّة</w:t>
      </w:r>
      <w:bookmarkEnd w:id="1288"/>
    </w:p>
    <w:p>
      <w:pPr>
        <w:pStyle w:val="Heading6"/>
        <w:numPr>
          <w:ilvl w:val="5"/>
          <w:numId w:val="1"/>
        </w:numPr>
        <w:rPr/>
      </w:pPr>
      <w:bookmarkStart w:id="1289" w:name="__RefHeading___Toc5767807_3224264995"/>
      <w:bookmarkStart w:id="1290" w:name="_Toc512"/>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و أصالة الاشتغال و أصالة التخییر</w:t>
      </w:r>
    </w:p>
    <w:p>
      <w:pPr>
        <w:pStyle w:val="Heading6"/>
        <w:numPr>
          <w:ilvl w:val="5"/>
          <w:numId w:val="1"/>
        </w:numPr>
        <w:rPr/>
      </w:pPr>
      <w:bookmarkStart w:id="1291" w:name="__RefHeading___Toc5767809_3224264995"/>
      <w:bookmarkStart w:id="1292" w:name="_Toc513"/>
      <w:bookmarkEnd w:id="1291"/>
      <w:r>
        <w:rPr>
          <w:rtl w:val="true"/>
        </w:rPr>
        <w:t>الأوّل</w:t>
      </w:r>
      <w:r>
        <w:rPr>
          <w:rtl w:val="true"/>
        </w:rPr>
        <w:t>:</w:t>
      </w:r>
      <w:r>
        <w:rPr>
          <w:rtl w:val="true"/>
        </w:rPr>
        <w:t>تعارض البراءة مع الاستصحاب</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البراءة مع الاستصحاب</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Heading6"/>
        <w:numPr>
          <w:ilvl w:val="5"/>
          <w:numId w:val="1"/>
        </w:numPr>
        <w:rPr/>
      </w:pPr>
      <w:bookmarkStart w:id="1293" w:name="__RefHeading___Toc5767811_3224264995"/>
      <w:bookmarkStart w:id="1294" w:name="_Toc514"/>
      <w:bookmarkEnd w:id="1293"/>
      <w:r>
        <w:rPr>
          <w:rtl w:val="true"/>
        </w:rPr>
        <w:t>تقدّم الاستصحاب و غیره من الأدلّة و الاصول علی أصالة البراءة</w:t>
      </w:r>
      <w:r>
        <w:rPr>
          <w:rtl w:val="true"/>
        </w:rPr>
        <w:t>:</w:t>
      </w:r>
      <w:bookmarkEnd w:id="1294"/>
    </w:p>
    <w:p>
      <w:pPr>
        <w:pStyle w:val="BookText"/>
        <w:rPr/>
      </w:pPr>
      <w:r>
        <w:rPr>
          <w:rFonts w:ascii="IRNazanin" w:hAnsi="IRNazanin" w:eastAsia="IRNazanin"/>
          <w:color w:val="111111"/>
          <w:sz w:val="28"/>
          <w:sz w:val="28"/>
          <w:szCs w:val="28"/>
          <w:rtl w:val="true"/>
          <w:lang w:bidi="fa-IR"/>
        </w:rPr>
        <w:t>أمّا أصالة البراءة،فلا تعارض الاستصحاب و لا غیره من الاصول و الأدلّة،سواء کان مدرکها العقل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العقل،فواضح؛لأنّ العقل لا یحکم بقبح العقاب إلاّ مع عدم الدلیل علی التکلیف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النقل،فما کان منه مساوقا لحکم العقل فقد اتّضح أمره، و الاستصحاب وارد علیه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الاستصحاب خارج منه؛لورود النهی فی المستصحب و لو بالنسبة إلی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المشکوک فی بقاء حرمته لم یرد نهی عن ارتکابه فی هذا الزمان،فلا بدّ من أن یکون مرخّصا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فعصیر العنب بعد ذهاب ثلثیه بالهواء لم یرد فیه نهی،و ورود النهی عن شربه قبل ذهاب الثلثین لا یوجب المنع عنه بعده،کما أنّ وروده فی مطلق العصیر باعتبار وروده فی بعض أفراده لو کفی فی الدخول فی ما بعد الغایة،لدلّ علی المنع عن کلّ کلیّ ورد المنع عن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فی الأفراد بین ما کان تغایرها </w:t>
      </w:r>
      <w:r>
        <w:rPr>
          <w:rStyle w:val="FootnoteAnchor"/>
          <w:rtl w:val="true"/>
        </w:rPr>
        <w:footnoteReference w:id="1244"/>
      </w:r>
      <w:r>
        <w:rPr>
          <w:rFonts w:ascii="IRNazanin" w:hAnsi="IRNazanin" w:eastAsia="IRNazanin"/>
          <w:color w:val="111111"/>
          <w:sz w:val="28"/>
          <w:sz w:val="28"/>
          <w:szCs w:val="28"/>
          <w:rtl w:val="true"/>
          <w:lang w:bidi="fa-IR"/>
        </w:rPr>
        <w:t>بتبدّل الأحوال و الزمان دون غیرها،شطط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إشکال فی الرجوع إلی البراءة مع عدم القول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فی الضعف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النهی الثابت بالاستصحاب عن نقض الیقین،نهی وارد فی رفع </w:t>
      </w:r>
      <w:r>
        <w:rPr>
          <w:rStyle w:val="FootnoteAnchor"/>
          <w:rtl w:val="true"/>
        </w:rPr>
        <w:footnoteReference w:id="1245"/>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بیان الرخصة فی الشیء الذی لم یرد فیه نهی من حیث عنوانه الخاصّ،لا من حیث إنّه مشکوک الحکم،و إلاّ فیمکن العکس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النهی عن النقض فی مورد عدم ثبوت الرخصة بأصالة الإباحة،فیختصّ الاستصحاب بما لا یجری فیه أصالة البراءة،فتأمّل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1295" w:name="pg12985_125237"/>
    </w:p>
    <w:p>
      <w:pPr>
        <w:pStyle w:val="Heading6"/>
        <w:numPr>
          <w:ilvl w:val="5"/>
          <w:numId w:val="1"/>
        </w:numPr>
        <w:rPr/>
      </w:pPr>
      <w:bookmarkStart w:id="1296" w:name="__RefHeading___Toc5767813_3224264995"/>
      <w:bookmarkStart w:id="1297" w:name="_Toc515"/>
      <w:bookmarkEnd w:id="1295"/>
      <w:bookmarkEnd w:id="1296"/>
      <w:r>
        <w:rPr>
          <w:rtl w:val="true"/>
        </w:rPr>
        <w:t>حکومة دلیل الاستصحاب علی قوله علیه السّلام</w:t>
      </w:r>
      <w:r>
        <w:rPr>
          <w:rtl w:val="true"/>
        </w:rPr>
        <w:t>:«</w:t>
      </w:r>
      <w:r>
        <w:rPr>
          <w:rtl w:val="true"/>
        </w:rPr>
        <w:t>کلّ شیء مطلق حتی یرد فیه نهی</w:t>
      </w:r>
      <w:r>
        <w:rPr>
          <w:rtl w:val="true"/>
        </w:rPr>
        <w:t>»:</w:t>
      </w:r>
      <w:bookmarkEnd w:id="1297"/>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الاستصحاب بمنزلة معمّم للنهی السابق بالنسبة إلی الزمان اللاحق،فقوله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النهی الوارد لا بدّ من إبقائه و فرض عمومه للزمان اللاحق و فرض الشیء فی الزمان اللاحق ممّا ورد فیه النهی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فمجموع الروایة المذکورة و دلیل الاستصحاب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نهی،و کلّ نهی ورد فی شیء فلا بدّ من تعمیمه لجمیع أزمنة احتماله،فیکون الرخصة فی الشیء 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مغیّا بورود النهی،المحکوم علیه بالدوام و عموم الأزمان،فکان مفاد الاستصحاب نفی ما یقتضیه الأصل الآخر فی مورد الشکّ لو لا النهی، و هذا معنی الحکومة،کما سیجیء فی باب التعارض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 بین الشبهة الحکمیّة و الموضوعیّة،بل الأمر فی الشبهة الموضوعیّة أوضح؛لأنّ الاستصحاب الجاری فیها جار فی الموضوع،فیدخل فی الموضوع المعلوم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ذهاب ثلثی العصیر عند الشکّ فی بقاء حرمته لأجل الشکّ فی الذهاب،یدخله فی العصیر قبل ذهاب ثلثیه المعلوم حرمته بالأدلّة،فیخرج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pStyle w:val="Heading6"/>
        <w:numPr>
          <w:ilvl w:val="5"/>
          <w:numId w:val="1"/>
        </w:numPr>
        <w:rPr/>
      </w:pPr>
      <w:bookmarkStart w:id="1298" w:name="__RefHeading___Toc5767815_3224264995"/>
      <w:bookmarkStart w:id="1299" w:name="_Toc516"/>
      <w:bookmarkEnd w:id="1298"/>
      <w:r>
        <w:rPr>
          <w:rtl w:val="true"/>
        </w:rPr>
        <w:t>الإشکال فی بعض أخبار أصالة البراءة فی الشبهة الموضوعیّة</w:t>
      </w:r>
      <w:r>
        <w:rPr>
          <w:rtl w:val="true"/>
        </w:rPr>
        <w:t>:</w:t>
      </w:r>
      <w:bookmarkEnd w:id="129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نعم،هنا إشکال فی بعض أخبار أصالة البراءة فی الشبهة الموضوعیّة،و هو قوله علیه السّلام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تعلم أنّه حرام بعینه فتدعه من قبل نفسک،و ذلک مثل الثوب علیک </w:t>
      </w:r>
      <w:r>
        <w:rPr>
          <w:rStyle w:val="FootnoteAnchor"/>
          <w:rtl w:val="true"/>
        </w:rPr>
        <w:footnoteReference w:id="1248"/>
      </w:r>
      <w:r>
        <w:rPr>
          <w:rFonts w:ascii="Amiri" w:hAnsi="Amiri" w:eastAsia="Amiri" w:cs="Amiri"/>
          <w:color w:val="111111"/>
          <w:sz w:val="28"/>
          <w:sz w:val="28"/>
          <w:szCs w:val="28"/>
          <w:rtl w:val="true"/>
          <w:lang w:bidi="ar-SA"/>
        </w:rPr>
        <w:t xml:space="preserve">و لعلّه </w:t>
      </w:r>
    </w:p>
    <w:p>
      <w:pPr>
        <w:pStyle w:val="BookText"/>
        <w:rPr/>
      </w:pPr>
      <w:r>
        <w:rPr>
          <w:rFonts w:ascii="IRNazanin" w:hAnsi="IRNazanin" w:eastAsia="IRNazanin"/>
          <w:color w:val="111111"/>
          <w:sz w:val="28"/>
          <w:sz w:val="28"/>
          <w:szCs w:val="28"/>
          <w:rtl w:val="true"/>
          <w:lang w:bidi="fa-IR"/>
        </w:rPr>
        <w:t xml:space="preserve">سرقة،و المملوک عندک و لعلّه حرّ قد باع نفسه أو قهر </w:t>
      </w:r>
      <w:r>
        <w:rPr>
          <w:rStyle w:val="FootnoteAnchor"/>
          <w:rtl w:val="true"/>
        </w:rPr>
        <w:footnoteReference w:id="1249"/>
      </w:r>
      <w:r>
        <w:rPr>
          <w:rFonts w:ascii="IRNazanin" w:hAnsi="IRNazanin" w:eastAsia="IRNazanin"/>
          <w:color w:val="111111"/>
          <w:sz w:val="28"/>
          <w:sz w:val="28"/>
          <w:szCs w:val="28"/>
          <w:rtl w:val="true"/>
          <w:lang w:bidi="fa-IR"/>
        </w:rPr>
        <w:t>فبیع،أو امرأة تحتک و هی اختک أو رضیعتک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غیره،أو تقوم به البیّنة</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استدلّ بها جماعة،کالعلاّمة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1252"/>
      </w:r>
      <w:r>
        <w:rPr>
          <w:rFonts w:ascii="IRNazanin" w:hAnsi="IRNazanin" w:eastAsia="IRNazanin"/>
          <w:color w:val="111111"/>
          <w:sz w:val="28"/>
          <w:sz w:val="28"/>
          <w:szCs w:val="28"/>
          <w:rtl w:val="true"/>
          <w:lang w:bidi="fa-IR"/>
        </w:rPr>
        <w:t>علی أصالة الإباحة،مع أنّ أصالة الإباحة هنا معارضة باستصحاب حرمة التصرّف فی هذه الأشیاء المذکورة فی الروایة،کأصالة عدم التملّک فی الثوب،و الحریّة فی المملوک،و عدم تأثیر العقد فی 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ارید من الحلّیّة فی الروایة ما یترتّب علی أصالة الصحّة فی شراء الثوب و المملوک،و أصالة عدم تحقّق النسب </w:t>
      </w:r>
      <w:r>
        <w:rPr>
          <w:rStyle w:val="FootnoteAnchor"/>
          <w:rtl w:val="true"/>
        </w:rPr>
        <w:footnoteReference w:id="1253"/>
      </w:r>
      <w:r>
        <w:rPr>
          <w:rFonts w:ascii="IRNazanin" w:hAnsi="IRNazanin" w:eastAsia="IRNazanin"/>
          <w:color w:val="111111"/>
          <w:sz w:val="28"/>
          <w:sz w:val="28"/>
          <w:szCs w:val="28"/>
          <w:rtl w:val="true"/>
          <w:lang w:bidi="fa-IR"/>
        </w:rPr>
        <w:t xml:space="preserve">و الرضاع فی المرأة،کان خروجا عن الإباحة الثابتة بأصالة الإباحة،کما هو ظاهر الروایة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w:t>
      </w:r>
      <w:bookmarkStart w:id="1300" w:name="pg12985_125239"/>
    </w:p>
    <w:p>
      <w:pPr>
        <w:pStyle w:val="BookText"/>
        <w:rPr/>
      </w:pPr>
      <w:bookmarkEnd w:id="1300"/>
      <w:r>
        <w:rPr>
          <w:rFonts w:ascii="IRNazanin" w:hAnsi="IRNazanin" w:eastAsia="IRNazanin"/>
          <w:color w:val="111111"/>
          <w:sz w:val="28"/>
          <w:sz w:val="28"/>
          <w:szCs w:val="28"/>
          <w:rtl w:val="true"/>
          <w:lang w:bidi="fa-IR"/>
        </w:rPr>
        <w:t xml:space="preserve">فی مسألة أصالة البراءة بعض الکلام فی هذه الروایة،فراجع </w:t>
      </w:r>
      <w:r>
        <w:rPr>
          <w:rStyle w:val="FootnoteAnchor"/>
          <w:rtl w:val="true"/>
        </w:rPr>
        <w:footnoteReference w:id="1255"/>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استصحابها،فهو لا یجامع استصحاب التکلیف؛لأنّ الحالة السابقة إمّا وجود التکلیف أو عدمه،إلاّ علی ما عرفت سابقا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ذهاب بعض المعاصرین إلی إمکان تعارض استصحابی الوجود و العدم فی موضوع </w:t>
      </w:r>
      <w:r>
        <w:rPr>
          <w:rStyle w:val="FootnoteAnchor"/>
          <w:rtl w:val="true"/>
        </w:rPr>
        <w:footnoteReference w:id="1257"/>
      </w:r>
      <w:r>
        <w:rPr>
          <w:rFonts w:ascii="IRNazanin" w:hAnsi="IRNazanin" w:eastAsia="IRNazanin"/>
          <w:color w:val="111111"/>
          <w:sz w:val="28"/>
          <w:sz w:val="28"/>
          <w:szCs w:val="28"/>
          <w:rtl w:val="true"/>
          <w:lang w:bidi="fa-IR"/>
        </w:rPr>
        <w:t>واحد،و تمثیله لذلک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p>
    <w:p>
      <w:pPr>
        <w:pStyle w:val="Heading6"/>
        <w:numPr>
          <w:ilvl w:val="5"/>
          <w:numId w:val="1"/>
        </w:numPr>
        <w:rPr/>
      </w:pPr>
      <w:bookmarkStart w:id="1301" w:name="__RefHeading___Toc5767817_3224264995"/>
      <w:bookmarkStart w:id="1302" w:name="_Toc517"/>
      <w:bookmarkEnd w:id="1301"/>
      <w:r>
        <w:rPr>
          <w:rtl w:val="true"/>
        </w:rPr>
        <w:t>الثانی</w:t>
      </w:r>
      <w:r>
        <w:rPr>
          <w:rtl w:val="true"/>
        </w:rPr>
        <w:t>:</w:t>
      </w:r>
      <w:r>
        <w:rPr>
          <w:rtl w:val="true"/>
        </w:rPr>
        <w:t>تعارض قاعدة الاشتغال مع الاستصحاب</w:t>
      </w:r>
      <w:bookmarkEnd w:id="1302"/>
    </w:p>
    <w:p>
      <w:pPr>
        <w:pStyle w:val="Heading6"/>
        <w:numPr>
          <w:ilvl w:val="5"/>
          <w:numId w:val="1"/>
        </w:numPr>
        <w:rPr/>
      </w:pPr>
      <w:bookmarkStart w:id="1303" w:name="__RefHeading___Toc5767819_3224264995"/>
      <w:bookmarkStart w:id="1304" w:name="_Toc518"/>
      <w:bookmarkEnd w:id="1303"/>
      <w:r>
        <w:rPr>
          <w:rtl w:val="true"/>
        </w:rPr>
        <w:t>ورود الاستصحاب علی قاعدة الاشتغال</w:t>
      </w:r>
      <w:r>
        <w:rPr>
          <w:rtl w:val="true"/>
        </w:rPr>
        <w:t>:</w:t>
      </w:r>
      <w:bookmarkEnd w:id="1304"/>
    </w:p>
    <w:p>
      <w:pPr>
        <w:pStyle w:val="BookText"/>
        <w:rPr/>
      </w:pP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ورود الاستصحاب علیها؛لأنّ المأخوذ فی موردها بحکم العقل الشکّ فی براءة الذمّة بدون الاحتیاط، فإذا قطع بها بحکم الاستصحاب فلا مورد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أجرینا استصحاب وجوب التمام أو القصر فی بعض الموارد التی یقتضی الاحتیاط الجمع فیها بین القصر و التمام،فإنّ استصحاب وجوب أحدهما و عدم وجوب الآخر مبرئ قطعیّ لذمّة المکلّف عند الاقتصار علی مستصحب الوجوب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القاعدة،و أمّا استصحاب الاشتغال فی مورد القاعدة </w:t>
      </w:r>
      <w:bookmarkStart w:id="1305" w:name="pg12985_125240"/>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الإغماض عمّا ذکرنا سابقا </w:t>
      </w:r>
      <w:r>
        <w:rPr>
          <w:rStyle w:val="FootnoteAnchor"/>
          <w:rtl w:val="true"/>
        </w:rPr>
        <w:footnoteReference w:id="1258"/>
      </w:r>
      <w:r>
        <w:rPr>
          <w:rFonts w:ascii="IRNazanin" w:hAnsi="IRNazanin" w:eastAsia="IRNazanin"/>
          <w:color w:val="111111"/>
          <w:sz w:val="28"/>
          <w:sz w:val="28"/>
          <w:szCs w:val="28"/>
          <w:rtl w:val="true"/>
          <w:lang w:bidi="fa-IR"/>
        </w:rPr>
        <w:t>،من أنّه غیر مجد فی مورد القاعدة لإثبات ما یثبته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حکمها فی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الوارد علی قاعدة الاشتغال حاکم علی استصحابه</w:t>
      </w:r>
      <w:r>
        <w:rPr>
          <w:rFonts w:eastAsia="IRNazanin" w:cs="IRNazanin"/>
          <w:color w:val="111111"/>
          <w:sz w:val="28"/>
          <w:szCs w:val="28"/>
          <w:rtl w:val="true"/>
          <w:lang w:bidi="fa-IR"/>
        </w:rPr>
        <w:t>.</w:t>
      </w:r>
    </w:p>
    <w:p>
      <w:pPr>
        <w:pStyle w:val="Heading6"/>
        <w:numPr>
          <w:ilvl w:val="5"/>
          <w:numId w:val="1"/>
        </w:numPr>
        <w:rPr/>
      </w:pPr>
      <w:bookmarkStart w:id="1306" w:name="__RefHeading___Toc5767821_3224264995"/>
      <w:bookmarkStart w:id="1307" w:name="_Toc519"/>
      <w:bookmarkEnd w:id="1306"/>
      <w:r>
        <w:rPr>
          <w:rtl w:val="true"/>
        </w:rPr>
        <w:t>الثالث</w:t>
      </w:r>
      <w:r>
        <w:rPr>
          <w:rtl w:val="true"/>
        </w:rPr>
        <w:t>:</w:t>
      </w:r>
      <w:r>
        <w:rPr>
          <w:rtl w:val="true"/>
        </w:rPr>
        <w:t>تعارض قاعدة التخییرمع الاستصحاب</w:t>
      </w:r>
      <w:bookmarkEnd w:id="130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قاعدة</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الاستصحاب</w:t>
      </w:r>
      <w:r>
        <w:rPr>
          <w:rFonts w:eastAsia="IRNazanin" w:cs="IRNazanin"/>
          <w:color w:val="111111"/>
          <w:sz w:val="28"/>
          <w:szCs w:val="28"/>
          <w:rtl w:val="true"/>
          <w:lang w:bidi="fa-IR"/>
        </w:rPr>
        <w:t xml:space="preserve">] </w:t>
      </w:r>
      <w:r>
        <w:rPr>
          <w:rStyle w:val="FootnoteAnchor"/>
          <w:rtl w:val="true"/>
        </w:rPr>
        <w:footnoteReference w:id="1260"/>
      </w:r>
    </w:p>
    <w:p>
      <w:pPr>
        <w:pStyle w:val="Heading6"/>
        <w:numPr>
          <w:ilvl w:val="5"/>
          <w:numId w:val="1"/>
        </w:numPr>
        <w:rPr/>
      </w:pPr>
      <w:bookmarkStart w:id="1308" w:name="__RefHeading___Toc5767823_3224264995"/>
      <w:bookmarkStart w:id="1309" w:name="_Toc520"/>
      <w:bookmarkEnd w:id="1308"/>
      <w:r>
        <w:rPr>
          <w:rtl w:val="true"/>
        </w:rPr>
        <w:t>ورود الاستصحاب علی قاعدة التخییر</w:t>
      </w:r>
      <w:r>
        <w:rPr>
          <w:rtl w:val="true"/>
        </w:rPr>
        <w:t>:</w:t>
      </w:r>
      <w:bookmarkEnd w:id="1309"/>
    </w:p>
    <w:p>
      <w:pPr>
        <w:pStyle w:val="BookText"/>
        <w:rPr/>
      </w:pPr>
      <w:r>
        <w:rPr>
          <w:rFonts w:ascii="IRNazanin" w:hAnsi="IRNazanin" w:eastAsia="IRNazanin"/>
          <w:color w:val="111111"/>
          <w:sz w:val="28"/>
          <w:sz w:val="28"/>
          <w:szCs w:val="28"/>
          <w:rtl w:val="true"/>
          <w:lang w:bidi="fa-IR"/>
        </w:rPr>
        <w:t>و لا یخفی ورود الاستصحاب علیه؛إذ لا یبقی معه التحیّر الموجب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بالتخییر بین الصوم و الإفطار فی الیوم المحتمل کونه من شوّال مع استصحاب عدم الهلال،و لذا فرّع الإمام علیه السّلام قوله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1310" w:name="pg12985_125241"/>
    </w:p>
    <w:p>
      <w:pPr>
        <w:pStyle w:val="Heading4"/>
        <w:numPr>
          <w:ilvl w:val="3"/>
          <w:numId w:val="1"/>
        </w:numPr>
        <w:rPr/>
      </w:pPr>
      <w:bookmarkStart w:id="1311" w:name="__RefHeading___Toc5767825_3224264995"/>
      <w:bookmarkStart w:id="1312" w:name="_Toc521"/>
      <w:bookmarkEnd w:id="1310"/>
      <w:bookmarkEnd w:id="1311"/>
      <w:r>
        <w:rPr>
          <w:rtl w:val="true"/>
        </w:rPr>
        <w:t>تعارض الاستصحابین</w:t>
      </w:r>
      <w:bookmarkEnd w:id="1312"/>
    </w:p>
    <w:p>
      <w:pPr>
        <w:pStyle w:val="Heading5"/>
        <w:numPr>
          <w:ilvl w:val="4"/>
          <w:numId w:val="1"/>
        </w:numPr>
        <w:rPr/>
      </w:pPr>
      <w:bookmarkStart w:id="1313" w:name="__RefHeading___Toc5767827_3224264995"/>
      <w:bookmarkStart w:id="1314" w:name="_Toc522"/>
      <w:bookmarkEnd w:id="1313"/>
      <w:r>
        <w:rPr>
          <w:rtl w:val="true"/>
        </w:rPr>
        <w:t>اشارة</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و أمّا الکلام فی تعارض الاستصحابین،و هی المسألة المهمّة فی باب تعارض الاصول التی اختلف فیها کلمات العلماء فی الاصول و الفروع </w:t>
      </w:r>
      <w:r>
        <w:rPr>
          <w:rStyle w:val="FootnoteAnchor"/>
          <w:rtl w:val="true"/>
        </w:rPr>
        <w:footnoteReference w:id="1263"/>
      </w:r>
      <w:r>
        <w:rPr>
          <w:rFonts w:ascii="IRNazanin" w:hAnsi="IRNazanin" w:eastAsia="IRNazanin"/>
          <w:color w:val="111111"/>
          <w:sz w:val="28"/>
          <w:sz w:val="28"/>
          <w:szCs w:val="28"/>
          <w:rtl w:val="true"/>
          <w:lang w:bidi="fa-IR"/>
        </w:rPr>
        <w:t>، کما یظهر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الاستصحابین المتعارضین ینقسمان إلی أقسام کثیرة من حیث کونهما موضوعیّین أو حکمیّین أو مختلفین،وجودیّین أو عدمیّین أو مختلفین،و کونهما فی موضوع واحد أو موضوعین،و کون تعارضهما بأنفسهما أو بواسطة أمر خارج،إلی غیر ذلک</w:t>
      </w:r>
      <w:r>
        <w:rPr>
          <w:rFonts w:eastAsia="IRNazanin" w:cs="IRNazanin"/>
          <w:color w:val="111111"/>
          <w:sz w:val="28"/>
          <w:szCs w:val="28"/>
          <w:rtl w:val="true"/>
          <w:lang w:bidi="fa-IR"/>
        </w:rPr>
        <w:t>.</w:t>
      </w:r>
    </w:p>
    <w:p>
      <w:pPr>
        <w:pStyle w:val="Heading5"/>
        <w:numPr>
          <w:ilvl w:val="4"/>
          <w:numId w:val="1"/>
        </w:numPr>
        <w:rPr/>
      </w:pPr>
      <w:bookmarkStart w:id="1315" w:name="__RefHeading___Toc5767829_3224264995"/>
      <w:bookmarkStart w:id="1316" w:name="_Toc523"/>
      <w:bookmarkEnd w:id="1315"/>
      <w:r>
        <w:rPr>
          <w:rtl w:val="true"/>
        </w:rPr>
        <w:t>أقسام الاستصحابین المتعارضین</w:t>
      </w:r>
      <w:r>
        <w:rPr>
          <w:rtl w:val="true"/>
        </w:rPr>
        <w:t>:</w:t>
      </w:r>
      <w:bookmarkEnd w:id="1316"/>
    </w:p>
    <w:p>
      <w:pPr>
        <w:pStyle w:val="Heading6"/>
        <w:numPr>
          <w:ilvl w:val="5"/>
          <w:numId w:val="1"/>
        </w:numPr>
        <w:rPr/>
      </w:pPr>
      <w:bookmarkStart w:id="1317" w:name="__RefHeading___Toc5767831_3224264995"/>
      <w:bookmarkStart w:id="1318" w:name="_Toc524"/>
      <w:bookmarkEnd w:id="1317"/>
      <w:r>
        <w:rPr>
          <w:rtl w:val="true"/>
        </w:rPr>
        <w:t>اشارة</w:t>
      </w:r>
      <w:bookmarkEnd w:id="131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الظاهر أنّ اختلاف هذه الأقسام لا یؤثّر فی حکم المتعارضین إلاّ من جهة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أحد الاستصحابین إمّا أن یکون مسبّبا عن الشکّ فی الآخر من غیر عکس،و إمّا أن یکون الشکّ فیهما مسبّبا عن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الشکّ فی کلّ منهما مسبّبا عن الشکّ فی الآخر فغیر معقول</w:t>
      </w:r>
      <w:r>
        <w:rPr>
          <w:rFonts w:eastAsia="IRNazanin" w:cs="IRNazanin"/>
          <w:color w:val="111111"/>
          <w:sz w:val="28"/>
          <w:szCs w:val="28"/>
          <w:rtl w:val="true"/>
          <w:lang w:bidi="fa-IR"/>
        </w:rPr>
        <w:t xml:space="preserve">. </w:t>
      </w:r>
      <w:bookmarkStart w:id="1319" w:name="pg12985_125242"/>
    </w:p>
    <w:p>
      <w:pPr>
        <w:pStyle w:val="BookText"/>
        <w:rPr/>
      </w:pPr>
      <w:bookmarkEnd w:id="1319"/>
      <w:r>
        <w:rPr>
          <w:rFonts w:ascii="Amiri" w:hAnsi="Amiri" w:eastAsia="Amiri" w:cs="Amiri"/>
          <w:color w:val="111111"/>
          <w:sz w:val="28"/>
          <w:sz w:val="28"/>
          <w:szCs w:val="28"/>
          <w:rtl w:val="true"/>
          <w:lang w:bidi="ar-SA"/>
        </w:rPr>
        <w:t xml:space="preserve">و ما توهّم له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التمثیل بالعامّین من وجه،و أنّ الشکّ فی أصالة العموم فی کلّ منهما مسبّب عن الشکّ فی أصالة العموم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الأصلین مسبّب عن العلم الإجمالیّ بتخصیص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کان،فالاستصحابان المتعارضان علی قسمین</w:t>
      </w:r>
      <w:r>
        <w:rPr>
          <w:rFonts w:eastAsia="IRNazanin" w:cs="IRNazanin"/>
          <w:color w:val="111111"/>
          <w:sz w:val="28"/>
          <w:szCs w:val="28"/>
          <w:rtl w:val="true"/>
          <w:lang w:bidi="fa-IR"/>
        </w:rPr>
        <w:t>:</w:t>
      </w:r>
    </w:p>
    <w:p>
      <w:pPr>
        <w:pStyle w:val="Heading6"/>
        <w:numPr>
          <w:ilvl w:val="5"/>
          <w:numId w:val="1"/>
        </w:numPr>
        <w:rPr/>
      </w:pPr>
      <w:bookmarkStart w:id="1320" w:name="__RefHeading___Toc5767833_3224264995"/>
      <w:bookmarkStart w:id="1321" w:name="_Toc525"/>
      <w:bookmarkEnd w:id="1320"/>
      <w:r>
        <w:rPr>
          <w:rtl w:val="true"/>
        </w:rPr>
        <w:t>القسم الأوّل</w:t>
      </w:r>
      <w:r>
        <w:rPr>
          <w:rtl w:val="true"/>
        </w:rPr>
        <w:t xml:space="preserve">: </w:t>
      </w:r>
      <w:r>
        <w:rPr>
          <w:rtl w:val="true"/>
        </w:rPr>
        <w:t>إذا کان الشکّ فی أحدهما مسبّبا عن الشکّ فی الآخر</w:t>
      </w:r>
      <w:bookmarkEnd w:id="1321"/>
    </w:p>
    <w:p>
      <w:pPr>
        <w:pStyle w:val="BookText"/>
        <w:rPr/>
      </w:pPr>
      <w:r>
        <w:rPr>
          <w:rFonts w:ascii="IRNazanin" w:hAnsi="IRNazanin" w:eastAsia="IRNazanin"/>
          <w:color w:val="111111"/>
          <w:sz w:val="28"/>
          <w:sz w:val="28"/>
          <w:szCs w:val="28"/>
          <w:rtl w:val="true"/>
          <w:lang w:bidi="fa-IR"/>
        </w:rPr>
        <w:t>ما إذا کان الشکّ فی أحدهما مسبّبا عن الشکّ فی الآخر،و اللازم تقدیم الشکّ السببیّ و إجراء الاستصحاب فیه،و رفع الید عن الحالة السابقة للمستصحب الآخر</w:t>
      </w:r>
      <w:r>
        <w:rPr>
          <w:rFonts w:eastAsia="IRNazanin" w:cs="IRNazanin"/>
          <w:color w:val="111111"/>
          <w:sz w:val="28"/>
          <w:szCs w:val="28"/>
          <w:rtl w:val="true"/>
          <w:lang w:bidi="fa-IR"/>
        </w:rPr>
        <w:t>.</w:t>
      </w:r>
    </w:p>
    <w:p>
      <w:pPr>
        <w:pStyle w:val="Heading6"/>
        <w:numPr>
          <w:ilvl w:val="5"/>
          <w:numId w:val="1"/>
        </w:numPr>
        <w:rPr/>
      </w:pPr>
      <w:bookmarkStart w:id="1322" w:name="__RefHeading___Toc5767835_3224264995"/>
      <w:bookmarkStart w:id="1323" w:name="_Toc526"/>
      <w:bookmarkEnd w:id="1322"/>
      <w:r>
        <w:rPr>
          <w:rtl w:val="true"/>
        </w:rPr>
        <w:t>تقدّم الاستصحاب السببی علی المسبّبی و الاستدلال علیه</w:t>
      </w:r>
      <w:r>
        <w:rPr>
          <w:rtl w:val="true"/>
        </w:rPr>
        <w:t>:</w:t>
      </w:r>
      <w:bookmarkEnd w:id="1323"/>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 المغسول به ثوب نجس،فإنّ الشکّ فی بقاء نجاسة الثوب و ارتفاعها مسبّب عن الشکّ فی بقاء طهارة الماء و ارتفاعها،فیستصحب طهارته،و یحکم بارتفاع نجاسة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265"/>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Heading6"/>
        <w:numPr>
          <w:ilvl w:val="5"/>
          <w:numId w:val="1"/>
        </w:numPr>
        <w:rPr/>
      </w:pPr>
      <w:bookmarkStart w:id="1324" w:name="__RefHeading___Toc5767837_3224264995"/>
      <w:bookmarkStart w:id="1325" w:name="_Toc527"/>
      <w:bookmarkEnd w:id="1324"/>
      <w:r>
        <w:rPr>
          <w:rtl w:val="true"/>
        </w:rPr>
        <w:t>الدلیل  الأوّل</w:t>
      </w:r>
      <w:r>
        <w:rPr>
          <w:rtl w:val="true"/>
        </w:rPr>
        <w:t>:</w:t>
      </w:r>
      <w:r>
        <w:rPr>
          <w:rtl w:val="true"/>
        </w:rPr>
        <w:t>الإجماع</w:t>
      </w:r>
      <w:bookmarkEnd w:id="13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فی موارد لا تحصی،فإنّه لا یحتمل الخلاف فی تقدیم الاستصحاب فی الملزومات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من الحدث و الخبث،و کرّیّة الماء و إطلاقه،و حیاة المفقود،و براءة الذمّة من الحقوق المزاحمة للحجّ،و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استصحاب عدم لوازمها </w:t>
      </w:r>
      <w:bookmarkStart w:id="1326" w:name="pg12985_125243"/>
    </w:p>
    <w:p>
      <w:pPr>
        <w:pStyle w:val="BookText"/>
        <w:rPr/>
      </w:pPr>
      <w:bookmarkEnd w:id="1326"/>
      <w:r>
        <w:rPr>
          <w:rFonts w:ascii="IRNazanin" w:hAnsi="IRNazanin" w:eastAsia="IRNazanin"/>
          <w:color w:val="111111"/>
          <w:sz w:val="28"/>
          <w:sz w:val="28"/>
          <w:szCs w:val="28"/>
          <w:rtl w:val="true"/>
          <w:lang w:bidi="fa-IR"/>
        </w:rPr>
        <w:t>الشرعیّة،کما لا یخفی علی الفطن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نعم،بعض العلماء فی بعض المقامات یعارض أحدهما بالآخر،کما سیجیء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السیرة المستمرّة بین الناس علی ذلک بعد الاطّلاع علی حجّیة الاستصحاب،کما هو کذلک فی الاستصحابات العرفیّة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7" w:name="__RefHeading___Toc5767839_3224264995"/>
      <w:bookmarkStart w:id="1328" w:name="_Toc528"/>
      <w:bookmarkEnd w:id="1327"/>
      <w:r>
        <w:rPr>
          <w:rtl w:val="true"/>
        </w:rPr>
        <w:t>الدلیل  الثانی</w:t>
      </w:r>
      <w:r>
        <w:rPr>
          <w:rtl w:val="true"/>
        </w:rPr>
        <w:t>:</w:t>
      </w:r>
      <w:r>
        <w:rPr>
          <w:rtl w:val="true"/>
        </w:rPr>
        <w:t>أنّ قوله علیه السّلام</w:t>
      </w:r>
      <w:r>
        <w:rPr>
          <w:rtl w:val="true"/>
        </w:rPr>
        <w:t>:«</w:t>
      </w:r>
      <w:r>
        <w:rPr>
          <w:rtl w:val="true"/>
        </w:rPr>
        <w:t>لا تنقض الیقین بالشکّ</w:t>
      </w:r>
      <w:r>
        <w:rPr>
          <w:rtl w:val="true"/>
        </w:rPr>
        <w:t>»</w:t>
      </w:r>
      <w:bookmarkEnd w:id="1328"/>
    </w:p>
    <w:p>
      <w:pPr>
        <w:pStyle w:val="BookText"/>
        <w:rPr/>
      </w:pPr>
      <w:r>
        <w:rPr>
          <w:rFonts w:ascii="IRNazanin" w:hAnsi="IRNazanin" w:eastAsia="IRNazanin"/>
          <w:color w:val="111111"/>
          <w:sz w:val="28"/>
          <w:sz w:val="28"/>
          <w:szCs w:val="28"/>
          <w:rtl w:val="true"/>
          <w:lang w:bidi="fa-IR"/>
        </w:rPr>
        <w:t xml:space="preserve">باعتبار دلالته علی جریان الاستصحاب فی الشکّ السببیّ،مانع </w:t>
      </w:r>
      <w:r>
        <w:rPr>
          <w:rStyle w:val="FootnoteAnchor"/>
          <w:rtl w:val="true"/>
        </w:rPr>
        <w:footnoteReference w:id="1268"/>
      </w:r>
      <w:r>
        <w:rPr>
          <w:rStyle w:val="FootnoteAnchor"/>
          <w:rtl w:val="true"/>
        </w:rPr>
        <w:footnoteReference w:id="1269"/>
      </w:r>
      <w:r>
        <w:rPr>
          <w:rFonts w:ascii="IRNazanin" w:hAnsi="IRNazanin" w:eastAsia="IRNazanin"/>
          <w:color w:val="111111"/>
          <w:sz w:val="28"/>
          <w:sz w:val="28"/>
          <w:szCs w:val="28"/>
          <w:rtl w:val="true"/>
          <w:lang w:bidi="fa-IR"/>
        </w:rPr>
        <w:t>عن قابلیّة شموله لجریان الاستصحاب فی الشکّ المسبّبی،یعنی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نقض الیقین به </w:t>
      </w:r>
      <w:r>
        <w:rPr>
          <w:rStyle w:val="FootnoteAnchor"/>
          <w:rtl w:val="true"/>
        </w:rPr>
        <w:footnoteReference w:id="1270"/>
      </w:r>
      <w:r>
        <w:rPr>
          <w:rFonts w:ascii="IRNazanin" w:hAnsi="IRNazanin" w:eastAsia="IRNazanin"/>
          <w:color w:val="111111"/>
          <w:sz w:val="28"/>
          <w:sz w:val="28"/>
          <w:szCs w:val="28"/>
          <w:rtl w:val="true"/>
          <w:lang w:bidi="fa-IR"/>
        </w:rPr>
        <w:t xml:space="preserve">یصیر نقضا بالدلیل لا </w:t>
      </w:r>
      <w:r>
        <w:rPr>
          <w:rStyle w:val="FootnoteAnchor"/>
          <w:rtl w:val="true"/>
        </w:rPr>
        <w:footnoteReference w:id="1271"/>
      </w:r>
      <w:r>
        <w:rPr>
          <w:rFonts w:ascii="IRNazanin" w:hAnsi="IRNazanin" w:eastAsia="IRNazanin"/>
          <w:color w:val="111111"/>
          <w:sz w:val="28"/>
          <w:sz w:val="28"/>
          <w:szCs w:val="28"/>
          <w:rtl w:val="true"/>
          <w:lang w:bidi="fa-IR"/>
        </w:rPr>
        <w:t>بالشکّ،فلا یشمله النهی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اللازم من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المسبّبی نقض الیقین فی مورد الشکّ السببیّ لا لدلیل شرعیّ یدلّ علی ارتفاع الحالة السابقة فیه، فیلزم من إهمال الاستصحاب فی الشکّ السببیّ طرح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مخصّص،و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إهماله فی الشکّ المسبّبی عدم قابلیّة العموم لشمول المورد،و هو غیر 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w:t>
      </w:r>
      <w:r>
        <w:rPr>
          <w:rStyle w:val="FootnoteAnchor"/>
          <w:rtl w:val="true"/>
        </w:rPr>
        <w:footnoteReference w:id="1272"/>
      </w:r>
      <w:r>
        <w:rPr>
          <w:rFonts w:ascii="IRNazanin" w:hAnsi="IRNazanin" w:eastAsia="IRNazanin"/>
          <w:color w:val="111111"/>
          <w:sz w:val="28"/>
          <w:sz w:val="28"/>
          <w:szCs w:val="28"/>
          <w:rtl w:val="true"/>
          <w:lang w:bidi="fa-IR"/>
        </w:rPr>
        <w:t>عدم نقض الیقین رفع الید عن الامور السابقة المضادّة لآثار ذلک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نقض طهارة الماء لا معنی له إلاّ رفع الید عن النجاسة السابقة المعلومة فی الثوب؛إذ الحکم بنجاسته نقض للیقین بالطهارة المذکورة بلا حکم من الشارع بطروء النجاسة،و هو طرح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مخصّص،أمّا الحکم بزوال النجاسة فلیس نقضا للیقین بالنجاسة إلاّ بحکم الشارع بطروء الطهارة علی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السببیّ نقض الحالة السابقة لمورد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بالنجاسة أیضا من أفراد العامّ،فلا وجه لطرحه و إدخال الیقین بطهارة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عدم نقض یقین النجاسة أیضا رفع الید عن الامور السابقة المضادّة لآثار المستصحب،کالطهارة السابقة الحاصلة لملاقیه و غیرها،فیعود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نلتزم هنا أیضا ببقاء طهارة الملاقی،و سیجیء فساده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نقض یقین النجاسة بالدلیل الدالّ علی أنّ کلّ نجس غسل بماء طاهر فقد طهر،و فائدة استصحاب الطهارة إثبات کون الماء طاهرا به </w:t>
      </w:r>
      <w:r>
        <w:rPr>
          <w:rStyle w:val="FootnoteAnchor"/>
          <w:rtl w:val="true"/>
        </w:rPr>
        <w:footnoteReference w:id="1274"/>
      </w:r>
      <w:r>
        <w:rPr>
          <w:rFonts w:ascii="IRNazanin" w:hAnsi="IRNazanin" w:eastAsia="IRNazanin"/>
          <w:color w:val="111111"/>
          <w:sz w:val="28"/>
          <w:sz w:val="28"/>
          <w:szCs w:val="28"/>
          <w:rtl w:val="true"/>
          <w:lang w:bidi="fa-IR"/>
        </w:rPr>
        <w:t xml:space="preserve">،بخلاف نقض یقین الطهارة بحکم الشارع بعدم نقض یقین النجاسة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عملنا باستصحاب النجاسة کنّا قد طرحنا الیقین بطهارة الماء من غیر ورود دلیل شرعیّ علی نجاسته؛لأنّ بقاء النجاسة فی الثوب لا یوجب زوال الطهارة عن الماء،بخلاف ما لو عملنا باستصحاب طهارة الماء؛فإنّه یوجب زوال نجاسة الثوب بالدلیل الشرعیّ،و هو ما دلّ علی أنّ الثوب المغسول بالماء الطاهر یطهر، فطرح الیقین بنجاسة الثوب </w:t>
      </w:r>
      <w:r>
        <w:rPr>
          <w:rStyle w:val="FootnoteAnchor"/>
          <w:rtl w:val="true"/>
        </w:rPr>
        <w:footnoteReference w:id="1276"/>
      </w:r>
      <w:r>
        <w:rPr>
          <w:rFonts w:ascii="IRNazanin" w:hAnsi="IRNazanin" w:eastAsia="IRNazanin"/>
          <w:color w:val="111111"/>
          <w:sz w:val="28"/>
          <w:sz w:val="28"/>
          <w:szCs w:val="28"/>
          <w:rtl w:val="true"/>
          <w:lang w:bidi="fa-IR"/>
        </w:rPr>
        <w:t>لقیام الدلیل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یشکل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الیقین بطهارة الماء و الیقین بنجاسة الثوب المغسول به،کلّ منهما یقین سابق شکّ فی بقائه و ارتفاعه،و حکم الشارع بعدم النقض نسبته إلیهما علی حدّ سواء؛لأنّ نسبة حکم العامّ إلی أفراده علی حدّ سواء،فکیف یلاحظ ثبوت هذا الحکم للیقین بالطهارة أوّلا حتّی یجب نقض الیقین بالنجاسة،لأنّه مدلوله و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شمول حکم العامّ لبعض الأفراد سببا لخروج بعض الأفراد عن الحکم أو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بعد فرض تساوی الفردین فی الفردیّة مع قطع النظر عن ثبوت الحکم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فردیّة أحد الشیئین إذا توقّف علی خروج الآخر المفروض الفردیّة عن العموم،وجب الحکم بعدم فردیّته،و لم یجز رفع الید عن العموم؛لأنّ رفع الید حینئذ عنه یتوقّف علی شمول العامّ لذلک الشیء المفروض توقّف فردیّته علی رفع الید عن العموم،و هو دور محال</w:t>
      </w:r>
      <w:r>
        <w:rPr>
          <w:rFonts w:eastAsia="IRNazanin" w:cs="IRNazanin"/>
          <w:color w:val="111111"/>
          <w:sz w:val="28"/>
          <w:szCs w:val="28"/>
          <w:rtl w:val="true"/>
          <w:lang w:bidi="fa-IR"/>
        </w:rPr>
        <w:t xml:space="preserve">. </w:t>
      </w:r>
      <w:bookmarkStart w:id="1329" w:name="pg12985_125246"/>
    </w:p>
    <w:p>
      <w:pPr>
        <w:pStyle w:val="BookText"/>
        <w:rPr/>
      </w:pPr>
      <w:bookmarkEnd w:id="1329"/>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 العامّ من قبیل لازم الوجود للشکّ السببیّ،کما هو شأن الحکم الشرعیّ و موضوعه،فلا یوجد فی الخارج إلاّ محکوما،و المفروض أنّ الشکّ المسبّبیّ أیضا من لوازم وجود ذلک الشکّ،فیکون حکم العامّ و هذا الشکّ لازمین لملزوم ثالث فی مرتبة واحدة،فلا یجوز أن یکون أحدهما موضوعا للآخر؛لتقدّم الموضوع طبعا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0" w:name="__RefHeading___Toc5767841_3224264995"/>
      <w:bookmarkStart w:id="1331" w:name="_Toc529"/>
      <w:bookmarkEnd w:id="1330"/>
      <w:r>
        <w:rPr>
          <w:rtl w:val="true"/>
        </w:rPr>
        <w:t>الدلیل  الثالث</w:t>
      </w:r>
      <w:r>
        <w:rPr>
          <w:rtl w:val="true"/>
        </w:rPr>
        <w:t>:</w:t>
      </w:r>
      <w:r>
        <w:rPr>
          <w:rtl w:val="true"/>
        </w:rPr>
        <w:t>أنّه لو لم یبن علی تقدیم الاستصحاب فی الشکّ السببیّ</w:t>
      </w:r>
      <w:bookmarkEnd w:id="13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الاستصحاب قلیل الفائدة جدّا؛لأنّ المقصود من الاستصحاب غالبا ترتیب الآثار الثابتة للمستصحب،و تلک الآثار إن کانت موجودة سابقا أغنی استصحابها عن استصحاب ملزومها،فتنحصر الفائدة فی الآثار التی کانت معدومة،فإذا فرض معارضة الاستصحاب فی الملزوم </w:t>
      </w:r>
      <w:bookmarkStart w:id="1332" w:name="pg12985_125247"/>
    </w:p>
    <w:p>
      <w:pPr>
        <w:pStyle w:val="BookText"/>
        <w:rPr/>
      </w:pPr>
      <w:bookmarkEnd w:id="1332"/>
      <w:r>
        <w:rPr>
          <w:rFonts w:ascii="IRNazanin" w:hAnsi="IRNazanin" w:eastAsia="IRNazanin"/>
          <w:color w:val="111111"/>
          <w:sz w:val="28"/>
          <w:sz w:val="28"/>
          <w:szCs w:val="28"/>
          <w:rtl w:val="true"/>
          <w:lang w:bidi="fa-IR"/>
        </w:rPr>
        <w:t xml:space="preserve">باستصحاب عدم تلک اللوازم و المعاملة معها علی ما یأتی فی الاستصحابین المتعارضین </w:t>
      </w:r>
      <w:r>
        <w:rPr>
          <w:rStyle w:val="FootnoteAnchor"/>
          <w:rtl w:val="true"/>
        </w:rPr>
        <w:footnoteReference w:id="1279"/>
      </w:r>
      <w:r>
        <w:rPr>
          <w:rFonts w:ascii="IRNazanin" w:hAnsi="IRNazanin" w:eastAsia="IRNazanin"/>
          <w:color w:val="111111"/>
          <w:sz w:val="28"/>
          <w:sz w:val="28"/>
          <w:szCs w:val="28"/>
          <w:rtl w:val="true"/>
          <w:lang w:bidi="fa-IR"/>
        </w:rPr>
        <w:t>،لغی الاستصحاب فی الملزوم و انحصرت الفائدة فی استصحاب الأحکام التکلیفیّة التی یراد بالاستصحاب إبقاء أنفسها فی الزمان اللاحق</w:t>
      </w:r>
      <w:r>
        <w:rPr>
          <w:rFonts w:eastAsia="IRNazanin" w:cs="IRNazanin"/>
          <w:color w:val="111111"/>
          <w:sz w:val="28"/>
          <w:szCs w:val="28"/>
          <w:rtl w:val="true"/>
          <w:lang w:bidi="fa-IR"/>
        </w:rPr>
        <w:t>.</w:t>
      </w:r>
    </w:p>
    <w:p>
      <w:pPr>
        <w:pStyle w:val="Heading6"/>
        <w:numPr>
          <w:ilvl w:val="5"/>
          <w:numId w:val="1"/>
        </w:numPr>
        <w:rPr/>
      </w:pPr>
      <w:bookmarkStart w:id="1333" w:name="__RefHeading___Toc5767843_3224264995"/>
      <w:bookmarkStart w:id="1334" w:name="_Toc530"/>
      <w:bookmarkEnd w:id="1333"/>
      <w:r>
        <w:rPr>
          <w:rtl w:val="true"/>
        </w:rPr>
        <w:t>عدم تمامیة الدلیل الثالث</w:t>
      </w:r>
      <w:r>
        <w:rPr>
          <w:rtl w:val="true"/>
        </w:rPr>
        <w:t>:</w:t>
      </w:r>
      <w:bookmarkEnd w:id="1334"/>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عدم الحاجة إلی الاستصحاب فی الآثار السابقة؛ بناء علی أنّ إجراء الاستصحاب فی نفس تلک الآثار موقوف علی إحراز الموضوع لها و هو مشکوک فیه،فلا بدّ </w:t>
      </w:r>
      <w:r>
        <w:rPr>
          <w:rStyle w:val="FootnoteAnchor"/>
          <w:rtl w:val="true"/>
        </w:rPr>
        <w:footnoteReference w:id="1280"/>
      </w:r>
      <w:r>
        <w:rPr>
          <w:rFonts w:ascii="IRNazanin" w:hAnsi="IRNazanin" w:eastAsia="IRNazanin"/>
          <w:color w:val="111111"/>
          <w:sz w:val="28"/>
          <w:sz w:val="28"/>
          <w:szCs w:val="28"/>
          <w:rtl w:val="true"/>
          <w:lang w:bidi="fa-IR"/>
        </w:rPr>
        <w:t xml:space="preserve">من استصحاب الموضوع،إمّا لیترتّب علیه تلک الآثار،فلا یحتاج إلی استصحاب أنفسها المتوقّفة علی بقاء الموضوع یقینا،کما حقّقنا سابقا فی مسألة اشتراط بقاء الموضوع </w:t>
      </w:r>
      <w:r>
        <w:rPr>
          <w:rStyle w:val="FootnoteAnchor"/>
          <w:rtl w:val="true"/>
        </w:rPr>
        <w:footnoteReference w:id="1281"/>
      </w:r>
      <w:r>
        <w:rPr>
          <w:rFonts w:ascii="IRNazanin" w:hAnsi="IRNazanin" w:eastAsia="IRNazanin"/>
          <w:color w:val="111111"/>
          <w:sz w:val="28"/>
          <w:sz w:val="28"/>
          <w:szCs w:val="28"/>
          <w:rtl w:val="true"/>
          <w:lang w:bidi="fa-IR"/>
        </w:rPr>
        <w:t xml:space="preserve">،و إمّا لتحصیل شرط الاستصحاب فی نفس تلک الآثار،کما توهّمه بعض فیما قدّمناه سابقا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بعضهم تخیّل أنّ موضوع المستصحب یحرز بالاستصحاب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فی الملزومات محتاج إلیه علی کلّ تقدیر</w:t>
      </w:r>
      <w:r>
        <w:rPr>
          <w:rFonts w:eastAsia="IRNazanin" w:cs="IRNazanin"/>
          <w:color w:val="111111"/>
          <w:sz w:val="28"/>
          <w:szCs w:val="28"/>
          <w:rtl w:val="true"/>
          <w:lang w:bidi="fa-IR"/>
        </w:rPr>
        <w:t>.</w:t>
      </w:r>
    </w:p>
    <w:p>
      <w:pPr>
        <w:pStyle w:val="Heading6"/>
        <w:numPr>
          <w:ilvl w:val="5"/>
          <w:numId w:val="1"/>
        </w:numPr>
        <w:rPr/>
      </w:pPr>
      <w:bookmarkStart w:id="1335" w:name="__RefHeading___Toc5767845_3224264995"/>
      <w:bookmarkStart w:id="1336" w:name="_Toc531"/>
      <w:bookmarkEnd w:id="1335"/>
      <w:r>
        <w:rPr>
          <w:rtl w:val="true"/>
        </w:rPr>
        <w:t>الدلیل  الرابع</w:t>
      </w:r>
      <w:r>
        <w:rPr>
          <w:rtl w:val="true"/>
        </w:rPr>
        <w:t>:</w:t>
      </w:r>
      <w:r>
        <w:rPr>
          <w:rtl w:val="true"/>
        </w:rPr>
        <w:t>أنّ المستفاد من الأخبار عدم الاعتبار بالیقین السابق فی مورد الشکّ المسبّب</w:t>
      </w:r>
      <w:r>
        <w:rPr>
          <w:rtl w:val="true"/>
        </w:rPr>
        <w:t>.</w:t>
      </w:r>
      <w:bookmarkEnd w:id="133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علیه السّلام علّل وجوب البناء علی الوضوء </w:t>
      </w:r>
      <w:bookmarkStart w:id="1337" w:name="pg12985_125248"/>
    </w:p>
    <w:p>
      <w:pPr>
        <w:pStyle w:val="BookText"/>
        <w:rPr/>
      </w:pPr>
      <w:bookmarkEnd w:id="1337"/>
      <w:r>
        <w:rPr>
          <w:rFonts w:ascii="IRNazanin" w:hAnsi="IRNazanin" w:eastAsia="IRNazanin"/>
          <w:color w:val="111111"/>
          <w:sz w:val="28"/>
          <w:sz w:val="28"/>
          <w:szCs w:val="28"/>
          <w:rtl w:val="true"/>
          <w:lang w:bidi="fa-IR"/>
        </w:rPr>
        <w:t>السابق فی صحیحة زرارة،بمجرّد کونه متیقّنا سابقا غیر متیقّن الارتفاع فی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بقاء الطهارة المستلزم لجواز الدخول فی الصلاة بمجرّد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مقتضی استصحاب الاشتغال بالصلاة عدم براءة الذمّة بهذه الصلاة،حتّی أنّ بعضهم </w:t>
      </w:r>
      <w:r>
        <w:rPr>
          <w:rStyle w:val="FootnoteAnchor"/>
          <w:rtl w:val="true"/>
        </w:rPr>
        <w:footnoteReference w:id="1283"/>
      </w:r>
      <w:r>
        <w:rPr>
          <w:rFonts w:ascii="IRNazanin" w:hAnsi="IRNazanin" w:eastAsia="IRNazanin"/>
          <w:color w:val="111111"/>
          <w:sz w:val="28"/>
          <w:sz w:val="28"/>
          <w:szCs w:val="28"/>
          <w:rtl w:val="true"/>
          <w:lang w:bidi="fa-IR"/>
        </w:rPr>
        <w:t>جعل استصحاب الطهارة و هذا الاستصحاب من الاستصحابین المتعارضین، فلو لا عدم جریان هذا الاستصحاب،و انحصار الاستصحاب فی المقام باستصحاب الطهارة لم یصحّ تعلیل المضیّ علی الطهارة بنفس الاستصحاب؛ لأنّ تعلیل تقدیم أحد الشیئین علی الآخر بأمر مشترک بینهما قبیح،بل أقبح من الترجیح بلا مرجّح</w:t>
      </w:r>
      <w:r>
        <w:rPr>
          <w:rFonts w:eastAsia="IRNazanin" w:cs="IRNazanin"/>
          <w:color w:val="111111"/>
          <w:sz w:val="28"/>
          <w:szCs w:val="28"/>
          <w:rtl w:val="true"/>
          <w:lang w:bidi="fa-IR"/>
        </w:rPr>
        <w:t>.</w:t>
      </w:r>
    </w:p>
    <w:p>
      <w:pPr>
        <w:pStyle w:val="Heading6"/>
        <w:numPr>
          <w:ilvl w:val="5"/>
          <w:numId w:val="1"/>
        </w:numPr>
        <w:rPr/>
      </w:pPr>
      <w:bookmarkStart w:id="1338" w:name="__RefHeading___Toc5767847_3224264995"/>
      <w:bookmarkStart w:id="1339" w:name="_Toc532"/>
      <w:bookmarkEnd w:id="1338"/>
      <w:r>
        <w:rPr>
          <w:rtl w:val="true"/>
        </w:rPr>
        <w:t>لا تأمل فی ترجیح الاستصحاب السببی</w:t>
      </w:r>
      <w:r>
        <w:rPr>
          <w:rtl w:val="true"/>
        </w:rPr>
        <w:t>:</w:t>
      </w:r>
      <w:bookmarkEnd w:id="1339"/>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 المسألة غیر محتاجة إلی إتعاب النظر؛و لذا لا یتأمّل العامّی بعد إفتائه باستصحاب الطهارة فی الماء المشکوک،فی رفع الحدث و الخبث به و بیعه و شرائه و ترتیب الآثار المسبوقة بالعدم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عملنا بالاستصحاب </w:t>
      </w:r>
      <w:r>
        <w:rPr>
          <w:rStyle w:val="FootnoteAnchor"/>
          <w:rtl w:val="true"/>
        </w:rPr>
        <w:footnoteReference w:id="1284"/>
      </w:r>
      <w:r>
        <w:rPr>
          <w:rFonts w:ascii="IRNazanin" w:hAnsi="IRNazanin" w:eastAsia="IRNazanin"/>
          <w:color w:val="111111"/>
          <w:sz w:val="28"/>
          <w:sz w:val="28"/>
          <w:szCs w:val="28"/>
          <w:rtl w:val="true"/>
          <w:lang w:bidi="fa-IR"/>
        </w:rPr>
        <w:t>من باب الأخبار</w:t>
      </w:r>
      <w:r>
        <w:rPr>
          <w:rFonts w:eastAsia="IRNazanin" w:cs="IRNazanin"/>
          <w:color w:val="111111"/>
          <w:sz w:val="28"/>
          <w:szCs w:val="28"/>
          <w:rtl w:val="true"/>
          <w:lang w:bidi="fa-IR"/>
        </w:rPr>
        <w:t>.</w:t>
      </w:r>
    </w:p>
    <w:p>
      <w:pPr>
        <w:pStyle w:val="Heading6"/>
        <w:numPr>
          <w:ilvl w:val="5"/>
          <w:numId w:val="1"/>
        </w:numPr>
        <w:rPr/>
      </w:pPr>
      <w:bookmarkStart w:id="1340" w:name="__RefHeading___Toc5767849_3224264995"/>
      <w:bookmarkStart w:id="1341" w:name="_Toc533"/>
      <w:bookmarkEnd w:id="1340"/>
      <w:r>
        <w:rPr>
          <w:rtl w:val="true"/>
        </w:rPr>
        <w:t>لو عملنا بالاستصحاب من باب الظنّ فالحکم أوضح</w:t>
      </w:r>
      <w:r>
        <w:rPr>
          <w:rtl w:val="true"/>
        </w:rPr>
        <w:t>:</w:t>
      </w:r>
      <w:bookmarkEnd w:id="13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عملنا به من باب الظنّ،فلا ینبغی الارتیاب فیما ذکرنا؛ لأنّ الظنّ بعدم اللازم مع فرض الظنّ بالملزوم محال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حصول الظنّ بطهارة الماء عند الشکّ،فیلزمه عقلا الظنّ بزوال النجاسة عن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الشکّ فی طهارة الماء و نجاسة الثوب و إن کانا فی زمان واحد،إلاّ أنّ الأوّل لمّا کان سببا للثانی،کان حال الذهن فی الثانی تابعا لحاله بالنسبة إلی الأوّل،فلا بدّ من حصول الظنّ بعدم النجاسة فی </w:t>
      </w:r>
      <w:bookmarkStart w:id="1342" w:name="pg12985_125249"/>
    </w:p>
    <w:p>
      <w:pPr>
        <w:pStyle w:val="BookText"/>
        <w:rPr/>
      </w:pPr>
      <w:bookmarkEnd w:id="1342"/>
      <w:r>
        <w:rPr>
          <w:rFonts w:ascii="IRNazanin" w:hAnsi="IRNazanin" w:eastAsia="IRNazanin"/>
          <w:color w:val="111111"/>
          <w:sz w:val="28"/>
          <w:sz w:val="28"/>
          <w:szCs w:val="28"/>
          <w:rtl w:val="true"/>
          <w:lang w:bidi="fa-IR"/>
        </w:rPr>
        <w:t>المثال،فاختصّ الاستصحاب المفید للظنّ بما کان الشکّ فیه غیر تابع لشکّ آخر یوجب الظنّ،فافهم؛فإنّه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البانین علی الاستصحاب فی امور معاشهم،بل معادهم لا یلتفتون فی تلک المقامات إلی هذا الاستصحاب أبدا،و لو نبّههم أحد لم یعتنوا،فیعزلون حصّة الغائب من المیراث، و یصحّحون معاملة وکلائه،و یؤدّون عنه فطرته إذا کان عیالهم،إلی غیر ذلک من موارد ترتیب الآثار الحادثة علی المستصحب</w:t>
      </w:r>
      <w:r>
        <w:rPr>
          <w:rFonts w:eastAsia="IRNazanin" w:cs="IRNazanin"/>
          <w:color w:val="111111"/>
          <w:sz w:val="28"/>
          <w:szCs w:val="28"/>
          <w:rtl w:val="true"/>
          <w:lang w:bidi="fa-IR"/>
        </w:rPr>
        <w:t>.</w:t>
      </w:r>
    </w:p>
    <w:p>
      <w:pPr>
        <w:pStyle w:val="Heading6"/>
        <w:numPr>
          <w:ilvl w:val="5"/>
          <w:numId w:val="1"/>
        </w:numPr>
        <w:rPr/>
      </w:pPr>
      <w:bookmarkStart w:id="1343" w:name="__RefHeading___Toc5767851_3224264995"/>
      <w:bookmarkStart w:id="1344" w:name="_Toc534"/>
      <w:bookmarkEnd w:id="1343"/>
      <w:r>
        <w:rPr>
          <w:rtl w:val="true"/>
        </w:rPr>
        <w:t>ظهور الخلاف فی المسألة عن جماعة</w:t>
      </w:r>
      <w:r>
        <w:rPr>
          <w:rtl w:val="true"/>
        </w:rPr>
        <w:t>:</w:t>
      </w:r>
      <w:bookmarkEnd w:id="1344"/>
    </w:p>
    <w:p>
      <w:pPr>
        <w:pStyle w:val="BookText"/>
        <w:rPr/>
      </w:pPr>
      <w:r>
        <w:rPr>
          <w:rFonts w:ascii="IRNazanin" w:hAnsi="IRNazanin" w:eastAsia="IRNazanin"/>
          <w:color w:val="111111"/>
          <w:sz w:val="28"/>
          <w:sz w:val="28"/>
          <w:szCs w:val="28"/>
          <w:rtl w:val="true"/>
          <w:lang w:bidi="fa-IR"/>
        </w:rPr>
        <w:t>ثمّ إنّه یظهر الخلاف فی المسألة من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الشیخ،و المحقّق، و العلاّمة فی بعض أقواله،و جماعة من متأخّری المتأخّرین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ذهب الشیخ فی المبسوط إلی عدم وجوب فطرة العبد إذا لم یعلم خبره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استحسنه المحقّق فی المعتبر </w:t>
      </w:r>
      <w:r>
        <w:rPr>
          <w:rStyle w:val="FootnoteAnchor"/>
          <w:rtl w:val="true"/>
        </w:rPr>
        <w:footnoteReference w:id="1287"/>
      </w:r>
      <w:r>
        <w:rPr>
          <w:rFonts w:ascii="IRNazanin" w:hAnsi="IRNazanin" w:eastAsia="IRNazanin"/>
          <w:color w:val="111111"/>
          <w:sz w:val="28"/>
          <w:sz w:val="28"/>
          <w:szCs w:val="28"/>
          <w:rtl w:val="true"/>
          <w:lang w:bidi="fa-IR"/>
        </w:rPr>
        <w:t>،مجیبا عن الاستدلال للوجوب بأصالة البقاء،بأنّها معارضة بأصالة عدم الوجوب،و عن تنظیر وجوب الفطرة عنه بجواز عتقه فی الکفّارة،بالمنع عن الأصل تارة،و الفرق بینهما اخری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فی اصول المعتبر </w:t>
      </w:r>
      <w:r>
        <w:rPr>
          <w:rStyle w:val="FootnoteAnchor"/>
          <w:rtl w:val="true"/>
        </w:rPr>
        <w:footnoteReference w:id="1288"/>
      </w:r>
      <w:r>
        <w:rPr>
          <w:rFonts w:ascii="IRNazanin" w:hAnsi="IRNazanin" w:eastAsia="IRNazanin"/>
          <w:color w:val="111111"/>
          <w:sz w:val="28"/>
          <w:sz w:val="28"/>
          <w:szCs w:val="28"/>
          <w:rtl w:val="true"/>
          <w:lang w:bidi="fa-IR"/>
        </w:rPr>
        <w:t xml:space="preserve">بأنّ استصحاب الطهارة عند الشکّ فی الحدث معارض باستصحاب عدم براءة الذمّة بالصلاة بالطهارة </w:t>
      </w:r>
    </w:p>
    <w:p>
      <w:pPr>
        <w:pStyle w:val="BookText"/>
        <w:rPr/>
      </w:pPr>
      <w:r>
        <w:rPr>
          <w:rFonts w:ascii="Amiri" w:hAnsi="Amiri" w:eastAsia="Amiri" w:cs="Amiri"/>
          <w:color w:val="111111"/>
          <w:sz w:val="28"/>
          <w:sz w:val="28"/>
          <w:szCs w:val="28"/>
          <w:rtl w:val="true"/>
          <w:lang w:bidi="ar-SA"/>
        </w:rPr>
        <w:t>المستصحبة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w:t>
      </w:r>
      <w:r>
        <w:rPr>
          <w:rStyle w:val="FootnoteAnchor"/>
          <w:rtl w:val="true"/>
        </w:rPr>
        <w:footnoteReference w:id="1289"/>
      </w:r>
      <w:r>
        <w:rPr>
          <w:rFonts w:ascii="IRNazanin" w:hAnsi="IRNazanin" w:eastAsia="IRNazanin"/>
          <w:color w:val="111111"/>
          <w:sz w:val="28"/>
          <w:sz w:val="28"/>
          <w:szCs w:val="28"/>
          <w:rtl w:val="true"/>
          <w:lang w:bidi="fa-IR"/>
        </w:rPr>
        <w:t>أنّ المنصوص فی صحیحة زرارة العمل باستصحاب الطهارة علی وجه یظهر منه خلوّه عن المعارض،و عدم جریان 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بطهارة الماء القلیل الواقع فیه صید مرمیّ لم یعلم استناد موته إلی الرمی،لکنّه اختار فی غیر واحد من کتبه </w:t>
      </w:r>
      <w:r>
        <w:rPr>
          <w:rStyle w:val="FootnoteAnchor"/>
          <w:rtl w:val="true"/>
        </w:rPr>
        <w:footnoteReference w:id="1291"/>
      </w:r>
      <w:r>
        <w:rPr>
          <w:rFonts w:ascii="IRNazanin" w:hAnsi="IRNazanin" w:eastAsia="IRNazanin"/>
          <w:color w:val="111111"/>
          <w:sz w:val="28"/>
          <w:sz w:val="28"/>
          <w:szCs w:val="28"/>
          <w:rtl w:val="true"/>
          <w:lang w:bidi="fa-IR"/>
        </w:rPr>
        <w:t xml:space="preserve">الحکم بنجاسة الماء،و تبعه علیه الشهیدان </w:t>
      </w:r>
      <w:r>
        <w:rPr>
          <w:rStyle w:val="FootnoteAnchor"/>
          <w:rtl w:val="true"/>
        </w:rPr>
        <w:footnoteReference w:id="1292"/>
      </w:r>
      <w:r>
        <w:rPr>
          <w:rFonts w:ascii="IRNazanin" w:hAnsi="IRNazanin" w:eastAsia="IRNazanin"/>
          <w:color w:val="111111"/>
          <w:sz w:val="28"/>
          <w:sz w:val="28"/>
          <w:szCs w:val="28"/>
          <w:rtl w:val="true"/>
          <w:lang w:bidi="fa-IR"/>
        </w:rPr>
        <w:t xml:space="preserve">و غیرهما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المختار؛بناء علی ما عرفت تحقیقه </w:t>
      </w:r>
      <w:r>
        <w:rPr>
          <w:rStyle w:val="FootnoteAnchor"/>
          <w:rtl w:val="true"/>
        </w:rPr>
        <w:footnoteReference w:id="1294"/>
      </w:r>
      <w:r>
        <w:rPr>
          <w:rFonts w:ascii="IRNazanin" w:hAnsi="IRNazanin" w:eastAsia="IRNazanin"/>
          <w:color w:val="111111"/>
          <w:sz w:val="28"/>
          <w:sz w:val="28"/>
          <w:szCs w:val="28"/>
          <w:rtl w:val="true"/>
          <w:lang w:bidi="fa-IR"/>
        </w:rPr>
        <w:t>،و أنّه إذا ثبت بأصالة عدم التذکیة موت الصید جری علیه جمیع أحکام المیتة التی منها انفعال الماء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قیل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الصید إن کان لعدم العلم بالتذکیة فلا یوجب تنجیس الملاقی،و إن کان للحکم علیه شرعا بعدمها اتّجه الحکم بالتنجیس</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الأوّل إلی کون حرمة الصید مع الشکّ فی التذکیة للتعبّد؛ </w:t>
      </w:r>
      <w:bookmarkStart w:id="1345" w:name="pg12985_125251"/>
    </w:p>
    <w:p>
      <w:pPr>
        <w:pStyle w:val="BookText"/>
        <w:rPr/>
      </w:pPr>
      <w:bookmarkEnd w:id="1345"/>
      <w:r>
        <w:rPr>
          <w:rFonts w:ascii="Amiri" w:hAnsi="Amiri" w:eastAsia="Amiri" w:cs="Amiri"/>
          <w:color w:val="111111"/>
          <w:sz w:val="28"/>
          <w:sz w:val="28"/>
          <w:szCs w:val="28"/>
          <w:rtl w:val="true"/>
          <w:lang w:bidi="ar-SA"/>
        </w:rPr>
        <w:t xml:space="preserve">من جهة الأخبار المعلّلة </w:t>
      </w:r>
      <w:r>
        <w:rPr>
          <w:rStyle w:val="FootnoteAnchor"/>
          <w:rtl w:val="true"/>
        </w:rPr>
        <w:footnoteReference w:id="1296"/>
      </w:r>
      <w:r>
        <w:rPr>
          <w:rFonts w:ascii="IRNazanin" w:hAnsi="IRNazanin" w:eastAsia="IRNazanin"/>
          <w:color w:val="111111"/>
          <w:sz w:val="28"/>
          <w:sz w:val="28"/>
          <w:szCs w:val="28"/>
          <w:rtl w:val="true"/>
          <w:lang w:bidi="fa-IR"/>
        </w:rPr>
        <w:t xml:space="preserve">لحرمة أکل المیتة بعدم العلم بالتذکیة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لو لم یترتّب علیه من أحکام المیتة إلاّ حرمة الأکل،و لا أظنّ أحدا یلتزمه،مع أنّ المستفاد من حرمة الأکل کونها میتة،لا التحریم تعبّدا؛و لذا استفید بعض ما یعتبر فی التذکیة من النهی عن الأکل بدونه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6" w:name="__RefHeading___Toc5767853_3224264995"/>
      <w:bookmarkStart w:id="1347" w:name="_Toc535"/>
      <w:bookmarkEnd w:id="1346"/>
      <w:r>
        <w:rPr>
          <w:rtl w:val="true"/>
        </w:rPr>
        <w:t>تصریح بعضهم بالجمع بین الاستصحابین</w:t>
      </w:r>
      <w:r>
        <w:rPr>
          <w:rtl w:val="true"/>
        </w:rPr>
        <w:t>«</w:t>
      </w:r>
      <w:r>
        <w:rPr>
          <w:rtl w:val="true"/>
        </w:rPr>
        <w:t>السببی و المسبّبی</w:t>
      </w:r>
      <w:r>
        <w:rPr>
          <w:rtl w:val="true"/>
        </w:rPr>
        <w:t>»:</w:t>
      </w:r>
      <w:bookmarkEnd w:id="1347"/>
    </w:p>
    <w:p>
      <w:pPr>
        <w:pStyle w:val="BookText"/>
        <w:rPr/>
      </w:pPr>
      <w:r>
        <w:rPr>
          <w:rFonts w:ascii="IRNazanin" w:hAnsi="IRNazanin" w:eastAsia="IRNazanin"/>
          <w:color w:val="111111"/>
          <w:sz w:val="28"/>
          <w:sz w:val="28"/>
          <w:szCs w:val="28"/>
          <w:rtl w:val="true"/>
          <w:lang w:bidi="fa-IR"/>
        </w:rPr>
        <w:t xml:space="preserve">ثمّ إنّ بعض من یری التعارض بین الاستصحابین فی المقام </w:t>
      </w:r>
      <w:r>
        <w:rPr>
          <w:rStyle w:val="FootnoteAnchor"/>
          <w:rtl w:val="true"/>
        </w:rPr>
        <w:footnoteReference w:id="1299"/>
      </w:r>
      <w:r>
        <w:rPr>
          <w:rFonts w:ascii="IRNazanin" w:hAnsi="IRNazanin" w:eastAsia="IRNazanin"/>
          <w:color w:val="111111"/>
          <w:sz w:val="28"/>
          <w:sz w:val="28"/>
          <w:szCs w:val="28"/>
          <w:rtl w:val="true"/>
          <w:lang w:bidi="fa-IR"/>
        </w:rPr>
        <w:t>صرّح بالجمع بینهما،فحکم فی مسألة الصید بکونه میتة و الماء طاهرا</w:t>
      </w:r>
      <w:r>
        <w:rPr>
          <w:rFonts w:eastAsia="IRNazanin" w:cs="IRNazanin"/>
          <w:color w:val="111111"/>
          <w:sz w:val="28"/>
          <w:szCs w:val="28"/>
          <w:rtl w:val="true"/>
          <w:lang w:bidi="fa-IR"/>
        </w:rPr>
        <w:t>.</w:t>
      </w:r>
    </w:p>
    <w:p>
      <w:pPr>
        <w:pStyle w:val="Heading6"/>
        <w:numPr>
          <w:ilvl w:val="5"/>
          <w:numId w:val="1"/>
        </w:numPr>
        <w:rPr/>
      </w:pPr>
      <w:bookmarkStart w:id="1348" w:name="__RefHeading___Toc5767855_3224264995"/>
      <w:bookmarkStart w:id="1349" w:name="_Toc536"/>
      <w:bookmarkEnd w:id="1348"/>
      <w:r>
        <w:rPr>
          <w:rtl w:val="true"/>
        </w:rPr>
        <w:t>عدم صحّة الجمع</w:t>
      </w:r>
      <w:r>
        <w:rPr>
          <w:rtl w:val="true"/>
        </w:rPr>
        <w:t>:</w:t>
      </w:r>
      <w:bookmarkEnd w:id="13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w:t>
      </w:r>
      <w:r>
        <w:rPr>
          <w:rStyle w:val="FootnoteAnchor"/>
          <w:rtl w:val="true"/>
        </w:rPr>
        <w:footnoteReference w:id="1300"/>
      </w:r>
      <w:r>
        <w:rPr>
          <w:rFonts w:ascii="IRNazanin" w:hAnsi="IRNazanin" w:eastAsia="IRNazanin"/>
          <w:color w:val="111111"/>
          <w:sz w:val="28"/>
          <w:sz w:val="28"/>
          <w:szCs w:val="28"/>
          <w:rtl w:val="true"/>
          <w:lang w:bidi="fa-IR"/>
        </w:rPr>
        <w:t>للجمع فی مثل هذین الاستصحابین؛ فإنّ الحکم بطهارة الماء إن کان بمعنی ترتیب آثار الطهارة من رفع الحدث و الخبث به،فلا ریب أنّ نسبة استصحاب بقاء الحدث و الخبث إلی استصحاب طهارة الماء،بعینها نسبة استصحاب طهارة الماء إلی استصحاب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الحکم بموت الصید،فإنّه إن کان بمعنی انفعال الملاقی له بعد ذلک و المنع عن استصحابه فی الصلاة،فلا ریب أنّ استصحاب طهارة الملاقی و استصحاب جواز الصلاة معه قبل زهاق </w:t>
      </w:r>
    </w:p>
    <w:p>
      <w:pPr>
        <w:pStyle w:val="BookText"/>
        <w:rPr/>
      </w:pPr>
      <w:r>
        <w:rPr>
          <w:rFonts w:ascii="IRNazanin" w:hAnsi="IRNazanin" w:eastAsia="IRNazanin"/>
          <w:color w:val="111111"/>
          <w:sz w:val="28"/>
          <w:sz w:val="28"/>
          <w:szCs w:val="28"/>
          <w:rtl w:val="true"/>
          <w:lang w:bidi="fa-IR"/>
        </w:rPr>
        <w:t>روحه،نسبتهما إلیه کنسبة استصحاب طهارة الماء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ذکره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للجمع بین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الصید الواقع فی الماء القلیل،من أنّ لأصالة الطهارة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الماء،و حلّ الصید،و لأصالة الموت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لحوق أحکام المیتة للصید،و نجاسة الماء،فیعمل بکلّ من الأصلین فی نفسه لأصالته </w:t>
      </w:r>
      <w:r>
        <w:rPr>
          <w:rStyle w:val="FootnoteAnchor"/>
          <w:rtl w:val="true"/>
        </w:rPr>
        <w:footnoteReference w:id="1301"/>
      </w:r>
      <w:r>
        <w:rPr>
          <w:rFonts w:ascii="IRNazanin" w:hAnsi="IRNazanin" w:eastAsia="IRNazanin"/>
          <w:color w:val="111111"/>
          <w:sz w:val="28"/>
          <w:sz w:val="28"/>
          <w:szCs w:val="28"/>
          <w:rtl w:val="true"/>
          <w:lang w:bidi="fa-IR"/>
        </w:rPr>
        <w:t xml:space="preserve">،دون الآخر لفرعیّته فیه </w:t>
      </w:r>
      <w:r>
        <w:rPr>
          <w:rStyle w:val="FootnoteAnchor"/>
          <w:rtl w:val="true"/>
        </w:rPr>
        <w:footnoteReference w:id="13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نجاسة الماء إلاّ من أحکام المیتة؟فأین الأصالة و الفرعیّة؟</w:t>
      </w:r>
    </w:p>
    <w:p>
      <w:pPr>
        <w:pStyle w:val="BookText"/>
        <w:rPr/>
      </w:pPr>
      <w:r>
        <w:rPr>
          <w:rFonts w:ascii="IRNazanin" w:hAnsi="IRNazanin" w:eastAsia="IRNazanin"/>
          <w:color w:val="111111"/>
          <w:sz w:val="28"/>
          <w:sz w:val="28"/>
          <w:szCs w:val="28"/>
          <w:rtl w:val="true"/>
          <w:lang w:bidi="fa-IR"/>
        </w:rPr>
        <w:t xml:space="preserve">و تبعه فی ذلک بعض من عاصرناه </w:t>
      </w:r>
      <w:r>
        <w:rPr>
          <w:rStyle w:val="FootnoteAnchor"/>
          <w:rtl w:val="true"/>
        </w:rPr>
        <w:footnoteReference w:id="1303"/>
      </w:r>
      <w:r>
        <w:rPr>
          <w:rFonts w:ascii="IRNazanin" w:hAnsi="IRNazanin" w:eastAsia="IRNazanin"/>
          <w:color w:val="111111"/>
          <w:sz w:val="28"/>
          <w:sz w:val="28"/>
          <w:szCs w:val="28"/>
          <w:rtl w:val="true"/>
          <w:lang w:bidi="fa-IR"/>
        </w:rPr>
        <w:t>،فحکم فی الجلد المطروح بأصالة الطهارة و حرمة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ضعف ذلک ممّا تقدّم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أضعف من ذلک حکمه فی الثوب الرطب المستصحب النجاسة المنشور علی الأرض،بطهارة الأرض؛إذ لا دلیل علی أنّ النجس بالاستصحاب منجّس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النجس بالاستصحاب منجّسا، و لا الطاهر به مطهّرا،فکان کلّ ما ثبت بالاستصحاب لا دلیل علی ترتیب آثار الشیء الواقعیّ علیه؛لأنّ الأصل عدم تلک الآثار،فأیّ فائدة فی الاستصحاب؟</w:t>
      </w:r>
      <w:r>
        <w:rPr>
          <w:rFonts w:eastAsia="IRNazanin" w:cs="IRNazanin"/>
          <w:color w:val="111111"/>
          <w:sz w:val="28"/>
          <w:szCs w:val="28"/>
          <w:rtl w:val="true"/>
          <w:lang w:bidi="fa-IR"/>
        </w:rPr>
        <w:t xml:space="preserve">! </w:t>
      </w:r>
      <w:bookmarkStart w:id="1350" w:name="pg12985_125253"/>
    </w:p>
    <w:p>
      <w:pPr>
        <w:pStyle w:val="BookText"/>
        <w:rPr/>
      </w:pPr>
      <w:bookmarkEnd w:id="1350"/>
      <w:r>
        <w:rPr>
          <w:rFonts w:ascii="IRNazanin" w:hAnsi="IRNazanin" w:eastAsia="IRNazanin"/>
          <w:color w:val="111111"/>
          <w:sz w:val="28"/>
          <w:sz w:val="28"/>
          <w:szCs w:val="28"/>
          <w:rtl w:val="true"/>
          <w:lang w:bidi="fa-IR"/>
        </w:rPr>
        <w:t>قال فی الوافیة فی شرائط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استصحاب آخر فی أمر ملزوم لعدم ذلک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الشرع أنّ الحکم بکون الحیوان میتة یستلزم الحکم بنجاسة الماء القلیل الواقع ذلک الحیوان فیه،فلا یجوز الحکم باستصحاب طهارة الماء و لا نجاسة الحیوان،فی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صیدا فغاب،ثمّ وجده فی ماء قلیل،یمکن استناد موته إلی الرمی و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 بعض الأصحاب </w:t>
      </w:r>
      <w:r>
        <w:rPr>
          <w:rStyle w:val="FootnoteAnchor"/>
          <w:rtl w:val="true"/>
        </w:rPr>
        <w:footnoteReference w:id="1306"/>
      </w:r>
      <w:r>
        <w:rPr>
          <w:rFonts w:ascii="IRNazanin" w:hAnsi="IRNazanin" w:eastAsia="IRNazanin"/>
          <w:color w:val="111111"/>
          <w:sz w:val="28"/>
          <w:sz w:val="28"/>
          <w:szCs w:val="28"/>
          <w:rtl w:val="true"/>
          <w:lang w:bidi="fa-IR"/>
        </w:rPr>
        <w:t>ثبوت هذا التلازم و حکم بکلا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بنجاسة الصید،و طهارة الماء </w:t>
      </w:r>
      <w:r>
        <w:rPr>
          <w:rStyle w:val="FootnoteAnchor"/>
          <w:rtl w:val="true"/>
        </w:rPr>
        <w:footnoteReference w:id="1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351" w:name="__RefHeading___Toc5767857_3224264995"/>
      <w:bookmarkStart w:id="1352" w:name="_Toc537"/>
      <w:bookmarkEnd w:id="1351"/>
      <w:r>
        <w:rPr>
          <w:rtl w:val="true"/>
        </w:rPr>
        <w:t>دعوی الإجماع علی تقدیم الاستصحاب الموضوعیّ علی الحکمیّ</w:t>
      </w:r>
      <w:r>
        <w:rPr>
          <w:rtl w:val="true"/>
        </w:rPr>
        <w:t>.</w:t>
      </w:r>
      <w:bookmarkEnd w:id="1352"/>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حکی بعض مشایخنا المعاصرین </w:t>
      </w:r>
      <w:r>
        <w:rPr>
          <w:rStyle w:val="FootnoteAnchor"/>
          <w:rtl w:val="true"/>
        </w:rPr>
        <w:footnoteReference w:id="1308"/>
      </w:r>
      <w:r>
        <w:rPr>
          <w:rFonts w:ascii="IRNazanin" w:hAnsi="IRNazanin" w:eastAsia="IRNazanin"/>
          <w:color w:val="111111"/>
          <w:sz w:val="28"/>
          <w:sz w:val="28"/>
          <w:szCs w:val="28"/>
          <w:rtl w:val="true"/>
          <w:lang w:bidi="fa-IR"/>
        </w:rPr>
        <w:t>عن الشیخ علی فی حاشیة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تقدیم الاستصحاب الموضوعیّ علی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مستنبطة حدسا من بناء العلماء و استمرار السیرة علی ذلک، فلا یعارض أحد استصحاب کرّیة الماء باستصحاب بقاء النجاسة فیما یغسل به،و لا استصحاب القلّة باستصحاب طهارة الماء الملاقی للنجس، و لا استصحاب حیاة الموکّل باستصحاب فساد تصرّفات وکیله</w:t>
      </w:r>
      <w:r>
        <w:rPr>
          <w:rFonts w:eastAsia="IRNazanin" w:cs="IRNazanin"/>
          <w:color w:val="111111"/>
          <w:sz w:val="28"/>
          <w:szCs w:val="28"/>
          <w:rtl w:val="true"/>
          <w:lang w:bidi="fa-IR"/>
        </w:rPr>
        <w:t>.</w:t>
      </w:r>
    </w:p>
    <w:p>
      <w:pPr>
        <w:pStyle w:val="Heading6"/>
        <w:numPr>
          <w:ilvl w:val="5"/>
          <w:numId w:val="1"/>
        </w:numPr>
        <w:rPr/>
      </w:pPr>
      <w:bookmarkStart w:id="1353" w:name="__RefHeading___Toc5767859_3224264995"/>
      <w:bookmarkStart w:id="1354" w:name="_Toc538"/>
      <w:bookmarkEnd w:id="1353"/>
      <w:r>
        <w:rPr>
          <w:rtl w:val="true"/>
        </w:rPr>
        <w:t>المناقشة فی دعوی الاجماع</w:t>
      </w:r>
      <w:bookmarkEnd w:id="1354"/>
    </w:p>
    <w:p>
      <w:pPr>
        <w:pStyle w:val="BookText"/>
        <w:rPr/>
      </w:pPr>
      <w:r>
        <w:rPr>
          <w:rFonts w:ascii="Amiri" w:hAnsi="Amiri" w:eastAsia="Amiri" w:cs="Amiri"/>
          <w:color w:val="111111"/>
          <w:sz w:val="28"/>
          <w:sz w:val="28"/>
          <w:szCs w:val="28"/>
          <w:rtl w:val="true"/>
          <w:lang w:bidi="ar-SA"/>
        </w:rPr>
        <w:t xml:space="preserve">لکنّک قد عرفت فیما تقدّم </w:t>
      </w:r>
      <w:r>
        <w:rPr>
          <w:rStyle w:val="FootnoteAnchor"/>
          <w:rtl w:val="true"/>
        </w:rPr>
        <w:footnoteReference w:id="1309"/>
      </w:r>
      <w:r>
        <w:rPr>
          <w:rFonts w:ascii="IRNazanin" w:hAnsi="IRNazanin" w:eastAsia="IRNazanin"/>
          <w:color w:val="111111"/>
          <w:sz w:val="28"/>
          <w:sz w:val="28"/>
          <w:szCs w:val="28"/>
          <w:rtl w:val="true"/>
          <w:lang w:bidi="fa-IR"/>
        </w:rPr>
        <w:t>من الشیخ و المحقّق خلاف ذلک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أنّ الاستصحاب فی الشکّ السببیّ دائما من قبیل </w:t>
      </w:r>
      <w:bookmarkStart w:id="1355" w:name="pg12985_125254"/>
    </w:p>
    <w:p>
      <w:pPr>
        <w:pStyle w:val="BookText"/>
        <w:rPr/>
      </w:pPr>
      <w:bookmarkEnd w:id="1355"/>
      <w:r>
        <w:rPr>
          <w:rFonts w:ascii="IRNazanin" w:hAnsi="IRNazanin" w:eastAsia="IRNazanin"/>
          <w:color w:val="111111"/>
          <w:sz w:val="28"/>
          <w:sz w:val="28"/>
          <w:szCs w:val="28"/>
          <w:rtl w:val="true"/>
          <w:lang w:bidi="fa-IR"/>
        </w:rPr>
        <w:t xml:space="preserve">الموضوعیّ بالنسبة إلی الآخر؛لأنّ زوال المستصحب </w:t>
      </w:r>
      <w:r>
        <w:rPr>
          <w:rStyle w:val="FootnoteAnchor"/>
          <w:rtl w:val="true"/>
        </w:rPr>
        <w:footnoteReference w:id="1310"/>
      </w:r>
      <w:r>
        <w:rPr>
          <w:rFonts w:ascii="IRNazanin" w:hAnsi="IRNazanin" w:eastAsia="IRNazanin"/>
          <w:color w:val="111111"/>
          <w:sz w:val="28"/>
          <w:sz w:val="28"/>
          <w:szCs w:val="28"/>
          <w:rtl w:val="true"/>
          <w:lang w:bidi="fa-IR"/>
        </w:rPr>
        <w:t>الآخر من أحکام بقاء المستصحب بالاستصحاب السببیّ،فهو له من قبیل الموضوع للحکم،فإنّ طهارة الماء من أحکام الموضوع الذی حمل علیه زوال النجاسة عن المغسول به،و أیّ فرق بین استصحاب طهارة الماء و استصحاب کرّیّته؟</w:t>
      </w:r>
    </w:p>
    <w:p>
      <w:pPr>
        <w:pStyle w:val="BookText"/>
        <w:rPr/>
      </w:pPr>
      <w:r>
        <w:rPr>
          <w:rFonts w:ascii="IRNazanin" w:hAnsi="IRNazanin" w:eastAsia="IRNazanin"/>
          <w:color w:val="111111"/>
          <w:sz w:val="28"/>
          <w:sz w:val="28"/>
          <w:szCs w:val="28"/>
          <w:rtl w:val="true"/>
          <w:lang w:bidi="fa-IR"/>
        </w:rPr>
        <w:t>هذا کلّه فیما إذا کان الشکّ فی أحدهما مسبّبا عن الشکّ فی الآخر</w:t>
      </w:r>
      <w:r>
        <w:rPr>
          <w:rFonts w:eastAsia="IRNazanin" w:cs="IRNazanin"/>
          <w:color w:val="111111"/>
          <w:sz w:val="28"/>
          <w:szCs w:val="28"/>
          <w:rtl w:val="true"/>
          <w:lang w:bidi="fa-IR"/>
        </w:rPr>
        <w:t>.</w:t>
      </w:r>
    </w:p>
    <w:p>
      <w:pPr>
        <w:pStyle w:val="Heading6"/>
        <w:numPr>
          <w:ilvl w:val="5"/>
          <w:numId w:val="1"/>
        </w:numPr>
        <w:rPr/>
      </w:pPr>
      <w:bookmarkStart w:id="1356" w:name="__RefHeading___Toc5767861_3224264995"/>
      <w:bookmarkStart w:id="1357" w:name="_Toc539"/>
      <w:bookmarkEnd w:id="1356"/>
      <w:r>
        <w:rPr>
          <w:rtl w:val="true"/>
        </w:rPr>
        <w:t>و أمّا القسم الثانی</w:t>
      </w:r>
      <w:r>
        <w:rPr>
          <w:rtl w:val="true"/>
        </w:rPr>
        <w:t>:</w:t>
      </w:r>
      <w:r>
        <w:rPr>
          <w:rtl w:val="true"/>
        </w:rPr>
        <w:t>إذا کان الشکّ فی کلیهما مسبّبا عن أمر ثالث</w:t>
      </w:r>
      <w:bookmarkEnd w:id="1357"/>
    </w:p>
    <w:p>
      <w:pPr>
        <w:pStyle w:val="BookText"/>
        <w:rPr/>
      </w:pPr>
      <w:r>
        <w:rPr>
          <w:rFonts w:ascii="IRNazanin" w:hAnsi="IRNazanin" w:eastAsia="IRNazanin"/>
          <w:color w:val="111111"/>
          <w:sz w:val="28"/>
          <w:sz w:val="28"/>
          <w:szCs w:val="28"/>
          <w:rtl w:val="true"/>
          <w:lang w:bidi="fa-IR"/>
        </w:rPr>
        <w:t>و هو ما إذا کان الشکّ فی کلیهما مسبّبا عن أمر ثالث،فمورده ما إذا علم ارتفاع أحد الحادثین لا بعینه و شکّ فی تعیینه</w:t>
      </w:r>
      <w:r>
        <w:rPr>
          <w:rFonts w:eastAsia="IRNazanin" w:cs="IRNazanin"/>
          <w:color w:val="111111"/>
          <w:sz w:val="28"/>
          <w:szCs w:val="28"/>
          <w:rtl w:val="true"/>
          <w:lang w:bidi="fa-IR"/>
        </w:rPr>
        <w:t>:</w:t>
      </w:r>
    </w:p>
    <w:p>
      <w:pPr>
        <w:pStyle w:val="Heading6"/>
        <w:numPr>
          <w:ilvl w:val="5"/>
          <w:numId w:val="1"/>
        </w:numPr>
        <w:rPr/>
      </w:pPr>
      <w:bookmarkStart w:id="1358" w:name="__RefHeading___Toc5767863_3224264995"/>
      <w:bookmarkStart w:id="1359" w:name="_Toc540"/>
      <w:bookmarkEnd w:id="1358"/>
      <w:r>
        <w:rPr>
          <w:rtl w:val="true"/>
        </w:rPr>
        <w:t>صور المسألة</w:t>
      </w:r>
      <w:r>
        <w:rPr>
          <w:rtl w:val="true"/>
        </w:rPr>
        <w:t>:</w:t>
      </w:r>
      <w:bookmarkEnd w:id="1359"/>
    </w:p>
    <w:p>
      <w:pPr>
        <w:pStyle w:val="BookText"/>
        <w:rPr/>
      </w:pPr>
      <w:r>
        <w:rPr>
          <w:rFonts w:ascii="IRNazanin" w:hAnsi="IRNazanin" w:eastAsia="IRNazanin"/>
          <w:color w:val="111111"/>
          <w:sz w:val="28"/>
          <w:sz w:val="28"/>
          <w:szCs w:val="28"/>
          <w:rtl w:val="true"/>
          <w:lang w:bidi="fa-IR"/>
        </w:rPr>
        <w:t>فإمّا أن یکون العمل بالاستصحابین مستلزما لمخالفة قطعیّة عملیّة لذلک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إجمالا بنجاسة أحد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یقوم دلیل من الخارج </w:t>
      </w:r>
      <w:r>
        <w:rPr>
          <w:rStyle w:val="FootnoteAnchor"/>
          <w:rtl w:val="true"/>
        </w:rPr>
        <w:footnoteReference w:id="1311"/>
      </w:r>
      <w:r>
        <w:rPr>
          <w:rFonts w:ascii="IRNazanin" w:hAnsi="IRNazanin" w:eastAsia="IRNazanin"/>
          <w:color w:val="111111"/>
          <w:sz w:val="28"/>
          <w:sz w:val="28"/>
          <w:szCs w:val="28"/>
          <w:rtl w:val="true"/>
          <w:lang w:bidi="fa-IR"/>
        </w:rPr>
        <w:t xml:space="preserve">علی عدم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الماء النجس المتمّم کرّا بماء طاهر؛حیث قام الإجماع علی اتّحاد حکم الماءین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یترتّب أثر شرعیّ علی کلّ من المستصحبین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استصحاب بقاء الحدث و طهارة البدن فی من </w:t>
      </w:r>
      <w:bookmarkStart w:id="1360" w:name="pg12985_125255"/>
    </w:p>
    <w:p>
      <w:pPr>
        <w:pStyle w:val="BookText"/>
        <w:rPr/>
      </w:pPr>
      <w:bookmarkEnd w:id="1360"/>
      <w:r>
        <w:rPr>
          <w:rFonts w:ascii="IRNazanin" w:hAnsi="IRNazanin" w:eastAsia="IRNazanin"/>
          <w:color w:val="111111"/>
          <w:sz w:val="28"/>
          <w:sz w:val="28"/>
          <w:szCs w:val="28"/>
          <w:rtl w:val="true"/>
          <w:lang w:bidi="fa-IR"/>
        </w:rPr>
        <w:t xml:space="preserve">توضّأ غافلا بمائع مردّد بین الماء و البول،و مثله استصحاب طهارة کلّ </w:t>
      </w:r>
      <w:r>
        <w:rPr>
          <w:rStyle w:val="FootnoteAnchor"/>
          <w:rtl w:val="true"/>
        </w:rPr>
        <w:footnoteReference w:id="1312"/>
      </w:r>
      <w:r>
        <w:rPr>
          <w:rFonts w:ascii="IRNazanin" w:hAnsi="IRNazanin" w:eastAsia="IRNazanin"/>
          <w:color w:val="111111"/>
          <w:sz w:val="28"/>
          <w:sz w:val="28"/>
          <w:szCs w:val="28"/>
          <w:rtl w:val="true"/>
          <w:lang w:bidi="fa-IR"/>
        </w:rPr>
        <w:t>من واجدی المنیّ فی الثوب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یترتّب الأثر علی أحدهما دون الآخر،کما فی دعوی الموکّل التوکیل فی شراء العبد و دعوی الوکیل التوکیل فی شراء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صور أربع</w:t>
      </w:r>
      <w:r>
        <w:rPr>
          <w:rFonts w:eastAsia="IRNazanin" w:cs="IRNazanin"/>
          <w:color w:val="111111"/>
          <w:sz w:val="28"/>
          <w:szCs w:val="28"/>
          <w:rtl w:val="true"/>
          <w:lang w:bidi="fa-IR"/>
        </w:rPr>
        <w:t>:</w:t>
      </w:r>
    </w:p>
    <w:p>
      <w:pPr>
        <w:pStyle w:val="Heading6"/>
        <w:numPr>
          <w:ilvl w:val="5"/>
          <w:numId w:val="1"/>
        </w:numPr>
        <w:rPr/>
      </w:pPr>
      <w:bookmarkStart w:id="1361" w:name="__RefHeading___Toc5767865_3224264995"/>
      <w:bookmarkStart w:id="1362" w:name="_Toc541"/>
      <w:bookmarkEnd w:id="1361"/>
      <w:r>
        <w:rPr>
          <w:rtl w:val="true"/>
        </w:rPr>
        <w:t>أمّا الأولیان، لو کان العمل بالاستصحابین مستلزما لمخالفة قطعیّة عملیّة أو قام الدلیل علی عدم الجمع بینهما</w:t>
      </w:r>
      <w:bookmarkEnd w:id="136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فیحکم فیهما بالتساقط،دون الترجیح و التخییر </w:t>
      </w:r>
      <w:r>
        <w:rPr>
          <w:rStyle w:val="FootnoteAnchor"/>
          <w:rtl w:val="true"/>
        </w:rPr>
        <w:footnoteReference w:id="1313"/>
      </w:r>
      <w:r>
        <w:rPr>
          <w:rFonts w:ascii="IRNazanin" w:hAnsi="IRNazanin" w:eastAsia="IRNazanin"/>
          <w:color w:val="111111"/>
          <w:sz w:val="28"/>
          <w:sz w:val="28"/>
          <w:szCs w:val="28"/>
          <w:rtl w:val="true"/>
          <w:lang w:bidi="fa-IR"/>
        </w:rPr>
        <w:t xml:space="preserve">، </w:t>
      </w:r>
      <w:bookmarkStart w:id="1363" w:name="pg12985_125256"/>
    </w:p>
    <w:p>
      <w:pPr>
        <w:pStyle w:val="Heading6"/>
        <w:numPr>
          <w:ilvl w:val="5"/>
          <w:numId w:val="1"/>
        </w:numPr>
        <w:rPr/>
      </w:pPr>
      <w:bookmarkStart w:id="1364" w:name="__RefHeading___Toc5767867_3224264995"/>
      <w:bookmarkStart w:id="1365" w:name="_Toc542"/>
      <w:bookmarkEnd w:id="1363"/>
      <w:bookmarkEnd w:id="1364"/>
      <w:r>
        <w:rPr>
          <w:rtl w:val="true"/>
        </w:rPr>
        <w:t>فهنا دعویان</w:t>
      </w:r>
      <w:r>
        <w:rPr>
          <w:rtl w:val="true"/>
        </w:rPr>
        <w:t>:</w:t>
      </w:r>
      <w:bookmarkEnd w:id="1365"/>
    </w:p>
    <w:p>
      <w:pPr>
        <w:pStyle w:val="Heading6"/>
        <w:numPr>
          <w:ilvl w:val="5"/>
          <w:numId w:val="1"/>
        </w:numPr>
        <w:rPr/>
      </w:pPr>
      <w:bookmarkStart w:id="1366" w:name="__RefHeading___Toc5767869_3224264995"/>
      <w:bookmarkStart w:id="1367" w:name="_Toc543"/>
      <w:bookmarkEnd w:id="1366"/>
      <w:r>
        <w:rPr>
          <w:rtl w:val="true"/>
        </w:rPr>
        <w:t>الاولی</w:t>
      </w:r>
      <w:r>
        <w:rPr>
          <w:rtl w:val="true"/>
        </w:rPr>
        <w:t>:</w:t>
      </w:r>
      <w:r>
        <w:rPr>
          <w:rtl w:val="true"/>
        </w:rPr>
        <w:t>عدم الترجیح</w:t>
      </w:r>
      <w:bookmarkEnd w:id="136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الترجیح بما یوجد مع أحدهما من المرجّحات خلافا لجماعة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تمهید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تعارض أصلان عمل بالأرجح منهما؛لاعتضاده بما یرجّحه، فإن تساویا خرج فی المسألة وجهان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 له بأمثلة،منها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الصید الواقع فی الماء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بذلک جماعة من متأخّری المتأخّرین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8" w:name="__RefHeading___Toc5767871_3224264995"/>
      <w:bookmarkStart w:id="1369" w:name="_Toc544"/>
      <w:bookmarkEnd w:id="1368"/>
      <w:r>
        <w:rPr>
          <w:rtl w:val="true"/>
        </w:rPr>
        <w:t>الدلیل علی عدم الترجیح</w:t>
      </w:r>
      <w:r>
        <w:rPr>
          <w:rtl w:val="true"/>
        </w:rPr>
        <w:t>:</w:t>
      </w:r>
      <w:bookmarkEnd w:id="1369"/>
    </w:p>
    <w:p>
      <w:pPr>
        <w:pStyle w:val="BookText"/>
        <w:rPr/>
      </w:pPr>
      <w:r>
        <w:rPr>
          <w:rFonts w:ascii="IRNazanin" w:hAnsi="IRNazanin" w:eastAsia="IRNazanin"/>
          <w:color w:val="111111"/>
          <w:sz w:val="28"/>
          <w:sz w:val="28"/>
          <w:szCs w:val="28"/>
          <w:rtl w:val="true"/>
          <w:lang w:bidi="fa-IR"/>
        </w:rPr>
        <w:t>و الحقّ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الاستصحاب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الترجیح بالمرجّحات الاجتهادیّة؛لأنّ مؤدّی الاستصحاب هو الحکم الظاهریّ،فالمرجّح الکاشف عن الحکم الواقعیّ لا یجدی فی تقویة الدلیل الدالّ علی الحکم الظاهریّ؛لعدم موافقة المرجّح لمدلوله حتّی یوجب اعتضاده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فالمرجّحات الاجتهادیّة غیر موافقة فی المضمون للاصول حتّی تعاضدها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بالنسبة إلی الأدلّة الاجتهادیّة، فلا یرجّح بعضها علی بعض لموافقة الاصول التعبّدیّة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اعتبار الاستصحاب من باب الظنّ النوعیّ أمکن الترجیح بالمرجّحات الاجتهادیّة؛بناء علی ما یظهر من عدم الخلاف فی </w:t>
      </w:r>
      <w:bookmarkStart w:id="1370" w:name="pg12985_125257"/>
    </w:p>
    <w:p>
      <w:pPr>
        <w:pStyle w:val="BookText"/>
        <w:rPr/>
      </w:pPr>
      <w:bookmarkEnd w:id="1370"/>
      <w:r>
        <w:rPr>
          <w:rFonts w:ascii="IRNazanin" w:hAnsi="IRNazanin" w:eastAsia="IRNazanin"/>
          <w:color w:val="111111"/>
          <w:sz w:val="28"/>
          <w:sz w:val="28"/>
          <w:szCs w:val="28"/>
          <w:rtl w:val="true"/>
          <w:lang w:bidi="fa-IR"/>
        </w:rPr>
        <w:t xml:space="preserve">إعمال التراجیح بین الأدلّة الاجتهادیّة،کما ادّعاه صریحا بعضهم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الاستصحاب من غیر جهة الأخبار الدالّة علی کونه حکما ظاهریّا،فلا ینفع و لا یقدح فیه موافقة الأمارات الواقعیّة و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الإغماض عمّا سیجیء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للمتعارضین،و فرض شمولها </w:t>
      </w:r>
      <w:r>
        <w:rPr>
          <w:rStyle w:val="FootnoteAnchor"/>
          <w:rtl w:val="true"/>
        </w:rPr>
        <w:footnoteReference w:id="1319"/>
      </w:r>
      <w:r>
        <w:rPr>
          <w:rFonts w:ascii="IRNazanin" w:hAnsi="IRNazanin" w:eastAsia="IRNazanin"/>
          <w:color w:val="111111"/>
          <w:sz w:val="28"/>
          <w:sz w:val="28"/>
          <w:szCs w:val="28"/>
          <w:rtl w:val="true"/>
          <w:lang w:bidi="fa-IR"/>
        </w:rPr>
        <w:t>لهما من حیث الذات،نظیر شمول آیة النبأ من حیث الذات للخبرین المتعارضین و إن لم یجب العمل بهما فعلا؛ لامتناع ذلک بناء علی المختار فی إثبات الدعوی الثانیة،فلا وجه لاعتبار المرجّح أصلا؛لأنّه إنّما یکون مع التعارض و قابلیّة المتعارضین فی أنفسهما للعمل</w:t>
      </w:r>
      <w:r>
        <w:rPr>
          <w:rFonts w:eastAsia="IRNazanin" w:cs="IRNazanin"/>
          <w:color w:val="111111"/>
          <w:sz w:val="28"/>
          <w:szCs w:val="28"/>
          <w:rtl w:val="true"/>
          <w:lang w:bidi="fa-IR"/>
        </w:rPr>
        <w:t>.</w:t>
      </w:r>
    </w:p>
    <w:p>
      <w:pPr>
        <w:pStyle w:val="Heading6"/>
        <w:numPr>
          <w:ilvl w:val="5"/>
          <w:numId w:val="1"/>
        </w:numPr>
        <w:rPr/>
      </w:pPr>
      <w:bookmarkStart w:id="1371" w:name="__RefHeading___Toc5767873_3224264995"/>
      <w:bookmarkStart w:id="1372" w:name="_Toc545"/>
      <w:bookmarkEnd w:id="1371"/>
      <w:r>
        <w:rPr>
          <w:rtl w:val="true"/>
        </w:rPr>
        <w:t>الثانیة</w:t>
      </w:r>
      <w:r>
        <w:rPr>
          <w:rtl w:val="true"/>
        </w:rPr>
        <w:t xml:space="preserve">: </w:t>
      </w:r>
      <w:r>
        <w:rPr>
          <w:rtl w:val="true"/>
        </w:rPr>
        <w:t>أنّ الحکم هو التساقط دون التخییر و الدلیل علیه</w:t>
      </w:r>
      <w:bookmarkEnd w:id="137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لم یکن مرجّح فالحقّ التساقط دون التخییر، لا لما ذکره بعض المعاصرین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تعارض الدلیلین التساقط؛لعدم تناول دلیل حجّیّتهما لصورة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تقرّر فی باب التعارض </w:t>
      </w:r>
      <w:r>
        <w:rPr>
          <w:rStyle w:val="FootnoteAnchor"/>
          <w:rtl w:val="true"/>
        </w:rPr>
        <w:footnoteReference w:id="1321"/>
      </w:r>
      <w:r>
        <w:rPr>
          <w:rFonts w:ascii="IRNazanin" w:hAnsi="IRNazanin" w:eastAsia="IRNazanin"/>
          <w:color w:val="111111"/>
          <w:sz w:val="28"/>
          <w:sz w:val="28"/>
          <w:szCs w:val="28"/>
          <w:rtl w:val="true"/>
          <w:lang w:bidi="fa-IR"/>
        </w:rPr>
        <w:t xml:space="preserve">،من أنّ الأصل فی المتعارضین التخییر إذا کان اعتبارهما </w:t>
      </w:r>
    </w:p>
    <w:p>
      <w:pPr>
        <w:pStyle w:val="BookText"/>
        <w:rPr/>
      </w:pPr>
      <w:r>
        <w:rPr>
          <w:rFonts w:ascii="IRNazanin" w:hAnsi="IRNazanin" w:eastAsia="IRNazanin"/>
          <w:color w:val="111111"/>
          <w:sz w:val="28"/>
          <w:sz w:val="28"/>
          <w:szCs w:val="28"/>
          <w:rtl w:val="true"/>
          <w:lang w:bidi="fa-IR"/>
        </w:rPr>
        <w:t xml:space="preserve">من باب التعبّد لا من باب الطریقیّة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لأنّ العلم الإجمالیّ هنا بانتقاض أحد الیقینین </w:t>
      </w:r>
      <w:r>
        <w:rPr>
          <w:rStyle w:val="FootnoteAnchor"/>
          <w:rtl w:val="true"/>
        </w:rPr>
        <w:footnoteReference w:id="1323"/>
      </w:r>
      <w:r>
        <w:rPr>
          <w:rFonts w:ascii="IRNazanin" w:hAnsi="IRNazanin" w:eastAsia="IRNazanin"/>
          <w:color w:val="111111"/>
          <w:sz w:val="28"/>
          <w:sz w:val="28"/>
          <w:szCs w:val="28"/>
          <w:rtl w:val="true"/>
          <w:lang w:bidi="fa-IR"/>
        </w:rPr>
        <w:t>یوجب خروجهما عن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النقض بالشکّ و وجوب النقض بالیقین،فإذا فرض الیقین بارتفاع الحالة السابقة فی أحد المستصحبین،فلا یجوز إبقاء کلّ منهما تحت عموم حرمة النقض بالشکّ؛لأنّه مستلزم لطرح الحکم بنقض الیقین بمثله، و لا إبقاء أحدهما المعیّن؛لاشتراک الآخر معه فی مناط الدخول من غیر مرجّح،و أمّا أحدهما المخیّر فلیس من أفراد العامّ؛إذ لیس فردا ثالثا غیر الفردین المتشخّصین فی الخارج،فإذا خرجا لم یبق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نظیر ذلک فی الشبهة المحصورة </w:t>
      </w:r>
      <w:r>
        <w:rPr>
          <w:rStyle w:val="FootnoteAnchor"/>
          <w:rtl w:val="true"/>
        </w:rPr>
        <w:footnoteReference w:id="1324"/>
      </w:r>
      <w:r>
        <w:rPr>
          <w:rFonts w:ascii="IRNazanin" w:hAnsi="IRNazanin" w:eastAsia="IRNazanin"/>
          <w:color w:val="111111"/>
          <w:sz w:val="28"/>
          <w:sz w:val="28"/>
          <w:szCs w:val="28"/>
          <w:rtl w:val="true"/>
          <w:lang w:bidi="fa-IR"/>
        </w:rPr>
        <w:t>،و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شیئا من المشتبهین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دلیل الاستصحاب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إذا تعذّر العمل بالعامّ فی فردین متنافیین لم یجز طرح کلیهما،بل لا بدّ من العمل بالممکن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أحدهما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طرح الآخر؛لأنّ هذا غایة المقدور، و لذا ذکرنا فی باب التعارض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الدلیلین المتعارضین مع فقد الترجیح التخییر بالشرط المتقدّم لا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الاستصحاب أیضا </w:t>
      </w:r>
    </w:p>
    <w:p>
      <w:pPr>
        <w:pStyle w:val="BookText"/>
        <w:rPr/>
      </w:pPr>
      <w:r>
        <w:rPr>
          <w:rFonts w:ascii="IRNazanin" w:hAnsi="IRNazanin" w:eastAsia="IRNazanin"/>
          <w:color w:val="111111"/>
          <w:sz w:val="28"/>
          <w:sz w:val="28"/>
          <w:szCs w:val="28"/>
          <w:rtl w:val="true"/>
          <w:lang w:bidi="fa-IR"/>
        </w:rPr>
        <w:t>أحد الأدلّة،فالواجب العمل بالیقین السابق بقدر الإمکان،فإذا تعذّر العمل بالیقینین من جهة تنافیهما وجب العمل بأحدهما،و لا یجوز طرحهما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التمکّن من العمل بکلا الفردین إن کان لعدم القدرة علی ذلک مع قیام المقتضی للعمل فیهما فالخارج هو غیر المقدور،و هو العمل بکلّ منهما مجامعا مع العمل بالآخر،و أمّا فعل أحدهما المنفرد عن الآخر فهو مقدور فلا یجوز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ما نحن فیه لیس کذلک؛إذ بعد العلم الإجمالیّ لا یکون المقتضی لحرمة نقض کلا الیقینین موجودا منع عنها </w:t>
      </w:r>
      <w:r>
        <w:rPr>
          <w:rStyle w:val="FootnoteAnchor"/>
          <w:rtl w:val="true"/>
        </w:rPr>
        <w:footnoteReference w:id="1326"/>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مثال هذا فی الاستصحاب أن یکون هناک استصحابان بشکّین مستقلّین امتنع شرعا أو عقلا العمل بکلیهما </w:t>
      </w:r>
      <w:r>
        <w:rPr>
          <w:rStyle w:val="FootnoteAnchor"/>
          <w:rtl w:val="true"/>
        </w:rPr>
        <w:footnoteReference w:id="1327"/>
      </w:r>
      <w:r>
        <w:rPr>
          <w:rFonts w:ascii="IRNazanin" w:hAnsi="IRNazanin" w:eastAsia="IRNazanin"/>
          <w:color w:val="111111"/>
          <w:sz w:val="28"/>
          <w:sz w:val="28"/>
          <w:szCs w:val="28"/>
          <w:rtl w:val="true"/>
          <w:lang w:bidi="fa-IR"/>
        </w:rPr>
        <w:t>من دون علم إجمالیّ بانتقاض أحد المستصحبین بیقین الارتفاع،فإنّه یجب حینئذ العمل بأحدهما المخیّر و طرح الآخر،فیکون الحکم الظاهریّ مؤدّی أحدهما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نذکر هذا القسم فی أقسام تعارض الاستصحابین؛لعدم العثور علی مصداق له؛فإنّ الاستصحابات المتعارضة یکون التنافی بینها من جهة الیقین بارتفاع أحد المستصحبین،و قد عرفت </w:t>
      </w:r>
      <w:r>
        <w:rPr>
          <w:rStyle w:val="FootnoteAnchor"/>
          <w:rtl w:val="true"/>
        </w:rPr>
        <w:footnoteReference w:id="1328"/>
      </w:r>
      <w:r>
        <w:rPr>
          <w:rFonts w:ascii="IRNazanin" w:hAnsi="IRNazanin" w:eastAsia="IRNazanin"/>
          <w:color w:val="111111"/>
          <w:sz w:val="28"/>
          <w:sz w:val="28"/>
          <w:szCs w:val="28"/>
          <w:rtl w:val="true"/>
          <w:lang w:bidi="fa-IR"/>
        </w:rPr>
        <w:t>أنّ عدم العمل بکلا الاستصحابین لیس مخالفة لدلیل الاستصحاب سوّغها العجز؛لأنّه نقض الیقین بالیقین،فلم یخرج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ینطبق </w:t>
      </w:r>
    </w:p>
    <w:p>
      <w:pPr>
        <w:pStyle w:val="BookText"/>
        <w:rPr/>
      </w:pPr>
      <w:r>
        <w:rPr>
          <w:rFonts w:ascii="IRNazanin" w:hAnsi="IRNazanin" w:eastAsia="IRNazanin"/>
          <w:color w:val="111111"/>
          <w:sz w:val="28"/>
          <w:sz w:val="28"/>
          <w:szCs w:val="28"/>
          <w:rtl w:val="true"/>
          <w:lang w:bidi="fa-IR"/>
        </w:rPr>
        <w:t>علی الواحد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المقام من قبیل ما کان الخارج من العامّ فردا معیّنا فی الواقع غیر معیّن عندنا لیکون الفرد الآخر الغیر المعیّن باقیا تحت العامّ،کما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العلماء،و خرج فرد واحد غیر معیّن عندنا،فیمکن هنا أیضا الحکم بالتخییر العقلیّ فی الأفراد؛إذ لا استصحاب فی الواقع حتّی یعلم بخروج فرد منه و بقاء فرد آخر؛لأنّ الواقع بقاء إحدی الحالتین و ارتفاع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نعم،نظیره فی الاستصحاب ما لو علمنا بوجوب العمل بأحد الاستصحابین المذکورین و وجوب طرح الآخر،بأن حرم نقض أحد الیقینین بالشکّ و وجب نقض الآخر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ما نحن فیه لیس کذلک؛لأنّ المعلوم إجمالا فی ما نحن فیه بقاء أحد المستصحبین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ارتفاع الآخر،لا اعتبار الشارع لأحد الاستصحابین </w:t>
      </w:r>
      <w:r>
        <w:rPr>
          <w:rStyle w:val="FootnoteAnchor"/>
          <w:rtl w:val="true"/>
        </w:rPr>
        <w:footnoteReference w:id="1329"/>
      </w:r>
      <w:r>
        <w:rPr>
          <w:rFonts w:ascii="IRNazanin" w:hAnsi="IRNazanin" w:eastAsia="IRNazanin"/>
          <w:color w:val="111111"/>
          <w:sz w:val="28"/>
          <w:sz w:val="28"/>
          <w:szCs w:val="28"/>
          <w:rtl w:val="true"/>
          <w:lang w:bidi="fa-IR"/>
        </w:rPr>
        <w:t>و إلغاء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الخارج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معیّنا و لا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وجب نقض الیقین بالیقین وجب ترتیب آثار الارتفاع علی المرتفع الواقعیّ،و ترتیب آثار البقاء علی الباقی الواقعیّ،من دون ملاحظة الحالة السابقة فیهما،فیرجع إلی قواعد أخر غیر الاستصحاب،کما لو لم یکونا مسبوقین بحالة سابقة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لا نفرّق فی حکم الشبهة المحصورة بین کون الحالة السابقة فی المشتبهین هی الطهارة أو النجاسة،و بین عدم حالة سابقة معلومة،فإنّ </w:t>
      </w:r>
      <w:bookmarkStart w:id="1373" w:name="pg12985_125261"/>
    </w:p>
    <w:p>
      <w:pPr>
        <w:pStyle w:val="BookText"/>
        <w:rPr/>
      </w:pPr>
      <w:bookmarkEnd w:id="1373"/>
      <w:r>
        <w:rPr>
          <w:rFonts w:ascii="IRNazanin" w:hAnsi="IRNazanin" w:eastAsia="IRNazanin"/>
          <w:color w:val="111111"/>
          <w:sz w:val="28"/>
          <w:sz w:val="28"/>
          <w:szCs w:val="28"/>
          <w:rtl w:val="true"/>
          <w:lang w:bidi="fa-IR"/>
        </w:rPr>
        <w:t>مقتضی القاعدة الرجوع إلی الاحتیاط فیهما،و فیما تقدّم من مسألة الماء النجس المتمّم کرّا الرجوع إلی قاعدة الطهارة،و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التساقط بین أن یکون فی کلّ من الطرفین أصل واحد،و بین أن یکون فی أحدهما أزید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فالترجیح بکثرة الاصول بناء علی اعتبارها من باب التعبّد لا وجه له؛لأنّ المفروض أنّ العلم الإجمالیّ یوجب خروج جمیع مجاری الاصول عن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یتّجه الترجیح بناء علی اعتبار الاصول من باب الظنّ النوعیّ</w:t>
      </w:r>
      <w:r>
        <w:rPr>
          <w:rFonts w:eastAsia="IRNazanin" w:cs="IRNazanin"/>
          <w:color w:val="111111"/>
          <w:sz w:val="28"/>
          <w:szCs w:val="28"/>
          <w:rtl w:val="true"/>
          <w:lang w:bidi="fa-IR"/>
        </w:rPr>
        <w:t>.</w:t>
      </w:r>
    </w:p>
    <w:p>
      <w:pPr>
        <w:pStyle w:val="Heading6"/>
        <w:numPr>
          <w:ilvl w:val="5"/>
          <w:numId w:val="1"/>
        </w:numPr>
        <w:rPr/>
      </w:pPr>
      <w:bookmarkStart w:id="1374" w:name="__RefHeading___Toc5767875_3224264995"/>
      <w:bookmarkStart w:id="1375" w:name="_Toc546"/>
      <w:bookmarkEnd w:id="1374"/>
      <w:r>
        <w:rPr>
          <w:rtl w:val="true"/>
        </w:rPr>
        <w:t>الصورة الثالثة</w:t>
      </w:r>
      <w:r>
        <w:rPr>
          <w:rtl w:val="true"/>
        </w:rPr>
        <w:t>:</w:t>
      </w:r>
      <w:r>
        <w:rPr>
          <w:rtl w:val="true"/>
        </w:rPr>
        <w:t>لو ترتّب أثر شرعی علی کلا المستصحبین</w:t>
      </w:r>
      <w:bookmarkEnd w:id="1375"/>
    </w:p>
    <w:p>
      <w:pPr>
        <w:pStyle w:val="BookText"/>
        <w:rPr/>
      </w:pPr>
      <w:r>
        <w:rPr>
          <w:rFonts w:ascii="IRNazanin" w:hAnsi="IRNazanin" w:eastAsia="IRNazanin"/>
          <w:color w:val="111111"/>
          <w:sz w:val="28"/>
          <w:sz w:val="28"/>
          <w:szCs w:val="28"/>
          <w:rtl w:val="true"/>
          <w:lang w:bidi="fa-IR"/>
        </w:rPr>
        <w:t>و أمّا الصورة الثالثة،و هی ما یعمل فیه بالاستصحابین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ما کان العلم الإجمالیّ بارتفاع أحد المستصحبین فیه غیر مؤثّر شیئا،فمخالفته لا توجب مخالفة عملیّة لحکم شرعیّ،کما لو توضّأ اشتباها بمائع مردّد بین البول و الماء،فإنّه یحکم ببقاء الحدث و طهارة الأعضاء استصحابا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العلم الإجمالیّ بزوال أحدهما مانعا من ذلک؛إذ الواحد المردّد بین الحدث و طهارة الید </w:t>
      </w:r>
      <w:r>
        <w:rPr>
          <w:rStyle w:val="FootnoteAnchor"/>
          <w:rtl w:val="true"/>
        </w:rPr>
        <w:footnoteReference w:id="1331"/>
      </w:r>
      <w:r>
        <w:rPr>
          <w:rFonts w:ascii="IRNazanin" w:hAnsi="IRNazanin" w:eastAsia="IRNazanin"/>
          <w:color w:val="111111"/>
          <w:sz w:val="28"/>
          <w:sz w:val="28"/>
          <w:szCs w:val="28"/>
          <w:rtl w:val="true"/>
          <w:lang w:bidi="fa-IR"/>
        </w:rPr>
        <w:t>لا یترتّب علیه حکم شرعیّ حتّی یکون ترتیبه مانعا عن العمل بالاستصحابین،و لا یلزم من الحکم بوجوب الوضوء و عدم غسل الأعضاء مخالفة عملیّة لحکم شرعیّ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یشکل ذلک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ما عندنا فی المسألة فی مقدّمات حجّیّة الظنّ،عند التکلّم فی حجّیة العلم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376" w:name="pg12985_125262"/>
    </w:p>
    <w:p>
      <w:pPr>
        <w:pStyle w:val="Heading6"/>
        <w:numPr>
          <w:ilvl w:val="5"/>
          <w:numId w:val="1"/>
        </w:numPr>
        <w:rPr/>
      </w:pPr>
      <w:bookmarkStart w:id="1377" w:name="__RefHeading___Toc5767877_3224264995"/>
      <w:bookmarkStart w:id="1378" w:name="_Toc547"/>
      <w:bookmarkEnd w:id="1376"/>
      <w:bookmarkEnd w:id="1377"/>
      <w:r>
        <w:rPr>
          <w:rtl w:val="true"/>
        </w:rPr>
        <w:t>الصورة الرابعة</w:t>
      </w:r>
      <w:r>
        <w:rPr>
          <w:rtl w:val="true"/>
        </w:rPr>
        <w:t>:</w:t>
      </w:r>
      <w:r>
        <w:rPr>
          <w:rtl w:val="true"/>
        </w:rPr>
        <w:t>لو ترتّب الأثر علی أحدهما دون الآخر</w:t>
      </w:r>
      <w:bookmarkEnd w:id="1378"/>
    </w:p>
    <w:p>
      <w:pPr>
        <w:pStyle w:val="BookText"/>
        <w:rPr/>
      </w:pPr>
      <w:r>
        <w:rPr>
          <w:rFonts w:ascii="IRNazanin" w:hAnsi="IRNazanin" w:eastAsia="IRNazanin"/>
          <w:color w:val="111111"/>
          <w:sz w:val="28"/>
          <w:sz w:val="28"/>
          <w:szCs w:val="28"/>
          <w:rtl w:val="true"/>
          <w:lang w:bidi="fa-IR"/>
        </w:rPr>
        <w:t>و أمّا الصورة الرابعة،و هی ما یعمل فیه بأحد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کان أحد المستصحبین المعلوم ارتفاع أحدهما ممّا یکون موردا لابتلاء المکلّف دون الآخر،بحیث لا یتوجّه علی المکلّف تکلیف منجّز یترتّب أثر شرعیّ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هذا خارج عن تعارض الاستصحابین؛إذ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یشمل الیقین الذی لا یترتّب علیه فی حقّ المکلّف أثر شرعیّ بحیث لا تعلّق له به أصلا، کما إذا علم إجمالا بطروء الجنابة علیه أو علی غیره،و قد تقدّم أمثلة ذلک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کثیر،مثل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 إجمالا بحصول التوکیل من الموکّل،إلاّ أنّ الوکیل یدّعی وکالته فی شیء،و الموکّل ینکر توکیله فی ذلک الشیء،فإنّه لا خلاف فی تقدیم قول الموکّل؛لأصالة عدم توکیله فیما یدّعیه الوکیل،و لم یعارضه أحد بأنّ الأصل عدم توکیله فیما یدّعیه الموکّل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تداعیا فی کون النکاح دائما أو منقطعا،فإنّ الأصل عدم النکاح الدائم من حیث إنّه سبب للإرث و وجوب النفقة و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بتتبّع کثیر من فروع التنازع فی أبواب الفقه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بتساقط الأصلین فی هذه المقامات و الرجوع إلی الاصول الأخر الجاریة فی لوازم المشتبهین،إلاّ أنّ ذلک إنّما یتمشّی فی استصحاب الامور الخارجیّة،أمّا مثل أصالة الطهارة فی کلّ من واجدی المنیّ فإنّه لا وجه للتساقط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لو فرض فی هذه الأمثلة أثر لذلک الاستصحاب الآخر،دخل فی القسم الأوّل </w:t>
      </w:r>
      <w:r>
        <w:rPr>
          <w:rStyle w:val="FootnoteAnchor"/>
          <w:rtl w:val="true"/>
        </w:rPr>
        <w:footnoteReference w:id="1334"/>
      </w:r>
      <w:r>
        <w:rPr>
          <w:rFonts w:ascii="IRNazanin" w:hAnsi="IRNazanin" w:eastAsia="IRNazanin"/>
          <w:color w:val="111111"/>
          <w:sz w:val="28"/>
          <w:sz w:val="28"/>
          <w:szCs w:val="28"/>
          <w:rtl w:val="true"/>
          <w:lang w:bidi="fa-IR"/>
        </w:rPr>
        <w:t>إن کان الجمع بینه و بین الاستصحاب مستلزما لطرح علم إجمالیّ معتبر فی العمل،و لا عبرة بغیر المعتبر،کما 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القسم الثانی </w:t>
      </w:r>
      <w:r>
        <w:rPr>
          <w:rStyle w:val="FootnoteAnchor"/>
          <w:rtl w:val="true"/>
        </w:rPr>
        <w:footnoteReference w:id="1335"/>
      </w:r>
      <w:r>
        <w:rPr>
          <w:rFonts w:ascii="IRNazanin" w:hAnsi="IRNazanin" w:eastAsia="IRNazanin"/>
          <w:color w:val="111111"/>
          <w:sz w:val="28"/>
          <w:sz w:val="28"/>
          <w:szCs w:val="28"/>
          <w:rtl w:val="true"/>
          <w:lang w:bidi="fa-IR"/>
        </w:rPr>
        <w:t>إن لم یکن هناک مخالفة عملیّة لعلم إجمالیّ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فعلیک بالتأمّل فی موارد اجتماع یقینین سابقین مع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أو شرع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أحدهما و بقاء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العلماء و إن کان ظاهرهم الاتفاق علی عدم وجوب الفحص فی إجراء الاصول فی الشبهات الموضوعیّة،و لازمه جواز إجراء المقلّد لها بعد أخذ فتوی جواز الأخذ بها من المجتهد،إلاّ أنّ تشخیص سلامتها عن الاصول الحاکمة علیها لیس وظیفة کلّ أحد،فلا بدّ إمّا من قدرة المقلّد علی تشخیص الحاکم من الاصول علی غیره منها،و إمّا من أخذ خصوصیّات الاصول السلیمة عن الحاکم من المجتهد،و إلاّ فربما یلتفت إلی الاستصحاب المحکوم من دون التفات إلی الاستصحاب الحاکم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یرجع فی الحقیقة إلی تشخیص الحکم الشرعیّ،نظیر تشخیص حجّیّة أصل الاستصحاب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و إخواننا من الزلل،فی القول و العمل،بجاه محمّد و آله المعصومین،صلوات اللّه علیهم أجمعین</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فی التعادل و التراجیح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9" w:name="pg12985_125267"/>
      <w:bookmarkStart w:id="1380" w:name="pg12985_125267"/>
      <w:bookmarkEnd w:id="1380"/>
    </w:p>
    <w:p>
      <w:pPr>
        <w:pStyle w:val="BookText"/>
        <w:rPr/>
      </w:pPr>
      <w:bookmarkStart w:id="1381" w:name="pg12985_125267"/>
      <w:bookmarkEnd w:id="1381"/>
      <w:r>
        <w:rPr>
          <w:rFonts w:ascii="IRNazanin" w:hAnsi="IRNazanin" w:eastAsia="IRNazanin"/>
          <w:color w:val="111111"/>
          <w:sz w:val="28"/>
          <w:sz w:val="28"/>
          <w:szCs w:val="28"/>
          <w:rtl w:val="true"/>
          <w:lang w:bidi="fa-IR"/>
        </w:rPr>
        <w:t xml:space="preserve">خاتمة فی التعادل و التراجیح </w:t>
      </w:r>
      <w:r>
        <w:rPr>
          <w:rStyle w:val="FootnoteAnchor"/>
          <w:rtl w:val="true"/>
        </w:rPr>
        <w:footnoteReference w:id="1336"/>
      </w:r>
      <w:r>
        <w:rPr>
          <w:rFonts w:ascii="IRNazanin" w:hAnsi="IRNazanin" w:eastAsia="IRNazanin"/>
          <w:color w:val="111111"/>
          <w:sz w:val="28"/>
          <w:sz w:val="28"/>
          <w:szCs w:val="28"/>
          <w:rtl w:val="true"/>
          <w:lang w:bidi="fa-IR"/>
        </w:rPr>
        <w:t>و حیث إنّ موردهما الدلیلان المتعارضان،فلا بدّ من تعریف التعارض و بیانه</w:t>
      </w:r>
      <w:r>
        <w:rPr>
          <w:rFonts w:eastAsia="IRNazanin" w:cs="IRNazanin"/>
          <w:color w:val="111111"/>
          <w:sz w:val="28"/>
          <w:szCs w:val="28"/>
          <w:rtl w:val="true"/>
          <w:lang w:bidi="fa-IR"/>
        </w:rPr>
        <w:t>.</w:t>
      </w:r>
    </w:p>
    <w:p>
      <w:pPr>
        <w:pStyle w:val="Heading3"/>
        <w:numPr>
          <w:ilvl w:val="2"/>
          <w:numId w:val="1"/>
        </w:numPr>
        <w:rPr/>
      </w:pPr>
      <w:bookmarkStart w:id="1382" w:name="__RefHeading___Toc5767879_3224264995"/>
      <w:bookmarkStart w:id="1383" w:name="_Toc548"/>
      <w:bookmarkEnd w:id="1382"/>
      <w:r>
        <w:rPr>
          <w:rtl w:val="true"/>
        </w:rPr>
        <w:t>التعارض لغة و اصطلاحا</w:t>
      </w:r>
      <w:r>
        <w:rPr>
          <w:rtl w:val="true"/>
        </w:rPr>
        <w:t>:</w:t>
      </w:r>
      <w:bookmarkEnd w:id="1383"/>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العرض بمعنی الإظهار </w:t>
      </w:r>
      <w:r>
        <w:rPr>
          <w:rStyle w:val="FootnoteAnchor"/>
          <w:rtl w:val="true"/>
        </w:rPr>
        <w:footnoteReference w:id="1337"/>
      </w:r>
      <w:r>
        <w:rPr>
          <w:rFonts w:ascii="IRNazanin" w:hAnsi="IRNazanin" w:eastAsia="IRNazanin"/>
          <w:color w:val="111111"/>
          <w:sz w:val="28"/>
          <w:sz w:val="28"/>
          <w:szCs w:val="28"/>
          <w:rtl w:val="true"/>
          <w:lang w:bidi="fa-IR"/>
        </w:rPr>
        <w:t>،و غلّب فی الاصطلاح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الدلیلین و تمانعهما باعتبار مدلولهما؛و لذا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التعارض تنافی مدلولی الدلیلین علی وجه التناقض أو التضادّ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کان،فلا یتحقّق إلاّ بعد اتحاد الموضوع و إلاّ لم یمتنع اجتماعهما</w:t>
      </w:r>
      <w:r>
        <w:rPr>
          <w:rFonts w:eastAsia="IRNazanin" w:cs="IRNazanin"/>
          <w:color w:val="111111"/>
          <w:sz w:val="28"/>
          <w:szCs w:val="28"/>
          <w:rtl w:val="true"/>
          <w:lang w:bidi="fa-IR"/>
        </w:rPr>
        <w:t>.</w:t>
      </w:r>
    </w:p>
    <w:p>
      <w:pPr>
        <w:pStyle w:val="Heading3"/>
        <w:numPr>
          <w:ilvl w:val="2"/>
          <w:numId w:val="1"/>
        </w:numPr>
        <w:rPr/>
      </w:pPr>
      <w:bookmarkStart w:id="1384" w:name="__RefHeading___Toc5767881_3224264995"/>
      <w:bookmarkStart w:id="1385" w:name="_Toc549"/>
      <w:bookmarkEnd w:id="1384"/>
      <w:r>
        <w:rPr>
          <w:rtl w:val="true"/>
        </w:rPr>
        <w:t>عدم التعارض بین الاصول و الأدلّة الاجتهادیة</w:t>
      </w:r>
      <w:r>
        <w:rPr>
          <w:rtl w:val="true"/>
        </w:rPr>
        <w:t>:</w:t>
      </w:r>
      <w:bookmarkEnd w:id="138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تعارض بین الاصول و ما یحصّله المجتهد من </w:t>
      </w:r>
      <w:r>
        <w:rPr>
          <w:rStyle w:val="FootnoteAnchor"/>
          <w:rtl w:val="true"/>
        </w:rPr>
        <w:footnoteReference w:id="1339"/>
      </w:r>
      <w:r>
        <w:rPr>
          <w:rFonts w:ascii="IRNazanin" w:hAnsi="IRNazanin" w:eastAsia="IRNazanin"/>
          <w:color w:val="111111"/>
          <w:sz w:val="28"/>
          <w:sz w:val="28"/>
          <w:szCs w:val="28"/>
          <w:rtl w:val="true"/>
          <w:lang w:bidi="fa-IR"/>
        </w:rPr>
        <w:t xml:space="preserve">الأدلّة الاجتهادیّة؛لأنّ موضوع الحکم فی الاصول الشیء بوصف أنّه </w:t>
      </w:r>
      <w:bookmarkStart w:id="1386" w:name="pg12985_125268"/>
    </w:p>
    <w:p>
      <w:pPr>
        <w:pStyle w:val="BookText"/>
        <w:rPr/>
      </w:pPr>
      <w:bookmarkEnd w:id="1386"/>
      <w:r>
        <w:rPr>
          <w:rFonts w:ascii="IRNazanin" w:hAnsi="IRNazanin" w:eastAsia="IRNazanin"/>
          <w:color w:val="111111"/>
          <w:sz w:val="28"/>
          <w:sz w:val="28"/>
          <w:szCs w:val="28"/>
          <w:rtl w:val="true"/>
          <w:lang w:bidi="fa-IR"/>
        </w:rPr>
        <w:t xml:space="preserve">مجهول الحکم،و فی الدلیل نفس ذلک الشیء من دون ملاحظة ثبوت حکم له،فضلا عن الجهل بحکمه،فلا منافاة بین کون العصیر المتّصف بجهالة حکمه حلالا علی ما هو مقتضی الأصل،و بین کون نفس العصیر حراما کما هو مقتضی الدلیل الدالّ علی حرمته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الدلیل المفروض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بنفسه یفید العلم صار المحصّل له عالما بحکم العصیر </w:t>
      </w:r>
      <w:r>
        <w:rPr>
          <w:rStyle w:val="FootnoteAnchor"/>
          <w:rtl w:val="true"/>
        </w:rPr>
        <w:footnoteReference w:id="1342"/>
      </w:r>
      <w:r>
        <w:rPr>
          <w:rFonts w:ascii="IRNazanin" w:hAnsi="IRNazanin" w:eastAsia="IRNazanin"/>
          <w:color w:val="111111"/>
          <w:sz w:val="28"/>
          <w:sz w:val="28"/>
          <w:szCs w:val="28"/>
          <w:rtl w:val="true"/>
          <w:lang w:bidi="fa-IR"/>
        </w:rPr>
        <w:t>،فلا یقتضی الأصل حلّیته؛لأنّه إنّما اقتضی حلّیة مجهول الحکم،فالحکم بالحرمة لیس طرحا للأصل،بل هو بنفسه غیر جار و غیر مقتض؛لأنّ موضوعه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بنفسه لا یفید العلم،بل هو محتمل الخلاف،لکن ثبت اعتباره بدلیل علمیّ</w:t>
      </w:r>
      <w:r>
        <w:rPr>
          <w:rFonts w:eastAsia="IRNazanin" w:cs="IRNazanin"/>
          <w:color w:val="111111"/>
          <w:sz w:val="28"/>
          <w:szCs w:val="28"/>
          <w:rtl w:val="true"/>
          <w:lang w:bidi="fa-IR"/>
        </w:rPr>
        <w:t>:</w:t>
      </w:r>
    </w:p>
    <w:p>
      <w:pPr>
        <w:pStyle w:val="Heading3"/>
        <w:numPr>
          <w:ilvl w:val="2"/>
          <w:numId w:val="1"/>
        </w:numPr>
        <w:rPr/>
      </w:pPr>
      <w:bookmarkStart w:id="1387" w:name="__RefHeading___Toc5767883_3224264995"/>
      <w:bookmarkStart w:id="1388" w:name="_Toc550"/>
      <w:bookmarkEnd w:id="1387"/>
      <w:r>
        <w:rPr>
          <w:rtl w:val="true"/>
        </w:rPr>
        <w:t>ورود الأدلّة علی الاصول العقلیّة</w:t>
      </w:r>
      <w:r>
        <w:rPr>
          <w:rtl w:val="true"/>
        </w:rPr>
        <w:t>:</w:t>
      </w:r>
      <w:bookmarkEnd w:id="138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الأصل ممّا کان مؤدّاه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البراءة العقلیّة،و الاحتیاط و التخییر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فالدلیل أیضا </w:t>
      </w:r>
      <w:r>
        <w:rPr>
          <w:rStyle w:val="FootnoteAnchor"/>
          <w:rtl w:val="true"/>
        </w:rPr>
        <w:footnoteReference w:id="1343"/>
      </w:r>
      <w:r>
        <w:rPr>
          <w:rFonts w:ascii="IRNazanin" w:hAnsi="IRNazanin" w:eastAsia="IRNazanin"/>
          <w:color w:val="111111"/>
          <w:sz w:val="28"/>
          <w:sz w:val="28"/>
          <w:szCs w:val="28"/>
          <w:rtl w:val="true"/>
          <w:lang w:bidi="fa-IR"/>
        </w:rPr>
        <w:t xml:space="preserve">وارد علیه و رافع </w:t>
      </w:r>
      <w:bookmarkStart w:id="1389" w:name="pg12985_125269"/>
    </w:p>
    <w:p>
      <w:pPr>
        <w:pStyle w:val="BookText"/>
        <w:rPr/>
      </w:pPr>
      <w:bookmarkEnd w:id="1389"/>
      <w:r>
        <w:rPr>
          <w:rFonts w:ascii="IRNazanin" w:hAnsi="IRNazanin" w:eastAsia="IRNazanin"/>
          <w:color w:val="111111"/>
          <w:sz w:val="28"/>
          <w:sz w:val="28"/>
          <w:szCs w:val="28"/>
          <w:rtl w:val="true"/>
          <w:lang w:bidi="fa-IR"/>
        </w:rPr>
        <w:t xml:space="preserve">لموضوعه؛لأنّ موضوع الأوّل عدم البیان،و موضوع الثانی احتمال العقاب،و مورد الثالث عدم المرجّح لأحد طرفی التخییر،و کلّ ذلک یرتفع بالدلیل العلمیّ </w:t>
      </w:r>
      <w:r>
        <w:rPr>
          <w:rStyle w:val="FootnoteAnchor"/>
          <w:rtl w:val="true"/>
        </w:rPr>
        <w:footnoteReference w:id="1344"/>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3"/>
        <w:numPr>
          <w:ilvl w:val="2"/>
          <w:numId w:val="1"/>
        </w:numPr>
        <w:rPr/>
      </w:pPr>
      <w:bookmarkStart w:id="1390" w:name="__RefHeading___Toc5767885_3224264995"/>
      <w:bookmarkStart w:id="1391" w:name="_Toc551"/>
      <w:bookmarkEnd w:id="1390"/>
      <w:r>
        <w:rPr>
          <w:rtl w:val="true"/>
        </w:rPr>
        <w:t>حکومة الأدلّة علی الاصول الشرعیّة</w:t>
      </w:r>
      <w:r>
        <w:rPr>
          <w:rtl w:val="true"/>
        </w:rPr>
        <w:t>:</w:t>
      </w:r>
      <w:bookmarkEnd w:id="1391"/>
    </w:p>
    <w:p>
      <w:pPr>
        <w:pStyle w:val="Heading4"/>
        <w:numPr>
          <w:ilvl w:val="3"/>
          <w:numId w:val="1"/>
        </w:numPr>
        <w:rPr/>
      </w:pPr>
      <w:bookmarkStart w:id="1392" w:name="__RefHeading___Toc5767887_3224264995"/>
      <w:bookmarkStart w:id="1393" w:name="_Toc552"/>
      <w:bookmarkEnd w:id="1392"/>
      <w:r>
        <w:rPr>
          <w:rtl w:val="true"/>
        </w:rPr>
        <w:t>اشارة</w:t>
      </w:r>
      <w:bookmarkEnd w:id="1393"/>
    </w:p>
    <w:p>
      <w:pPr>
        <w:pStyle w:val="BookText"/>
        <w:rPr/>
      </w:pPr>
      <w:r>
        <w:rPr>
          <w:rFonts w:ascii="IRNazanin" w:hAnsi="IRNazanin" w:eastAsia="IRNazanin"/>
          <w:color w:val="111111"/>
          <w:sz w:val="28"/>
          <w:sz w:val="28"/>
          <w:szCs w:val="28"/>
          <w:rtl w:val="true"/>
          <w:lang w:bidi="fa-IR"/>
        </w:rPr>
        <w:t>و إن کان مؤدّاه من المجعولات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الدلیل حاکما علی الأصل،بمعنی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یحکم علیه بخروج مورده عن مجری الأصل،فالدلیل العلمیّ المذکور و إن لم یرفع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یرفع حکم الشکّ،أعنی الاستصحاب</w:t>
      </w:r>
      <w:r>
        <w:rPr>
          <w:rFonts w:eastAsia="IRNazanin" w:cs="IRNazanin"/>
          <w:color w:val="111111"/>
          <w:sz w:val="28"/>
          <w:szCs w:val="28"/>
          <w:rtl w:val="true"/>
          <w:lang w:bidi="fa-IR"/>
        </w:rPr>
        <w:t>.</w:t>
      </w:r>
    </w:p>
    <w:p>
      <w:pPr>
        <w:pStyle w:val="Heading4"/>
        <w:numPr>
          <w:ilvl w:val="3"/>
          <w:numId w:val="1"/>
        </w:numPr>
        <w:rPr/>
      </w:pPr>
      <w:bookmarkStart w:id="1394" w:name="__RefHeading___Toc5767889_3224264995"/>
      <w:bookmarkStart w:id="1395" w:name="_Toc553"/>
      <w:bookmarkEnd w:id="1394"/>
      <w:r>
        <w:rPr>
          <w:rtl w:val="true"/>
        </w:rPr>
        <w:t>ضابط الحکومة</w:t>
      </w:r>
      <w:r>
        <w:rPr>
          <w:rtl w:val="true"/>
        </w:rPr>
        <w:t>:</w:t>
      </w:r>
      <w:bookmarkEnd w:id="1395"/>
    </w:p>
    <w:p>
      <w:pPr>
        <w:pStyle w:val="BookText"/>
        <w:rPr/>
      </w:pPr>
      <w:r>
        <w:rPr>
          <w:rFonts w:ascii="IRNazanin" w:hAnsi="IRNazanin" w:eastAsia="IRNazanin"/>
          <w:color w:val="111111"/>
          <w:sz w:val="28"/>
          <w:sz w:val="28"/>
          <w:szCs w:val="28"/>
          <w:rtl w:val="true"/>
          <w:lang w:bidi="fa-IR"/>
        </w:rPr>
        <w:t>و ضابط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أحد الدلیلین بمدلوله اللفظیّ متعرّضا لحال الدلیل الآخر و رافعا للحکم الثابت بالدلیل الآخر عن بعض أفراد موضوعه،فیکون مبیّنا لمقدار مدلوله،مسوقا لبیان حاله،متفرّعا </w:t>
      </w:r>
      <w:r>
        <w:rPr>
          <w:rStyle w:val="FootnoteAnchor"/>
          <w:rtl w:val="true"/>
        </w:rPr>
        <w:footnoteReference w:id="1345"/>
      </w:r>
      <w:r>
        <w:rPr>
          <w:rFonts w:ascii="IRNazanin" w:hAnsi="IRNazanin" w:eastAsia="IRNazanin"/>
          <w:color w:val="111111"/>
          <w:sz w:val="28"/>
          <w:sz w:val="28"/>
          <w:szCs w:val="28"/>
          <w:rtl w:val="true"/>
          <w:lang w:bidi="fa-IR"/>
        </w:rPr>
        <w:t xml:space="preserve">علیه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میزان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بحیث لو فرض عدم ورود ذلک الدلیل لکان هذا الدلیل لغوا خالیا عن المورد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الدلیل الدالّ علی أنّه لا حکم للشکّ فی النافلة،أو مع کثرة الشکّ،أو مع حفظ الإمام أو المأموم،أو بعد الفراغ من العمل،فإنّه </w:t>
      </w:r>
      <w:bookmarkStart w:id="1396" w:name="pg12985_125270"/>
    </w:p>
    <w:p>
      <w:pPr>
        <w:pStyle w:val="BookText"/>
        <w:rPr/>
      </w:pPr>
      <w:bookmarkEnd w:id="1396"/>
      <w:r>
        <w:rPr>
          <w:rFonts w:ascii="IRNazanin" w:hAnsi="IRNazanin" w:eastAsia="IRNazanin"/>
          <w:color w:val="111111"/>
          <w:sz w:val="28"/>
          <w:sz w:val="28"/>
          <w:szCs w:val="28"/>
          <w:rtl w:val="true"/>
          <w:lang w:bidi="fa-IR"/>
        </w:rPr>
        <w:t>حاکم علی الأدلّة المتکفّلة لأحکام الشکوک،فلو فرض أنّه لم یرد من الشارع حکم الشکوک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عموما و لا خصوصا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مورد للأدلّة النافیة لحکم الشکّ فی هذه الصور</w:t>
      </w:r>
      <w:r>
        <w:rPr>
          <w:rFonts w:eastAsia="IRNazanin" w:cs="IRNazanin"/>
          <w:color w:val="111111"/>
          <w:sz w:val="28"/>
          <w:szCs w:val="28"/>
          <w:rtl w:val="true"/>
          <w:lang w:bidi="fa-IR"/>
        </w:rPr>
        <w:t>.</w:t>
      </w:r>
    </w:p>
    <w:p>
      <w:pPr>
        <w:pStyle w:val="Heading4"/>
        <w:numPr>
          <w:ilvl w:val="3"/>
          <w:numId w:val="1"/>
        </w:numPr>
        <w:rPr/>
      </w:pPr>
      <w:bookmarkStart w:id="1397" w:name="__RefHeading___Toc5767891_3224264995"/>
      <w:bookmarkStart w:id="1398" w:name="_Toc554"/>
      <w:bookmarkEnd w:id="1397"/>
      <w:r>
        <w:rPr>
          <w:rtl w:val="true"/>
        </w:rPr>
        <w:t>الفرق بین الحکومة و التخصیص</w:t>
      </w:r>
      <w:r>
        <w:rPr>
          <w:rtl w:val="true"/>
        </w:rPr>
        <w:t>:</w:t>
      </w:r>
      <w:bookmarkEnd w:id="1398"/>
    </w:p>
    <w:p>
      <w:pPr>
        <w:pStyle w:val="BookText"/>
        <w:rPr/>
      </w:pPr>
      <w:r>
        <w:rPr>
          <w:rFonts w:ascii="IRNazanin" w:hAnsi="IRNazanin" w:eastAsia="IRNazanin"/>
          <w:color w:val="111111"/>
          <w:sz w:val="28"/>
          <w:sz w:val="28"/>
          <w:szCs w:val="28"/>
          <w:rtl w:val="true"/>
          <w:lang w:bidi="fa-IR"/>
        </w:rPr>
        <w:t>و الفرق بینه و بین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المخصّص بیانا للعامّ،إنّما هو </w:t>
      </w:r>
      <w:r>
        <w:rPr>
          <w:rStyle w:val="FootnoteAnchor"/>
          <w:rtl w:val="true"/>
        </w:rPr>
        <w:footnoteReference w:id="1349"/>
      </w:r>
      <w:r>
        <w:rPr>
          <w:rFonts w:ascii="IRNazanin" w:hAnsi="IRNazanin" w:eastAsia="IRNazanin"/>
          <w:color w:val="111111"/>
          <w:sz w:val="28"/>
          <w:sz w:val="28"/>
          <w:szCs w:val="28"/>
          <w:rtl w:val="true"/>
          <w:lang w:bidi="fa-IR"/>
        </w:rPr>
        <w:t xml:space="preserve">بحکم العقل،الحاکم بعدم جواز إرادة العموم مع العمل بالخاصّ </w:t>
      </w:r>
      <w:r>
        <w:rPr>
          <w:rStyle w:val="FootnoteAnchor"/>
          <w:rtl w:val="true"/>
        </w:rPr>
        <w:footnoteReference w:id="1350"/>
      </w:r>
      <w:r>
        <w:rPr>
          <w:rFonts w:ascii="IRNazanin" w:hAnsi="IRNazanin" w:eastAsia="IRNazanin"/>
          <w:color w:val="111111"/>
          <w:sz w:val="28"/>
          <w:sz w:val="28"/>
          <w:szCs w:val="28"/>
          <w:rtl w:val="true"/>
          <w:lang w:bidi="fa-IR"/>
        </w:rPr>
        <w:t>، و هذا بیان بلفظه و مفسّر للمراد من العامّ،فهو تخصیص فی المعنی بعبارة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الخاصّ،إن کان قطعیّا تعیّن طرح عموم العامّ،و إن کان ظنّیّا دار الأمر بین طرحه و طرح العموم،و یصلح کلّ منهما لرفع الید بمضمونه علی تقدیر مطابقته للواقع عن الآخر،فلا بدّ من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الحاکم،فإنّه یکتفی به فی صرف المحکوم عن ظاهره، و لا یکتفی بالمحکوم فی صرف الحاکم عن ظاهره،بل یحتاج إلی قرینة اخری،کما یتّضح ذلک بملاحظة الأمثلة المذکورة</w:t>
      </w:r>
      <w:r>
        <w:rPr>
          <w:rFonts w:eastAsia="IRNazanin" w:cs="IRNazanin"/>
          <w:color w:val="111111"/>
          <w:sz w:val="28"/>
          <w:szCs w:val="28"/>
          <w:rtl w:val="true"/>
          <w:lang w:bidi="fa-IR"/>
        </w:rPr>
        <w:t>.</w:t>
      </w:r>
    </w:p>
    <w:p>
      <w:pPr>
        <w:pStyle w:val="Heading4"/>
        <w:numPr>
          <w:ilvl w:val="3"/>
          <w:numId w:val="1"/>
        </w:numPr>
        <w:rPr/>
      </w:pPr>
      <w:bookmarkStart w:id="1399" w:name="__RefHeading___Toc5767893_3224264995"/>
      <w:bookmarkStart w:id="1400" w:name="_Toc555"/>
      <w:bookmarkEnd w:id="1399"/>
      <w:r>
        <w:rPr>
          <w:rtl w:val="true"/>
        </w:rPr>
        <w:t>لثمرة بین التخصیص و الحکومة</w:t>
      </w:r>
      <w:r>
        <w:rPr>
          <w:rtl w:val="true"/>
        </w:rPr>
        <w:t>:</w:t>
      </w:r>
      <w:bookmarkEnd w:id="140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فالثمرة بین التخصیص و الحکومة تظهر فی الظاهرین،حیث لا یقدّم المحکوم و لو کان الحاکم أضعف منه؛لأنّ صرفه عن ظاهره لا یحسن بلا قرینة اخری،هی </w:t>
      </w:r>
      <w:r>
        <w:rPr>
          <w:rStyle w:val="FootnoteAnchor"/>
          <w:rtl w:val="true"/>
        </w:rPr>
        <w:footnoteReference w:id="1351"/>
      </w:r>
      <w:r>
        <w:rPr>
          <w:rFonts w:ascii="IRNazanin" w:hAnsi="IRNazanin" w:eastAsia="IRNazanin"/>
          <w:color w:val="111111"/>
          <w:sz w:val="28"/>
          <w:sz w:val="28"/>
          <w:szCs w:val="28"/>
          <w:rtl w:val="true"/>
          <w:lang w:bidi="fa-IR"/>
        </w:rPr>
        <w:t>مدفوعة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الحکم بالتخصیص </w:t>
      </w:r>
      <w:bookmarkStart w:id="1401" w:name="pg12985_125271"/>
    </w:p>
    <w:p>
      <w:pPr>
        <w:pStyle w:val="BookText"/>
        <w:rPr/>
      </w:pPr>
      <w:bookmarkEnd w:id="1401"/>
      <w:r>
        <w:rPr>
          <w:rFonts w:ascii="IRNazanin" w:hAnsi="IRNazanin" w:eastAsia="IRNazanin"/>
          <w:color w:val="111111"/>
          <w:sz w:val="28"/>
          <w:sz w:val="28"/>
          <w:szCs w:val="28"/>
          <w:rtl w:val="true"/>
          <w:lang w:bidi="fa-IR"/>
        </w:rPr>
        <w:t>فیتوقّف علی ترجیح ظهور الخاصّ،و إلاّ أمکن رفع الید عن ظهوره و إخراجه عن الخصوص بقرینة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فلنرجع إلی ما نحن بصدده،من </w:t>
      </w:r>
      <w:r>
        <w:rPr>
          <w:rStyle w:val="FootnoteAnchor"/>
          <w:rtl w:val="true"/>
        </w:rPr>
        <w:footnoteReference w:id="1352"/>
      </w:r>
      <w:r>
        <w:rPr>
          <w:rFonts w:ascii="IRNazanin" w:hAnsi="IRNazanin" w:eastAsia="IRNazanin"/>
          <w:color w:val="111111"/>
          <w:sz w:val="28"/>
          <w:sz w:val="28"/>
          <w:szCs w:val="28"/>
          <w:rtl w:val="true"/>
          <w:lang w:bidi="fa-IR"/>
        </w:rPr>
        <w:t>حکومة الأدلّة الظنیّة علی الاصول،فنقول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1353"/>
      </w:r>
      <w:r>
        <w:rPr>
          <w:rFonts w:ascii="IRNazanin" w:hAnsi="IRNazanin" w:eastAsia="IRNazanin"/>
          <w:color w:val="111111"/>
          <w:sz w:val="28"/>
          <w:sz w:val="28"/>
          <w:szCs w:val="28"/>
          <w:rtl w:val="true"/>
          <w:lang w:bidi="fa-IR"/>
        </w:rPr>
        <w:t>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للشیء المحتمل للحلّ و الحرمة حکما شرعیّا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حکم بأنّ الأمارة 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العادل الدالّ علی حرمة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حجّة،بمعنی أنّه لا یعبأ باحتمال مخالفة مؤدّاه للواقع،فاحتمال حلّیّة العصیر المخالف للأمارة بمنزلة العدم،لا یترتّب علیه حکم شرعیّ کان یترتّب علیه لو لا هذه الأمارة،و هو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الحکم بالحلّیّة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فمؤدّی الأمارات بحکم الشارع کالمعلوم، لا یترتّب علیه الأحکام الشرعیّة المجعولة للمجهولات</w:t>
      </w:r>
      <w:r>
        <w:rPr>
          <w:rFonts w:eastAsia="IRNazanin" w:cs="IRNazanin"/>
          <w:color w:val="111111"/>
          <w:sz w:val="28"/>
          <w:szCs w:val="28"/>
          <w:rtl w:val="true"/>
          <w:lang w:bidi="fa-IR"/>
        </w:rPr>
        <w:t>.</w:t>
      </w:r>
    </w:p>
    <w:p>
      <w:pPr>
        <w:pStyle w:val="Heading4"/>
        <w:numPr>
          <w:ilvl w:val="3"/>
          <w:numId w:val="1"/>
        </w:numPr>
        <w:rPr/>
      </w:pPr>
      <w:bookmarkStart w:id="1402" w:name="__RefHeading___Toc5767895_3224264995"/>
      <w:bookmarkStart w:id="1403" w:name="_Toc556"/>
      <w:bookmarkEnd w:id="1402"/>
      <w:r>
        <w:rPr>
          <w:rtl w:val="true"/>
        </w:rPr>
        <w:t>جریان الورود و الحکومة فی الاصول اللفظیّة أیضا</w:t>
      </w:r>
      <w:r>
        <w:rPr>
          <w:rtl w:val="true"/>
        </w:rPr>
        <w:t>:</w:t>
      </w:r>
      <w:bookmarkEnd w:id="1403"/>
    </w:p>
    <w:p>
      <w:p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الورود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الاصول اللفظیّة أیضا،فإنّ أصالة الحقیقة أو العموم معتبرة إذا لم یعلم هناک قرینة علی المجاز</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علمیّا کان واردا علی الأصل المذکور،فالعمل بالنصّ القطعیّ فی مقابل الظاهر کالعمل بالدلیل العلمیّ فی مقابل الأصل العملیّ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و إن کان المخصّص ظنّیا معتبرا کان حاکما علی الأصل؛لأنّ معنی حجّیة الظنّ جعل احتمال مخالفة مؤدّاه للواقع بمنزلة العدم،فی عدم ترتّب ما کان یترتّب علیه من الأثر لو لا حجّیة هذه الأمارة،و هو وجوب العمل بالعموم؛فإنّ الواجب عرفا و شرعا العمل بالعموم </w:t>
      </w:r>
      <w:r>
        <w:rPr>
          <w:rStyle w:val="FootnoteAnchor"/>
          <w:rtl w:val="true"/>
        </w:rPr>
        <w:footnoteReference w:id="1356"/>
      </w:r>
      <w:r>
        <w:rPr>
          <w:rFonts w:ascii="IRNazanin" w:hAnsi="IRNazanin" w:eastAsia="IRNazanin"/>
          <w:color w:val="111111"/>
          <w:sz w:val="28"/>
          <w:sz w:val="28"/>
          <w:szCs w:val="28"/>
          <w:rtl w:val="true"/>
          <w:lang w:bidi="fa-IR"/>
        </w:rPr>
        <w:t>عند احتمال وجود المخصّص و عدمه،فعدم العبرة باحتمال عدم التخصیص إلغاء للعمل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النصّ وارد علی أصالة الحقیقة </w:t>
      </w:r>
      <w:r>
        <w:rPr>
          <w:rStyle w:val="FootnoteAnchor"/>
          <w:rtl w:val="true"/>
        </w:rPr>
        <w:footnoteReference w:id="1357"/>
      </w:r>
      <w:r>
        <w:rPr>
          <w:rFonts w:ascii="IRNazanin" w:hAnsi="IRNazanin" w:eastAsia="IRNazanin"/>
          <w:color w:val="111111"/>
          <w:sz w:val="28"/>
          <w:sz w:val="28"/>
          <w:szCs w:val="28"/>
          <w:rtl w:val="true"/>
          <w:lang w:bidi="fa-IR"/>
        </w:rPr>
        <w:t xml:space="preserve">إذا کان قطعیّا من جمیع الجهات،و حاکم علیه </w:t>
      </w:r>
      <w:r>
        <w:rPr>
          <w:rStyle w:val="FootnoteAnchor"/>
          <w:rtl w:val="true"/>
        </w:rPr>
        <w:footnoteReference w:id="1358"/>
      </w:r>
      <w:r>
        <w:rPr>
          <w:rFonts w:ascii="IRNazanin" w:hAnsi="IRNazanin" w:eastAsia="IRNazanin"/>
          <w:color w:val="111111"/>
          <w:sz w:val="28"/>
          <w:sz w:val="28"/>
          <w:szCs w:val="28"/>
          <w:rtl w:val="true"/>
          <w:lang w:bidi="fa-IR"/>
        </w:rPr>
        <w:t>إذا کان ظنّیا فی الجملة،کالخاصّ الظنّیّ السند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الظنّی أیضا واردا،بناء علی کون العمل بالظاهر عرفا و شرعا معلّقا علی عدم التعبّد بالتخصیص،فحالها حال الاصول العقلیّة،فتأمّل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علی تقدیر کون أصالة الظهور من حیث أصالة عدم القرینة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من جهة الظنّ النوعیّ الحاصل بإرادة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الغلبة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النصّ وارد علیها </w:t>
      </w:r>
      <w:bookmarkStart w:id="1404" w:name="pg12985_125273"/>
    </w:p>
    <w:p>
      <w:pPr>
        <w:pStyle w:val="BookText"/>
        <w:rPr/>
      </w:pPr>
      <w:bookmarkEnd w:id="1404"/>
      <w:r>
        <w:rPr>
          <w:rFonts w:ascii="IRNazanin" w:hAnsi="IRNazanin" w:eastAsia="IRNazanin"/>
          <w:color w:val="111111"/>
          <w:sz w:val="28"/>
          <w:sz w:val="28"/>
          <w:szCs w:val="28"/>
          <w:rtl w:val="true"/>
          <w:lang w:bidi="fa-IR"/>
        </w:rPr>
        <w:t>مطلقا و إن کان النصّ ظنیّا؛لأنّ الظاهر أنّ دلیل حجّیّة الظنّ الحاصل بإرادة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مستند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بصورة عدم وجود ظنّ معتبر علی خلافه،فإذا وجد ارتفع موضوع ذلک الدلیل، نظیر ارتفاع موضوع الأصل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و لا نجد من أنفسنا موردا یقدّم فیه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الخاصّ و إن فرض کونه أضعف الظنون المعتبرة،فلو کان حجّیّة ظهور العامّ غیر معلّق علی عدم الظنّ المعتبر علی خلافه،لوجد مورد یفرض </w:t>
      </w:r>
      <w:r>
        <w:rPr>
          <w:rStyle w:val="FootnoteAnchor"/>
          <w:rtl w:val="true"/>
        </w:rPr>
        <w:footnoteReference w:id="1360"/>
      </w:r>
      <w:r>
        <w:rPr>
          <w:rFonts w:ascii="IRNazanin" w:hAnsi="IRNazanin" w:eastAsia="IRNazanin"/>
          <w:color w:val="111111"/>
          <w:sz w:val="28"/>
          <w:sz w:val="28"/>
          <w:szCs w:val="28"/>
          <w:rtl w:val="true"/>
          <w:lang w:bidi="fa-IR"/>
        </w:rPr>
        <w:t>فیه أضعفیّة مرتبة ظنّ الخاصّ من ظنّ العامّ حتّی یقدّم علیه،أو مکافئته له حتّی یتوقّف،مع أنّا لم نسمع موردا یتوقف فی مقابلة العامّ من حیث هو و الخاصّ،فضلا عن أن یرجّح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الخاصّ ظاهرا أیضا خرج عن النصّ، و صار من باب تعارض الظاهرین،فربما یقدّم العامّ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نظیر ظنّ الاستصحاب علی القول به،فإنّه لم یسمع مورد یقدّم الاستصحاب علی الأمارة المعتبرة المخالفة له،فیکشف عن أنّ إفادته للظنّ أو اعتبار ظنّه النوعیّ مقیّد بعدم قیام </w:t>
      </w:r>
      <w:r>
        <w:rPr>
          <w:rStyle w:val="FootnoteAnchor"/>
          <w:rtl w:val="true"/>
        </w:rPr>
        <w:footnoteReference w:id="1362"/>
      </w:r>
      <w:r>
        <w:rPr>
          <w:rFonts w:ascii="IRNazanin" w:hAnsi="IRNazanin" w:eastAsia="IRNazanin"/>
          <w:color w:val="111111"/>
          <w:sz w:val="28"/>
          <w:sz w:val="28"/>
          <w:szCs w:val="28"/>
          <w:rtl w:val="true"/>
          <w:lang w:bidi="fa-IR"/>
        </w:rPr>
        <w:t xml:space="preserve">ظنّ آخر علی خلافه،فافهم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5767897_3224264995"/>
      <w:bookmarkStart w:id="1406" w:name="_Toc557"/>
      <w:bookmarkEnd w:id="1405"/>
      <w:r>
        <w:rPr>
          <w:rtl w:val="true"/>
        </w:rPr>
        <w:t>عدم التعارض فی القطعیّین و لا فی الظنّیین الفعلیّین</w:t>
      </w:r>
      <w:r>
        <w:rPr>
          <w:rtl w:val="true"/>
        </w:rPr>
        <w:t>:</w:t>
      </w:r>
      <w:bookmarkEnd w:id="14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 من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فی الأدلّة </w:t>
      </w:r>
    </w:p>
    <w:p>
      <w:pPr>
        <w:pStyle w:val="BookText"/>
        <w:rPr/>
      </w:pPr>
      <w:r>
        <w:rPr>
          <w:rFonts w:ascii="IRNazanin" w:hAnsi="IRNazanin" w:eastAsia="IRNazanin"/>
          <w:color w:val="111111"/>
          <w:sz w:val="28"/>
          <w:sz w:val="28"/>
          <w:szCs w:val="28"/>
          <w:rtl w:val="true"/>
          <w:lang w:bidi="fa-IR"/>
        </w:rPr>
        <w:t>القطعیّة؛لأنّ حجّیّتها إنّما هی من حیث صفة القطع،و القطع بالمتنافیین أو بأحدهما مع الظنّ بالآخر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التعارض بین دلیلین یکون حجّیّتهما باعتبار صفة الظنّ الفعلیّ؛لأنّ اجتماع الظنّین بالمتنافیین محال،فإذا تعارض سببان للظنّ الفعلیّ،فإن بقی الظنّ فی أحدهما فهو المعتبر،و إلاّ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لا یکون إلاّ فی الظنّین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به الدلیلین المعتبرین من حیث إفادة نوعهما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أطلقوا القول فی ذلک؛لأنّ أغلب الأمارات بل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جلّ العلماء،بل ما عدا جمع ممّن قارب عصرنا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من هذه الحیثیّة،لا لإفادة الظنّ الفعلیّ بحیث یناط الاعتبار به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فی القطعیّات غیر موجود؛إذ لیس هنا ما یکون اعتباره من باب إفادة نوعه القطع؛لأنّ هذا یحتاج إلی جعل الشارع، فیدخل حینئذ فی الأدلّة الغیر القطعیّة؛لأنّ الاعتبار فی الأدلّة القطعیّة من حیث صفة القطع،و هی فی المقام منتفیة،فیدخل فی الأدلّة الغیر القطعیّة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1407" w:name="pg12985_125275"/>
    </w:p>
    <w:p>
      <w:pPr>
        <w:pStyle w:val="BookText"/>
        <w:rPr/>
      </w:pPr>
      <w:bookmarkEnd w:id="1407"/>
      <w:r>
        <w:rPr>
          <w:rFonts w:ascii="IRNazanin" w:hAnsi="IRNazanin" w:eastAsia="IRNazanin"/>
          <w:color w:val="111111"/>
          <w:sz w:val="28"/>
          <w:sz w:val="28"/>
          <w:szCs w:val="28"/>
          <w:rtl w:val="true"/>
          <w:lang w:bidi="fa-IR"/>
        </w:rPr>
        <w:t>إذا عرفت ما ذکرناه،فاعلم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أحکام التعارض یقع فی مقامین؛لأنّ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لأحدهما مرجّح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یکون،بل یکونان متعادلین متکافئین</w:t>
      </w:r>
      <w:r>
        <w:rPr>
          <w:rFonts w:eastAsia="IRNazanin" w:cs="IRNazanin"/>
          <w:color w:val="111111"/>
          <w:sz w:val="28"/>
          <w:szCs w:val="28"/>
          <w:rtl w:val="true"/>
          <w:lang w:bidi="fa-IR"/>
        </w:rPr>
        <w:t>.</w:t>
      </w:r>
    </w:p>
    <w:p>
      <w:pPr>
        <w:pStyle w:val="Heading3"/>
        <w:numPr>
          <w:ilvl w:val="2"/>
          <w:numId w:val="1"/>
        </w:numPr>
        <w:rPr/>
      </w:pPr>
      <w:bookmarkStart w:id="1408" w:name="__RefHeading___Toc5767899_3224264995"/>
      <w:bookmarkStart w:id="1409" w:name="_Toc558"/>
      <w:bookmarkEnd w:id="1408"/>
      <w:r>
        <w:rPr>
          <w:rtl w:val="true"/>
        </w:rPr>
        <w:t>قاعدة</w:t>
      </w:r>
      <w:r>
        <w:rPr>
          <w:rtl w:val="true"/>
        </w:rPr>
        <w:t>«</w:t>
      </w:r>
      <w:r>
        <w:rPr>
          <w:rtl w:val="true"/>
        </w:rPr>
        <w:t>الجمع مهما أمکن أولی من الطرح</w:t>
      </w:r>
      <w:r>
        <w:rPr>
          <w:rtl w:val="true"/>
        </w:rPr>
        <w:t>»:</w:t>
      </w:r>
      <w:bookmarkEnd w:id="1409"/>
    </w:p>
    <w:p>
      <w:pPr>
        <w:pStyle w:val="Heading4"/>
        <w:numPr>
          <w:ilvl w:val="3"/>
          <w:numId w:val="1"/>
        </w:numPr>
        <w:rPr/>
      </w:pPr>
      <w:bookmarkStart w:id="1410" w:name="__RefHeading___Toc5767901_3224264995"/>
      <w:bookmarkStart w:id="1411" w:name="_Toc559"/>
      <w:bookmarkEnd w:id="1410"/>
      <w:r>
        <w:rPr>
          <w:rtl w:val="true"/>
        </w:rPr>
        <w:t>اشارة</w:t>
      </w:r>
      <w:bookmarkEnd w:id="1411"/>
    </w:p>
    <w:p>
      <w:pPr>
        <w:pStyle w:val="BookText"/>
        <w:rPr/>
      </w:pPr>
      <w:r>
        <w:rPr>
          <w:rFonts w:ascii="IRNazanin" w:hAnsi="IRNazanin" w:eastAsia="IRNazanin"/>
          <w:color w:val="111111"/>
          <w:sz w:val="28"/>
          <w:sz w:val="28"/>
          <w:szCs w:val="28"/>
          <w:rtl w:val="true"/>
          <w:lang w:bidi="fa-IR"/>
        </w:rPr>
        <w:t>و قبل الشروع فی بیان حکمهما لا بدّ من الکلام فی القضیّة المشهورة،و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بین الدلیلین مهما أمکن أولی من الطرح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المصرّح به فی کلام بعضهم </w:t>
      </w:r>
      <w:r>
        <w:rPr>
          <w:rStyle w:val="FootnoteAnchor"/>
          <w:rtl w:val="true"/>
        </w:rPr>
        <w:footnoteReference w:id="1367"/>
      </w:r>
      <w:r>
        <w:rPr>
          <w:rFonts w:ascii="IRNazanin" w:hAnsi="IRNazanin" w:eastAsia="IRNazanin"/>
          <w:color w:val="111111"/>
          <w:sz w:val="28"/>
          <w:sz w:val="28"/>
          <w:szCs w:val="28"/>
          <w:rtl w:val="true"/>
          <w:lang w:bidi="fa-IR"/>
        </w:rPr>
        <w:t xml:space="preserve">،و فی معقد إجماع بعض آخر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طرح أحدهما لمرجّح فی الآخر، فیکون الجمع مع التعادل أولی من التخییر،و مع وجود المرجّح أولی من الترجیح</w:t>
      </w:r>
      <w:r>
        <w:rPr>
          <w:rFonts w:eastAsia="IRNazanin" w:cs="IRNazanin"/>
          <w:color w:val="111111"/>
          <w:sz w:val="28"/>
          <w:szCs w:val="28"/>
          <w:rtl w:val="true"/>
          <w:lang w:bidi="fa-IR"/>
        </w:rPr>
        <w:t>.</w:t>
      </w:r>
    </w:p>
    <w:p>
      <w:pPr>
        <w:pStyle w:val="Heading4"/>
        <w:numPr>
          <w:ilvl w:val="3"/>
          <w:numId w:val="1"/>
        </w:numPr>
        <w:rPr/>
      </w:pPr>
      <w:bookmarkStart w:id="1412" w:name="__RefHeading___Toc5767903_3224264995"/>
      <w:bookmarkStart w:id="1413" w:name="_Toc560"/>
      <w:bookmarkEnd w:id="1412"/>
      <w:r>
        <w:rPr>
          <w:rtl w:val="true"/>
        </w:rPr>
        <w:t>کلام ابن أبی جمهور الأحسائیّ فی عوالی اللآلی</w:t>
      </w:r>
      <w:r>
        <w:rPr>
          <w:rtl w:val="true"/>
        </w:rPr>
        <w:t>:</w:t>
      </w:r>
      <w:bookmarkEnd w:id="1413"/>
    </w:p>
    <w:p>
      <w:pPr>
        <w:pStyle w:val="BookText"/>
        <w:rPr/>
      </w:pPr>
      <w:r>
        <w:rPr>
          <w:rFonts w:ascii="IRNazanin" w:hAnsi="IRNazanin" w:eastAsia="IRNazanin"/>
          <w:color w:val="111111"/>
          <w:sz w:val="28"/>
          <w:sz w:val="28"/>
          <w:szCs w:val="28"/>
          <w:rtl w:val="true"/>
          <w:lang w:bidi="fa-IR"/>
        </w:rPr>
        <w:t>قال الشیخ ابن أبی جمهور الأحسائیّ 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حدیثین ظاهرهما التعارض یجب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البحث عن معناهما و کیفیّة دلالة ألفاظهما،فإن أمکنک التوفیق بینهما بالحمل علی جهات التأویل و الدلالات،فاحرص علیه و اجتهد فی تحصیله؛فإنّ العمل بالدلیلین مهما أمکن خیر من ترک أحدهما و تعطیله بإجماع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تتمکّن من ذلک و لم یظهر </w:t>
      </w:r>
      <w:r>
        <w:rPr>
          <w:rStyle w:val="FootnoteAnchor"/>
          <w:rtl w:val="true"/>
        </w:rPr>
        <w:footnoteReference w:id="1369"/>
      </w:r>
      <w:r>
        <w:rPr>
          <w:rFonts w:ascii="IRNazanin" w:hAnsi="IRNazanin" w:eastAsia="IRNazanin"/>
          <w:color w:val="111111"/>
          <w:sz w:val="28"/>
          <w:sz w:val="28"/>
          <w:szCs w:val="28"/>
          <w:rtl w:val="true"/>
          <w:lang w:bidi="fa-IR"/>
        </w:rPr>
        <w:t xml:space="preserve">لک وجهه،فارجع إلی </w:t>
      </w:r>
      <w:bookmarkStart w:id="1414" w:name="pg12985_125276"/>
    </w:p>
    <w:p>
      <w:pPr>
        <w:pStyle w:val="BookText"/>
        <w:rPr/>
      </w:pPr>
      <w:bookmarkEnd w:id="1414"/>
      <w:r>
        <w:rPr>
          <w:rFonts w:ascii="IRNazanin" w:hAnsi="IRNazanin" w:eastAsia="IRNazanin"/>
          <w:color w:val="111111"/>
          <w:sz w:val="28"/>
          <w:sz w:val="28"/>
          <w:szCs w:val="28"/>
          <w:rtl w:val="true"/>
          <w:lang w:bidi="fa-IR"/>
        </w:rPr>
        <w:t>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بهذا إلی مقبولة عمر بن حنظلة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415" w:name="__RefHeading___Toc5767905_3224264995"/>
      <w:bookmarkStart w:id="1416" w:name="_Toc561"/>
      <w:bookmarkEnd w:id="1415"/>
      <w:r>
        <w:rPr>
          <w:rtl w:val="true"/>
        </w:rPr>
        <w:t>ما استدلّ به علی هذه القاعدة</w:t>
      </w:r>
      <w:r>
        <w:rPr>
          <w:rtl w:val="true"/>
        </w:rPr>
        <w:t>:</w:t>
      </w:r>
      <w:bookmarkEnd w:id="1416"/>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فی الدلیلین الإعمال،فیجب الجمع بینهما بما أمکن؛لاستحالة الترجیح من غیر مرجّح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دلالة اللفظ علی تمام معناه أصلیّة و علی جزئه تبعیّة،و علی تقدیر الجمع یلزم إهمال دلالة تبعیّة،و هو أولی ممّا یلزم علی تقدیر عدمه،و هو إهمال دلالة أصلیّة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5767907_3224264995"/>
      <w:bookmarkStart w:id="1418" w:name="_Toc562"/>
      <w:bookmarkEnd w:id="1417"/>
      <w:r>
        <w:rPr>
          <w:rtl w:val="true"/>
        </w:rPr>
        <w:t>عدم إمکان العمل بهذه القاعدة</w:t>
      </w:r>
      <w:r>
        <w:rPr>
          <w:rtl w:val="true"/>
        </w:rPr>
        <w:t>:</w:t>
      </w:r>
      <w:bookmarkEnd w:id="1418"/>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بهذه القضیّة علی ظاهرها یوجب سدّ باب الترجیح،و الهرج فی الفقه،کما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دلیل علیه،بل الدلیل علی خلافه،من الإجماع و النصّ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5767909_3224264995"/>
      <w:bookmarkStart w:id="1420" w:name="_Toc563"/>
      <w:bookmarkEnd w:id="1419"/>
      <w:r>
        <w:rPr>
          <w:rtl w:val="true"/>
        </w:rPr>
        <w:t>عدم الدلیل علی هذه القاعدة</w:t>
      </w:r>
      <w:bookmarkEnd w:id="1420"/>
    </w:p>
    <w:p>
      <w:pPr>
        <w:pStyle w:val="BookText"/>
        <w:rPr/>
      </w:pPr>
      <w:r>
        <w:rPr>
          <w:rFonts w:ascii="IRNazanin" w:hAnsi="IRNazanin" w:eastAsia="IRNazanin"/>
          <w:color w:val="111111"/>
          <w:sz w:val="28"/>
          <w:sz w:val="28"/>
          <w:szCs w:val="28"/>
          <w:rtl w:val="true"/>
          <w:lang w:bidi="fa-IR"/>
        </w:rPr>
        <w:t>أمّا عدم الدلیل علیه؛فلأنّ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الدلیلین الإعمال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مسلّم،لکنّ المفروض عدم إمکانه فی المقام؛فإنّ العمل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ممکن،و إلاّ لم یکونا متعارضین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إخراجهما عن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بحمل الأوّل علی عذرة غیر مأکول اللحم، </w:t>
      </w:r>
    </w:p>
    <w:p>
      <w:pPr>
        <w:pStyle w:val="BookText"/>
        <w:rPr/>
      </w:pPr>
      <w:r>
        <w:rPr>
          <w:rFonts w:ascii="IRNazanin" w:hAnsi="IRNazanin" w:eastAsia="IRNazanin"/>
          <w:color w:val="111111"/>
          <w:sz w:val="28"/>
          <w:sz w:val="28"/>
          <w:szCs w:val="28"/>
          <w:rtl w:val="true"/>
          <w:lang w:bidi="fa-IR"/>
        </w:rPr>
        <w:t xml:space="preserve">و الثانی علی عذرة مأکول اللحم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عملا بهما </w:t>
      </w:r>
      <w:r>
        <w:rPr>
          <w:rStyle w:val="FootnoteAnchor"/>
          <w:rtl w:val="true"/>
        </w:rPr>
        <w:footnoteReference w:id="1378"/>
      </w:r>
      <w:r>
        <w:rPr>
          <w:rFonts w:ascii="IRNazanin" w:hAnsi="IRNazanin" w:eastAsia="IRNazanin"/>
          <w:color w:val="111111"/>
          <w:sz w:val="28"/>
          <w:sz w:val="28"/>
          <w:szCs w:val="28"/>
          <w:rtl w:val="true"/>
          <w:lang w:bidi="fa-IR"/>
        </w:rPr>
        <w:t>إذ کما یجب مراعاة السند فی الروایة و التعبّد بصدورها إذا اجتمعت شرائط الحجّیّة، کذلک یجب التعبّد بإرادة المتکلّم ظاهر الکلام المفروض وجوب التعبّد بصدوره إذا لم یکن هناک قرینة صارفة،و لا ریب أنّ التعبّد بصدور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 إذا کان هناک مرجّح،و المخیّر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تقدیر الجمع و عدمه،فالتعبّد بظاهره واجب،کما أنّ التعبّد بصدور الآخر أیضا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عدم التعبّد بصدور ما عدا الواحد المتّفق علی التعبّد به،و بین عدم التعبّد بظاهر الواحد المتّفق علی التعبّد به، و لا أولویّة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یتخیّل العکس؛من حیث إنّ فی الجمع ترک التعبّد بظاهرین،و فی طرح أحدهما ترک التعبّد بسند واحد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فاسد؛من حیث إنّ ترک التعبّد بظاهر ما لم یثبت التعبّد بصدوره </w:t>
      </w:r>
      <w:r>
        <w:rPr>
          <w:rStyle w:val="FootnoteAnchor"/>
          <w:rtl w:val="true"/>
        </w:rPr>
        <w:footnoteReference w:id="1379"/>
      </w:r>
      <w:r>
        <w:rPr>
          <w:rFonts w:ascii="IRNazanin" w:hAnsi="IRNazanin" w:eastAsia="IRNazanin"/>
          <w:color w:val="111111"/>
          <w:sz w:val="28"/>
          <w:sz w:val="28"/>
          <w:szCs w:val="28"/>
          <w:rtl w:val="true"/>
          <w:lang w:bidi="fa-IR"/>
        </w:rPr>
        <w:t>و لم یحرز کونه صادرا عن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الواحد المتیقّن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مخالفا للأصل،بل التعبّد غیر معقول؛إذ لا ظاهر حتّی یتعبّد به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ذکرنا یظهر فساد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عملنا بدلیل حجّیّة الأمارة فیهما و قلنا بأنّ الخبرین معتبران سندا،فیصیران کمقطوعی الصدور، و لا إشکال و لا خلاف فی أنّه إذا وقع التعارض بین ظاهری مقطوعی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کآیتین أو متواترین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تأویلهما و العمل بخلاف ظاهرهما، فیکون القطع بصدورهما عن المعصوم علیه السّلام قرینة صارفة لتأویل کلّ من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الفرق و فساد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التعبّد بالظواهر لا یزاحم القطع بالصدور،بل القطع بالصدور قرینة علی إرادة خلاف الظاهر، و فیما نحن فیه یکون وجوب التعبّد بالظاهر مزاحما لوجوب التعبّد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بمقتضی أدلّة اعتبار السند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بصدورهما و إرادة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ممکن،و الممکن من هذه الامور الأربعة اثنان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الأخذ بالسندین،و إمّا الأخذ بظاهر و سند من أحدهما،فالسند الواحد منهما متیقّن </w:t>
      </w:r>
      <w:r>
        <w:rPr>
          <w:rStyle w:val="FootnoteAnchor"/>
          <w:rtl w:val="true"/>
        </w:rPr>
        <w:footnoteReference w:id="1381"/>
      </w:r>
      <w:r>
        <w:rPr>
          <w:rFonts w:ascii="IRNazanin" w:hAnsi="IRNazanin" w:eastAsia="IRNazanin"/>
          <w:color w:val="111111"/>
          <w:sz w:val="28"/>
          <w:sz w:val="28"/>
          <w:szCs w:val="28"/>
          <w:rtl w:val="true"/>
          <w:lang w:bidi="fa-IR"/>
        </w:rPr>
        <w:t>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 أحد الظاهرین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الآخر الغیر المتیقّن الأخذ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مخالفا للأصل؛لأنّ المخالف للأصل ارتکاب التأویل فی الکلام بعد الفراغ عن التعبّد بصدوره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فیدور الأمر بین مخالفة أحد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مخالفة دلیل التعبّد بالصدور فی غیر المتیقّن التعبّد،و إمّا مخالفة الظاهر فی متیقّن التعبّد،و أحدهما لیس حاکما علی الآخر؛لأنّ الشکّ فیهما مسبّب عن ثالث،فیتعارضان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قیاس ذلک بالنصّ الظنّیّ السند مع الظاهر، حیث یجب </w:t>
      </w:r>
      <w:r>
        <w:rPr>
          <w:rStyle w:val="FootnoteAnchor"/>
          <w:rtl w:val="true"/>
        </w:rPr>
        <w:footnoteReference w:id="1382"/>
      </w:r>
      <w:r>
        <w:rPr>
          <w:rFonts w:ascii="IRNazanin" w:hAnsi="IRNazanin" w:eastAsia="IRNazanin"/>
          <w:color w:val="111111"/>
          <w:sz w:val="28"/>
          <w:sz w:val="28"/>
          <w:szCs w:val="28"/>
          <w:rtl w:val="true"/>
          <w:lang w:bidi="fa-IR"/>
        </w:rPr>
        <w:t>الجمع بینهما بطرح ظهور الظاهر،لا سند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سند الظاهر لا یزاحم دلالته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بدیهة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سند النصّ و لا دلالته </w:t>
      </w:r>
      <w:r>
        <w:rPr>
          <w:rStyle w:val="FootnoteAnchor"/>
          <w:rtl w:val="true"/>
        </w:rPr>
        <w:footnoteReference w:id="1385"/>
      </w:r>
      <w:r>
        <w:rPr>
          <w:rFonts w:ascii="IRNazanin" w:hAnsi="IRNazanin" w:eastAsia="IRNazanin"/>
          <w:color w:val="111111"/>
          <w:sz w:val="28"/>
          <w:sz w:val="28"/>
          <w:szCs w:val="28"/>
          <w:rtl w:val="true"/>
          <w:lang w:bidi="fa-IR"/>
        </w:rPr>
        <w:t xml:space="preserve">،و أمّا سند النصّ و دلالته،فإنّما یزاحمان ظاهره لا سنده،و هما حاکمان </w:t>
      </w:r>
      <w:r>
        <w:rPr>
          <w:rStyle w:val="FootnoteAnchor"/>
          <w:rtl w:val="true"/>
        </w:rPr>
        <w:footnoteReference w:id="1386"/>
      </w:r>
      <w:r>
        <w:rPr>
          <w:rFonts w:ascii="IRNazanin" w:hAnsi="IRNazanin" w:eastAsia="IRNazanin"/>
          <w:color w:val="111111"/>
          <w:sz w:val="28"/>
          <w:sz w:val="28"/>
          <w:szCs w:val="28"/>
          <w:rtl w:val="true"/>
          <w:lang w:bidi="fa-IR"/>
        </w:rPr>
        <w:t>علی ظهوره؛لأنّ من آثار التعبّد به رفع الید عن ذلک الظهور؛لأنّ الشکّ فیه مسبّب عن الشکّ فی التعبّد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قیاس ذلک بما إذا کان خبر بلا معارض، لکن ظاهره مخالف للإجماع،فإنّه یحکم بمقتضی اعتبار سنده بإرادة خلاف الظاهر من مدلوله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دوران هناک بین طرح السند و العمل بالظاهر و بین العکس؛إذ لو طرحنا سند ذلک الخبر لم یبق مورد للعمل بظاهره، بخلاف ما نحن فیه؛فإنّا إذا طرحنا سند أحد الخبرین أمکننا العمل بظاهر الآخر،و لا مرجّح لعکس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هو الطرح؛لأنّ المرجع و المحکّم فی الإمکان الذی قیّد به وجوب العمل بالخبرین هو العرف،و لا شکّ فی حکم العرف و أهل اللسان بعدم إمکان العمل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علمهم </w:t>
      </w:r>
      <w:bookmarkStart w:id="1421" w:name="pg12985_125280"/>
    </w:p>
    <w:p>
      <w:pPr>
        <w:pStyle w:val="BookText"/>
        <w:rPr/>
      </w:pPr>
      <w:bookmarkEnd w:id="1421"/>
      <w:r>
        <w:rPr>
          <w:rFonts w:ascii="IRNazanin" w:hAnsi="IRNazanin" w:eastAsia="IRNazanin"/>
          <w:color w:val="111111"/>
          <w:sz w:val="28"/>
          <w:sz w:val="28"/>
          <w:szCs w:val="28"/>
          <w:rtl w:val="true"/>
          <w:lang w:bidi="fa-IR"/>
        </w:rPr>
        <w:t xml:space="preserve">بصدور کلیهما حملوا أمر الآمر </w:t>
      </w:r>
      <w:r>
        <w:rPr>
          <w:rStyle w:val="FootnoteAnchor"/>
          <w:rtl w:val="true"/>
        </w:rPr>
        <w:footnoteReference w:id="1387"/>
      </w:r>
      <w:r>
        <w:rPr>
          <w:rFonts w:ascii="IRNazanin" w:hAnsi="IRNazanin" w:eastAsia="IRNazanin"/>
          <w:color w:val="111111"/>
          <w:sz w:val="28"/>
          <w:sz w:val="28"/>
          <w:szCs w:val="28"/>
          <w:rtl w:val="true"/>
          <w:lang w:bidi="fa-IR"/>
        </w:rPr>
        <w:t>بالعمل بهما علی إرادة ما یعمّ العمل بخلاف ما یقتضیانه بحسب اللغة و العرف</w:t>
      </w:r>
      <w:r>
        <w:rPr>
          <w:rFonts w:eastAsia="IRNazanin" w:cs="IRNazanin"/>
          <w:color w:val="111111"/>
          <w:sz w:val="28"/>
          <w:szCs w:val="28"/>
          <w:rtl w:val="true"/>
          <w:lang w:bidi="fa-IR"/>
        </w:rPr>
        <w:t>.</w:t>
      </w:r>
    </w:p>
    <w:p>
      <w:pPr>
        <w:pStyle w:val="Heading4"/>
        <w:numPr>
          <w:ilvl w:val="3"/>
          <w:numId w:val="1"/>
        </w:numPr>
        <w:rPr/>
      </w:pPr>
      <w:bookmarkStart w:id="1422" w:name="__RefHeading___Toc5767911_3224264995"/>
      <w:bookmarkStart w:id="1423" w:name="_Toc564"/>
      <w:bookmarkEnd w:id="1422"/>
      <w:r>
        <w:rPr>
          <w:rtl w:val="true"/>
        </w:rPr>
        <w:t>دلیل آخر علی عدم کلیّة هذه القاعدة</w:t>
      </w:r>
      <w:r>
        <w:rPr>
          <w:rtl w:val="true"/>
        </w:rPr>
        <w:t>:</w:t>
      </w:r>
      <w:bookmarkEnd w:id="1423"/>
    </w:p>
    <w:p>
      <w:pPr>
        <w:pStyle w:val="BookText"/>
        <w:rPr/>
      </w:pPr>
      <w:r>
        <w:rPr>
          <w:rFonts w:ascii="IRNazanin" w:hAnsi="IRNazanin" w:eastAsia="IRNazanin"/>
          <w:color w:val="111111"/>
          <w:sz w:val="28"/>
          <w:sz w:val="28"/>
          <w:szCs w:val="28"/>
          <w:rtl w:val="true"/>
          <w:lang w:bidi="fa-IR"/>
        </w:rPr>
        <w:t>و لأجل ما ذکرنا وقع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الرواة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حکم الخبرین المتعارضین،مع ما هو مرکوز فی ذهن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دلیل شرعیّ یجب العمل به مهما أمکن؛فلو لم یفهموا عدم الإمکان فی المتعارضین لم یبق وجه للتحیّر الموجب للسؤال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لم یقع </w:t>
      </w:r>
      <w:r>
        <w:rPr>
          <w:rStyle w:val="FootnoteAnchor"/>
          <w:rtl w:val="true"/>
        </w:rPr>
        <w:footnoteReference w:id="1389"/>
      </w:r>
      <w:r>
        <w:rPr>
          <w:rFonts w:ascii="IRNazanin" w:hAnsi="IRNazanin" w:eastAsia="IRNazanin"/>
          <w:color w:val="111111"/>
          <w:sz w:val="28"/>
          <w:sz w:val="28"/>
          <w:szCs w:val="28"/>
          <w:rtl w:val="true"/>
          <w:lang w:bidi="fa-IR"/>
        </w:rPr>
        <w:t>الجواب فی شیء من تلک الأخبار العلاجیّة بوجوب الجمع بتأویلهما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مورد السؤال علی صورة تعذّر تأویلهما و لو بعیدا تقیید بفرد غیر واقع فی الأخبار المتعارضة</w:t>
      </w:r>
      <w:r>
        <w:rPr>
          <w:rFonts w:eastAsia="IRNazanin" w:cs="IRNazanin"/>
          <w:color w:val="111111"/>
          <w:sz w:val="28"/>
          <w:szCs w:val="28"/>
          <w:rtl w:val="true"/>
          <w:lang w:bidi="fa-IR"/>
        </w:rPr>
        <w:t>.</w:t>
      </w:r>
    </w:p>
    <w:p>
      <w:pPr>
        <w:pStyle w:val="Heading4"/>
        <w:numPr>
          <w:ilvl w:val="3"/>
          <w:numId w:val="1"/>
        </w:numPr>
        <w:rPr/>
      </w:pPr>
      <w:bookmarkStart w:id="1424" w:name="__RefHeading___Toc5767913_3224264995"/>
      <w:bookmarkStart w:id="1425" w:name="_Toc565"/>
      <w:bookmarkEnd w:id="1424"/>
      <w:r>
        <w:rPr>
          <w:rtl w:val="true"/>
        </w:rPr>
        <w:t>مخالفة هذه القاعدة للإجماع</w:t>
      </w:r>
      <w:r>
        <w:rPr>
          <w:rtl w:val="true"/>
        </w:rPr>
        <w:t>:</w:t>
      </w:r>
      <w:bookmarkEnd w:id="1425"/>
    </w:p>
    <w:p>
      <w:pPr>
        <w:pStyle w:val="BookText"/>
        <w:rPr/>
      </w:pPr>
      <w:r>
        <w:rPr>
          <w:rFonts w:ascii="IRNazanin" w:hAnsi="IRNazanin" w:eastAsia="IRNazanin"/>
          <w:color w:val="111111"/>
          <w:sz w:val="28"/>
          <w:sz w:val="28"/>
          <w:szCs w:val="28"/>
          <w:rtl w:val="true"/>
          <w:lang w:bidi="fa-IR"/>
        </w:rPr>
        <w:t>و هذا دلیل آخر علی عدم کلّیّة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مخالفتها للإجماع؛فإنّ علماء الإسلام من زمن الصحابة إلی یومنا هذا لم یزالوا یستعملون المرجّحات فی الأخبار المتعارضة بظواهرها،ثمّ اختیار أحدهما و طرح الآخر من دون تأویلهما معا لأجل الجمع</w:t>
      </w:r>
      <w:r>
        <w:rPr>
          <w:rFonts w:eastAsia="IRNazanin" w:cs="IRNazanin"/>
          <w:color w:val="111111"/>
          <w:sz w:val="28"/>
          <w:szCs w:val="28"/>
          <w:rtl w:val="true"/>
          <w:lang w:bidi="fa-IR"/>
        </w:rPr>
        <w:t>.</w:t>
      </w:r>
    </w:p>
    <w:p>
      <w:pPr>
        <w:pStyle w:val="Heading4"/>
        <w:numPr>
          <w:ilvl w:val="3"/>
          <w:numId w:val="1"/>
        </w:numPr>
        <w:rPr/>
      </w:pPr>
      <w:bookmarkStart w:id="1426" w:name="__RefHeading___Toc5767915_3224264995"/>
      <w:bookmarkStart w:id="1427" w:name="_Toc566"/>
      <w:bookmarkEnd w:id="1426"/>
      <w:r>
        <w:rPr>
          <w:rtl w:val="true"/>
        </w:rPr>
        <w:t>رجوع الی کلام عوالی اللالی</w:t>
      </w:r>
      <w:bookmarkEnd w:id="14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تقدّم من عوالی اللآلی </w:t>
      </w:r>
      <w:r>
        <w:rPr>
          <w:rStyle w:val="FootnoteAnchor"/>
          <w:rtl w:val="true"/>
        </w:rPr>
        <w:footnoteReference w:id="1390"/>
      </w:r>
      <w:r>
        <w:rPr>
          <w:rFonts w:ascii="IRNazanin" w:hAnsi="IRNazanin" w:eastAsia="IRNazanin"/>
          <w:color w:val="111111"/>
          <w:sz w:val="28"/>
          <w:sz w:val="28"/>
          <w:szCs w:val="28"/>
          <w:rtl w:val="true"/>
          <w:lang w:bidi="fa-IR"/>
        </w:rPr>
        <w:t>،فلیس نصّا،بل و لا ظاهرا فی دعوی تقدیم الجمع بهذا النحو علی الترجیح و التخییر؛فإنّ الظاهر من الإمکان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أمکنک التوفیق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الإمکان العرفیّ،فی </w:t>
      </w:r>
      <w:bookmarkStart w:id="1428" w:name="pg12985_125281"/>
    </w:p>
    <w:p>
      <w:pPr>
        <w:pStyle w:val="BookText"/>
        <w:rPr/>
      </w:pPr>
      <w:bookmarkEnd w:id="1428"/>
      <w:r>
        <w:rPr>
          <w:rFonts w:ascii="IRNazanin" w:hAnsi="IRNazanin" w:eastAsia="IRNazanin"/>
          <w:color w:val="111111"/>
          <w:sz w:val="28"/>
          <w:sz w:val="28"/>
          <w:szCs w:val="28"/>
          <w:rtl w:val="true"/>
          <w:lang w:bidi="fa-IR"/>
        </w:rPr>
        <w:t>مقابل الامتناع العرفیّ بحکم أهل اللسان،فإنّ حمل اللفظ علی خلاف ظاهره بلا قرینة غیر ممکن عند أهل اللسان،بخلاف حمل العامّ و المطلق علی الخاصّ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تتمکّن من ذلک و لم یظهر لک وجهه فارجع إلی 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مورد عدم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بعیدا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 بصاحب العوالی و لا بمن هو دونه أن یقتصر فی الترجیح علی موارد لا یمکن تأویل کلیهما،فضلا عن دعواه الإجماع علی ذلک</w:t>
      </w:r>
      <w:r>
        <w:rPr>
          <w:rFonts w:eastAsia="IRNazanin" w:cs="IRNazanin"/>
          <w:color w:val="111111"/>
          <w:sz w:val="28"/>
          <w:szCs w:val="28"/>
          <w:rtl w:val="true"/>
          <w:lang w:bidi="fa-IR"/>
        </w:rPr>
        <w:t>.</w:t>
      </w:r>
    </w:p>
    <w:p>
      <w:pPr>
        <w:pStyle w:val="Heading4"/>
        <w:numPr>
          <w:ilvl w:val="3"/>
          <w:numId w:val="1"/>
        </w:numPr>
        <w:rPr/>
      </w:pPr>
      <w:bookmarkStart w:id="1429" w:name="__RefHeading___Toc5767917_3224264995"/>
      <w:bookmarkStart w:id="1430" w:name="_Toc567"/>
      <w:bookmarkEnd w:id="1429"/>
      <w:r>
        <w:rPr>
          <w:rtl w:val="true"/>
        </w:rPr>
        <w:t>أقسام الجمع</w:t>
      </w:r>
      <w:r>
        <w:rPr>
          <w:rtl w:val="true"/>
        </w:rPr>
        <w:t>:</w:t>
      </w:r>
      <w:bookmarkEnd w:id="1430"/>
    </w:p>
    <w:p>
      <w:pPr>
        <w:pStyle w:val="Heading5"/>
        <w:numPr>
          <w:ilvl w:val="4"/>
          <w:numId w:val="1"/>
        </w:numPr>
        <w:rPr/>
      </w:pPr>
      <w:bookmarkStart w:id="1431" w:name="__RefHeading___Toc5767919_3224264995"/>
      <w:bookmarkStart w:id="1432" w:name="_Toc568"/>
      <w:bookmarkEnd w:id="1431"/>
      <w:r>
        <w:rPr>
          <w:rtl w:val="true"/>
        </w:rPr>
        <w:t>اشارة</w:t>
      </w:r>
      <w:bookmarkEnd w:id="1432"/>
    </w:p>
    <w:p>
      <w:pPr>
        <w:pStyle w:val="BookText"/>
        <w:rPr/>
      </w:pPr>
      <w:r>
        <w:rPr>
          <w:rFonts w:ascii="IRNazanin" w:hAnsi="IRNazanin" w:eastAsia="IRNazanin"/>
          <w:color w:val="111111"/>
          <w:sz w:val="28"/>
          <w:sz w:val="28"/>
          <w:szCs w:val="28"/>
          <w:rtl w:val="true"/>
          <w:lang w:bidi="fa-IR"/>
        </w:rPr>
        <w:t>و التحقیق الذی علیه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الخبرین المتنافیین بظاهرهما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متوقّفا علی تأویلهما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 تأویل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 تأویل أحدهما لا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الأوّل،فهو الذی تقدّم </w:t>
      </w:r>
      <w:r>
        <w:rPr>
          <w:rStyle w:val="FootnoteAnchor"/>
          <w:rtl w:val="true"/>
        </w:rPr>
        <w:footnoteReference w:id="1392"/>
      </w:r>
      <w:r>
        <w:rPr>
          <w:rFonts w:ascii="IRNazanin" w:hAnsi="IRNazanin" w:eastAsia="IRNazanin"/>
          <w:color w:val="111111"/>
          <w:sz w:val="28"/>
          <w:sz w:val="28"/>
          <w:szCs w:val="28"/>
          <w:rtl w:val="true"/>
          <w:lang w:bidi="fa-IR"/>
        </w:rPr>
        <w:t>أنّه مخالف للدلیل و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الثانی،فهو تعارض النصّ و الظاهر،الذی تقدّم </w:t>
      </w:r>
      <w:r>
        <w:rPr>
          <w:rStyle w:val="FootnoteAnchor"/>
          <w:rtl w:val="true"/>
        </w:rPr>
        <w:footnoteReference w:id="1393"/>
      </w:r>
      <w:r>
        <w:rPr>
          <w:rFonts w:ascii="IRNazanin" w:hAnsi="IRNazanin" w:eastAsia="IRNazanin"/>
          <w:color w:val="111111"/>
          <w:sz w:val="28"/>
          <w:sz w:val="28"/>
          <w:szCs w:val="28"/>
          <w:rtl w:val="true"/>
          <w:lang w:bidi="fa-IR"/>
        </w:rPr>
        <w:t>أنّه لیس بتعارض فی الحقیقة</w:t>
      </w:r>
      <w:r>
        <w:rPr>
          <w:rFonts w:eastAsia="IRNazanin" w:cs="IRNazanin"/>
          <w:color w:val="111111"/>
          <w:sz w:val="28"/>
          <w:szCs w:val="28"/>
          <w:rtl w:val="true"/>
          <w:lang w:bidi="fa-IR"/>
        </w:rPr>
        <w:t>.</w:t>
      </w:r>
    </w:p>
    <w:p>
      <w:pPr>
        <w:pStyle w:val="Heading5"/>
        <w:numPr>
          <w:ilvl w:val="4"/>
          <w:numId w:val="1"/>
        </w:numPr>
        <w:rPr/>
      </w:pPr>
      <w:bookmarkStart w:id="1433" w:name="__RefHeading___Toc5767921_3224264995"/>
      <w:bookmarkStart w:id="1434" w:name="_Toc569"/>
      <w:bookmarkEnd w:id="1433"/>
      <w:r>
        <w:rPr>
          <w:rtl w:val="true"/>
        </w:rPr>
        <w:t>تعارض الظاهرین</w:t>
      </w:r>
      <w:r>
        <w:rPr>
          <w:rtl w:val="true"/>
        </w:rPr>
        <w:t>:</w:t>
      </w:r>
      <w:bookmarkEnd w:id="1434"/>
    </w:p>
    <w:p>
      <w:pPr>
        <w:pStyle w:val="Heading6"/>
        <w:numPr>
          <w:ilvl w:val="5"/>
          <w:numId w:val="1"/>
        </w:numPr>
        <w:rPr/>
      </w:pPr>
      <w:bookmarkStart w:id="1435" w:name="__RefHeading___Toc5767923_3224264995"/>
      <w:bookmarkStart w:id="1436" w:name="_Toc570"/>
      <w:bookmarkEnd w:id="1435"/>
      <w:r>
        <w:rPr>
          <w:rtl w:val="true"/>
        </w:rPr>
        <w:t>اشارة</w:t>
      </w:r>
      <w:bookmarkEnd w:id="143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الثالث،فمن أمثلته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و الخاصّ من وجه،حیث یحصل </w:t>
      </w:r>
      <w:bookmarkStart w:id="1437" w:name="pg12985_125282"/>
    </w:p>
    <w:p>
      <w:pPr>
        <w:pStyle w:val="BookText"/>
        <w:rPr/>
      </w:pPr>
      <w:bookmarkEnd w:id="1437"/>
      <w:r>
        <w:rPr>
          <w:rFonts w:ascii="IRNazanin" w:hAnsi="IRNazanin" w:eastAsia="IRNazanin"/>
          <w:color w:val="111111"/>
          <w:sz w:val="28"/>
          <w:sz w:val="28"/>
          <w:szCs w:val="28"/>
          <w:rtl w:val="true"/>
          <w:lang w:bidi="fa-IR"/>
        </w:rPr>
        <w:t>الجمع بتخصیص أحدهما مع بقاء الآخر علی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ظاهر الصیغة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ظهور هذه المادّة فی الاستحباب،فإنّ الجمع یحصل برفع الید عن ظاهر أحدهما</w:t>
      </w:r>
      <w:r>
        <w:rPr>
          <w:rFonts w:eastAsia="IRNazanin" w:cs="IRNazanin"/>
          <w:color w:val="111111"/>
          <w:sz w:val="28"/>
          <w:szCs w:val="28"/>
          <w:rtl w:val="true"/>
          <w:lang w:bidi="fa-IR"/>
        </w:rPr>
        <w:t>.</w:t>
      </w:r>
    </w:p>
    <w:p>
      <w:pPr>
        <w:pStyle w:val="Heading6"/>
        <w:numPr>
          <w:ilvl w:val="5"/>
          <w:numId w:val="1"/>
        </w:numPr>
        <w:rPr/>
      </w:pPr>
      <w:bookmarkStart w:id="1438" w:name="__RefHeading___Toc5767925_3224264995"/>
      <w:bookmarkStart w:id="1439" w:name="_Toc571"/>
      <w:bookmarkEnd w:id="1438"/>
      <w:r>
        <w:rPr>
          <w:rtl w:val="true"/>
        </w:rPr>
        <w:t>لو کان لأحد الظاهرین مزیّة علی الآخر</w:t>
      </w:r>
      <w:r>
        <w:rPr>
          <w:rtl w:val="true"/>
        </w:rPr>
        <w:t>:</w:t>
      </w:r>
      <w:bookmarkEnd w:id="1439"/>
    </w:p>
    <w:p>
      <w:pPr>
        <w:pStyle w:val="BookText"/>
        <w:rPr/>
      </w:pPr>
      <w:r>
        <w:rPr>
          <w:rFonts w:ascii="IRNazanin" w:hAnsi="IRNazanin" w:eastAsia="IRNazanin"/>
          <w:color w:val="111111"/>
          <w:sz w:val="28"/>
          <w:sz w:val="28"/>
          <w:szCs w:val="28"/>
          <w:rtl w:val="true"/>
          <w:lang w:bidi="fa-IR"/>
        </w:rPr>
        <w:t>و حینئذ،فإن کان لأحد الظاهرین مزیّة و قوّة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لو اجتمعا فی کلام واحد،نحو رأیت أسدا یرمی </w:t>
      </w:r>
      <w:r>
        <w:rPr>
          <w:rStyle w:val="FootnoteAnchor"/>
          <w:rtl w:val="true"/>
        </w:rPr>
        <w:footnoteReference w:id="1395"/>
      </w:r>
      <w:r>
        <w:rPr>
          <w:rFonts w:ascii="IRNazanin" w:hAnsi="IRNazanin" w:eastAsia="IRNazanin"/>
          <w:color w:val="111111"/>
          <w:sz w:val="28"/>
          <w:sz w:val="28"/>
          <w:szCs w:val="28"/>
          <w:rtl w:val="true"/>
          <w:lang w:bidi="fa-IR"/>
        </w:rPr>
        <w:t>،أو اتّصلا فی کلامین لمتکلّم واحد،تعیّن العمل بالأظهر و صرف الظاهر إلی ما لا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حکم هذا حکم القسم الثانی،فی أنّه إذا تعبّدنا </w:t>
      </w:r>
      <w:r>
        <w:rPr>
          <w:rStyle w:val="FootnoteAnchor"/>
          <w:rtl w:val="true"/>
        </w:rPr>
        <w:footnoteReference w:id="1396"/>
      </w:r>
      <w:r>
        <w:rPr>
          <w:rFonts w:ascii="IRNazanin" w:hAnsi="IRNazanin" w:eastAsia="IRNazanin"/>
          <w:color w:val="111111"/>
          <w:sz w:val="28"/>
          <w:sz w:val="28"/>
          <w:szCs w:val="28"/>
          <w:rtl w:val="true"/>
          <w:lang w:bidi="fa-IR"/>
        </w:rPr>
        <w:t>بصدور الأظهر یصیر قرینة صارفة للظاهر من دون عکس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نعم،الفرق بینه و بین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التعبّد بصدور النصّ لا یمکن إلاّ بکونه صارفا عن الظاهر،و لا معنی له غیر ذلک؛و لذا ذکرنا دوران الأمر فیه بین طرح دلالة الظاهر و طرح سند النصّ،و فیما نحن فیه یمکن التعبّد بصدور الأظهر و إبقاء الظاهر علی حاله و صرف الأظهر؛لأنّ کلا من الظهورین مستند إلی أصالة الحقیقة،إلاّ أنّ العرف یرجّحون أحد الظهورین علی الآخر،فالتعارض موجود و الترجیح بالعرف بخلاف النصّ و الظاهر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440" w:name="pg12985_125283"/>
    </w:p>
    <w:p>
      <w:pPr>
        <w:pStyle w:val="Heading6"/>
        <w:numPr>
          <w:ilvl w:val="5"/>
          <w:numId w:val="1"/>
        </w:numPr>
        <w:rPr/>
      </w:pPr>
      <w:bookmarkStart w:id="1441" w:name="__RefHeading___Toc5767927_3224264995"/>
      <w:bookmarkStart w:id="1442" w:name="_Toc572"/>
      <w:bookmarkEnd w:id="1440"/>
      <w:bookmarkEnd w:id="1441"/>
      <w:r>
        <w:rPr>
          <w:rtl w:val="true"/>
        </w:rPr>
        <w:t>لو لم یکن لأحد الظاهرین مزیّة علی الآخر</w:t>
      </w:r>
      <w:r>
        <w:rPr>
          <w:rtl w:val="true"/>
        </w:rPr>
        <w:t>:</w:t>
      </w:r>
      <w:bookmarkEnd w:id="1442"/>
    </w:p>
    <w:p>
      <w:pPr>
        <w:pStyle w:val="BookText"/>
        <w:rPr/>
      </w:pPr>
      <w:r>
        <w:rPr>
          <w:rFonts w:ascii="IRNazanin" w:hAnsi="IRNazanin" w:eastAsia="IRNazanin"/>
          <w:color w:val="111111"/>
          <w:sz w:val="28"/>
          <w:sz w:val="28"/>
          <w:szCs w:val="28"/>
          <w:rtl w:val="true"/>
          <w:lang w:bidi="fa-IR"/>
        </w:rPr>
        <w:t xml:space="preserve">و أمّا لو لم یکن لأحد الظاهرین مزیّة علی الآخر،فالظاهر أنّ الدلیل المتقدّم </w:t>
      </w:r>
      <w:r>
        <w:rPr>
          <w:rStyle w:val="FootnoteAnchor"/>
          <w:rtl w:val="true"/>
        </w:rPr>
        <w:footnoteReference w:id="1398"/>
      </w:r>
      <w:r>
        <w:rPr>
          <w:rFonts w:ascii="IRNazanin" w:hAnsi="IRNazanin" w:eastAsia="IRNazanin"/>
          <w:color w:val="111111"/>
          <w:sz w:val="28"/>
          <w:sz w:val="28"/>
          <w:szCs w:val="28"/>
          <w:rtl w:val="true"/>
          <w:lang w:bidi="fa-IR"/>
        </w:rPr>
        <w:t>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ترجیح التعبّد بالصدور علی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جار هنا؛إذ لو جمع بینهما و حکم باعتبار سندهما و بأنّ أحدهما لا بعینه مؤوّل لم یترتّب علی ذلک أزید من الأخذ بظاهر أحدهما </w:t>
      </w:r>
      <w:r>
        <w:rPr>
          <w:rStyle w:val="FootnoteAnchor"/>
          <w:rtl w:val="true"/>
        </w:rPr>
        <w:footnoteReference w:id="1399"/>
      </w:r>
      <w:r>
        <w:rPr>
          <w:rFonts w:ascii="IRNazanin" w:hAnsi="IRNazanin" w:eastAsia="IRNazanin"/>
          <w:color w:val="111111"/>
          <w:sz w:val="28"/>
          <w:sz w:val="28"/>
          <w:szCs w:val="28"/>
          <w:rtl w:val="true"/>
          <w:lang w:bidi="fa-IR"/>
        </w:rPr>
        <w:t xml:space="preserve">،إمّا من باب عروض الإجمال لهما بتساقط أصالتی الحقیقة فی کلّ منهما؛لأجل التعارض،فیعمل بالأصل الموافق لأحدهما،و إمّا من باب التخییر فی الأخذ بواحد من أصالتی الحقیقة،علی أضعف الوجهین فی حکم </w:t>
      </w:r>
      <w:r>
        <w:rPr>
          <w:rStyle w:val="FootnoteAnchor"/>
          <w:rtl w:val="true"/>
        </w:rPr>
        <w:footnoteReference w:id="1400"/>
      </w:r>
      <w:r>
        <w:rPr>
          <w:rFonts w:ascii="IRNazanin" w:hAnsi="IRNazanin" w:eastAsia="IRNazanin"/>
          <w:color w:val="111111"/>
          <w:sz w:val="28"/>
          <w:sz w:val="28"/>
          <w:szCs w:val="28"/>
          <w:rtl w:val="true"/>
          <w:lang w:bidi="fa-IR"/>
        </w:rPr>
        <w:t>تعارض الأحوال إذا تکافأت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یجب طرح أحدهما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نعم،یظهر الثمرة فی إعمال المرجّحات السندیّة فی هذا القسم؛إذ علی العمل بقاعدة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یحکم بصدورهما و إجمالهما، کمقطوعی الصدور،بخلاف ما إذا أدرجناه فی ما لا یمکن الجمع،فإنّه یرجع فیه إلی المرجّحات،و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هو الأقوی،و أنّه </w:t>
      </w:r>
      <w:r>
        <w:rPr>
          <w:rStyle w:val="FootnoteAnchor"/>
          <w:rtl w:val="true"/>
        </w:rPr>
        <w:footnoteReference w:id="1402"/>
      </w:r>
      <w:r>
        <w:rPr>
          <w:rFonts w:ascii="IRNazanin" w:hAnsi="IRNazanin" w:eastAsia="IRNazanin"/>
          <w:color w:val="111111"/>
          <w:sz w:val="28"/>
          <w:sz w:val="28"/>
          <w:szCs w:val="28"/>
          <w:rtl w:val="true"/>
          <w:lang w:bidi="fa-IR"/>
        </w:rPr>
        <w:t xml:space="preserve">لا محصّل للعمل بهما علی أن یکونا مجملین و یرجع إلی الأصل الموافق </w:t>
      </w:r>
      <w:bookmarkStart w:id="1443" w:name="pg12985_125284"/>
    </w:p>
    <w:p>
      <w:pPr>
        <w:pStyle w:val="BookText"/>
        <w:rPr/>
      </w:pPr>
      <w:bookmarkEnd w:id="1443"/>
      <w:r>
        <w:rPr>
          <w:rFonts w:ascii="IRNazanin" w:hAnsi="IRNazanin" w:eastAsia="IRNazanin"/>
          <w:color w:val="111111"/>
          <w:sz w:val="28"/>
          <w:sz w:val="28"/>
          <w:szCs w:val="28"/>
          <w:rtl w:val="true"/>
          <w:lang w:bidi="fa-IR"/>
        </w:rPr>
        <w:t xml:space="preserve">لأحدهما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العرف دخول هذا القسم فی الأخبار العلاجیّة الآمرة بالرجوع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حینئذ بعد فقد المرجّحات التخییر بینهما، کما هو صریح تلک الأخبار،مع أنّ الظاهر من سیرة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ما سیجیء من الشیخ </w:t>
      </w:r>
      <w:r>
        <w:rPr>
          <w:rStyle w:val="FootnoteAnchor"/>
          <w:rtl w:val="true"/>
        </w:rPr>
        <w:footnoteReference w:id="1404"/>
      </w:r>
      <w:r>
        <w:rPr>
          <w:rFonts w:ascii="IRNazanin" w:hAnsi="IRNazanin" w:eastAsia="IRNazanin"/>
          <w:color w:val="111111"/>
          <w:sz w:val="28"/>
          <w:sz w:val="28"/>
          <w:szCs w:val="28"/>
          <w:rtl w:val="true"/>
          <w:lang w:bidi="fa-IR"/>
        </w:rPr>
        <w:t>رحمه اللّه فی العدّة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الاستنباط التوقّف و الرجوع إلی الأصل المطابق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من باب الترجیح بالأصل،فیعملون بمطابق الأصل منهما،لا بالأصل المطابق لأحدهما،و مع مخالفتهما للأصل فاللازم التخییر علی کلّ تقدیر،غایة الأمر أنّ التخییر شرعیّ إن قلنا بدخولهما فی عموم الأخبار،و عقلیّ </w:t>
      </w:r>
      <w:r>
        <w:rPr>
          <w:rStyle w:val="FootnoteAnchor"/>
          <w:rtl w:val="true"/>
        </w:rPr>
        <w:footnoteReference w:id="1405"/>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w:t>
      </w:r>
    </w:p>
    <w:p>
      <w:pPr>
        <w:pStyle w:val="Heading6"/>
        <w:numPr>
          <w:ilvl w:val="5"/>
          <w:numId w:val="1"/>
        </w:numPr>
        <w:rPr/>
      </w:pPr>
      <w:bookmarkStart w:id="1444" w:name="__RefHeading___Toc5767929_3224264995"/>
      <w:bookmarkStart w:id="1445" w:name="_Toc573"/>
      <w:bookmarkEnd w:id="1444"/>
      <w:r>
        <w:rPr>
          <w:rtl w:val="true"/>
        </w:rPr>
        <w:t>تفصیل فی الظاهرین المتعارضین</w:t>
      </w:r>
      <w:r>
        <w:rPr>
          <w:rtl w:val="true"/>
        </w:rPr>
        <w:t>:</w:t>
      </w:r>
      <w:bookmarkEnd w:id="144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یفصّل بین ما إذا کان لکلّ من الظاهرین مورد سلیم عن المعارض،کالعامّین من وجه؛حیث إنّ مادّة الافتراق فی کلّ منهما سلیمة عن المعارض،و بین غیره،کقوله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،فیرجّح الجمع علی الطرح فی الأوّل؛لوجوب العمل بکلّ منهما فی الجملة،فیستبعد الطرح فی مادّة الاجتماع،بخلاف </w:t>
      </w:r>
      <w:bookmarkStart w:id="1446" w:name="pg12985_125285"/>
    </w:p>
    <w:p>
      <w:pPr>
        <w:pStyle w:val="BookText"/>
        <w:rPr/>
      </w:pPr>
      <w:bookmarkEnd w:id="1446"/>
      <w:r>
        <w:rPr>
          <w:rFonts w:ascii="IRNazanin" w:hAnsi="IRNazanin" w:eastAsia="IRNazanin"/>
          <w:color w:val="111111"/>
          <w:sz w:val="28"/>
          <w:sz w:val="28"/>
          <w:szCs w:val="28"/>
          <w:rtl w:val="true"/>
          <w:lang w:bidi="fa-IR"/>
        </w:rPr>
        <w:t xml:space="preserve">الثانی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تتمّة الکلام إن شاء اللّه تعالی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5767931_3224264995"/>
      <w:bookmarkStart w:id="1448" w:name="_Toc574"/>
      <w:bookmarkEnd w:id="1447"/>
      <w:r>
        <w:rPr>
          <w:rtl w:val="true"/>
        </w:rPr>
        <w:t>ما فرّعه الشهید الثانی علی قاعدة</w:t>
      </w:r>
      <w:r>
        <w:rPr>
          <w:rtl w:val="true"/>
        </w:rPr>
        <w:t>«</w:t>
      </w:r>
      <w:r>
        <w:rPr>
          <w:rtl w:val="true"/>
        </w:rPr>
        <w:t>الجمع</w:t>
      </w:r>
      <w:r>
        <w:rPr>
          <w:rtl w:val="true"/>
        </w:rPr>
        <w:t>»:</w:t>
      </w:r>
      <w:bookmarkEnd w:id="1448"/>
    </w:p>
    <w:p>
      <w:pPr>
        <w:pStyle w:val="BookText"/>
        <w:rPr/>
      </w:pP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شیخنا الشهید الثانی رحمه اللّه فرّع فی تمهیده علی قضیّة أولویّة الجمع،الحکم بتنصیف دار تداعیاها و هی فی یدهما، أو لا ید لأحدهما،و أقاما بیّنة </w:t>
      </w:r>
      <w:r>
        <w:rPr>
          <w:rStyle w:val="FootnoteAnchor"/>
          <w:rtl w:val="true"/>
        </w:rPr>
        <w:footnoteReference w:id="1408"/>
      </w:r>
      <w:r>
        <w:rPr>
          <w:rFonts w:ascii="IRNazanin" w:hAnsi="IRNazanin" w:eastAsia="IRNazanin"/>
          <w:color w:val="111111"/>
          <w:sz w:val="28"/>
          <w:sz w:val="28"/>
          <w:szCs w:val="28"/>
          <w:rtl w:val="true"/>
          <w:lang w:bidi="fa-IR"/>
        </w:rPr>
        <w:t>،انتهی المحکیّ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خصّ المثال بالصورة الثانیة لم یرد علیه ما ذکره المحقّق القمی رحمه اللّه </w:t>
      </w:r>
      <w:r>
        <w:rPr>
          <w:rStyle w:val="FootnoteAnchor"/>
          <w:rtl w:val="true"/>
        </w:rPr>
        <w:footnoteReference w:id="1409"/>
      </w:r>
      <w:r>
        <w:rPr>
          <w:rFonts w:ascii="IRNazanin" w:hAnsi="IRNazanin" w:eastAsia="IRNazanin"/>
          <w:color w:val="111111"/>
          <w:sz w:val="28"/>
          <w:sz w:val="28"/>
          <w:szCs w:val="28"/>
          <w:rtl w:val="true"/>
          <w:lang w:bidi="fa-IR"/>
        </w:rPr>
        <w:t>،و إن کان ذلک أیضا لا یخلو عن مناقشة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کان،فالأولی التمثیل بها و بما أشبهها،مثل حکمهم بوجوب العمل بالبیّنات فی تقویم المعیب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کان،فالکلام فی مستند أولویّة الجمع بهذا النحو،أعنی العمل بکلّ من الدلیلین فی بعض مدلولهما المستلزم للمخالفة القطعیّة لمقتضی الدلیلین؛لأنّ الدلیل الواحد لا یتبعّض فی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هذا غیر جار </w:t>
      </w:r>
      <w:r>
        <w:rPr>
          <w:rStyle w:val="FootnoteAnchor"/>
          <w:rtl w:val="true"/>
        </w:rPr>
        <w:footnoteReference w:id="1410"/>
      </w:r>
      <w:r>
        <w:rPr>
          <w:rFonts w:ascii="IRNazanin" w:hAnsi="IRNazanin" w:eastAsia="IRNazanin"/>
          <w:color w:val="111111"/>
          <w:sz w:val="28"/>
          <w:sz w:val="28"/>
          <w:szCs w:val="28"/>
          <w:rtl w:val="true"/>
          <w:lang w:bidi="fa-IR"/>
        </w:rPr>
        <w:t>فی أدلّة الأحکام الشرعیّة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بالدلیلین،بمعنی الحرکة و السکون علی طبق مدلولهما،غیر ممکن مطلقا،فلا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بعموم القضیّة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علی وجه یکون فیه جمع بینهما من جهة و إن کان طرحا من </w:t>
      </w:r>
      <w:bookmarkStart w:id="1449" w:name="pg12985_125286"/>
    </w:p>
    <w:p>
      <w:pPr>
        <w:pStyle w:val="BookText"/>
        <w:rPr/>
      </w:pPr>
      <w:bookmarkEnd w:id="1449"/>
      <w:r>
        <w:rPr>
          <w:rFonts w:ascii="IRNazanin" w:hAnsi="IRNazanin" w:eastAsia="IRNazanin"/>
          <w:color w:val="111111"/>
          <w:sz w:val="28"/>
          <w:sz w:val="28"/>
          <w:szCs w:val="28"/>
          <w:rtl w:val="true"/>
          <w:lang w:bidi="fa-IR"/>
        </w:rPr>
        <w:t>جهة اخری،فی مقابل طرح أحدهما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فی أدلّة الأحکام عندهم،بالعمل بهما من حیث الحکم بصدقهما و إن کان فیه طرح لهما من حیث ظاهرهما</w:t>
      </w:r>
      <w:r>
        <w:rPr>
          <w:rFonts w:eastAsia="IRNazanin" w:cs="IRNazanin"/>
          <w:color w:val="111111"/>
          <w:sz w:val="28"/>
          <w:szCs w:val="28"/>
          <w:rtl w:val="true"/>
          <w:lang w:bidi="fa-IR"/>
        </w:rPr>
        <w:t>.</w:t>
      </w:r>
    </w:p>
    <w:p>
      <w:pPr>
        <w:pStyle w:val="Heading4"/>
        <w:numPr>
          <w:ilvl w:val="3"/>
          <w:numId w:val="1"/>
        </w:numPr>
        <w:rPr/>
      </w:pPr>
      <w:bookmarkStart w:id="1450" w:name="__RefHeading___Toc5767933_3224264995"/>
      <w:bookmarkStart w:id="1451" w:name="_Toc575"/>
      <w:bookmarkEnd w:id="1450"/>
      <w:r>
        <w:rPr>
          <w:rtl w:val="true"/>
        </w:rPr>
        <w:t>إمکان الجمع بین البیّنات بالتبعیض</w:t>
      </w:r>
      <w:r>
        <w:rPr>
          <w:rtl w:val="true"/>
        </w:rPr>
        <w:t>:</w:t>
      </w:r>
      <w:bookmarkEnd w:id="1451"/>
    </w:p>
    <w:p>
      <w:pPr>
        <w:pStyle w:val="BookText"/>
        <w:rPr/>
      </w:pPr>
      <w:r>
        <w:rPr>
          <w:rFonts w:ascii="IRNazanin" w:hAnsi="IRNazanin" w:eastAsia="IRNazanin"/>
          <w:color w:val="111111"/>
          <w:sz w:val="28"/>
          <w:sz w:val="28"/>
          <w:szCs w:val="28"/>
          <w:rtl w:val="true"/>
          <w:lang w:bidi="fa-IR"/>
        </w:rPr>
        <w:t>و فی مثل تعارض البیّنات،لمّا لم یمکن ذلک؛لعدم تأتّی التأویل فی ظاهر کلمات الشهود،فهی بمنزلة النصّین المتعارضین،انحصر وجه الجمع فی التبعیض فیهما من حیث التصدیق،بأن یصدّق کلّ من المتعارضین فی بعض ما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أخبر بأنّ هذه الدار کلّها لزید نصدّقه فی 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شهد بأنّ قیمة هذا الشیء صحیحا کذا و معیبا کذا نصدّقه فی أنّ قیمة کلّ نصف منه منضمّا إلی نصفه الآخر نصف القیمة</w:t>
      </w:r>
      <w:r>
        <w:rPr>
          <w:rFonts w:eastAsia="IRNazanin" w:cs="IRNazanin"/>
          <w:color w:val="111111"/>
          <w:sz w:val="28"/>
          <w:szCs w:val="28"/>
          <w:rtl w:val="true"/>
          <w:lang w:bidi="fa-IR"/>
        </w:rPr>
        <w:t>.</w:t>
      </w:r>
    </w:p>
    <w:p>
      <w:pPr>
        <w:pStyle w:val="Heading4"/>
        <w:numPr>
          <w:ilvl w:val="3"/>
          <w:numId w:val="1"/>
        </w:numPr>
        <w:rPr/>
      </w:pPr>
      <w:bookmarkStart w:id="1452" w:name="__RefHeading___Toc5767935_3224264995"/>
      <w:bookmarkStart w:id="1453" w:name="_Toc576"/>
      <w:bookmarkEnd w:id="1452"/>
      <w:r>
        <w:rPr>
          <w:rtl w:val="true"/>
        </w:rPr>
        <w:t>عدم إمکان الجمع بالتبعیض فی تعارض الأخبار</w:t>
      </w:r>
      <w:r>
        <w:rPr>
          <w:rtl w:val="true"/>
        </w:rPr>
        <w:t>:</w:t>
      </w:r>
      <w:bookmarkEnd w:id="1453"/>
    </w:p>
    <w:p>
      <w:pPr>
        <w:pStyle w:val="BookText"/>
        <w:rPr/>
      </w:pPr>
      <w:r>
        <w:rPr>
          <w:rFonts w:ascii="IRNazanin" w:hAnsi="IRNazanin" w:eastAsia="IRNazanin"/>
          <w:color w:val="111111"/>
          <w:sz w:val="28"/>
          <w:sz w:val="28"/>
          <w:szCs w:val="28"/>
          <w:rtl w:val="true"/>
          <w:lang w:bidi="fa-IR"/>
        </w:rPr>
        <w:t xml:space="preserve">و هذا النحو غیر ممکن فی الأخبار؛لأنّ مضمون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هذا القول الخاصّ من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للتبعیض، بل هو نظیر تعارض البیّنات فی الزوجیّة أو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یتصوّر التبعیض فی ترتیب الآثار علی تصدیق العادل إذا کان کلّ من الدلیلین عامّا ذا أفراد،فیؤخذ بقوله فی بعضها و بقول الآخر فی بعضها،فیکرم بعض العلماء و یهین بعضهم،فیما إذا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نصّین بحیث لا یمکن التجوّز فی أحدهما،أو ظاهرین فیمکن الجمع بینهما علی وجه التجوّز و علی طریق التبعیض</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المخالفة القطعیة فی الأحکام الشرعیّة لا ترتکب فی واقعة واحدة؛لأنّ الحقّ فیها للشارع و لا یرضی بالمعصیة القطعیّة مقدّمة للعلم بالإطاعة،فیجب اختیار أحدهما و طرح الآخر،بخلاف حقوق الناس؛ </w:t>
      </w:r>
      <w:bookmarkStart w:id="1454" w:name="pg12985_125287"/>
    </w:p>
    <w:p>
      <w:pPr>
        <w:pStyle w:val="BookText"/>
        <w:rPr/>
      </w:pPr>
      <w:bookmarkEnd w:id="1454"/>
      <w:r>
        <w:rPr>
          <w:rFonts w:ascii="IRNazanin" w:hAnsi="IRNazanin" w:eastAsia="IRNazanin"/>
          <w:color w:val="111111"/>
          <w:sz w:val="28"/>
          <w:sz w:val="28"/>
          <w:szCs w:val="28"/>
          <w:rtl w:val="true"/>
          <w:lang w:bidi="fa-IR"/>
        </w:rPr>
        <w:t>فإنّ الحقّ فیها لمتعدّد،فالعمل بالبعض فی کلّ منهما جمع بین الحقّین من غیر ترجیح لأحدهما علی الآخر بالدواعی النفسانیّة،فهو أولی من الإهمال الکلّی لأحدهما و تفویض تعیین ذلک إلی اختیار الحاکم و دواعیه النفسانیّة الغیر المنضبطة فی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یعدّ الجمع بهذا النحو مصالحة بین الخصمین عند العرف،و قد وقع التعبّد به فی بعض النصوص </w:t>
      </w:r>
      <w:r>
        <w:rPr>
          <w:rStyle w:val="FootnoteAnchor"/>
          <w:rtl w:val="true"/>
        </w:rPr>
        <w:footnoteReference w:id="141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فی أدلّة الأحکام بالنحو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أولویّة له أصلا علی طرح أحدهما و الأخذ بالآخر، بل الأمر بالعکس</w:t>
      </w:r>
      <w:r>
        <w:rPr>
          <w:rFonts w:eastAsia="IRNazanin" w:cs="IRNazanin"/>
          <w:color w:val="111111"/>
          <w:sz w:val="28"/>
          <w:szCs w:val="28"/>
          <w:rtl w:val="true"/>
          <w:lang w:bidi="fa-IR"/>
        </w:rPr>
        <w:t>.</w:t>
      </w:r>
    </w:p>
    <w:p>
      <w:pPr>
        <w:pStyle w:val="Heading4"/>
        <w:numPr>
          <w:ilvl w:val="3"/>
          <w:numId w:val="1"/>
        </w:numPr>
        <w:rPr/>
      </w:pPr>
      <w:bookmarkStart w:id="1455" w:name="__RefHeading___Toc5767937_3224264995"/>
      <w:bookmarkStart w:id="1456" w:name="_Toc577"/>
      <w:bookmarkEnd w:id="1455"/>
      <w:r>
        <w:rPr>
          <w:rtl w:val="true"/>
        </w:rPr>
        <w:t>الجمع بین البیّنات فی حقوق الناس</w:t>
      </w:r>
      <w:r>
        <w:rPr>
          <w:rtl w:val="true"/>
        </w:rPr>
        <w:t>:</w:t>
      </w:r>
      <w:bookmarkEnd w:id="1456"/>
    </w:p>
    <w:p>
      <w:pPr>
        <w:pStyle w:val="BookText"/>
        <w:rPr/>
      </w:pPr>
      <w:r>
        <w:rPr>
          <w:rFonts w:ascii="IRNazanin" w:hAnsi="IRNazanin" w:eastAsia="IRNazanin"/>
          <w:color w:val="111111"/>
          <w:sz w:val="28"/>
          <w:sz w:val="28"/>
          <w:szCs w:val="28"/>
          <w:rtl w:val="true"/>
          <w:lang w:bidi="fa-IR"/>
        </w:rPr>
        <w:t xml:space="preserve">و أمّا الجمع بین البیّنات فی حقوق الناس،فهو و إن کان لا أولویّة فیه علی طرح أحدهما بحسب أدلّة حجّیّة البیّنة؛لأنّها تدلّ علی وجوب الأخذ بکلّ منهما فی تمام مضمونه،فلا فرق فی مخالفتها </w:t>
      </w:r>
      <w:r>
        <w:rPr>
          <w:rStyle w:val="FootnoteAnchor"/>
          <w:rtl w:val="true"/>
        </w:rPr>
        <w:footnoteReference w:id="1412"/>
      </w:r>
      <w:r>
        <w:rPr>
          <w:rFonts w:ascii="IRNazanin" w:hAnsi="IRNazanin" w:eastAsia="IRNazanin"/>
          <w:color w:val="111111"/>
          <w:sz w:val="28"/>
          <w:sz w:val="28"/>
          <w:szCs w:val="28"/>
          <w:rtl w:val="true"/>
          <w:lang w:bidi="fa-IR"/>
        </w:rPr>
        <w:t xml:space="preserve">بین الأخذ لا بکلّ منهما بل بأحدهما،أو بکلّ منهما لا فی تمام مضمونه بل فی بعضه،إلاّ أنّ ما ذکرناه </w:t>
      </w:r>
      <w:r>
        <w:rPr>
          <w:rStyle w:val="FootnoteAnchor"/>
          <w:rtl w:val="true"/>
        </w:rPr>
        <w:footnoteReference w:id="1413"/>
      </w:r>
      <w:r>
        <w:rPr>
          <w:rFonts w:ascii="IRNazanin" w:hAnsi="IRNazanin" w:eastAsia="IRNazanin"/>
          <w:color w:val="111111"/>
          <w:sz w:val="28"/>
          <w:sz w:val="28"/>
          <w:szCs w:val="28"/>
          <w:rtl w:val="true"/>
          <w:lang w:bidi="fa-IR"/>
        </w:rPr>
        <w:t>من الاعتبار لعلّه یکون مرجّحا للثانی علی الأوّل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الأمر بالجمع بین الحقّین بهذا النحو فی روایة السکونی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أودعه رجل درهمین و آخر درهما </w:t>
      </w:r>
      <w:r>
        <w:rPr>
          <w:rStyle w:val="FootnoteAnchor"/>
          <w:rtl w:val="true"/>
        </w:rPr>
        <w:footnoteReference w:id="1415"/>
      </w:r>
      <w:r>
        <w:rPr>
          <w:rFonts w:ascii="IRNazanin" w:hAnsi="IRNazanin" w:eastAsia="IRNazanin"/>
          <w:color w:val="111111"/>
          <w:sz w:val="28"/>
          <w:sz w:val="28"/>
          <w:szCs w:val="28"/>
          <w:rtl w:val="true"/>
          <w:lang w:bidi="fa-IR"/>
        </w:rPr>
        <w:t xml:space="preserve">، </w:t>
      </w:r>
      <w:bookmarkStart w:id="1457" w:name="pg12985_125288"/>
    </w:p>
    <w:p>
      <w:pPr>
        <w:pStyle w:val="BookText"/>
        <w:rPr/>
      </w:pPr>
      <w:bookmarkEnd w:id="1457"/>
      <w:r>
        <w:rPr>
          <w:rFonts w:ascii="IRNazanin" w:hAnsi="IRNazanin" w:eastAsia="IRNazanin"/>
          <w:color w:val="111111"/>
          <w:sz w:val="28"/>
          <w:sz w:val="28"/>
          <w:szCs w:val="28"/>
          <w:rtl w:val="true"/>
          <w:lang w:bidi="fa-IR"/>
        </w:rPr>
        <w:t>فامتزجا بغیر تفریط و تلف أحدها</w:t>
      </w:r>
      <w:r>
        <w:rPr>
          <w:rFonts w:eastAsia="IRNazanin" w:cs="IRNazanin"/>
          <w:color w:val="111111"/>
          <w:sz w:val="28"/>
          <w:szCs w:val="28"/>
          <w:rtl w:val="true"/>
          <w:lang w:bidi="fa-IR"/>
        </w:rPr>
        <w:t>.</w:t>
      </w:r>
    </w:p>
    <w:p>
      <w:pPr>
        <w:pStyle w:val="Heading4"/>
        <w:numPr>
          <w:ilvl w:val="3"/>
          <w:numId w:val="1"/>
        </w:numPr>
        <w:rPr/>
      </w:pPr>
      <w:bookmarkStart w:id="1458" w:name="__RefHeading___Toc5767939_3224264995"/>
      <w:bookmarkStart w:id="1459" w:name="_Toc578"/>
      <w:bookmarkEnd w:id="1458"/>
      <w:r>
        <w:rPr>
          <w:rtl w:val="true"/>
        </w:rPr>
        <w:t>الأصل فی تعارض البیّنات هی القرعة</w:t>
      </w:r>
      <w:r>
        <w:rPr>
          <w:rtl w:val="true"/>
        </w:rPr>
        <w:t>:</w:t>
      </w:r>
      <w:bookmarkEnd w:id="1459"/>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موارد تعارض البیّنات و شبهها هی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الکلام فی کون القرعة مرجّحة للبیّنة المطابقة لها أو مرجعا بعد تساقط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الکلام فی عموم مورد </w:t>
      </w:r>
      <w:r>
        <w:rPr>
          <w:rStyle w:val="FootnoteAnchor"/>
          <w:rtl w:val="true"/>
        </w:rPr>
        <w:footnoteReference w:id="1416"/>
      </w:r>
      <w:r>
        <w:rPr>
          <w:rFonts w:ascii="IRNazanin" w:hAnsi="IRNazanin" w:eastAsia="IRNazanin"/>
          <w:color w:val="111111"/>
          <w:sz w:val="28"/>
          <w:sz w:val="28"/>
          <w:szCs w:val="28"/>
          <w:rtl w:val="true"/>
          <w:lang w:bidi="fa-IR"/>
        </w:rPr>
        <w:t>القرعة أو اختصاصها بما لا یکون هناک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للکلام مورد آخر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5767941_3224264995"/>
      <w:bookmarkStart w:id="1461" w:name="_Toc579"/>
      <w:bookmarkEnd w:id="1460"/>
      <w:r>
        <w:rPr>
          <w:rtl w:val="true"/>
        </w:rPr>
        <w:t>الکلام فی أحکام التعارض فی مقامین</w:t>
      </w:r>
      <w:r>
        <w:rPr>
          <w:rtl w:val="true"/>
        </w:rPr>
        <w:t>:</w:t>
      </w:r>
      <w:bookmarkEnd w:id="1461"/>
    </w:p>
    <w:p>
      <w:pPr>
        <w:pStyle w:val="Heading4"/>
        <w:numPr>
          <w:ilvl w:val="3"/>
          <w:numId w:val="1"/>
        </w:numPr>
        <w:rPr/>
      </w:pPr>
      <w:bookmarkStart w:id="1462" w:name="__RefHeading___Toc5767943_3224264995"/>
      <w:bookmarkStart w:id="1463" w:name="_Toc580"/>
      <w:bookmarkEnd w:id="1462"/>
      <w:r>
        <w:rPr>
          <w:rtl w:val="true"/>
        </w:rPr>
        <w:t>اشارة</w:t>
      </w:r>
      <w:bookmarkEnd w:id="1463"/>
    </w:p>
    <w:p>
      <w:pPr>
        <w:pStyle w:val="BookText"/>
        <w:rPr/>
      </w:pPr>
      <w:r>
        <w:rPr>
          <w:rFonts w:ascii="IRNazanin" w:hAnsi="IRNazanin" w:eastAsia="IRNazanin"/>
          <w:color w:val="111111"/>
          <w:sz w:val="28"/>
          <w:sz w:val="28"/>
          <w:szCs w:val="28"/>
          <w:rtl w:val="true"/>
          <w:lang w:bidi="fa-IR"/>
        </w:rPr>
        <w:t>فلنرجع إلی ما کنّا فیه،فنقول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تبیّن عدم تقدّم الجمع علی الترجیح و لا علی التخییر،فلا بدّ من الکلام فی المقامین اللذین ذکرنا </w:t>
      </w:r>
      <w:r>
        <w:rPr>
          <w:rStyle w:val="FootnoteAnchor"/>
          <w:rtl w:val="true"/>
        </w:rPr>
        <w:footnoteReference w:id="1418"/>
      </w:r>
      <w:r>
        <w:rPr>
          <w:rFonts w:ascii="IRNazanin" w:hAnsi="IRNazanin" w:eastAsia="IRNazanin"/>
          <w:color w:val="111111"/>
          <w:sz w:val="28"/>
          <w:sz w:val="28"/>
          <w:szCs w:val="28"/>
          <w:rtl w:val="true"/>
          <w:lang w:bidi="fa-IR"/>
        </w:rPr>
        <w:t xml:space="preserve">أنّ الکلام فی أحکام التعارض یقع فیهما،فنقول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المتعارضین،إمّا أن لا یکون مع أحدهما مرجّح فیکونان متکافئین متعادلین،و إمّا أن یکون مع أحدهما مرجّح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464" w:name="pg12985_125289"/>
    </w:p>
    <w:p>
      <w:pPr>
        <w:pStyle w:val="Heading4"/>
        <w:numPr>
          <w:ilvl w:val="3"/>
          <w:numId w:val="1"/>
        </w:numPr>
        <w:rPr/>
      </w:pPr>
      <w:bookmarkStart w:id="1465" w:name="__RefHeading___Toc5767945_3224264995"/>
      <w:bookmarkStart w:id="1466" w:name="_Toc581"/>
      <w:bookmarkEnd w:id="1464"/>
      <w:bookmarkEnd w:id="1465"/>
      <w:r>
        <w:rPr>
          <w:rtl w:val="true"/>
        </w:rPr>
        <w:t>المقام الأوّل</w:t>
      </w:r>
      <w:r>
        <w:rPr>
          <w:rtl w:val="true"/>
        </w:rPr>
        <w:t xml:space="preserve">: </w:t>
      </w:r>
      <w:r>
        <w:rPr>
          <w:rtl w:val="true"/>
        </w:rPr>
        <w:t>فی المتکافئین</w:t>
      </w:r>
      <w:bookmarkEnd w:id="1466"/>
    </w:p>
    <w:p>
      <w:pPr>
        <w:pStyle w:val="Heading5"/>
        <w:numPr>
          <w:ilvl w:val="4"/>
          <w:numId w:val="1"/>
        </w:numPr>
        <w:rPr/>
      </w:pPr>
      <w:bookmarkStart w:id="1467" w:name="__RefHeading___Toc5767947_3224264995"/>
      <w:bookmarkStart w:id="1468" w:name="_Toc582"/>
      <w:bookmarkEnd w:id="1467"/>
      <w:r>
        <w:rPr>
          <w:rtl w:val="true"/>
        </w:rPr>
        <w:t>اشارة</w:t>
      </w:r>
      <w:bookmarkEnd w:id="1468"/>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w:t>
      </w:r>
    </w:p>
    <w:p>
      <w:pPr>
        <w:pStyle w:val="Heading5"/>
        <w:numPr>
          <w:ilvl w:val="4"/>
          <w:numId w:val="1"/>
        </w:numPr>
        <w:rPr/>
      </w:pPr>
      <w:bookmarkStart w:id="1469" w:name="__RefHeading___Toc5767949_3224264995"/>
      <w:bookmarkStart w:id="1470" w:name="_Toc583"/>
      <w:bookmarkEnd w:id="1469"/>
      <w:r>
        <w:rPr>
          <w:rtl w:val="true"/>
        </w:rPr>
        <w:t>ما هو مقتضی الأصل الأوّلی فی المتکافئین؟</w:t>
      </w:r>
      <w:bookmarkEnd w:id="147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الأصل فی المتکافئین التساقط و فرضهما کأن لم یکونا، أو لا؟</w:t>
      </w:r>
    </w:p>
    <w:p>
      <w:pPr>
        <w:pStyle w:val="BookText"/>
        <w:rPr/>
      </w:pPr>
      <w:r>
        <w:rPr>
          <w:rFonts w:ascii="IRNazanin" w:hAnsi="IRNazanin" w:eastAsia="IRNazanin"/>
          <w:color w:val="111111"/>
          <w:sz w:val="28"/>
          <w:sz w:val="28"/>
          <w:szCs w:val="28"/>
          <w:rtl w:val="true"/>
          <w:lang w:bidi="fa-IR"/>
        </w:rPr>
        <w:t>ثمّ اللازم بعد عدم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الاحتیاط،أو التخییر،أو التوقّف و الرجوع إلی الأصل المطابق لأحدهما دون المخالف لهما؛لأنّه معنی تساقطهما؟</w:t>
      </w:r>
    </w:p>
    <w:p>
      <w:pPr>
        <w:pStyle w:val="Heading5"/>
        <w:numPr>
          <w:ilvl w:val="4"/>
          <w:numId w:val="1"/>
        </w:numPr>
        <w:rPr/>
      </w:pPr>
      <w:bookmarkStart w:id="1471" w:name="__RefHeading___Toc5767951_3224264995"/>
      <w:bookmarkStart w:id="1472" w:name="_Toc584"/>
      <w:bookmarkEnd w:id="1471"/>
      <w:r>
        <w:rPr>
          <w:rtl w:val="true"/>
        </w:rPr>
        <w:t>کلام السیّد المجاهد فی أنّ مقتضی الأصل هو التساقط</w:t>
      </w:r>
      <w:bookmarkEnd w:id="1472"/>
    </w:p>
    <w:p>
      <w:pPr>
        <w:pStyle w:val="Heading6"/>
        <w:numPr>
          <w:ilvl w:val="5"/>
          <w:numId w:val="1"/>
        </w:numPr>
        <w:rPr/>
      </w:pPr>
      <w:bookmarkStart w:id="1473" w:name="__RefHeading___Toc5767953_3224264995"/>
      <w:bookmarkStart w:id="1474" w:name="_Toc585"/>
      <w:bookmarkEnd w:id="1473"/>
      <w:r>
        <w:rPr>
          <w:rtl w:val="true"/>
        </w:rPr>
        <w:t>اشارة</w:t>
      </w:r>
      <w:bookmarkEnd w:id="147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فی المتعارضین عدم حجّیة أحدهما </w:t>
      </w:r>
      <w:r>
        <w:rPr>
          <w:rStyle w:val="FootnoteAnchor"/>
          <w:rtl w:val="true"/>
        </w:rPr>
        <w:footnoteReference w:id="1421"/>
      </w:r>
      <w:r>
        <w:rPr>
          <w:rFonts w:ascii="IRNazanin" w:hAnsi="IRNazanin" w:eastAsia="IRNazanin"/>
          <w:color w:val="111111"/>
          <w:sz w:val="28"/>
          <w:sz w:val="28"/>
          <w:szCs w:val="28"/>
          <w:rtl w:val="true"/>
          <w:lang w:bidi="fa-IR"/>
        </w:rPr>
        <w:t xml:space="preserve">لأنّ دلیل الحجّیة مختصّ بغیر صورة التعارض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إجماعا؛فلاختصاصه بغیر المتعارضین،و لیس فیه عموم أو إطلاق لفظیّ یفید العموم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1475" w:name="pg12985_125290"/>
    </w:p>
    <w:p>
      <w:pPr>
        <w:pStyle w:val="BookText"/>
        <w:rPr/>
      </w:pPr>
      <w:bookmarkEnd w:id="1475"/>
      <w:r>
        <w:rPr>
          <w:rFonts w:ascii="IRNazanin" w:hAnsi="IRNazanin" w:eastAsia="IRNazanin"/>
          <w:color w:val="111111"/>
          <w:sz w:val="28"/>
          <w:sz w:val="28"/>
          <w:szCs w:val="28"/>
          <w:rtl w:val="true"/>
          <w:lang w:bidi="fa-IR"/>
        </w:rPr>
        <w:t>و أمّا إذا کان لفظا؛فلعدم إمکان إرادة المتعارضین من عموم ذلک اللفظ؛لأنّه یدلّ علی وجوب العمل عینا بکلّ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وجوب العمل عینا بکلّ من المتعارضین ممتنع،و العمل بکلّ منهما تخییرا لا یدلّ علیه الکلام </w:t>
      </w:r>
      <w:r>
        <w:rPr>
          <w:rStyle w:val="FootnoteAnchor"/>
          <w:rtl w:val="true"/>
        </w:rPr>
        <w:footnoteReference w:id="1424"/>
      </w:r>
      <w:r>
        <w:rPr>
          <w:rFonts w:ascii="IRNazanin" w:hAnsi="IRNazanin" w:eastAsia="IRNazanin"/>
          <w:color w:val="111111"/>
          <w:sz w:val="28"/>
          <w:sz w:val="28"/>
          <w:szCs w:val="28"/>
          <w:rtl w:val="true"/>
          <w:lang w:bidi="fa-IR"/>
        </w:rPr>
        <w:t>إذ لا یجوز إرادة الوجوب العینیّ بالنسبة إلی غیر المتعارضین،و التخییریّ بالنسبة إلی المتعارضین،من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العمل بأحدهما الکلّیّ عینا فلیس من أفراد العامّ؛لأنّ أفراده هی المشخّصات </w:t>
      </w:r>
      <w:r>
        <w:rPr>
          <w:rStyle w:val="FootnoteAnchor"/>
          <w:rtl w:val="true"/>
        </w:rPr>
        <w:footnoteReference w:id="1425"/>
      </w:r>
      <w:r>
        <w:rPr>
          <w:rFonts w:ascii="IRNazanin" w:hAnsi="IRNazanin" w:eastAsia="IRNazanin"/>
          <w:color w:val="111111"/>
          <w:sz w:val="28"/>
          <w:sz w:val="28"/>
          <w:szCs w:val="28"/>
          <w:rtl w:val="true"/>
          <w:lang w:bidi="fa-IR"/>
        </w:rPr>
        <w:t>الخارجیّة،و لیس الواحد علی البدل فردا آخر،بل هو عنوان منتزع منها غیر محکوم بحکم نفس المشخّصات بعد الحکم بوجوب العمل بها عینا</w:t>
      </w:r>
      <w:r>
        <w:rPr>
          <w:rFonts w:eastAsia="IRNazanin" w:cs="IRNazanin"/>
          <w:color w:val="111111"/>
          <w:sz w:val="28"/>
          <w:szCs w:val="28"/>
          <w:rtl w:val="true"/>
          <w:lang w:bidi="fa-IR"/>
        </w:rPr>
        <w:t>.</w:t>
      </w:r>
    </w:p>
    <w:p>
      <w:pPr>
        <w:pStyle w:val="Heading6"/>
        <w:numPr>
          <w:ilvl w:val="5"/>
          <w:numId w:val="1"/>
        </w:numPr>
        <w:rPr/>
      </w:pPr>
      <w:bookmarkStart w:id="1476" w:name="__RefHeading___Toc5767955_3224264995"/>
      <w:bookmarkStart w:id="1477" w:name="_Toc586"/>
      <w:bookmarkEnd w:id="1476"/>
      <w:r>
        <w:rPr>
          <w:rtl w:val="true"/>
        </w:rPr>
        <w:t>المناقشة فیما أفاده السیّد المجاهد</w:t>
      </w:r>
      <w:bookmarkEnd w:id="147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الإجماع و الدلیل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و لا ثمرة له فیما نحن فیه </w:t>
      </w:r>
      <w:r>
        <w:rPr>
          <w:rStyle w:val="FootnoteAnchor"/>
          <w:rtl w:val="true"/>
        </w:rPr>
        <w:footnoteReference w:id="1426"/>
      </w:r>
      <w:r>
        <w:rPr>
          <w:rFonts w:ascii="IRNazanin" w:hAnsi="IRNazanin" w:eastAsia="IRNazanin"/>
          <w:color w:val="111111"/>
          <w:sz w:val="28"/>
          <w:sz w:val="28"/>
          <w:szCs w:val="28"/>
          <w:rtl w:val="true"/>
          <w:lang w:bidi="fa-IR"/>
        </w:rPr>
        <w:t xml:space="preserve">لأنّ المفروض قیام الإجماع علی </w:t>
      </w:r>
      <w:bookmarkStart w:id="1478" w:name="pg12985_125291"/>
    </w:p>
    <w:p>
      <w:pPr>
        <w:pStyle w:val="BookText"/>
        <w:rPr/>
      </w:pPr>
      <w:bookmarkEnd w:id="1478"/>
      <w:r>
        <w:rPr>
          <w:rFonts w:ascii="IRNazanin" w:hAnsi="IRNazanin" w:eastAsia="IRNazanin"/>
          <w:color w:val="111111"/>
          <w:sz w:val="28"/>
          <w:sz w:val="28"/>
          <w:szCs w:val="28"/>
          <w:rtl w:val="true"/>
          <w:lang w:bidi="fa-IR"/>
        </w:rPr>
        <w:t>أنّ کلا منهما واجب العمل لو لا المانع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العمل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نعنی بالمتعارضین إلاّ ما کان کذلک،و أمّا ما کان وجود أحدهما مانعا عن وجوب العمل بالآخر فهو خارج عن موضوع التعارض؛لأنّ الأمارة الممنوعة لا وجوب للعمل بها،و الأمارة المانعة إن کانت واجبة العمل تعیّن العمل بها لسلامتها عن معارضة الاخری، فهی بوجودها تمنع وجوب العمل بتلک،و تلک لا تمنع وجوب العمل بهذه،لا بوجودها و لا بوجوبها،فافهم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هذا التطویل حسم مادّة الشبهة التی توهّمها بعضهم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القدر المتیقّن من أدلّة الأمارات التی لیس لها عموم لفظیّ هو حجّیّتها مع الخلوّ عن المعارض</w:t>
      </w:r>
      <w:r>
        <w:rPr>
          <w:rFonts w:eastAsia="IRNazanin" w:cs="IRNazanin"/>
          <w:color w:val="111111"/>
          <w:sz w:val="28"/>
          <w:szCs w:val="28"/>
          <w:rtl w:val="true"/>
          <w:lang w:bidi="fa-IR"/>
        </w:rPr>
        <w:t>.</w:t>
      </w:r>
    </w:p>
    <w:p>
      <w:pPr>
        <w:pStyle w:val="Heading5"/>
        <w:numPr>
          <w:ilvl w:val="4"/>
          <w:numId w:val="1"/>
        </w:numPr>
        <w:rPr/>
      </w:pPr>
      <w:bookmarkStart w:id="1479" w:name="__RefHeading___Toc5767957_3224264995"/>
      <w:bookmarkStart w:id="1480" w:name="_Toc587"/>
      <w:bookmarkEnd w:id="1479"/>
      <w:r>
        <w:rPr>
          <w:rtl w:val="true"/>
        </w:rPr>
        <w:t>الأصل عدم التساقط و الدلیل علیه</w:t>
      </w:r>
      <w:r>
        <w:rPr>
          <w:rtl w:val="true"/>
        </w:rPr>
        <w:t>:</w:t>
      </w:r>
      <w:bookmarkEnd w:id="148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اتّضح عدم الفرق فی المقام بین کون أدلّة الأمارات من العمومات أو من قبیل الإجماع،فنقول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بوجوب الأخذ بأحد المتعارضین فی الجملة و عدم تساقطهما لیس لأجل شمول العموم اللفظیّ </w:t>
      </w:r>
    </w:p>
    <w:p>
      <w:pPr>
        <w:pStyle w:val="BookText"/>
        <w:rPr/>
      </w:pPr>
      <w:r>
        <w:rPr>
          <w:rFonts w:ascii="IRNazanin" w:hAnsi="IRNazanin" w:eastAsia="IRNazanin"/>
          <w:color w:val="111111"/>
          <w:sz w:val="28"/>
          <w:sz w:val="28"/>
          <w:szCs w:val="28"/>
          <w:rtl w:val="true"/>
          <w:lang w:bidi="fa-IR"/>
        </w:rPr>
        <w:t xml:space="preserve">لأحدهما علی البدل من حیث هذا المفهوم المنتزع؛لأنّ ذلک غیر ممکن، کما تقدّم وجهه فی بیان الشبهة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1429"/>
      </w:r>
      <w:r>
        <w:rPr>
          <w:rFonts w:ascii="IRNazanin" w:hAnsi="IRNazanin" w:eastAsia="IRNazanin"/>
          <w:color w:val="111111"/>
          <w:sz w:val="28"/>
          <w:sz w:val="28"/>
          <w:szCs w:val="28"/>
          <w:rtl w:val="true"/>
          <w:lang w:bidi="fa-IR"/>
        </w:rPr>
        <w:t xml:space="preserve">،لمّا کان امتثال التکلیف بالعمل بکلّ منهما کسائر التکالیف الشرعیّة و العرفیّة مشروطا بالقدرة، و المفروض أنّ کلا منهما مقدور فی حال ترک الآخر و غیر مقدور مع إیجاد الآخر،فکلّ منهما مع ترک الآخر مقدور یحرم ترکه و یتعیّن فعله، و مع إیجاد الآخر یجوز ترکه و لا یعاقب علیه،فوجوب الأخذ بأحدهما نتیجة أدلّة وجوب الامتثال و العمل بکلّ منهما،بعد تقیید وجوب الامتثال بالقدرة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یحکم به بدیهة العقل،کما فی کلّ واجبین اجتمعا علی المکلّف،و لا مانع من تعیین کلّ منهما علی المکلّف بمقتضی دلیله إلاّ تعیین الآخر علیه کذلک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لو حکمنا بسقوط کلیهما مع إمکان أحدهما علی البدل،لم یکن وجوب کلّ واحد منهما ثابتا بمجرّد الإمکان،و لزم کون وجوب کلّ منهما مشروطا بعدم انضمامه مع الآخر،و هذا خلاف </w:t>
      </w:r>
      <w:bookmarkStart w:id="1481" w:name="pg12985_125293"/>
    </w:p>
    <w:p>
      <w:pPr>
        <w:pStyle w:val="BookText"/>
        <w:rPr/>
      </w:pPr>
      <w:bookmarkEnd w:id="1481"/>
      <w:r>
        <w:rPr>
          <w:rFonts w:ascii="IRNazanin" w:hAnsi="IRNazanin" w:eastAsia="IRNazanin"/>
          <w:color w:val="111111"/>
          <w:sz w:val="28"/>
          <w:sz w:val="28"/>
          <w:szCs w:val="28"/>
          <w:rtl w:val="true"/>
          <w:lang w:bidi="fa-IR"/>
        </w:rPr>
        <w:t>ما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تقیید کلّ منهما فی مقام الامتثال </w:t>
      </w:r>
      <w:r>
        <w:rPr>
          <w:rStyle w:val="FootnoteAnchor"/>
          <w:rtl w:val="true"/>
        </w:rPr>
        <w:footnoteReference w:id="1431"/>
      </w:r>
      <w:r>
        <w:rPr>
          <w:rFonts w:ascii="IRNazanin" w:hAnsi="IRNazanin" w:eastAsia="IRNazanin"/>
          <w:color w:val="111111"/>
          <w:sz w:val="28"/>
          <w:sz w:val="28"/>
          <w:szCs w:val="28"/>
          <w:rtl w:val="true"/>
          <w:lang w:bidi="fa-IR"/>
        </w:rPr>
        <w:t xml:space="preserve">بأزید من الإمکان،سواء کان وجوب کلّ منهما بأمر </w:t>
      </w:r>
      <w:r>
        <w:rPr>
          <w:rStyle w:val="FootnoteAnchor"/>
          <w:rtl w:val="true"/>
        </w:rPr>
        <w:footnoteReference w:id="1432"/>
      </w:r>
      <w:r>
        <w:rPr>
          <w:rFonts w:ascii="IRNazanin" w:hAnsi="IRNazanin" w:eastAsia="IRNazanin"/>
          <w:color w:val="111111"/>
          <w:sz w:val="28"/>
          <w:sz w:val="28"/>
          <w:szCs w:val="28"/>
          <w:rtl w:val="true"/>
          <w:lang w:bidi="fa-IR"/>
        </w:rPr>
        <w:t>،أو کان بأمر واحد یشمل الواجبین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التخییر فی القسم الأوّل لاستعمال الأمر فی التخییر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توهّم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جهة ما عرفت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أمر الشارع بشیء واحد استقلّ العقل بوجوب إطاعته فی ذلک الأمر بشرط عدم المانع العقلیّ و الشرعی </w:t>
      </w:r>
      <w:r>
        <w:rPr>
          <w:rStyle w:val="FootnoteAnchor"/>
          <w:rtl w:val="true"/>
        </w:rPr>
        <w:footnoteReference w:id="1436"/>
      </w:r>
      <w:r>
        <w:rPr>
          <w:rFonts w:ascii="IRNazanin" w:hAnsi="IRNazanin" w:eastAsia="IRNazanin"/>
          <w:color w:val="111111"/>
          <w:sz w:val="28"/>
          <w:sz w:val="28"/>
          <w:szCs w:val="28"/>
          <w:rtl w:val="true"/>
          <w:lang w:bidi="fa-IR"/>
        </w:rPr>
        <w:t>،و إذا أمر بشیئین و اتفق امتناع إیجادهما فی الخارج استقلّ بوجوب إطاعته فی أحدهما لا بعینه؛لأنّها ممکنة،فیقبح ترکها</w:t>
      </w:r>
      <w:r>
        <w:rPr>
          <w:rFonts w:eastAsia="IRNazanin" w:cs="IRNazanin"/>
          <w:color w:val="111111"/>
          <w:sz w:val="28"/>
          <w:szCs w:val="28"/>
          <w:rtl w:val="true"/>
          <w:lang w:bidi="fa-IR"/>
        </w:rPr>
        <w:t>.</w:t>
      </w:r>
    </w:p>
    <w:p>
      <w:pPr>
        <w:pStyle w:val="Heading5"/>
        <w:numPr>
          <w:ilvl w:val="4"/>
          <w:numId w:val="1"/>
        </w:numPr>
        <w:rPr/>
      </w:pPr>
      <w:bookmarkStart w:id="1482" w:name="__RefHeading___Toc5767959_3224264995"/>
      <w:bookmarkStart w:id="1483" w:name="_Toc588"/>
      <w:bookmarkEnd w:id="1482"/>
      <w:r>
        <w:rPr>
          <w:rtl w:val="true"/>
        </w:rPr>
        <w:t>مقتضی الأصل التخییر بناء علی السببیّة</w:t>
      </w:r>
      <w:r>
        <w:rPr>
          <w:rtl w:val="true"/>
        </w:rPr>
        <w:t>:</w:t>
      </w:r>
      <w:bookmarkEnd w:id="148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لکن،هذا کلّه علی تقدیر أن یکون العمل بالخبر من باب السببیّة،بأن یکون قیام الخبر علی وجوب فعل واقعا،سببا شرعیّا لوجوبه ظاهرا علی المکلّف،فیصیر المتعارضان من قبیل السببین المتزاحمین،فیلغی أحدهما مع وجود وصف السببیّة فیه لإعمال الآخر، کما فی کلّ واجبین متزاحمین</w:t>
      </w:r>
      <w:r>
        <w:rPr>
          <w:rFonts w:eastAsia="IRNazanin" w:cs="IRNazanin"/>
          <w:color w:val="111111"/>
          <w:sz w:val="28"/>
          <w:szCs w:val="28"/>
          <w:rtl w:val="true"/>
          <w:lang w:bidi="fa-IR"/>
        </w:rPr>
        <w:t xml:space="preserve">. </w:t>
      </w:r>
      <w:bookmarkStart w:id="1484" w:name="pg12985_125294"/>
    </w:p>
    <w:p>
      <w:pPr>
        <w:pStyle w:val="BookText"/>
        <w:rPr/>
      </w:pPr>
      <w:bookmarkEnd w:id="1484"/>
      <w:r>
        <w:rPr>
          <w:rFonts w:ascii="IRNazanin" w:hAnsi="IRNazanin" w:eastAsia="IRNazanin"/>
          <w:color w:val="111111"/>
          <w:sz w:val="28"/>
          <w:sz w:val="28"/>
          <w:szCs w:val="28"/>
          <w:rtl w:val="true"/>
          <w:lang w:bidi="fa-IR"/>
        </w:rPr>
        <w:t>أمّا لو جعلناه من باب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أدلّة حجّیّة الأخبار بل غیرها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الشارع لاحظ الواقع و أمر بالتوصّل إلیه من هذا الطریق؛لغلبة إیصاله إلی الواقع </w:t>
      </w:r>
      <w:r>
        <w:rPr>
          <w:rStyle w:val="FootnoteAnchor"/>
          <w:rtl w:val="true"/>
        </w:rPr>
        <w:footnoteReference w:id="1437"/>
      </w:r>
      <w:r>
        <w:rPr>
          <w:rFonts w:ascii="IRNazanin" w:hAnsi="IRNazanin" w:eastAsia="IRNazanin"/>
          <w:color w:val="111111"/>
          <w:sz w:val="28"/>
          <w:sz w:val="28"/>
          <w:szCs w:val="28"/>
          <w:rtl w:val="true"/>
          <w:lang w:bidi="fa-IR"/>
        </w:rPr>
        <w:t>،فالمتعارضان لا یصیران من قبیل الواجبین المتزاحمین؛للعلم بعدم إرادة الشارع سلوک الطریقین معا؛لأنّ أحدهما مخالف للواقع قطعا،فلا یکونان طریقین إلی الواقع و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العمل بهما،کما یعلم إرادته لکلّ من المتزاحمین فی نفسه علی تقدیر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الشارع لاحظ کون الخبر غالب الإیصال إلی الواقع،فأمر بالعمل به فی جمیع الموارد؛لعدم المائز بین الفرد الموصل منه و غیره،فإذا تعارض خبران جامعان لشرائط الحجّیّة لم یعقل بقاء تلک المصلحة فی کلّ منهما،بحیث لو أمکن الجمع بینهما أراد الشارع إدراک المصلحتین،بل وجود تلک المصلحة فی کلّ منهما بخصوصه مقیّد بعدم معارضته بمثله</w:t>
      </w:r>
      <w:r>
        <w:rPr>
          <w:rFonts w:eastAsia="IRNazanin" w:cs="IRNazanin"/>
          <w:color w:val="111111"/>
          <w:sz w:val="28"/>
          <w:szCs w:val="28"/>
          <w:rtl w:val="true"/>
          <w:lang w:bidi="fa-IR"/>
        </w:rPr>
        <w:t>.</w:t>
      </w:r>
    </w:p>
    <w:p>
      <w:pPr>
        <w:pStyle w:val="Heading5"/>
        <w:numPr>
          <w:ilvl w:val="4"/>
          <w:numId w:val="1"/>
        </w:numPr>
        <w:rPr/>
      </w:pPr>
      <w:bookmarkStart w:id="1485" w:name="__RefHeading___Toc5767961_3224264995"/>
      <w:bookmarkStart w:id="1486" w:name="_Toc589"/>
      <w:bookmarkEnd w:id="1485"/>
      <w:r>
        <w:rPr>
          <w:rtl w:val="true"/>
        </w:rPr>
        <w:t>مقتضی الأصل التوقّف بناء علی الطریقیّة</w:t>
      </w:r>
      <w:r>
        <w:rPr>
          <w:rtl w:val="true"/>
        </w:rPr>
        <w:t>:</w:t>
      </w:r>
      <w:bookmarkEnd w:id="1486"/>
    </w:p>
    <w:p>
      <w:pPr>
        <w:pStyle w:val="BookText"/>
        <w:rPr/>
      </w:pPr>
      <w:r>
        <w:rPr>
          <w:rFonts w:ascii="IRNazanin" w:hAnsi="IRNazanin" w:eastAsia="IRNazanin"/>
          <w:color w:val="111111"/>
          <w:sz w:val="28"/>
          <w:sz w:val="28"/>
          <w:szCs w:val="28"/>
          <w:rtl w:val="true"/>
          <w:lang w:bidi="fa-IR"/>
        </w:rPr>
        <w:t>و من هنا،یتّجه الحکم حینئذ بالتوقّف،لا بمعنی أنّ أحدهما المعیّن واقعا طریق و لا نعلمه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اشتبه خبر صحیح بین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 شیئا منهما لیس طریقا فی مؤدّاه بخصوصه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إلی الاصول العملیّة إن لم نرجّح </w:t>
      </w:r>
      <w:r>
        <w:rPr>
          <w:rStyle w:val="FootnoteAnchor"/>
          <w:rtl w:val="true"/>
        </w:rPr>
        <w:footnoteReference w:id="1438"/>
      </w:r>
      <w:r>
        <w:rPr>
          <w:rFonts w:ascii="IRNazanin" w:hAnsi="IRNazanin" w:eastAsia="IRNazanin"/>
          <w:color w:val="111111"/>
          <w:sz w:val="28"/>
          <w:sz w:val="28"/>
          <w:szCs w:val="28"/>
          <w:rtl w:val="true"/>
          <w:lang w:bidi="fa-IR"/>
        </w:rPr>
        <w:t xml:space="preserve">بالأصل الخبر المطابق له،و إن قلنا بأنّه مرجّح خرج عن مورد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فرض الکلام فیما لم یکن هناک أصل </w:t>
      </w:r>
      <w:bookmarkStart w:id="1487" w:name="pg12985_125295"/>
    </w:p>
    <w:p>
      <w:pPr>
        <w:pStyle w:val="BookText"/>
        <w:rPr/>
      </w:pPr>
      <w:bookmarkEnd w:id="1487"/>
      <w:r>
        <w:rPr>
          <w:rFonts w:ascii="IRNazanin" w:hAnsi="IRNazanin" w:eastAsia="IRNazanin"/>
          <w:color w:val="111111"/>
          <w:sz w:val="28"/>
          <w:sz w:val="28"/>
          <w:szCs w:val="28"/>
          <w:rtl w:val="true"/>
          <w:lang w:bidi="fa-IR"/>
        </w:rPr>
        <w:t>مع أحدهما،فیتساقطان من حیث جواز العمل بکلّ منهما؛لعدم کونهما طریقین،کما أنّ التخییر مرجعه إلی التساقط من حیث وجوب العمل</w:t>
      </w:r>
      <w:r>
        <w:rPr>
          <w:rFonts w:eastAsia="IRNazanin" w:cs="IRNazanin"/>
          <w:color w:val="111111"/>
          <w:sz w:val="28"/>
          <w:szCs w:val="28"/>
          <w:rtl w:val="true"/>
          <w:lang w:bidi="fa-IR"/>
        </w:rPr>
        <w:t>.</w:t>
      </w:r>
    </w:p>
    <w:p>
      <w:pPr>
        <w:pStyle w:val="Heading5"/>
        <w:numPr>
          <w:ilvl w:val="4"/>
          <w:numId w:val="1"/>
        </w:numPr>
        <w:rPr/>
      </w:pPr>
      <w:bookmarkStart w:id="1488" w:name="__RefHeading___Toc5767963_3224264995"/>
      <w:bookmarkStart w:id="1489" w:name="_Toc590"/>
      <w:bookmarkEnd w:id="1488"/>
      <w:r>
        <w:rPr>
          <w:rtl w:val="true"/>
        </w:rPr>
        <w:t>مقتضی الأخبار عدم التساقط</w:t>
      </w:r>
      <w:r>
        <w:rPr>
          <w:rtl w:val="true"/>
        </w:rPr>
        <w:t>:</w:t>
      </w:r>
      <w:bookmarkEnd w:id="1489"/>
    </w:p>
    <w:p>
      <w:pPr>
        <w:pStyle w:val="Heading6"/>
        <w:numPr>
          <w:ilvl w:val="5"/>
          <w:numId w:val="1"/>
        </w:numPr>
        <w:rPr/>
      </w:pPr>
      <w:bookmarkStart w:id="1490" w:name="__RefHeading___Toc5767965_3224264995"/>
      <w:bookmarkStart w:id="1491" w:name="_Toc591"/>
      <w:bookmarkEnd w:id="1490"/>
      <w:r>
        <w:rPr>
          <w:rtl w:val="true"/>
        </w:rPr>
        <w:t>اشارة</w:t>
      </w:r>
      <w:bookmarkEnd w:id="1491"/>
    </w:p>
    <w:p>
      <w:pPr>
        <w:pStyle w:val="BookText"/>
        <w:rPr/>
      </w:pPr>
      <w:r>
        <w:rPr>
          <w:rFonts w:ascii="IRNazanin" w:hAnsi="IRNazanin" w:eastAsia="IRNazanin"/>
          <w:color w:val="111111"/>
          <w:sz w:val="28"/>
          <w:sz w:val="28"/>
          <w:szCs w:val="28"/>
          <w:rtl w:val="true"/>
          <w:lang w:bidi="fa-IR"/>
        </w:rPr>
        <w:t xml:space="preserve">هذا ما تقتضیه القاعدة فی مقتضی وجوب العمل بالأخبار من حیث الطریقیّة </w:t>
      </w:r>
      <w:r>
        <w:rPr>
          <w:rStyle w:val="FootnoteAnchor"/>
          <w:rtl w:val="true"/>
        </w:rPr>
        <w:footnoteReference w:id="1439"/>
      </w:r>
      <w:r>
        <w:rPr>
          <w:rFonts w:ascii="IRNazanin" w:hAnsi="IRNazanin" w:eastAsia="IRNazanin"/>
          <w:color w:val="111111"/>
          <w:sz w:val="28"/>
          <w:sz w:val="28"/>
          <w:szCs w:val="28"/>
          <w:rtl w:val="true"/>
          <w:lang w:bidi="fa-IR"/>
        </w:rPr>
        <w:t xml:space="preserve">،إلاّ أنّ الأخبار المستفیضة بل المتواترة </w:t>
      </w:r>
      <w:r>
        <w:rPr>
          <w:rStyle w:val="FootnoteAnchor"/>
          <w:rtl w:val="true"/>
        </w:rPr>
        <w:footnoteReference w:id="1440"/>
      </w:r>
      <w:r>
        <w:rPr>
          <w:rFonts w:ascii="IRNazanin" w:hAnsi="IRNazanin" w:eastAsia="IRNazanin"/>
          <w:color w:val="111111"/>
          <w:sz w:val="28"/>
          <w:sz w:val="28"/>
          <w:szCs w:val="28"/>
          <w:rtl w:val="true"/>
          <w:lang w:bidi="fa-IR"/>
        </w:rPr>
        <w:t xml:space="preserve">قد دلّت علی عدم التساقط مع فقد المرجّح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2" w:name="__RefHeading___Toc5767967_3224264995"/>
      <w:bookmarkStart w:id="1493" w:name="_Toc592"/>
      <w:bookmarkEnd w:id="1492"/>
      <w:r>
        <w:rPr>
          <w:rtl w:val="true"/>
        </w:rPr>
        <w:t>ما هو الحکم بناء علی عدم التساقط؟</w:t>
      </w:r>
      <w:bookmarkEnd w:id="1493"/>
    </w:p>
    <w:p>
      <w:pPr>
        <w:pStyle w:val="BookText"/>
        <w:rPr/>
      </w:pPr>
      <w:r>
        <w:rPr>
          <w:rFonts w:ascii="IRNazanin" w:hAnsi="IRNazanin" w:eastAsia="IRNazanin"/>
          <w:color w:val="111111"/>
          <w:sz w:val="28"/>
          <w:sz w:val="28"/>
          <w:szCs w:val="28"/>
          <w:rtl w:val="true"/>
          <w:lang w:bidi="fa-IR"/>
        </w:rPr>
        <w:t>و حینئذ فهل یحکم بالتخییر،أو العمل بما طابق منهما الاحتیاط، أو بالاحتیاط و لو کان مخالفا لهما،کالجمع بین الظهر و الجمعة مع تصادم أدلّتهما،و کذا بین القصر و الإتمام؟وجوه</w:t>
      </w:r>
      <w:r>
        <w:rPr>
          <w:rFonts w:eastAsia="IRNazanin" w:cs="IRNazanin"/>
          <w:color w:val="111111"/>
          <w:sz w:val="28"/>
          <w:szCs w:val="28"/>
          <w:rtl w:val="true"/>
          <w:lang w:bidi="fa-IR"/>
        </w:rPr>
        <w:t>:</w:t>
      </w:r>
    </w:p>
    <w:p>
      <w:pPr>
        <w:pStyle w:val="Heading6"/>
        <w:numPr>
          <w:ilvl w:val="5"/>
          <w:numId w:val="1"/>
        </w:numPr>
        <w:rPr/>
      </w:pPr>
      <w:bookmarkStart w:id="1494" w:name="__RefHeading___Toc5767969_3224264995"/>
      <w:bookmarkStart w:id="1495" w:name="_Toc593"/>
      <w:bookmarkEnd w:id="1494"/>
      <w:r>
        <w:rPr>
          <w:rtl w:val="true"/>
        </w:rPr>
        <w:t>المشهور هو التخییر للأخبار المستفیضة الدالّة علی التخییر</w:t>
      </w:r>
      <w:r>
        <w:rPr>
          <w:rtl w:val="true"/>
        </w:rPr>
        <w:t>:</w:t>
      </w:r>
      <w:bookmarkEnd w:id="149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علیه جمهور المجتهدین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الأوّل؛للأخبار المستفیضة،بل المتواترة الدالّة علیه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1496" w:name="pg12985_125296"/>
    </w:p>
    <w:p>
      <w:pPr>
        <w:pStyle w:val="BookText"/>
        <w:rPr/>
      </w:pPr>
      <w:bookmarkEnd w:id="1496"/>
      <w:r>
        <w:rPr>
          <w:rFonts w:ascii="IRNazanin" w:hAnsi="IRNazanin" w:eastAsia="IRNazanin"/>
          <w:color w:val="111111"/>
          <w:sz w:val="28"/>
          <w:sz w:val="28"/>
          <w:szCs w:val="28"/>
          <w:rtl w:val="true"/>
          <w:lang w:bidi="fa-IR"/>
        </w:rPr>
        <w:t xml:space="preserve">و لا یعارضها عدا ما فی مرفوعة زرارة الآتیة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عن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الوجه الثانی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ضعیفة جدّا،و قد طعن فی ذلک التألیف </w:t>
      </w:r>
      <w:r>
        <w:rPr>
          <w:rStyle w:val="FootnoteAnchor"/>
          <w:rtl w:val="true"/>
        </w:rPr>
        <w:footnoteReference w:id="1445"/>
      </w:r>
      <w:r>
        <w:rPr>
          <w:rFonts w:ascii="Amiri" w:hAnsi="Amiri" w:eastAsia="Amiri" w:cs="Amiri"/>
          <w:color w:val="111111"/>
          <w:sz w:val="28"/>
          <w:sz w:val="28"/>
          <w:szCs w:val="28"/>
          <w:rtl w:val="true"/>
          <w:lang w:bidi="ar-SA"/>
        </w:rPr>
        <w:t xml:space="preserve">و فی مؤلّفه، المحدّث البحرانی قدّس سرّه فی مقدّمات الحدائق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5767971_3224264995"/>
      <w:bookmarkStart w:id="1498" w:name="_Toc594"/>
      <w:bookmarkEnd w:id="1497"/>
      <w:r>
        <w:rPr>
          <w:rtl w:val="true"/>
        </w:rPr>
        <w:t>أخبار التوقّف و الجواب عنها</w:t>
      </w:r>
      <w:bookmarkEnd w:id="1498"/>
    </w:p>
    <w:p>
      <w:pPr>
        <w:pStyle w:val="BookText"/>
        <w:rPr/>
      </w:pPr>
      <w:r>
        <w:rPr>
          <w:rFonts w:ascii="IRNazanin" w:hAnsi="IRNazanin" w:eastAsia="IRNazanin"/>
          <w:color w:val="111111"/>
          <w:sz w:val="28"/>
          <w:sz w:val="28"/>
          <w:szCs w:val="28"/>
          <w:rtl w:val="true"/>
          <w:lang w:bidi="fa-IR"/>
        </w:rPr>
        <w:t>و أمّا أخبار التوقّف الدالّة علی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التوقّف فی الفتوی یستلزم الاحتیاط فی العمل،کما فی 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صورة التمکّن من الوصول إلی الإمام علیه السّلام،کما 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ترک العمل و إرجاء الواقعة إلی لقاء الإمام علیه السّلام،لا العمل بها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حکم الشارع فی تلک الأخبار بالتخییر فی تکافؤ الخبرین لا یدلّ علی کون حجّیّة الأخبار من باب السببیّة بتوهّم أنه لو لا ذلک </w:t>
      </w:r>
      <w:r>
        <w:rPr>
          <w:rStyle w:val="FootnoteAnchor"/>
          <w:rtl w:val="true"/>
        </w:rPr>
        <w:footnoteReference w:id="1447"/>
      </w:r>
      <w:r>
        <w:rPr>
          <w:rFonts w:ascii="IRNazanin" w:hAnsi="IRNazanin" w:eastAsia="IRNazanin"/>
          <w:color w:val="111111"/>
          <w:sz w:val="28"/>
          <w:sz w:val="28"/>
          <w:szCs w:val="28"/>
          <w:rtl w:val="true"/>
          <w:lang w:bidi="fa-IR"/>
        </w:rPr>
        <w:t>لأوجب التوقّف؛لقوّة احتمال أن یکون التخییر حکما ظاهریّا عملیّا فی مورد التوقّف،لا حکما واقعیّا ناشئا من تزاحم الواجبین،بل الأخبار المشتملة علی الترجیحات و تعلیلاتها أصدق شاهد علی ما استظهرناه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 حجّیّة الأخبار من باب الطریقیّة،بل هو 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من جعلها من باب السببیّة </w:t>
      </w:r>
      <w:r>
        <w:rPr>
          <w:rStyle w:val="FootnoteAnchor"/>
          <w:rtl w:val="true"/>
        </w:rPr>
        <w:footnoteReference w:id="1448"/>
      </w:r>
      <w:r>
        <w:rPr>
          <w:rFonts w:ascii="IRNazanin" w:hAnsi="IRNazanin" w:eastAsia="IRNazanin"/>
          <w:color w:val="111111"/>
          <w:sz w:val="28"/>
          <w:sz w:val="28"/>
          <w:szCs w:val="28"/>
          <w:rtl w:val="true"/>
          <w:lang w:bidi="fa-IR"/>
        </w:rPr>
        <w:t xml:space="preserve">عدم إناطتها بالظنّ الشخصیّ،کما یظهر </w:t>
      </w:r>
      <w:r>
        <w:rPr>
          <w:rStyle w:val="FootnoteAnchor"/>
          <w:rtl w:val="true"/>
        </w:rPr>
        <w:footnoteReference w:id="1449"/>
      </w:r>
      <w:bookmarkStart w:id="1499" w:name="pg12985_125297"/>
    </w:p>
    <w:p>
      <w:pPr>
        <w:pStyle w:val="BookText"/>
        <w:rPr/>
      </w:pPr>
      <w:bookmarkEnd w:id="1499"/>
      <w:r>
        <w:rPr>
          <w:rFonts w:ascii="IRNazanin" w:hAnsi="IRNazanin" w:eastAsia="IRNazanin"/>
          <w:color w:val="111111"/>
          <w:sz w:val="28"/>
          <w:sz w:val="28"/>
          <w:szCs w:val="28"/>
          <w:rtl w:val="true"/>
          <w:lang w:bidi="fa-IR"/>
        </w:rPr>
        <w:t xml:space="preserve">من صاحب المعالم رحمه اللّه فی تقریر دلیل الانسداد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5767973_3224264995"/>
      <w:bookmarkStart w:id="1501" w:name="_Toc595"/>
      <w:bookmarkEnd w:id="1500"/>
      <w:r>
        <w:rPr>
          <w:rtl w:val="true"/>
        </w:rPr>
        <w:t>لو وقع التعادل للمجتهد فی عمل نفسه أو للمفتی لأجل الإفتاء</w:t>
      </w:r>
      <w:r>
        <w:rPr>
          <w:rtl w:val="true"/>
        </w:rPr>
        <w:t>:</w:t>
      </w:r>
      <w:bookmarkEnd w:id="1501"/>
    </w:p>
    <w:p>
      <w:pPr>
        <w:pStyle w:val="BookText"/>
        <w:rPr/>
      </w:pPr>
      <w:r>
        <w:rPr>
          <w:rFonts w:ascii="Amiri" w:hAnsi="Amiri" w:eastAsia="Amiri" w:cs="Amiri"/>
          <w:color w:val="111111"/>
          <w:sz w:val="28"/>
          <w:sz w:val="28"/>
          <w:szCs w:val="28"/>
          <w:rtl w:val="true"/>
          <w:lang w:bidi="ar-SA"/>
        </w:rPr>
        <w:t xml:space="preserve">ثمّ المحکیّ عن جماعة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ممّا لا خلاف فیه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التعادل إن وقع للمجتهد کان مخیّرا فی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للمفتی لأجل الإفتاء فحکمه أن یخیّر المستفتی،فیتخیّر فی العمل کالمفتی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الثانی؛فلأنّ نصب الشارع للأمارات و طریقیّتها یشمل المجتهد و المقلّد،إلاّ أنّ المقلّد عاجز عن القیام بشروط العمل بالأدلّة من حیث تشخیص مقتضیاتها و دفع موانعها،فإذا أثبت ذلک المجتهد، و أثبت </w:t>
      </w:r>
      <w:r>
        <w:rPr>
          <w:rStyle w:val="FootnoteAnchor"/>
          <w:rtl w:val="true"/>
        </w:rPr>
        <w:footnoteReference w:id="1453"/>
      </w:r>
      <w:r>
        <w:rPr>
          <w:rFonts w:ascii="IRNazanin" w:hAnsi="IRNazanin" w:eastAsia="IRNazanin"/>
          <w:color w:val="111111"/>
          <w:sz w:val="28"/>
          <w:sz w:val="28"/>
          <w:szCs w:val="28"/>
          <w:rtl w:val="true"/>
          <w:lang w:bidi="fa-IR"/>
        </w:rPr>
        <w:t xml:space="preserve">جواز العمل لکلّ </w:t>
      </w:r>
      <w:r>
        <w:rPr>
          <w:rStyle w:val="FootnoteAnchor"/>
          <w:rtl w:val="true"/>
        </w:rPr>
        <w:footnoteReference w:id="1454"/>
      </w:r>
      <w:r>
        <w:rPr>
          <w:rFonts w:ascii="IRNazanin" w:hAnsi="IRNazanin" w:eastAsia="IRNazanin"/>
          <w:color w:val="111111"/>
          <w:sz w:val="28"/>
          <w:sz w:val="28"/>
          <w:szCs w:val="28"/>
          <w:rtl w:val="true"/>
          <w:lang w:bidi="fa-IR"/>
        </w:rPr>
        <w:t>من الخبرین المتکافئین،المشترک بین المقلّد و المجتهد،تخیّر المقلّد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إیجاب مضمون أحد الخبرین علی المقلّد لم یقم علیه دلیل، فهو تشریع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التخییر للمفتی،فیفتی بما اختار؛لأنّه حکم </w:t>
      </w:r>
      <w:bookmarkStart w:id="1502" w:name="pg12985_125298"/>
    </w:p>
    <w:p>
      <w:pPr>
        <w:pStyle w:val="BookText"/>
        <w:rPr/>
      </w:pPr>
      <w:bookmarkEnd w:id="1502"/>
      <w:r>
        <w:rPr>
          <w:rFonts w:ascii="IRNazanin" w:hAnsi="IRNazanin" w:eastAsia="IRNazanin"/>
          <w:color w:val="111111"/>
          <w:sz w:val="28"/>
          <w:sz w:val="28"/>
          <w:szCs w:val="28"/>
          <w:rtl w:val="true"/>
          <w:lang w:bidi="fa-IR"/>
        </w:rPr>
        <w:t>للمتحیّر،و هو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هذا بالشکّ الحاصل للمجتهد فی بقاء الحکم الشرعیّ،مع أنّ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البناء علی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بینه و بین المقلّد؛لأنّ الشکّ هناک فی نفس الحکم الفرعیّ المشترک و له حکم مشترک،و التحیّر هنا فی الطریق إلی الحکم،فعلاجه بالتخییر مختصّ بمن یتصدّی لتعیین الطریق،کما أنّ العلاج بالترجیح مختصّ </w:t>
      </w:r>
      <w:r>
        <w:rPr>
          <w:rStyle w:val="FootnoteAnchor"/>
          <w:rtl w:val="true"/>
        </w:rPr>
        <w:footnoteReference w:id="145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راوی أحد الخبرین عند المقلّد أعدل و أوثق من الآخر؛لأنّه أخبر و أعرف به،مع تساویهما عند المجتهد أو انعکاس الأمر عنده،فلا عبرة بنظر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فرضنا تکافؤ قولی اللغویین فی معنی لفظ الروایة،فالعبرة بتخیّر </w:t>
      </w:r>
      <w:r>
        <w:rPr>
          <w:rStyle w:val="FootnoteAnchor"/>
          <w:rtl w:val="true"/>
        </w:rPr>
        <w:footnoteReference w:id="1456"/>
      </w:r>
      <w:r>
        <w:rPr>
          <w:rFonts w:ascii="IRNazanin" w:hAnsi="IRNazanin" w:eastAsia="IRNazanin"/>
          <w:color w:val="111111"/>
          <w:sz w:val="28"/>
          <w:sz w:val="28"/>
          <w:szCs w:val="28"/>
          <w:rtl w:val="true"/>
          <w:lang w:bidi="fa-IR"/>
        </w:rPr>
        <w:t xml:space="preserve">المجتهد،لا تخیّر </w:t>
      </w:r>
      <w:r>
        <w:rPr>
          <w:rStyle w:val="FootnoteAnchor"/>
          <w:rtl w:val="true"/>
        </w:rPr>
        <w:footnoteReference w:id="1457"/>
      </w:r>
      <w:r>
        <w:rPr>
          <w:rFonts w:ascii="IRNazanin" w:hAnsi="IRNazanin" w:eastAsia="IRNazanin"/>
          <w:color w:val="111111"/>
          <w:sz w:val="28"/>
          <w:sz w:val="28"/>
          <w:szCs w:val="28"/>
          <w:rtl w:val="true"/>
          <w:lang w:bidi="fa-IR"/>
        </w:rPr>
        <w:t>المقلّد بین حکم یتفرّع علی أحد القولین و آخر یتفرّع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محتاجة إلی التأمّل،و إن کان وجه المشهور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المفتی</w:t>
      </w:r>
      <w:r>
        <w:rPr>
          <w:rFonts w:eastAsia="IRNazanin" w:cs="IRNazanin"/>
          <w:color w:val="111111"/>
          <w:sz w:val="28"/>
          <w:szCs w:val="28"/>
          <w:rtl w:val="true"/>
          <w:lang w:bidi="fa-IR"/>
        </w:rPr>
        <w:t>.</w:t>
      </w:r>
    </w:p>
    <w:p>
      <w:pPr>
        <w:pStyle w:val="Heading5"/>
        <w:numPr>
          <w:ilvl w:val="4"/>
          <w:numId w:val="1"/>
        </w:numPr>
        <w:rPr/>
      </w:pPr>
      <w:bookmarkStart w:id="1503" w:name="__RefHeading___Toc5767975_3224264995"/>
      <w:bookmarkStart w:id="1504" w:name="_Toc596"/>
      <w:bookmarkEnd w:id="1503"/>
      <w:r>
        <w:rPr>
          <w:rtl w:val="true"/>
        </w:rPr>
        <w:t>لو وقع التعادل للحاکم و القاضی فالظاهر التخییر</w:t>
      </w:r>
      <w:r>
        <w:rPr>
          <w:rtl w:val="true"/>
        </w:rPr>
        <w:t>:</w:t>
      </w:r>
      <w:bookmarkEnd w:id="1504"/>
    </w:p>
    <w:p>
      <w:pPr>
        <w:pStyle w:val="Heading6"/>
        <w:numPr>
          <w:ilvl w:val="5"/>
          <w:numId w:val="1"/>
        </w:numPr>
        <w:rPr/>
      </w:pPr>
      <w:bookmarkStart w:id="1505" w:name="__RefHeading___Toc5767977_3224264995"/>
      <w:bookmarkStart w:id="1506" w:name="_Toc597"/>
      <w:bookmarkEnd w:id="1505"/>
      <w:r>
        <w:rPr>
          <w:rtl w:val="true"/>
        </w:rPr>
        <w:t>اشارة</w:t>
      </w:r>
      <w:bookmarkEnd w:id="150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الحاکم و القاضی،فالظاهر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یتخیّر أحدهما فیقضی به؛لأنّ القضاء و الحکم عمل له لا للغیر فهو المخیّر، و لما عن بعض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تخیّر </w:t>
      </w:r>
      <w:r>
        <w:rPr>
          <w:rStyle w:val="FootnoteAnchor"/>
          <w:rtl w:val="true"/>
        </w:rPr>
        <w:footnoteReference w:id="1460"/>
      </w:r>
      <w:r>
        <w:rPr>
          <w:rFonts w:ascii="IRNazanin" w:hAnsi="IRNazanin" w:eastAsia="IRNazanin"/>
          <w:color w:val="111111"/>
          <w:sz w:val="28"/>
          <w:sz w:val="28"/>
          <w:szCs w:val="28"/>
          <w:rtl w:val="true"/>
          <w:lang w:bidi="fa-IR"/>
        </w:rPr>
        <w:t>المتخاصمین لا یرتفع معه الخصومة</w:t>
      </w:r>
      <w:r>
        <w:rPr>
          <w:rFonts w:eastAsia="IRNazanin" w:cs="IRNazanin"/>
          <w:color w:val="111111"/>
          <w:sz w:val="28"/>
          <w:szCs w:val="28"/>
          <w:rtl w:val="true"/>
          <w:lang w:bidi="fa-IR"/>
        </w:rPr>
        <w:t xml:space="preserve">. </w:t>
      </w:r>
      <w:bookmarkStart w:id="1507" w:name="pg12985_125299"/>
    </w:p>
    <w:p>
      <w:pPr>
        <w:pStyle w:val="Heading6"/>
        <w:numPr>
          <w:ilvl w:val="5"/>
          <w:numId w:val="1"/>
        </w:numPr>
        <w:rPr/>
      </w:pPr>
      <w:bookmarkStart w:id="1508" w:name="__RefHeading___Toc5767979_3224264995"/>
      <w:bookmarkStart w:id="1509" w:name="_Toc598"/>
      <w:bookmarkEnd w:id="1507"/>
      <w:bookmarkEnd w:id="1508"/>
      <w:r>
        <w:rPr>
          <w:rtl w:val="true"/>
        </w:rPr>
        <w:t>هل التخییر بدویّ أو استمراری؟</w:t>
      </w:r>
      <w:bookmarkEnd w:id="1509"/>
    </w:p>
    <w:p>
      <w:pPr>
        <w:pStyle w:val="BookText"/>
        <w:rPr/>
      </w:pPr>
      <w:r>
        <w:rPr>
          <w:rFonts w:ascii="IRNazanin" w:hAnsi="IRNazanin" w:eastAsia="IRNazanin"/>
          <w:color w:val="111111"/>
          <w:sz w:val="28"/>
          <w:sz w:val="28"/>
          <w:szCs w:val="28"/>
          <w:rtl w:val="true"/>
          <w:lang w:bidi="fa-IR"/>
        </w:rPr>
        <w:t>و لو حکم علی طبق إحدی الأمارتین فی واقعة،فهل له الحکم علی طبق الاخری فی واقعة اخری؟</w:t>
      </w:r>
    </w:p>
    <w:p>
      <w:pPr>
        <w:pStyle w:val="BookText"/>
        <w:rPr/>
      </w:pPr>
      <w:r>
        <w:rPr>
          <w:rFonts w:ascii="IRNazanin" w:hAnsi="IRNazanin" w:eastAsia="IRNazanin"/>
          <w:color w:val="111111"/>
          <w:sz w:val="28"/>
          <w:sz w:val="28"/>
          <w:szCs w:val="28"/>
          <w:rtl w:val="true"/>
          <w:lang w:bidi="fa-IR"/>
        </w:rPr>
        <w:t xml:space="preserve">المحکیّ عن العلاّمة رحمه اللّه و غیره </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الجواز،بل حکی نسبته إلی المحقّقین </w:t>
      </w:r>
      <w:r>
        <w:rPr>
          <w:rStyle w:val="FootnoteAnchor"/>
          <w:rtl w:val="true"/>
        </w:rPr>
        <w:footnoteReference w:id="1462"/>
      </w:r>
      <w:r>
        <w:rPr>
          <w:rFonts w:ascii="IRNazanin" w:hAnsi="IRNazanin" w:eastAsia="IRNazanin"/>
          <w:color w:val="111111"/>
          <w:sz w:val="28"/>
          <w:sz w:val="28"/>
          <w:szCs w:val="28"/>
          <w:rtl w:val="true"/>
          <w:lang w:bidi="fa-IR"/>
        </w:rPr>
        <w:t>لما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فی العقل ما یدلّ علی خلاف ذلک،و لا یستبعد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تغیّر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یدلّ دلیل شرعیّ خارج علی عدم جوازه،کما روی أنّ النبیّ صلی اللّه علیه و آله و سلّم قال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تقض فی الشیء الواحد </w:t>
      </w:r>
      <w:r>
        <w:rPr>
          <w:rStyle w:val="FootnoteAnchor"/>
          <w:rtl w:val="true"/>
        </w:rPr>
        <w:footnoteReference w:id="1463"/>
      </w:r>
      <w:r>
        <w:rPr>
          <w:rFonts w:ascii="IRNazanin" w:hAnsi="IRNazanin" w:eastAsia="IRNazanin"/>
          <w:color w:val="111111"/>
          <w:sz w:val="28"/>
          <w:sz w:val="28"/>
          <w:szCs w:val="28"/>
          <w:rtl w:val="true"/>
          <w:lang w:bidi="fa-IR"/>
        </w:rPr>
        <w:t xml:space="preserve">بحکمین مختلفین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0" w:name="__RefHeading___Toc5767981_3224264995"/>
      <w:bookmarkStart w:id="1511" w:name="_Toc599"/>
      <w:bookmarkEnd w:id="1510"/>
      <w:r>
        <w:rPr>
          <w:rtl w:val="true"/>
        </w:rPr>
        <w:t>مختار المصنّف التخییر البدویّ</w:t>
      </w:r>
      <w:r>
        <w:rPr>
          <w:rtl w:val="true"/>
        </w:rPr>
        <w:t>:</w:t>
      </w:r>
      <w:bookmarkEnd w:id="151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الجواز؛لعدم الدلیل علیه؛لأنّ دلیل التخییر إن کان الأخبار الدالّة علیه،فالظاهر أنّها مسوقة لبیان وظیفة المتحیّر فی ابتداء الأمر،فلا إطلاق فیها بالنسبة إلی حال المتحیّر بعد الالتزام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العقل الحاکم بعدم جواز طرح کلیهما فهو ساکت من هذه الجهة أیضا </w:t>
      </w:r>
      <w:r>
        <w:rPr>
          <w:rStyle w:val="FootnoteAnchor"/>
          <w:rtl w:val="true"/>
        </w:rPr>
        <w:footnoteReference w:id="1465"/>
      </w:r>
      <w:r>
        <w:rPr>
          <w:rFonts w:ascii="IRNazanin" w:hAnsi="IRNazanin" w:eastAsia="IRNazanin"/>
          <w:color w:val="111111"/>
          <w:sz w:val="28"/>
          <w:sz w:val="28"/>
          <w:szCs w:val="28"/>
          <w:rtl w:val="true"/>
          <w:lang w:bidi="fa-IR"/>
        </w:rPr>
        <w:t xml:space="preserve">،و الأصل عدم حجّیّة الآخر له </w:t>
      </w:r>
      <w:r>
        <w:rPr>
          <w:rStyle w:val="FootnoteAnchor"/>
          <w:rtl w:val="true"/>
        </w:rPr>
        <w:footnoteReference w:id="1466"/>
      </w:r>
      <w:r>
        <w:rPr>
          <w:rFonts w:ascii="IRNazanin" w:hAnsi="IRNazanin" w:eastAsia="IRNazanin"/>
          <w:color w:val="111111"/>
          <w:sz w:val="28"/>
          <w:sz w:val="28"/>
          <w:szCs w:val="28"/>
          <w:rtl w:val="true"/>
          <w:lang w:bidi="fa-IR"/>
        </w:rPr>
        <w:t xml:space="preserve">بعد الالتزام </w:t>
      </w:r>
      <w:bookmarkStart w:id="1512" w:name="pg12985_125300"/>
    </w:p>
    <w:p>
      <w:pPr>
        <w:pStyle w:val="BookText"/>
        <w:rPr/>
      </w:pPr>
      <w:bookmarkEnd w:id="1512"/>
      <w:r>
        <w:rPr>
          <w:rFonts w:ascii="IRNazanin" w:hAnsi="IRNazanin" w:eastAsia="IRNazanin"/>
          <w:color w:val="111111"/>
          <w:sz w:val="28"/>
          <w:sz w:val="28"/>
          <w:szCs w:val="28"/>
          <w:rtl w:val="true"/>
          <w:lang w:bidi="fa-IR"/>
        </w:rPr>
        <w:t xml:space="preserve">بأحدهما،کما تقرّر فی دلیل عدم جواز العدول عن فتوی </w:t>
      </w:r>
      <w:r>
        <w:rPr>
          <w:rStyle w:val="FootnoteAnchor"/>
          <w:rtl w:val="true"/>
        </w:rPr>
        <w:footnoteReference w:id="1467"/>
      </w:r>
      <w:r>
        <w:rPr>
          <w:rFonts w:ascii="IRNazanin" w:hAnsi="IRNazanin" w:eastAsia="IRNazanin"/>
          <w:color w:val="111111"/>
          <w:sz w:val="28"/>
          <w:sz w:val="28"/>
          <w:szCs w:val="28"/>
          <w:rtl w:val="true"/>
          <w:lang w:bidi="fa-IR"/>
        </w:rPr>
        <w:t>مجتهد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الحکم بالتخییر فی المقام من باب تزاحم الواجبین کان الأقوی استمراره؛لأنّ المقتضی له فی السابق موجود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التخییر الظاهریّ فی تعارض الطریقین،فإنّ احتمال تعیین ما التزمه قائم،بخلاف التخییر الواقعیّ،فتأمّل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استصحاب التخییر غیر جار؛لأنّ الثابت سابقا ثبوت الاختیار لمن لم یتخیّر،فإثباته لمن اختار و التزم إثبات للحکم فی غیر موضوعه </w:t>
      </w:r>
      <w:r>
        <w:rPr>
          <w:rStyle w:val="FootnoteAnchor"/>
          <w:rtl w:val="true"/>
        </w:rPr>
        <w:footnoteReference w:id="1469"/>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 المعاصرین </w:t>
      </w:r>
      <w:r>
        <w:rPr>
          <w:rStyle w:val="FootnoteAnchor"/>
          <w:rtl w:val="true"/>
        </w:rPr>
        <w:footnoteReference w:id="1470"/>
      </w:r>
      <w:r>
        <w:rPr>
          <w:rFonts w:ascii="IRNazanin" w:hAnsi="IRNazanin" w:eastAsia="IRNazanin"/>
          <w:color w:val="111111"/>
          <w:sz w:val="28"/>
          <w:sz w:val="28"/>
          <w:szCs w:val="28"/>
          <w:rtl w:val="true"/>
          <w:lang w:bidi="fa-IR"/>
        </w:rPr>
        <w:t xml:space="preserve">رحمه اللّه استجود هنا کلام العلاّمة رحمه اللّه؛مع أنّه منع من العدول عن أمارة إلی اخری و عن مجتهد إلی آخر </w:t>
      </w:r>
      <w:r>
        <w:rPr>
          <w:rStyle w:val="FootnoteAnchor"/>
          <w:rtl w:val="true"/>
        </w:rPr>
        <w:footnoteReference w:id="147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1513" w:name="__RefHeading___Toc5767983_3224264995"/>
      <w:bookmarkStart w:id="1514" w:name="_Toc600"/>
      <w:bookmarkEnd w:id="1513"/>
      <w:r>
        <w:rPr>
          <w:rtl w:val="true"/>
        </w:rPr>
        <w:t>حکم التعادل فی الأمارات المنصوبة فی غیر الأحکام</w:t>
      </w:r>
      <w:r>
        <w:rPr>
          <w:rtl w:val="true"/>
        </w:rPr>
        <w:t>:</w:t>
      </w:r>
      <w:bookmarkEnd w:id="151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التعادل فی الأمارات المنصوبة فی غیر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أقوال أهل اللغة و أهل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التوقّف؛لأنّ الظاهر اعتبارها من حیث الطریقیّة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السببیّة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منوطا بالظنّ الفعلیّ،و قد عرفت أنّ اللازم فی تعادل ما هو من هذا القبیل التوقّف و الرجوع إلی ما یقتضیه الأصل فی ذلک المقام</w:t>
      </w:r>
      <w:r>
        <w:rPr>
          <w:rFonts w:eastAsia="IRNazanin" w:cs="IRNazanin"/>
          <w:color w:val="111111"/>
          <w:sz w:val="28"/>
          <w:szCs w:val="28"/>
          <w:rtl w:val="true"/>
          <w:lang w:bidi="fa-IR"/>
        </w:rPr>
        <w:t xml:space="preserve">. </w:t>
      </w:r>
      <w:bookmarkStart w:id="1515" w:name="pg12985_125301"/>
    </w:p>
    <w:p>
      <w:pPr>
        <w:pStyle w:val="BookText"/>
        <w:rPr/>
      </w:pPr>
      <w:bookmarkEnd w:id="1515"/>
      <w:r>
        <w:rPr>
          <w:rFonts w:ascii="IRNazanin" w:hAnsi="IRNazanin" w:eastAsia="IRNazanin"/>
          <w:color w:val="111111"/>
          <w:sz w:val="28"/>
          <w:sz w:val="28"/>
          <w:szCs w:val="28"/>
          <w:rtl w:val="true"/>
          <w:lang w:bidi="fa-IR"/>
        </w:rPr>
        <w:t>إلاّ أنّه إن جعلنا الأصل من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المشهور و سیجیء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التعادل بین الأمارتین إلاّ بعد عدم موافقة شیء منهما للأصل،و المفروض عدم جواز الرجوع إلی الثالث؛لأنّه طرح للأمارتین،فالأصل الذی یرجع إلیه هو الأصل فی المسألة المتفرّعة علی مورد التعارض،کما لو فرضنا تعادل أقوال أهل اللغة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 فی الأضحیة،فإنّه یرجع إلی الأصل فی المسألة الفرعیّة</w:t>
      </w:r>
      <w:r>
        <w:rPr>
          <w:rFonts w:eastAsia="IRNazanin" w:cs="IRNazanin"/>
          <w:color w:val="111111"/>
          <w:sz w:val="28"/>
          <w:szCs w:val="28"/>
          <w:rtl w:val="true"/>
          <w:lang w:bidi="fa-IR"/>
        </w:rPr>
        <w:t>.</w:t>
      </w:r>
    </w:p>
    <w:p>
      <w:pPr>
        <w:pStyle w:val="Heading6"/>
        <w:numPr>
          <w:ilvl w:val="5"/>
          <w:numId w:val="1"/>
        </w:numPr>
        <w:rPr/>
      </w:pPr>
      <w:bookmarkStart w:id="1516" w:name="__RefHeading___Toc5767985_3224264995"/>
      <w:bookmarkStart w:id="1517" w:name="_Toc601"/>
      <w:bookmarkEnd w:id="1516"/>
      <w:r>
        <w:rPr>
          <w:rtl w:val="true"/>
        </w:rPr>
        <w:t>لا بدّ من الفحص عن المرجّحات فی المتعارضین</w:t>
      </w:r>
      <w:r>
        <w:rPr>
          <w:rtl w:val="true"/>
        </w:rPr>
        <w:t>:</w:t>
      </w:r>
      <w:bookmarkEnd w:id="1517"/>
    </w:p>
    <w:p>
      <w:pPr>
        <w:pStyle w:val="BookText"/>
        <w:rPr/>
      </w:pPr>
      <w:r>
        <w:rPr>
          <w:rFonts w:ascii="IRNazanin" w:hAnsi="IRNazanin" w:eastAsia="IRNazanin"/>
          <w:color w:val="111111"/>
          <w:sz w:val="28"/>
          <w:sz w:val="28"/>
          <w:szCs w:val="28"/>
          <w:rtl w:val="true"/>
          <w:lang w:bidi="fa-IR"/>
        </w:rPr>
        <w:t>بقی هنا ما یجب التنبیه علیه خاتمة للتخییر و مقدّمة للترجیح،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الرجوع إلی التخییر غیر جائز </w:t>
      </w:r>
      <w:r>
        <w:rPr>
          <w:rStyle w:val="FootnoteAnchor"/>
          <w:rtl w:val="true"/>
        </w:rPr>
        <w:footnoteReference w:id="1473"/>
      </w:r>
      <w:r>
        <w:rPr>
          <w:rFonts w:ascii="IRNazanin" w:hAnsi="IRNazanin" w:eastAsia="IRNazanin"/>
          <w:color w:val="111111"/>
          <w:sz w:val="28"/>
          <w:sz w:val="28"/>
          <w:szCs w:val="28"/>
          <w:rtl w:val="true"/>
          <w:lang w:bidi="fa-IR"/>
        </w:rPr>
        <w:t>إلاّ بعد الفحص التامّ عن المرجّحات؛لأنّ مأخذ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هو العقل الحاکم بأنّ عدم إمکان الجمع فی العمل لا یوجب إلاّ طرح البعض،فهو لا یستقلّ بالتخییر فی المأخوذ و المطروح إلاّ بعد عدم مزیّة فی أحدهما اعتبرها الشارع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بعدمها لا یمکن إلاّ بعد القطع بالعدم،أو الظنّ المعتبر،أو إجراء أصالة العدم التی لا تعتبر فیما له دخل فی الأحکام الشرعیّة الکلّیة إلاّ بعد الفحص التامّ،مع أنّ أصالة العدم لا تجدی فی استقلال العقل بالتخییر، کما لا یخفی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مأخذه الأخبار،فالمتراءی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سکوت بعضها عن جمیع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جواز الأخذ بالتخییر ابتداء، </w:t>
      </w:r>
    </w:p>
    <w:p>
      <w:pPr>
        <w:pStyle w:val="BookText"/>
        <w:rPr/>
      </w:pPr>
      <w:r>
        <w:rPr>
          <w:rFonts w:ascii="IRNazanin" w:hAnsi="IRNazanin" w:eastAsia="IRNazanin"/>
          <w:color w:val="111111"/>
          <w:sz w:val="28"/>
          <w:sz w:val="28"/>
          <w:szCs w:val="28"/>
          <w:rtl w:val="true"/>
          <w:lang w:bidi="fa-IR"/>
        </w:rPr>
        <w:t>إلاّ أنّه یکفی فی تقییدها دلالة بعضها الآخر علی وجوب الترجیح ببعض المرجّحات المذکورة فیها،المتوقّف علی الفحص عنها،المتمّمة فیما لم یذکر فیها من المرجّحات المعتبرة بعدم القول بالفصل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لزوم الهرج و المرج،نظیر ما یلزم من العمل بالاصول العملیّة و اللفظیّة قبل الفحص</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الإجماع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من یری وجوب العمل بالراجح من الأمارتین؛فإنّ الخلاف و إن وقع من جماعة </w:t>
      </w:r>
      <w:r>
        <w:rPr>
          <w:rStyle w:val="FootnoteAnchor"/>
          <w:rtl w:val="true"/>
        </w:rPr>
        <w:footnoteReference w:id="1474"/>
      </w:r>
      <w:r>
        <w:rPr>
          <w:rFonts w:ascii="IRNazanin" w:hAnsi="IRNazanin" w:eastAsia="IRNazanin"/>
          <w:color w:val="111111"/>
          <w:sz w:val="28"/>
          <w:sz w:val="28"/>
          <w:szCs w:val="28"/>
          <w:rtl w:val="true"/>
          <w:lang w:bidi="fa-IR"/>
        </w:rPr>
        <w:t>فی وجوب العمل بالراجح من الأمارتین و عدم وجوبه لعدم اعتبار الظنّ فی أحد الطرفین،إلاّ أنّ من أوجب العمل بالراجح أوجب الفحص عنه،و لم یجعله واجبا مشروطا بالاطّلاع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حینئذ،فیجب علی المجتهد الفحص التامّ عن وجود المرجّح لإحدی الأمارتین</w:t>
      </w:r>
      <w:r>
        <w:rPr>
          <w:rFonts w:eastAsia="IRNazanin" w:cs="IRNazanin"/>
          <w:color w:val="111111"/>
          <w:sz w:val="28"/>
          <w:szCs w:val="28"/>
          <w:rtl w:val="true"/>
          <w:lang w:bidi="fa-IR"/>
        </w:rPr>
        <w:t xml:space="preserve">. </w:t>
      </w:r>
      <w:bookmarkStart w:id="1518" w:name="pg12985_125303"/>
    </w:p>
    <w:p>
      <w:pPr>
        <w:pStyle w:val="Heading4"/>
        <w:numPr>
          <w:ilvl w:val="3"/>
          <w:numId w:val="1"/>
        </w:numPr>
        <w:rPr/>
      </w:pPr>
      <w:bookmarkStart w:id="1519" w:name="__RefHeading___Toc5767987_3224264995"/>
      <w:bookmarkStart w:id="1520" w:name="_Toc602"/>
      <w:bookmarkEnd w:id="1518"/>
      <w:bookmarkEnd w:id="1519"/>
      <w:r>
        <w:rPr>
          <w:rtl w:val="true"/>
        </w:rPr>
        <w:t>المقام الثانی</w:t>
      </w:r>
      <w:r>
        <w:rPr>
          <w:rtl w:val="true"/>
        </w:rPr>
        <w:t xml:space="preserve">: </w:t>
      </w:r>
      <w:r>
        <w:rPr>
          <w:rtl w:val="true"/>
        </w:rPr>
        <w:t>فی التراجیح تعریف الترجیح</w:t>
      </w:r>
      <w:r>
        <w:rPr>
          <w:rtl w:val="true"/>
        </w:rPr>
        <w:t>:</w:t>
      </w:r>
      <w:bookmarkEnd w:id="1520"/>
    </w:p>
    <w:p>
      <w:pPr>
        <w:pStyle w:val="Heading5"/>
        <w:numPr>
          <w:ilvl w:val="4"/>
          <w:numId w:val="1"/>
        </w:numPr>
        <w:rPr/>
      </w:pPr>
      <w:bookmarkStart w:id="1521" w:name="__RefHeading___Toc5767989_3224264995"/>
      <w:bookmarkStart w:id="1522" w:name="_Toc603"/>
      <w:bookmarkEnd w:id="1521"/>
      <w:r>
        <w:rPr>
          <w:rtl w:val="true"/>
        </w:rPr>
        <w:t>اشارة</w:t>
      </w:r>
      <w:bookmarkEnd w:id="1522"/>
    </w:p>
    <w:p>
      <w:pPr>
        <w:pStyle w:val="BookText"/>
        <w:rPr/>
      </w:pPr>
      <w:r>
        <w:rPr>
          <w:rFonts w:ascii="IRNazanin" w:hAnsi="IRNazanin" w:eastAsia="IRNazanin"/>
          <w:color w:val="111111"/>
          <w:sz w:val="28"/>
          <w:sz w:val="28"/>
          <w:szCs w:val="28"/>
          <w:rtl w:val="true"/>
          <w:lang w:bidi="fa-IR"/>
        </w:rPr>
        <w:t>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إحدی الأمارتین علی الاخری فی العمل؛لمزیّة لها علیها بوجه من الوجوه</w:t>
      </w:r>
      <w:r>
        <w:rPr>
          <w:rFonts w:eastAsia="IRNazanin" w:cs="IRNazanin"/>
          <w:color w:val="111111"/>
          <w:sz w:val="28"/>
          <w:szCs w:val="28"/>
          <w:rtl w:val="true"/>
          <w:lang w:bidi="fa-IR"/>
        </w:rPr>
        <w:t>.</w:t>
      </w:r>
    </w:p>
    <w:p>
      <w:pPr>
        <w:pStyle w:val="Heading5"/>
        <w:numPr>
          <w:ilvl w:val="4"/>
          <w:numId w:val="1"/>
        </w:numPr>
        <w:rPr/>
      </w:pPr>
      <w:bookmarkStart w:id="1523" w:name="__RefHeading___Toc5767991_3224264995"/>
      <w:bookmarkStart w:id="1524" w:name="_Toc604"/>
      <w:bookmarkEnd w:id="1523"/>
      <w:r>
        <w:rPr>
          <w:rtl w:val="true"/>
        </w:rPr>
        <w:t>هنا مقامات</w:t>
      </w:r>
      <w:r>
        <w:rPr>
          <w:rtl w:val="true"/>
        </w:rPr>
        <w:t>:</w:t>
      </w:r>
      <w:bookmarkEnd w:id="1524"/>
    </w:p>
    <w:p>
      <w:pPr>
        <w:pStyle w:val="Heading6"/>
        <w:numPr>
          <w:ilvl w:val="5"/>
          <w:numId w:val="1"/>
        </w:numPr>
        <w:rPr/>
      </w:pPr>
      <w:bookmarkStart w:id="1525" w:name="__RefHeading___Toc5767993_3224264995"/>
      <w:bookmarkStart w:id="1526" w:name="_Toc605"/>
      <w:bookmarkEnd w:id="1525"/>
      <w:r>
        <w:rPr>
          <w:rtl w:val="true"/>
        </w:rPr>
        <w:t>اشارة</w:t>
      </w:r>
      <w:bookmarkEnd w:id="1526"/>
    </w:p>
    <w:p>
      <w:pPr>
        <w:pStyle w:val="BookText"/>
        <w:rPr/>
      </w:pP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ترجیح أحد الخبرین بالمزیّة الداخلیّة أو الخارجیّة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المزایا المنصوصة،و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الاقتصار علیها أو التعدّی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المرجّحات الداخلیّة و الخارجیّة</w:t>
      </w:r>
      <w:r>
        <w:rPr>
          <w:rFonts w:eastAsia="IRNazanin" w:cs="IRNazanin"/>
          <w:color w:val="111111"/>
          <w:sz w:val="28"/>
          <w:szCs w:val="28"/>
          <w:rtl w:val="true"/>
          <w:lang w:bidi="fa-IR"/>
        </w:rPr>
        <w:t>.</w:t>
      </w:r>
    </w:p>
    <w:p>
      <w:pPr>
        <w:pStyle w:val="Heading6"/>
        <w:numPr>
          <w:ilvl w:val="5"/>
          <w:numId w:val="1"/>
        </w:numPr>
        <w:rPr/>
      </w:pPr>
      <w:bookmarkStart w:id="1527" w:name="__RefHeading___Toc5767995_3224264995"/>
      <w:bookmarkStart w:id="1528" w:name="_Toc606"/>
      <w:bookmarkEnd w:id="1527"/>
      <w:r>
        <w:rPr>
          <w:rtl w:val="true"/>
        </w:rPr>
        <w:t xml:space="preserve">أمّا المقام الأوّل </w:t>
      </w:r>
      <w:r>
        <w:rPr>
          <w:rtl w:val="true"/>
        </w:rPr>
        <w:t>:</w:t>
      </w:r>
      <w:r>
        <w:rPr>
          <w:rtl w:val="true"/>
        </w:rPr>
        <w:t>المشهور وجوب الترجیح و الاستدلال علیه</w:t>
      </w:r>
      <w:bookmarkEnd w:id="152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فالمشهور فیه وجوب الترجیح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جماعة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p>
    <w:p>
      <w:pPr>
        <w:pStyle w:val="BookText"/>
        <w:rPr/>
      </w:pPr>
      <w:r>
        <w:rPr>
          <w:rFonts w:ascii="IRNazanin" w:hAnsi="IRNazanin" w:eastAsia="IRNazanin"/>
          <w:color w:val="111111"/>
          <w:sz w:val="28"/>
          <w:sz w:val="28"/>
          <w:szCs w:val="28"/>
          <w:rtl w:val="true"/>
          <w:lang w:bidi="fa-IR"/>
        </w:rPr>
        <w:t>الباقلانی و الجبّائیان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الاعتبار بالمزیّة و جریان حکم التعادل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الإجماع المحقّق و السیرة القطعیّة و المحکیّة عن الخلف و السلف </w:t>
      </w:r>
      <w:r>
        <w:rPr>
          <w:rStyle w:val="FootnoteAnchor"/>
          <w:rtl w:val="true"/>
        </w:rPr>
        <w:footnoteReference w:id="1477"/>
      </w:r>
      <w:r>
        <w:rPr>
          <w:rFonts w:ascii="IRNazanin" w:hAnsi="IRNazanin" w:eastAsia="IRNazanin"/>
          <w:color w:val="111111"/>
          <w:sz w:val="28"/>
          <w:sz w:val="28"/>
          <w:szCs w:val="28"/>
          <w:rtl w:val="true"/>
          <w:lang w:bidi="fa-IR"/>
        </w:rPr>
        <w:t xml:space="preserve">و تواتر الأخبار </w:t>
      </w:r>
      <w:r>
        <w:rPr>
          <w:rStyle w:val="FootnoteAnchor"/>
          <w:rtl w:val="true"/>
        </w:rPr>
        <w:footnoteReference w:id="1478"/>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المتعارضین </w:t>
      </w:r>
      <w:r>
        <w:rPr>
          <w:rStyle w:val="FootnoteAnchor"/>
          <w:rtl w:val="true"/>
        </w:rPr>
        <w:footnoteReference w:id="1479"/>
      </w:r>
      <w:r>
        <w:rPr>
          <w:rFonts w:ascii="IRNazanin" w:hAnsi="IRNazanin" w:eastAsia="IRNazanin"/>
          <w:color w:val="111111"/>
          <w:sz w:val="28"/>
          <w:sz w:val="28"/>
          <w:szCs w:val="28"/>
          <w:rtl w:val="true"/>
          <w:lang w:bidi="fa-IR"/>
        </w:rPr>
        <w:t>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جواز طرحهما معا،إمّا التخییر لو کانت الحجّیة من باب الموضوعیّة و السببیّة،و إمّا التوقّف لو کانت من باب الطریقیّة،و مرجع التوقّف أیضا إلی التخییر إذا لم نجعل الأصل من المرجّحات أو فرضنا الکلام فی مخالفی الأصل؛ إذ علی تقدیر الترجیح بالأصل یخرج صورة مطابقة أحدهما للأصل عن مورد التعادل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بالتخییر،علی تقدیر فقده أو کونه مرجعا،بناء علی أنّ الحکم فی المتعادلین مطلقا التخییر،لا الرجوع إلی </w:t>
      </w:r>
      <w:r>
        <w:rPr>
          <w:rStyle w:val="FootnoteAnchor"/>
          <w:rtl w:val="true"/>
        </w:rPr>
        <w:footnoteReference w:id="1481"/>
      </w:r>
      <w:r>
        <w:rPr>
          <w:rFonts w:ascii="IRNazanin" w:hAnsi="IRNazanin" w:eastAsia="IRNazanin"/>
          <w:color w:val="111111"/>
          <w:sz w:val="28"/>
          <w:sz w:val="28"/>
          <w:szCs w:val="28"/>
          <w:rtl w:val="true"/>
          <w:lang w:bidi="fa-IR"/>
        </w:rPr>
        <w:t xml:space="preserve">الأصل المطابق لأحدهما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التخییر </w:t>
      </w:r>
      <w:r>
        <w:rPr>
          <w:rStyle w:val="FootnoteAnchor"/>
          <w:rtl w:val="true"/>
        </w:rPr>
        <w:footnoteReference w:id="1483"/>
      </w:r>
      <w:r>
        <w:rPr>
          <w:rFonts w:ascii="IRNazanin" w:hAnsi="IRNazanin" w:eastAsia="IRNazanin"/>
          <w:color w:val="111111"/>
          <w:sz w:val="28"/>
          <w:sz w:val="28"/>
          <w:szCs w:val="28"/>
          <w:rtl w:val="true"/>
          <w:lang w:bidi="fa-IR"/>
        </w:rPr>
        <w:t>إمّا بالنقل و إمّا بالعقل،أمّا النقل فقد قیّد فیه التخییر بفقد المرجّح،و به یقیّد ما اطلق فیه التخییر،و أمّا العقل فلا یدلّ علی التخییر بعد احتمال اعتبار الشارع للمزیّة و تعیین العمل بذیها</w:t>
      </w:r>
      <w:r>
        <w:rPr>
          <w:rFonts w:eastAsia="IRNazanin" w:cs="IRNazanin"/>
          <w:color w:val="111111"/>
          <w:sz w:val="28"/>
          <w:szCs w:val="28"/>
          <w:rtl w:val="true"/>
          <w:lang w:bidi="fa-IR"/>
        </w:rPr>
        <w:t xml:space="preserve">. </w:t>
      </w:r>
      <w:bookmarkStart w:id="1529" w:name="pg12985_125305"/>
    </w:p>
    <w:p>
      <w:pPr>
        <w:pStyle w:val="BookText"/>
        <w:rPr/>
      </w:pPr>
      <w:bookmarkEnd w:id="1529"/>
      <w:r>
        <w:rPr>
          <w:rFonts w:ascii="IRNazanin" w:hAnsi="IRNazanin" w:eastAsia="IRNazanin"/>
          <w:color w:val="111111"/>
          <w:sz w:val="28"/>
          <w:sz w:val="28"/>
          <w:szCs w:val="28"/>
          <w:rtl w:val="true"/>
          <w:lang w:bidi="fa-IR"/>
        </w:rPr>
        <w:t>و لا یندفع هذا الاحتمال بإطلاق أدلّة العمل بالأخبار؛لأنّها فی مقام تعیین العمل بکلّ من المتعارضین مع الإمکان،لکن صورة التعارض لیست من صور إمکان العمل بکلّ منهما،و إلاّ لتعیّن العمل بکلیهما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 إنّما یستفید من ذلک الحکم المعلّق بالإمکان عدم جواز طرح کلیهما </w:t>
      </w:r>
      <w:r>
        <w:rPr>
          <w:rStyle w:val="FootnoteAnchor"/>
          <w:rtl w:val="true"/>
        </w:rPr>
        <w:footnoteReference w:id="1484"/>
      </w:r>
      <w:r>
        <w:rPr>
          <w:rFonts w:ascii="IRNazanin" w:hAnsi="IRNazanin" w:eastAsia="IRNazanin"/>
          <w:color w:val="111111"/>
          <w:sz w:val="28"/>
          <w:sz w:val="28"/>
          <w:szCs w:val="28"/>
          <w:rtl w:val="true"/>
          <w:lang w:bidi="fa-IR"/>
        </w:rPr>
        <w:t>،لا التخییر بینهما،و إنّما یحکم بالتخییر بضمیمة أنّ تعیین أحدهما ترجیح بلا مرجّح،فإن استقلّ بعدم المرجّح حکم بالتخییر؛ لأنّه نتیجة عدم إمکان الجمع و عدم جواز الطرح و عدم وجود المرجّح لأحدهما،و إن لم یستقلّ بالمقدّمة الثالثة توقّف عن التخییر،فیکون العمل بالراجح معلوم الجواز و العمل بالمرجوح مشکوکا</w:t>
      </w:r>
      <w:r>
        <w:rPr>
          <w:rFonts w:eastAsia="IRNazanin" w:cs="IRNazanin"/>
          <w:color w:val="111111"/>
          <w:sz w:val="28"/>
          <w:szCs w:val="28"/>
          <w:rtl w:val="true"/>
          <w:lang w:bidi="fa-IR"/>
        </w:rPr>
        <w:t>.</w:t>
      </w:r>
    </w:p>
    <w:p>
      <w:pPr>
        <w:pStyle w:val="Heading6"/>
        <w:numPr>
          <w:ilvl w:val="5"/>
          <w:numId w:val="1"/>
        </w:numPr>
        <w:rPr/>
      </w:pPr>
      <w:bookmarkStart w:id="1530" w:name="__RefHeading___Toc5767997_3224264995"/>
      <w:bookmarkStart w:id="1531" w:name="_Toc607"/>
      <w:bookmarkEnd w:id="1530"/>
      <w:r>
        <w:rPr>
          <w:rtl w:val="true"/>
        </w:rPr>
        <w:t>المناقشة فی وجوب الترجیح</w:t>
      </w:r>
      <w:r>
        <w:rPr>
          <w:rtl w:val="true"/>
        </w:rPr>
        <w:t>:</w:t>
      </w:r>
      <w:bookmarkEnd w:id="1531"/>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الشیء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 الشیء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دلیل؛لأنّ التعبّد بخصوص الراجح إذا لم یعلم من الشارع کان الأصل عدمه،بل العمل به مع الشکّ یکون تشریعا،کالتعبّد بما لم یعلم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دار الأمر بین وجوب أحدهما علی التعیین و أحدهما علی البدل،فالأصل براءة الذمّة عن خصوص الواحد المعیّن،کما هو مذهب جماعة فی مسألة دوران الأمر بین التخییر و التعیین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2" w:name="__RefHeading___Toc5767999_3224264995"/>
      <w:bookmarkStart w:id="1533" w:name="_Toc608"/>
      <w:bookmarkEnd w:id="1532"/>
      <w:r>
        <w:rPr>
          <w:rtl w:val="true"/>
        </w:rPr>
        <w:t>الجواب عن المناقشة</w:t>
      </w:r>
      <w:r>
        <w:rPr>
          <w:rtl w:val="true"/>
        </w:rPr>
        <w:t>:</w:t>
      </w:r>
      <w:bookmarkEnd w:id="153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کون الترجیح کالحجّیة أمرا یجب ورود التعبّد به من الشارع مسلّم،إلاّ أنّ الالتزام بالعمل بما علم جواز العمل به من </w:t>
      </w:r>
      <w:bookmarkStart w:id="1534" w:name="pg12985_125306"/>
    </w:p>
    <w:p>
      <w:pPr>
        <w:pStyle w:val="BookText"/>
        <w:rPr/>
      </w:pPr>
      <w:bookmarkEnd w:id="1534"/>
      <w:r>
        <w:rPr>
          <w:rFonts w:ascii="IRNazanin" w:hAnsi="IRNazanin" w:eastAsia="IRNazanin"/>
          <w:color w:val="111111"/>
          <w:sz w:val="28"/>
          <w:sz w:val="28"/>
          <w:szCs w:val="28"/>
          <w:rtl w:val="true"/>
          <w:lang w:bidi="fa-IR"/>
        </w:rPr>
        <w:t xml:space="preserve">الشارع من دون استناد الالتزام </w:t>
      </w:r>
      <w:r>
        <w:rPr>
          <w:rStyle w:val="FootnoteAnchor"/>
          <w:rtl w:val="true"/>
        </w:rPr>
        <w:footnoteReference w:id="1486"/>
      </w:r>
      <w:r>
        <w:rPr>
          <w:rFonts w:ascii="IRNazanin" w:hAnsi="IRNazanin" w:eastAsia="IRNazanin"/>
          <w:color w:val="111111"/>
          <w:sz w:val="28"/>
          <w:sz w:val="28"/>
          <w:szCs w:val="28"/>
          <w:rtl w:val="true"/>
          <w:lang w:bidi="fa-IR"/>
        </w:rPr>
        <w:t xml:space="preserve">إلی إلزام الشارع </w:t>
      </w:r>
      <w:r>
        <w:rPr>
          <w:rStyle w:val="FootnoteAnchor"/>
          <w:rtl w:val="true"/>
        </w:rPr>
        <w:footnoteReference w:id="1487"/>
      </w:r>
      <w:r>
        <w:rPr>
          <w:rFonts w:ascii="IRNazanin" w:hAnsi="IRNazanin" w:eastAsia="IRNazanin"/>
          <w:color w:val="111111"/>
          <w:sz w:val="28"/>
          <w:sz w:val="28"/>
          <w:szCs w:val="28"/>
          <w:rtl w:val="true"/>
          <w:lang w:bidi="fa-IR"/>
        </w:rPr>
        <w:t xml:space="preserve">،احتیاط لا یجری فیه ما تقرّر فی وجه حرمة العمل بما وراء العلم،فراجع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الاحتیاط بالتزام ما دلّ أمارة غیر معتبرة علی وجوبه مع عدم </w:t>
      </w:r>
      <w:r>
        <w:rPr>
          <w:rStyle w:val="FootnoteAnchor"/>
          <w:rtl w:val="true"/>
        </w:rPr>
        <w:footnoteReference w:id="1489"/>
      </w:r>
      <w:r>
        <w:rPr>
          <w:rFonts w:ascii="IRNazanin" w:hAnsi="IRNazanin" w:eastAsia="IRNazanin"/>
          <w:color w:val="111111"/>
          <w:sz w:val="28"/>
          <w:sz w:val="28"/>
          <w:szCs w:val="28"/>
          <w:rtl w:val="true"/>
          <w:lang w:bidi="fa-IR"/>
        </w:rPr>
        <w:t xml:space="preserve">احتمال الحرمة أو العکس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5" w:name="__RefHeading___Toc5768001_3224264995"/>
      <w:bookmarkStart w:id="1536" w:name="_Toc609"/>
      <w:bookmarkEnd w:id="1535"/>
      <w:r>
        <w:rPr>
          <w:rtl w:val="true"/>
        </w:rPr>
        <w:t>عدم اندراج المسألة فی مسألة</w:t>
      </w:r>
      <w:r>
        <w:rPr>
          <w:rtl w:val="true"/>
        </w:rPr>
        <w:t>«</w:t>
      </w:r>
      <w:r>
        <w:rPr>
          <w:rtl w:val="true"/>
        </w:rPr>
        <w:t>دوران الأمر بین التعیین و التخییر</w:t>
      </w:r>
      <w:r>
        <w:rPr>
          <w:rtl w:val="true"/>
        </w:rPr>
        <w:t>»:</w:t>
      </w:r>
      <w:bookmarkEnd w:id="1536"/>
    </w:p>
    <w:p>
      <w:pPr>
        <w:pStyle w:val="BookText"/>
        <w:rPr/>
      </w:pPr>
      <w:r>
        <w:rPr>
          <w:rFonts w:ascii="IRNazanin" w:hAnsi="IRNazanin" w:eastAsia="IRNazanin"/>
          <w:color w:val="111111"/>
          <w:sz w:val="28"/>
          <w:sz w:val="28"/>
          <w:szCs w:val="28"/>
          <w:rtl w:val="true"/>
          <w:lang w:bidi="fa-IR"/>
        </w:rPr>
        <w:t>و أمّا إدراج المسألة فی مسألة دوران المکلّف به بین أحدهما المعیّن و أحدهما علی البدل،ففیه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ینفع بعد ما اخترنا فی تلک المسألة وجوب الاحتیاط و عدم جریان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منع اندراجها فی تلک المسألة؛لأنّ مرجع الشکّ فی المقام إلی الشکّ فی جواز العمل بالمرجوح،و لا ریب أنّ مقتضی القاعدة المنع عمّا لم یعلم جواز العمل به من الأمارات،و هی لیست مختصّة بما إذا شکّ فی أصل الحجّیة ابتداء،بل تشمل ما إذا شکّ فی الحجّیة الفعلیّة مع إحراز الحجّیة الشأنیّة،فإنّ المرجوح و إن کان حجّة فی نفسه،إلاّ أنّ حجّیته فعلا مع معارضة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جواز العمل به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معلوم،فالأخذ به و الفتوی بمؤدّاه تشریع محرّم بالأدلّة الأربعة</w:t>
      </w:r>
      <w:r>
        <w:rPr>
          <w:rFonts w:eastAsia="IRNazanin" w:cs="IRNazanin"/>
          <w:color w:val="111111"/>
          <w:sz w:val="28"/>
          <w:szCs w:val="28"/>
          <w:rtl w:val="true"/>
          <w:lang w:bidi="fa-IR"/>
        </w:rPr>
        <w:t>.</w:t>
      </w:r>
    </w:p>
    <w:p>
      <w:pPr>
        <w:pStyle w:val="Heading6"/>
        <w:numPr>
          <w:ilvl w:val="5"/>
          <w:numId w:val="1"/>
        </w:numPr>
        <w:rPr/>
      </w:pPr>
      <w:bookmarkStart w:id="1537" w:name="__RefHeading___Toc5768003_3224264995"/>
      <w:bookmarkStart w:id="1538" w:name="_Toc610"/>
      <w:bookmarkEnd w:id="1537"/>
      <w:r>
        <w:rPr>
          <w:rtl w:val="true"/>
        </w:rPr>
        <w:t>التحقیق فی المسألة</w:t>
      </w:r>
      <w:r>
        <w:rPr>
          <w:rtl w:val="true"/>
        </w:rPr>
        <w:t>:</w:t>
      </w:r>
      <w:bookmarkEnd w:id="15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إن قلنا بأنّ العمل بأحد المتعارضین فی الجملة </w:t>
      </w:r>
    </w:p>
    <w:p>
      <w:pPr>
        <w:pStyle w:val="BookText"/>
        <w:rPr/>
      </w:pPr>
      <w:r>
        <w:rPr>
          <w:rFonts w:ascii="IRNazanin" w:hAnsi="IRNazanin" w:eastAsia="IRNazanin"/>
          <w:color w:val="111111"/>
          <w:sz w:val="28"/>
          <w:sz w:val="28"/>
          <w:szCs w:val="28"/>
          <w:rtl w:val="true"/>
          <w:lang w:bidi="fa-IR"/>
        </w:rPr>
        <w:t>مستفاد من حکم الشارع به بدلیل الإجماع و الأخبار العلاجیّة،کان اللازم الالتزام بالراجح و طرح المرجوح و إن قلنا بأصالة البراءة عند دوران الأمر فی المکلّف به بین التعیین و التخییر؛لما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الشکّ فی جواز العمل بالمرجوح فعلا،و لا ینفع وجوب العمل به عینا فی نفسه مع قطع النظر عن المعارض،فهو کأمارة لم یثبت حجّیتها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نقل بذلک،بل قلنا باستفادة العمل بأحد المتعارضین من نفس أدلّة العمل بالأخبار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 بما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الأخبار من باب الطریقیّة و الکشف الغالبی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دلیل علی وجوب الترجیح بمجرّد قوّة فی أحد الخبرین؛لأنّ کلاّ منهما جامع لشرائط الطریقیّة،و التمانع یحصل بمجرّد ذلک،فیجب الرجوع إلی الاصول الموجودة فی تلک المسألة إذا لم تخالف کلا المتعارضین،فرفع الید عن مقتضی الأصل المحکّم فی کلّ </w:t>
      </w:r>
      <w:r>
        <w:rPr>
          <w:rStyle w:val="FootnoteAnchor"/>
          <w:rtl w:val="true"/>
        </w:rPr>
        <w:footnoteReference w:id="1492"/>
      </w:r>
      <w:r>
        <w:rPr>
          <w:rFonts w:ascii="IRNazanin" w:hAnsi="IRNazanin" w:eastAsia="IRNazanin"/>
          <w:color w:val="111111"/>
          <w:sz w:val="28"/>
          <w:sz w:val="28"/>
          <w:szCs w:val="28"/>
          <w:rtl w:val="true"/>
          <w:lang w:bidi="fa-IR"/>
        </w:rPr>
        <w:t xml:space="preserve">ما لم یکن طریق فعلیّ علی خلافه،بمجرّد مزیّة لم یعلم اعتبارها،لا وجه له؛لأنّ المعارض المخالف بمجرّده لیس طریقا فعلیّا؛لابتلائه بالمعارض الموافق للأصل،و المزیّة الموجودة لم یثبت تأثیرها فی دفع </w:t>
      </w:r>
      <w:r>
        <w:rPr>
          <w:rStyle w:val="FootnoteAnchor"/>
          <w:rtl w:val="true"/>
        </w:rPr>
        <w:footnoteReference w:id="1493"/>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العقل بوجوب العمل بأقرب الطریقین إلی الواقع، و هو الراجح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إنّما هو فیما کان بنفسه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کالأمارات المعتبرة لمجرّد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Style w:val="FootnoteAnchor"/>
          <w:rtl w:val="true"/>
        </w:rPr>
        <w:footnoteReference w:id="1494"/>
      </w:r>
      <w:r>
        <w:rPr>
          <w:rFonts w:ascii="IRNazanin" w:hAnsi="IRNazanin" w:eastAsia="IRNazanin"/>
          <w:color w:val="111111"/>
          <w:sz w:val="28"/>
          <w:sz w:val="28"/>
          <w:szCs w:val="28"/>
          <w:rtl w:val="true"/>
          <w:lang w:bidi="fa-IR"/>
        </w:rPr>
        <w:t>الطرق المعتبرة شرعا من حیث إفادة نوعها الظنّ و لیس اعتبارها منوطا بالظنّ،فالمتعارضان المفیدان منها بالنوع للظنّ فی نظر الشارع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القبیل؛لأنّ المفروض أنّ المعارض المرجوح لم یسقط من الحجّیّة الشأنیّة،کما یخرج الأمارة المعتبرة بوصف الظنّ عن الحجّیّة إذا کان معارضها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 قوّة الظنّ فی الترجیح فی تعارض ما لم ینط اعتباره بإفادة الظنّ أو بعدم الظنّ علی الخلاف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الأخبار من باب السببیّة 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فالمستفاد بحکم العقل من دلیل وجوب العمل بکلّ من المتعارضین مع الإمکان،کون وجوب العمل بکلّ منهما عینا مانعا عن وجوب العمل بالآخر کذلک،و لا تفاوت بین الوجوبین فی المانعیّة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مزیّة أحدهما علی الآخر بما یرجع إلی أقربیّته إلی الواقع لا یوجب کون وجوب العمل بالراجح مانعا عن العمل بالمرجوح دون العکس؛ لأنّ المانع بحکم العقل هو مجرّد الوجوب،و المفروض وجوده فی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هذا الحکم العقلیّ إهمال و إجمال و واقع مجهول حتّی یحتمل تعیین الراجح و وجوب طرح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العقل بالتخییر نتیجة وجوب العمل بکلّ منهما فی حدّ ذاته،و هذا الکلام مطّرد فی کلّ واجبین متزاحمین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الوجوب فی أحدها آکد و المطلوبیّة فیه أشدّ،استقلّ </w:t>
      </w:r>
      <w:bookmarkStart w:id="1539" w:name="pg12985_125309"/>
    </w:p>
    <w:p>
      <w:pPr>
        <w:pStyle w:val="BookText"/>
        <w:rPr/>
      </w:pPr>
      <w:bookmarkEnd w:id="1539"/>
      <w:r>
        <w:rPr>
          <w:rFonts w:ascii="IRNazanin" w:hAnsi="IRNazanin" w:eastAsia="IRNazanin"/>
          <w:color w:val="111111"/>
          <w:sz w:val="28"/>
          <w:sz w:val="28"/>
          <w:szCs w:val="28"/>
          <w:rtl w:val="true"/>
          <w:lang w:bidi="fa-IR"/>
        </w:rPr>
        <w:t>العقل عند التزاحم بوجوب ترک غیره،و کون وجوب الأهمّ مزاحما لوجوب غیره من دون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احتمل الأهمیّة فی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لیس کذلک قطعا؛فإنّ وجوب العمل بالراجح من الخبرین لیس آکد من وجوب العمل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عرفت فیما تقدّم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نقول بأصالة التخییر فی تعارض الأخبار،بل و لا غیرها من الأدلّة؛بناء علی أنّ الظاهر من أدلّتها و أدلّة حکم تعارضها کونها من باب الطریقیّة،و لازمه التوقّف و الرجوع إلی الأصل المطابق لأحدهما أو أحدهما المطابق للأصل،إلاّ أنّ الدلیل الشرعیّ دلّ علی وجوب العمل بأحد المتعارضین فی الجملة، و حیث کان ذلک بحکم الشرع فالمتیقّن من التخییر هو صورة تکافؤ الخبرین</w:t>
      </w:r>
      <w:r>
        <w:rPr>
          <w:rFonts w:eastAsia="IRNazanin" w:cs="IRNazanin"/>
          <w:color w:val="111111"/>
          <w:sz w:val="28"/>
          <w:szCs w:val="28"/>
          <w:rtl w:val="true"/>
          <w:lang w:bidi="fa-IR"/>
        </w:rPr>
        <w:t>.</w:t>
      </w:r>
    </w:p>
    <w:p>
      <w:pPr>
        <w:pStyle w:val="Heading6"/>
        <w:numPr>
          <w:ilvl w:val="5"/>
          <w:numId w:val="1"/>
        </w:numPr>
        <w:rPr/>
      </w:pPr>
      <w:bookmarkStart w:id="1540" w:name="__RefHeading___Toc5768005_3224264995"/>
      <w:bookmarkStart w:id="1541" w:name="_Toc611"/>
      <w:bookmarkEnd w:id="1540"/>
      <w:r>
        <w:rPr>
          <w:rtl w:val="true"/>
        </w:rPr>
        <w:t>الأصل وجوب العمل بالمرجّح،بل ما یحتمل کونه مرجّحا</w:t>
      </w:r>
      <w:bookmarkEnd w:id="1541"/>
    </w:p>
    <w:p>
      <w:pPr>
        <w:pStyle w:val="BookText"/>
        <w:rPr/>
      </w:pPr>
      <w:r>
        <w:rPr>
          <w:rFonts w:ascii="IRNazanin" w:hAnsi="IRNazanin" w:eastAsia="IRNazanin"/>
          <w:color w:val="111111"/>
          <w:sz w:val="28"/>
          <w:sz w:val="28"/>
          <w:szCs w:val="28"/>
          <w:rtl w:val="true"/>
          <w:lang w:bidi="fa-IR"/>
        </w:rPr>
        <w:t xml:space="preserve">أمّا مع مزیّة أحدهما علی الآخر من بعض الجهات فالمتیقّن هو جواز العمل بالراجح،و أمّا العمل بالمرجوح فلم یثبت،فلا یجوز الالتزام به </w:t>
      </w:r>
      <w:r>
        <w:rPr>
          <w:rStyle w:val="FootnoteAnchor"/>
          <w:rtl w:val="true"/>
        </w:rPr>
        <w:footnoteReference w:id="1496"/>
      </w:r>
      <w:r>
        <w:rPr>
          <w:rFonts w:ascii="IRNazanin" w:hAnsi="IRNazanin" w:eastAsia="IRNazanin"/>
          <w:color w:val="111111"/>
          <w:sz w:val="28"/>
          <w:sz w:val="28"/>
          <w:szCs w:val="28"/>
          <w:rtl w:val="true"/>
          <w:lang w:bidi="fa-IR"/>
        </w:rPr>
        <w:t>،فصار الأصل وجوب العمل بالراجح،و هو أصل ثانوی، بل الأصل فیما یحتمل کونه مرجّحا الترجیح به،إلاّ أن یرد علیه إطلاقات التخییر؛بناء علی وجوب الاقتصار فی تقییدها علی ما علم کونه مرجّحا</w:t>
      </w:r>
      <w:r>
        <w:rPr>
          <w:rFonts w:eastAsia="IRNazanin" w:cs="IRNazanin"/>
          <w:color w:val="111111"/>
          <w:sz w:val="28"/>
          <w:szCs w:val="28"/>
          <w:rtl w:val="true"/>
          <w:lang w:bidi="fa-IR"/>
        </w:rPr>
        <w:t>.</w:t>
      </w:r>
    </w:p>
    <w:p>
      <w:pPr>
        <w:pStyle w:val="Heading6"/>
        <w:numPr>
          <w:ilvl w:val="5"/>
          <w:numId w:val="1"/>
        </w:numPr>
        <w:rPr/>
      </w:pPr>
      <w:bookmarkStart w:id="1542" w:name="__RefHeading___Toc5768007_3224264995"/>
      <w:bookmarkStart w:id="1543" w:name="_Toc612"/>
      <w:bookmarkEnd w:id="1542"/>
      <w:r>
        <w:rPr>
          <w:rtl w:val="true"/>
        </w:rPr>
        <w:t>استدلال آخر علی وجوب الترجیح و المناقشة فیه</w:t>
      </w:r>
      <w:r>
        <w:rPr>
          <w:rtl w:val="true"/>
        </w:rPr>
        <w:t>:</w:t>
      </w:r>
      <w:bookmarkEnd w:id="154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وجوب الترجیح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لا ذلک لاختلّ نظم </w:t>
      </w:r>
      <w:bookmarkStart w:id="1544" w:name="pg12985_125310"/>
    </w:p>
    <w:p>
      <w:pPr>
        <w:pStyle w:val="BookText"/>
        <w:rPr/>
      </w:pPr>
      <w:bookmarkEnd w:id="1544"/>
      <w:r>
        <w:rPr>
          <w:rFonts w:ascii="IRNazanin" w:hAnsi="IRNazanin" w:eastAsia="IRNazanin"/>
          <w:color w:val="111111"/>
          <w:sz w:val="28"/>
          <w:sz w:val="28"/>
          <w:szCs w:val="28"/>
          <w:rtl w:val="true"/>
          <w:lang w:bidi="fa-IR"/>
        </w:rPr>
        <w:t>الاجتهاد،بل نظام الفقه؛من حیث لزوم التخییر بین الخاصّ و العامّ و المطلق و المقیّد و غیرهما من الظاهر و النصّ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خروج مثل هذه المعارضات عن محلّ النزاع؛ فإنّ الظاهر لا یعدّ معارضا للنصّ،إمّا لأنّ العمل به لأصالة عدم الصارف المندفعة بوجود النصّ،و إمّا لأنّ ذلک لا یعدّ تعارضا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النزاع فی غیر ذلک</w:t>
      </w:r>
      <w:r>
        <w:rPr>
          <w:rFonts w:eastAsia="IRNazanin" w:cs="IRNazanin"/>
          <w:color w:val="111111"/>
          <w:sz w:val="28"/>
          <w:szCs w:val="28"/>
          <w:rtl w:val="true"/>
          <w:lang w:bidi="fa-IR"/>
        </w:rPr>
        <w:t>.</w:t>
      </w:r>
    </w:p>
    <w:p>
      <w:pPr>
        <w:pStyle w:val="Heading6"/>
        <w:numPr>
          <w:ilvl w:val="5"/>
          <w:numId w:val="1"/>
        </w:numPr>
        <w:rPr/>
      </w:pPr>
      <w:bookmarkStart w:id="1545" w:name="__RefHeading___Toc5768009_3224264995"/>
      <w:bookmarkStart w:id="1546" w:name="_Toc613"/>
      <w:bookmarkEnd w:id="1545"/>
      <w:r>
        <w:rPr>
          <w:rtl w:val="true"/>
        </w:rPr>
        <w:t>ضعف القول بعدم وجوب الترجیح و ضعف دلیله</w:t>
      </w:r>
      <w:r>
        <w:rPr>
          <w:rtl w:val="true"/>
        </w:rPr>
        <w:t>:</w:t>
      </w:r>
      <w:bookmarkEnd w:id="1546"/>
    </w:p>
    <w:p>
      <w:pPr>
        <w:pStyle w:val="BookText"/>
        <w:rPr/>
      </w:pPr>
      <w:r>
        <w:rPr>
          <w:rFonts w:ascii="IRNazanin" w:hAnsi="IRNazanin" w:eastAsia="IRNazanin"/>
          <w:color w:val="111111"/>
          <w:sz w:val="28"/>
          <w:sz w:val="28"/>
          <w:szCs w:val="28"/>
          <w:rtl w:val="true"/>
          <w:lang w:bidi="fa-IR"/>
        </w:rPr>
        <w:t xml:space="preserve">و کیف کان،فقد ظهر ضعف القول المزبور و ضعف دلیله المذکور </w:t>
      </w:r>
      <w:r>
        <w:rPr>
          <w:rStyle w:val="FootnoteAnchor"/>
          <w:rtl w:val="true"/>
        </w:rPr>
        <w:footnoteReference w:id="1498"/>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الترجیح بقوّة الظنّ</w:t>
      </w:r>
      <w:r>
        <w:rPr>
          <w:rFonts w:eastAsia="IRNazanin" w:cs="IRNazanin"/>
          <w:color w:val="111111"/>
          <w:sz w:val="28"/>
          <w:szCs w:val="28"/>
          <w:rtl w:val="true"/>
          <w:lang w:bidi="fa-IR"/>
        </w:rPr>
        <w:t>.</w:t>
      </w:r>
    </w:p>
    <w:p>
      <w:pPr>
        <w:pStyle w:val="Heading6"/>
        <w:numPr>
          <w:ilvl w:val="5"/>
          <w:numId w:val="1"/>
        </w:numPr>
        <w:rPr/>
      </w:pPr>
      <w:bookmarkStart w:id="1547" w:name="__RefHeading___Toc5768011_3224264995"/>
      <w:bookmarkStart w:id="1548" w:name="_Toc614"/>
      <w:bookmarkEnd w:id="1547"/>
      <w:r>
        <w:rPr>
          <w:rtl w:val="true"/>
        </w:rPr>
        <w:t>اضعفیه دلیله الاخر</w:t>
      </w:r>
      <w:bookmarkEnd w:id="1548"/>
    </w:p>
    <w:p>
      <w:pPr>
        <w:pStyle w:val="BookText"/>
        <w:rPr/>
      </w:pPr>
      <w:r>
        <w:rPr>
          <w:rFonts w:ascii="IRNazanin" w:hAnsi="IRNazanin" w:eastAsia="IRNazanin"/>
          <w:color w:val="111111"/>
          <w:sz w:val="28"/>
          <w:sz w:val="28"/>
          <w:szCs w:val="28"/>
          <w:rtl w:val="true"/>
          <w:lang w:bidi="fa-IR"/>
        </w:rPr>
        <w:t>و أضعف من ذلک ما حکی عن النهایة،من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وجب الترجیح بین الأمارات فی الأحکام لوجب عند تعارض البیّنات، و التالی باطل؛لعدم تقدیم شهادة الأربعة علی الاثنین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9" w:name="__RefHeading___Toc5768013_3224264995"/>
      <w:bookmarkStart w:id="1550" w:name="_Toc615"/>
      <w:bookmarkEnd w:id="1549"/>
      <w:r>
        <w:rPr>
          <w:rtl w:val="true"/>
        </w:rPr>
        <w:t>جواب العلامه عن هذا الدلیل</w:t>
      </w:r>
      <w:bookmarkEnd w:id="1550"/>
    </w:p>
    <w:p>
      <w:pPr>
        <w:pStyle w:val="BookText"/>
        <w:rPr/>
      </w:pPr>
      <w:r>
        <w:rPr>
          <w:rFonts w:ascii="IRNazanin" w:hAnsi="IRNazanin" w:eastAsia="IRNazanin"/>
          <w:color w:val="111111"/>
          <w:sz w:val="28"/>
          <w:sz w:val="28"/>
          <w:szCs w:val="28"/>
          <w:rtl w:val="true"/>
          <w:lang w:bidi="fa-IR"/>
        </w:rPr>
        <w:t>و أجاب عنه فی محکیّ النهایة و 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بطلان التالی،و أنّه یقدّم شهادة الأربعة علی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سلّمنا،لکن عدم الترجیح فی الشهادة ربما کان مذهب أکثر الصحابة،و الترجیح هنا مذهب الجمیع </w:t>
      </w:r>
      <w:r>
        <w:rPr>
          <w:rStyle w:val="FootnoteAnchor"/>
          <w:rtl w:val="true"/>
        </w:rPr>
        <w:footnoteReference w:id="15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51" w:name="__RefHeading___Toc5768015_3224264995"/>
      <w:bookmarkStart w:id="1552" w:name="_Toc616"/>
      <w:bookmarkEnd w:id="1551"/>
      <w:r>
        <w:rPr>
          <w:rtl w:val="true"/>
        </w:rPr>
        <w:t>المناقشه فی جواب العلامه</w:t>
      </w:r>
      <w:bookmarkEnd w:id="155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الأخیر إلی أنّه لو لا الإجماع حکمنا بالترجیح فی البیّنات أیضا</w:t>
      </w:r>
      <w:r>
        <w:rPr>
          <w:rFonts w:eastAsia="IRNazanin" w:cs="IRNazanin"/>
          <w:color w:val="111111"/>
          <w:sz w:val="28"/>
          <w:szCs w:val="28"/>
          <w:rtl w:val="true"/>
          <w:lang w:bidi="fa-IR"/>
        </w:rPr>
        <w:t xml:space="preserve">. </w:t>
      </w:r>
      <w:bookmarkStart w:id="1553" w:name="pg12985_125311"/>
    </w:p>
    <w:p>
      <w:pPr>
        <w:pStyle w:val="BookText"/>
        <w:rPr/>
      </w:pPr>
      <w:bookmarkEnd w:id="1553"/>
      <w:r>
        <w:rPr>
          <w:rFonts w:ascii="IRNazanin" w:hAnsi="IRNazanin" w:eastAsia="IRNazanin"/>
          <w:color w:val="111111"/>
          <w:sz w:val="28"/>
          <w:sz w:val="28"/>
          <w:szCs w:val="28"/>
          <w:rtl w:val="true"/>
          <w:lang w:bidi="fa-IR"/>
        </w:rPr>
        <w:t xml:space="preserve">و یظهر ما فیه ممّا ذکرنا سابقا </w:t>
      </w:r>
      <w:r>
        <w:rPr>
          <w:rStyle w:val="FootnoteAnchor"/>
          <w:rtl w:val="true"/>
        </w:rPr>
        <w:footnoteReference w:id="1501"/>
      </w:r>
      <w:r>
        <w:rPr>
          <w:rFonts w:ascii="IRNazanin" w:hAnsi="IRNazanin" w:eastAsia="IRNazanin"/>
          <w:color w:val="111111"/>
          <w:sz w:val="28"/>
          <w:sz w:val="28"/>
          <w:szCs w:val="28"/>
          <w:rtl w:val="true"/>
          <w:lang w:bidi="fa-IR"/>
        </w:rPr>
        <w:t>فإنّا لو بنینا علی أنّ حجّیّة البیّنة من باب الطریقیّة،فاللازم مع التعارض التوقّف و الرجوع إلی ما یقتضیه الاصول فی ذلک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التحالف،أو القرعة،أو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علی حجّیّتها من باب السببیّة و الموضوعیّة،فقد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وجه للترجیح بمجرّد أقربیّة أحدهما إلی الواقع؛لعدم تفاوت الراجح و المرجوح فی الدخول فیما دلّ علی کون البیّنة سببا للحکم علی طبقها،و تمانعهما مستند إلی مجرّد سببیّة کلّ منهما،کما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أحدهما مانعا دون الآخر لا یحتمله العقل</w:t>
      </w:r>
      <w:r>
        <w:rPr>
          <w:rFonts w:eastAsia="IRNazanin" w:cs="IRNazanin"/>
          <w:color w:val="111111"/>
          <w:sz w:val="28"/>
          <w:szCs w:val="28"/>
          <w:rtl w:val="true"/>
          <w:lang w:bidi="fa-IR"/>
        </w:rPr>
        <w:t>.</w:t>
      </w:r>
    </w:p>
    <w:p>
      <w:pPr>
        <w:pStyle w:val="Heading6"/>
        <w:numPr>
          <w:ilvl w:val="5"/>
          <w:numId w:val="1"/>
        </w:numPr>
        <w:rPr/>
      </w:pPr>
      <w:bookmarkStart w:id="1554" w:name="__RefHeading___Toc5768017_3224264995"/>
      <w:bookmarkStart w:id="1555" w:name="_Toc617"/>
      <w:bookmarkEnd w:id="1554"/>
      <w:r>
        <w:rPr>
          <w:rtl w:val="true"/>
        </w:rPr>
        <w:t>حمل أخبار الترجیح علی الاستحباب فی کلام السیّد الصدر</w:t>
      </w:r>
      <w:r>
        <w:rPr>
          <w:rtl w:val="true"/>
        </w:rPr>
        <w:t>:</w:t>
      </w:r>
      <w:bookmarkEnd w:id="1555"/>
    </w:p>
    <w:p>
      <w:pPr>
        <w:pStyle w:val="BookText"/>
        <w:rPr/>
      </w:pPr>
      <w:r>
        <w:rPr>
          <w:rFonts w:ascii="IRNazanin" w:hAnsi="IRNazanin" w:eastAsia="IRNazanin"/>
          <w:color w:val="111111"/>
          <w:sz w:val="28"/>
          <w:sz w:val="28"/>
          <w:szCs w:val="28"/>
          <w:rtl w:val="true"/>
          <w:lang w:bidi="fa-IR"/>
        </w:rPr>
        <w:t>ثمّ إنّه یظهر من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للوافیة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فی المتعارضین من الأخبار إلی التخییر أو التوقّف </w:t>
      </w:r>
      <w:r>
        <w:rPr>
          <w:rStyle w:val="FootnoteAnchor"/>
          <w:rtl w:val="true"/>
        </w:rPr>
        <w:footnoteReference w:id="1502"/>
      </w:r>
      <w:r>
        <w:rPr>
          <w:rFonts w:ascii="IRNazanin" w:hAnsi="IRNazanin" w:eastAsia="IRNazanin"/>
          <w:color w:val="111111"/>
          <w:sz w:val="28"/>
          <w:sz w:val="28"/>
          <w:szCs w:val="28"/>
          <w:rtl w:val="true"/>
          <w:lang w:bidi="fa-IR"/>
        </w:rPr>
        <w:t>و الاحتیاط،و حمل أخبار الترجیح علی الاستحباب،حیث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إیراد إشکالات علی العمل بظاهر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عن الکلّ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التوقّف فی الفتوی و التخییر فی العمل إن لم یحصل من دلیل آخر العلم بعدم مطابقة أحد الخبرین للواقع،و أنّ الترجیح هو الفضل و الأولی</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6" w:name="__RefHeading___Toc5768019_3224264995"/>
      <w:bookmarkStart w:id="1557" w:name="_Toc618"/>
      <w:bookmarkEnd w:id="1556"/>
      <w:r>
        <w:rPr>
          <w:rtl w:val="true"/>
        </w:rPr>
        <w:t>المناقشة فی ما أفاده السیّد الصدر</w:t>
      </w:r>
      <w:r>
        <w:rPr>
          <w:rtl w:val="true"/>
        </w:rPr>
        <w:t>:</w:t>
      </w:r>
      <w:bookmarkEnd w:id="155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بعده عن مدلول أخبار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یحمل الأمر بالأخذ بما یخالف </w:t>
      </w:r>
      <w:r>
        <w:rPr>
          <w:rStyle w:val="FootnoteAnchor"/>
          <w:rtl w:val="true"/>
        </w:rPr>
        <w:footnoteReference w:id="1504"/>
      </w:r>
      <w:r>
        <w:rPr>
          <w:rFonts w:ascii="IRNazanin" w:hAnsi="IRNazanin" w:eastAsia="IRNazanin"/>
          <w:color w:val="111111"/>
          <w:sz w:val="28"/>
          <w:sz w:val="28"/>
          <w:szCs w:val="28"/>
          <w:rtl w:val="true"/>
          <w:lang w:bidi="fa-IR"/>
        </w:rPr>
        <w:t xml:space="preserve">العامّة و طرح ما وافقهم علی الاستحباب،خصوصا </w:t>
      </w:r>
    </w:p>
    <w:p>
      <w:pPr>
        <w:pStyle w:val="BookText"/>
        <w:rPr/>
      </w:pPr>
      <w:r>
        <w:rPr>
          <w:rFonts w:ascii="IRNazanin" w:hAnsi="IRNazanin" w:eastAsia="IRNazanin"/>
          <w:color w:val="111111"/>
          <w:sz w:val="28"/>
          <w:sz w:val="28"/>
          <w:szCs w:val="28"/>
          <w:rtl w:val="true"/>
          <w:lang w:bidi="fa-IR"/>
        </w:rPr>
        <w:t>مع التعلیل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 فی المسائل مبنیّ علی مخالفة أمیر المؤمنین علیه السّلام فیما یسمعونه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الأمر بطرح الشاذّ النادر،و بعدم الاعتناء و الالتفات إلی حکم غیر الأعدل و الأفقه من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سیاق تلک المرجّحات موافقة الکتاب و السنّة و مخالفتهما، و لا یمکن حمله علی الاستحباب،فلو حمل غیره علیه لزم التفکیک،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شکّ أنّ التفصّی عن الإشکالات الداعیة له إلی ذلک،أهون من هذا الحمل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دوران الأمر بین تقیید أخبار التخییر و بین حمل أخبار الترجیح علی الاستحباب،فلو لم یکن الأوّل أقوی وجب التوقّف،فیجب العمل بالترجیح؛لما عرفت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حکم الشارع بأحد المتعارضین إذا کان مردّدا بین التخییر و التعیین وجب التزام ما احتمل تعیینه</w:t>
      </w:r>
      <w:r>
        <w:rPr>
          <w:rFonts w:eastAsia="IRNazanin" w:cs="IRNazanin"/>
          <w:color w:val="111111"/>
          <w:sz w:val="28"/>
          <w:szCs w:val="28"/>
          <w:rtl w:val="true"/>
          <w:lang w:bidi="fa-IR"/>
        </w:rPr>
        <w:t xml:space="preserve">. </w:t>
      </w:r>
      <w:bookmarkStart w:id="1558" w:name="pg12985_125313"/>
    </w:p>
    <w:p>
      <w:pPr>
        <w:pStyle w:val="Heading6"/>
        <w:numPr>
          <w:ilvl w:val="5"/>
          <w:numId w:val="1"/>
        </w:numPr>
        <w:rPr/>
      </w:pPr>
      <w:bookmarkStart w:id="1559" w:name="__RefHeading___Toc5768021_3224264995"/>
      <w:bookmarkStart w:id="1560" w:name="_Toc619"/>
      <w:bookmarkEnd w:id="1558"/>
      <w:bookmarkEnd w:id="1559"/>
      <w:r>
        <w:rPr>
          <w:rtl w:val="true"/>
        </w:rPr>
        <w:t xml:space="preserve">المقام الثانی </w:t>
      </w:r>
      <w:r>
        <w:rPr>
          <w:rtl w:val="true"/>
        </w:rPr>
        <w:t>:</w:t>
      </w:r>
      <w:r>
        <w:rPr>
          <w:rtl w:val="true"/>
        </w:rPr>
        <w:t>فی ذکر الأخبار العلاجیّة</w:t>
      </w:r>
      <w:r>
        <w:rPr>
          <w:rtl w:val="true"/>
        </w:rPr>
        <w:t>:</w:t>
      </w:r>
      <w:bookmarkEnd w:id="1560"/>
    </w:p>
    <w:p>
      <w:pPr>
        <w:pStyle w:val="BookText"/>
        <w:rPr/>
      </w:pPr>
      <w:r>
        <w:rPr>
          <w:rFonts w:ascii="IRNazanin" w:hAnsi="IRNazanin" w:eastAsia="IRNazanin"/>
          <w:color w:val="111111"/>
          <w:sz w:val="28"/>
          <w:sz w:val="28"/>
          <w:szCs w:val="28"/>
          <w:rtl w:val="true"/>
          <w:lang w:bidi="fa-IR"/>
        </w:rPr>
        <w:t>فی ذکر الأخبار الواردة فی أحکام المتعارضین،و هی أخبار</w:t>
      </w:r>
      <w:r>
        <w:rPr>
          <w:rFonts w:eastAsia="IRNazanin" w:cs="IRNazanin"/>
          <w:color w:val="111111"/>
          <w:sz w:val="28"/>
          <w:szCs w:val="28"/>
          <w:rtl w:val="true"/>
          <w:lang w:bidi="fa-IR"/>
        </w:rPr>
        <w:t>:</w:t>
      </w:r>
    </w:p>
    <w:p>
      <w:pPr>
        <w:pStyle w:val="Heading6"/>
        <w:numPr>
          <w:ilvl w:val="5"/>
          <w:numId w:val="1"/>
        </w:numPr>
        <w:rPr/>
      </w:pPr>
      <w:bookmarkStart w:id="1561" w:name="__RefHeading___Toc5768023_3224264995"/>
      <w:bookmarkStart w:id="1562" w:name="_Toc620"/>
      <w:bookmarkEnd w:id="1561"/>
      <w:r>
        <w:rPr/>
        <w:t>1</w:t>
      </w:r>
      <w:r>
        <w:rPr>
          <w:rtl w:val="true"/>
        </w:rPr>
        <w:t>-</w:t>
      </w:r>
      <w:r>
        <w:rPr>
          <w:rtl w:val="true"/>
        </w:rPr>
        <w:t>مقبولة عمر بن حنظلة</w:t>
      </w:r>
      <w:bookmarkEnd w:id="15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المشایخ الثلاثة </w:t>
      </w:r>
      <w:r>
        <w:rPr>
          <w:rStyle w:val="FootnoteAnchor"/>
          <w:rtl w:val="true"/>
        </w:rPr>
        <w:footnoteReference w:id="1507"/>
      </w:r>
      <w:r>
        <w:rPr>
          <w:rFonts w:ascii="IRNazanin" w:hAnsi="IRNazanin" w:eastAsia="IRNazanin"/>
          <w:color w:val="111111"/>
          <w:sz w:val="28"/>
          <w:sz w:val="28"/>
          <w:szCs w:val="28"/>
          <w:rtl w:val="true"/>
          <w:lang w:bidi="fa-IR"/>
        </w:rPr>
        <w:t xml:space="preserve">بإسنادهم عن </w:t>
      </w:r>
      <w:r>
        <w:rPr>
          <w:rStyle w:val="FootnoteAnchor"/>
          <w:rtl w:val="true"/>
        </w:rPr>
        <w:footnoteReference w:id="1508"/>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أصحابنا،یکون بینهما منازعة فی دین أو میراث،فتحاکما إلی السلطان أو إلی القضاة، أ یحلّ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تحاکم إلیهم فی حقّ أو باطل،فإنّما تحاکم إلی الطاغوت،و ما یحکم له فإنّما یأخذه سحتا و إن کان حقّه ثابتا؛لأنّه أخذ </w:t>
      </w:r>
      <w:r>
        <w:rPr>
          <w:rStyle w:val="FootnoteAnchor"/>
          <w:rtl w:val="true"/>
        </w:rPr>
        <w:footnoteReference w:id="1509"/>
      </w:r>
      <w:r>
        <w:rPr>
          <w:rFonts w:ascii="IRNazanin" w:hAnsi="IRNazanin" w:eastAsia="IRNazanin"/>
          <w:color w:val="111111"/>
          <w:sz w:val="28"/>
          <w:sz w:val="28"/>
          <w:szCs w:val="28"/>
          <w:rtl w:val="true"/>
          <w:lang w:bidi="fa-IR"/>
        </w:rPr>
        <w:t>بحکم الطاغوت،و إنّما أمر اللّه أن یکفر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أحکامنا،فلیرضوا به حکما،فإنّی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حکم بحکمنا فلم یقبل </w:t>
      </w:r>
      <w:r>
        <w:rPr>
          <w:rStyle w:val="FootnoteAnchor"/>
          <w:rtl w:val="true"/>
        </w:rPr>
        <w:footnoteReference w:id="1511"/>
      </w:r>
      <w:r>
        <w:rPr>
          <w:rFonts w:ascii="Amiri" w:hAnsi="Amiri" w:eastAsia="Amiri" w:cs="Amiri"/>
          <w:color w:val="111111"/>
          <w:sz w:val="28"/>
          <w:sz w:val="28"/>
          <w:szCs w:val="28"/>
          <w:rtl w:val="true"/>
          <w:lang w:bidi="ar-SA"/>
        </w:rPr>
        <w:t xml:space="preserve">منه،فإنّما بحکم اللّه </w:t>
      </w:r>
    </w:p>
    <w:p>
      <w:pPr>
        <w:pStyle w:val="BookText"/>
        <w:rPr/>
      </w:pPr>
      <w:r>
        <w:rPr>
          <w:rFonts w:ascii="Amiri" w:hAnsi="Amiri" w:eastAsia="Amiri" w:cs="Amiri"/>
          <w:color w:val="111111"/>
          <w:sz w:val="28"/>
          <w:sz w:val="28"/>
          <w:szCs w:val="28"/>
          <w:rtl w:val="true"/>
          <w:lang w:bidi="ar-SA"/>
        </w:rPr>
        <w:t>استخفّ و علینا قد ردّ،و الرادّ علینا الرادّ علی اللّه،و هو علی حدّ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رجل یختار رجلا من أصحابنا،فرضیا أن یکونا الناظرین فی حقّهما،فاختلفا فی ما حکما،و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أصحابنا،لا یفضل واحد منهما علی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من روایتهم </w:t>
      </w:r>
      <w:r>
        <w:rPr>
          <w:rStyle w:val="FootnoteAnchor"/>
          <w:rtl w:val="true"/>
        </w:rPr>
        <w:footnoteReference w:id="1512"/>
      </w:r>
      <w:r>
        <w:rPr>
          <w:rFonts w:ascii="IRNazanin" w:hAnsi="IRNazanin" w:eastAsia="IRNazanin"/>
          <w:color w:val="111111"/>
          <w:sz w:val="28"/>
          <w:sz w:val="28"/>
          <w:szCs w:val="28"/>
          <w:rtl w:val="true"/>
          <w:lang w:bidi="fa-IR"/>
        </w:rPr>
        <w:t xml:space="preserve">عنّا فی ذلک الذی حکما به المجمع علیه بین أصحابک،فیؤخذ به من حکمهما </w:t>
      </w:r>
      <w:r>
        <w:rPr>
          <w:rStyle w:val="FootnoteAnchor"/>
          <w:rtl w:val="true"/>
        </w:rPr>
        <w:footnoteReference w:id="1513"/>
      </w:r>
      <w:r>
        <w:rPr>
          <w:rFonts w:ascii="IRNazanin" w:hAnsi="IRNazanin" w:eastAsia="IRNazanin"/>
          <w:color w:val="111111"/>
          <w:sz w:val="28"/>
          <w:sz w:val="28"/>
          <w:szCs w:val="28"/>
          <w:rtl w:val="true"/>
          <w:lang w:bidi="fa-IR"/>
        </w:rPr>
        <w:t>و یترک الشاذّ الذی لیس بمشهور عند أصحابک؛فإنّ المجمع علیه لا ریب فیه،و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بیّن رشده فیتّبع،و أمر بیّن غیّه فیجتنب،و أمر مشکل یردّ حکمه إلی اللّه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بیّن و حرام بیّن و شبهات بین ذلک،فمن ترک الشبهات نجا من المحرّمات،و من أخذ بالشبهات وقع فی المحرّمات </w:t>
      </w:r>
      <w:r>
        <w:rPr>
          <w:rStyle w:val="FootnoteAnchor"/>
          <w:rtl w:val="true"/>
        </w:rPr>
        <w:footnoteReference w:id="1515"/>
      </w:r>
      <w:r>
        <w:rPr>
          <w:rFonts w:ascii="IRNazanin" w:hAnsi="IRNazanin" w:eastAsia="IRNazanin"/>
          <w:color w:val="111111"/>
          <w:sz w:val="28"/>
          <w:sz w:val="28"/>
          <w:szCs w:val="28"/>
          <w:rtl w:val="true"/>
          <w:lang w:bidi="fa-IR"/>
        </w:rPr>
        <w:t>و هلک من حیث لا یعلم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الخبران عنکم مشهورین،قد رواهما الثّقات عنکم؟ </w:t>
      </w:r>
      <w:bookmarkStart w:id="1563" w:name="pg12985_125315"/>
    </w:p>
    <w:p>
      <w:pPr>
        <w:pStyle w:val="BookText"/>
        <w:rPr/>
      </w:pPr>
      <w:bookmarkEnd w:id="15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ینظر،فما </w:t>
      </w:r>
      <w:r>
        <w:rPr>
          <w:rStyle w:val="FootnoteAnchor"/>
          <w:rtl w:val="true"/>
        </w:rPr>
        <w:footnoteReference w:id="1516"/>
      </w:r>
      <w:r>
        <w:rPr>
          <w:rFonts w:ascii="IRNazanin" w:hAnsi="IRNazanin" w:eastAsia="IRNazanin"/>
          <w:color w:val="111111"/>
          <w:sz w:val="28"/>
          <w:sz w:val="28"/>
          <w:szCs w:val="28"/>
          <w:rtl w:val="true"/>
          <w:lang w:bidi="fa-IR"/>
        </w:rPr>
        <w:t>وافق حکمه حکم الکتاب و السنّة و خالف العامّة فیؤخذ به،و یترک ما خالف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فداک،أ رأیت إن کان الفقیهان عرفا حکمه من الکتاب و السنّة،فوجدنا أحد الخبرین موافقا للعامّة و الآخر مخالفا </w:t>
      </w:r>
      <w:r>
        <w:rPr>
          <w:rStyle w:val="FootnoteAnchor"/>
          <w:rtl w:val="true"/>
        </w:rPr>
        <w:footnoteReference w:id="1517"/>
      </w:r>
      <w:r>
        <w:rPr>
          <w:rFonts w:ascii="IRNazanin" w:hAnsi="IRNazanin" w:eastAsia="IRNazanin"/>
          <w:color w:val="111111"/>
          <w:sz w:val="28"/>
          <w:sz w:val="28"/>
          <w:szCs w:val="28"/>
          <w:rtl w:val="true"/>
          <w:lang w:bidi="fa-IR"/>
        </w:rPr>
        <w:t>،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فداک،فإن وافقهم </w:t>
      </w:r>
      <w:r>
        <w:rPr>
          <w:rStyle w:val="FootnoteAnchor"/>
          <w:rtl w:val="true"/>
        </w:rPr>
        <w:footnoteReference w:id="1519"/>
      </w:r>
      <w:r>
        <w:rPr>
          <w:rFonts w:ascii="IRNazanin" w:hAnsi="IRNazanin" w:eastAsia="IRNazanin"/>
          <w:color w:val="111111"/>
          <w:sz w:val="28"/>
          <w:sz w:val="28"/>
          <w:szCs w:val="28"/>
          <w:rtl w:val="true"/>
          <w:lang w:bidi="fa-IR"/>
        </w:rPr>
        <w:t>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أمیل،حکّامهم و قضاتهم،فیترک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کذلک </w:t>
      </w:r>
      <w:r>
        <w:rPr>
          <w:rStyle w:val="FootnoteAnchor"/>
          <w:rtl w:val="true"/>
        </w:rPr>
        <w:footnoteReference w:id="1520"/>
      </w:r>
      <w:r>
        <w:rPr>
          <w:rFonts w:ascii="IRNazanin" w:hAnsi="IRNazanin" w:eastAsia="IRNazanin"/>
          <w:color w:val="111111"/>
          <w:sz w:val="28"/>
          <w:sz w:val="28"/>
          <w:szCs w:val="28"/>
          <w:rtl w:val="true"/>
          <w:lang w:bidi="fa-IR"/>
        </w:rPr>
        <w:t xml:space="preserve">فأرجه </w:t>
      </w:r>
      <w:r>
        <w:rPr>
          <w:rStyle w:val="FootnoteAnchor"/>
          <w:rtl w:val="true"/>
        </w:rPr>
        <w:footnoteReference w:id="1521"/>
      </w:r>
      <w:r>
        <w:rPr>
          <w:rFonts w:ascii="IRNazanin" w:hAnsi="IRNazanin" w:eastAsia="IRNazanin"/>
          <w:color w:val="111111"/>
          <w:sz w:val="28"/>
          <w:sz w:val="28"/>
          <w:szCs w:val="28"/>
          <w:rtl w:val="true"/>
          <w:lang w:bidi="fa-IR"/>
        </w:rPr>
        <w:t>حتّی تلقی إمامک؛فإنّ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4" w:name="__RefHeading___Toc5768025_3224264995"/>
      <w:bookmarkStart w:id="1565" w:name="_Toc621"/>
      <w:bookmarkEnd w:id="1564"/>
      <w:r>
        <w:rPr>
          <w:rtl w:val="true"/>
        </w:rPr>
        <w:t>ظهور المقبولة فی وجوب الترجیح بالمرجّحات</w:t>
      </w:r>
      <w:r>
        <w:rPr>
          <w:rtl w:val="true"/>
        </w:rPr>
        <w:t>:</w:t>
      </w:r>
      <w:bookmarkEnd w:id="156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الشریفة و إن لم تخل عن الإشکال بل الإشکالات </w:t>
      </w:r>
      <w:bookmarkStart w:id="1566" w:name="pg12985_125316"/>
    </w:p>
    <w:p>
      <w:pPr>
        <w:pStyle w:val="BookText"/>
        <w:rPr/>
      </w:pPr>
      <w:bookmarkEnd w:id="1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ظهور صدرها فی التحکیم لأجل فصل الخصومة و قطع المنازعة،فلا یناسبها التعدّد،و لا غفلة کلّ من الحکمین عن المعارض الواضح لمدرک حکمه،و لا اجتهاد المترافعین و تحرّیهما فی ترجیح مستند أحد الحکمین علی الآخر،و لا جواز الحکم من أحدهما بعد حکم الآخر مع بعد فرض وقوعهما دفعة،مع أنّ الظاهر حینئذ تساقطهما و الحاجة إلی حکم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بل صریحة فی وجوب الترجیح بهذه المرجّحات بین الأخبار المتعارضة </w:t>
      </w:r>
      <w:r>
        <w:rPr>
          <w:rStyle w:val="FootnoteAnchor"/>
          <w:rtl w:val="true"/>
        </w:rPr>
        <w:footnoteReference w:id="1523"/>
      </w:r>
      <w:r>
        <w:rPr>
          <w:rFonts w:ascii="IRNazanin" w:hAnsi="IRNazanin" w:eastAsia="IRNazanin"/>
          <w:color w:val="111111"/>
          <w:sz w:val="28"/>
          <w:sz w:val="28"/>
          <w:szCs w:val="28"/>
          <w:rtl w:val="true"/>
          <w:lang w:bidi="fa-IR"/>
        </w:rPr>
        <w:t>،فإنّ تلک الإشکالات لا تدفع هذا الظهور،بل الصراحة</w:t>
      </w:r>
      <w:r>
        <w:rPr>
          <w:rFonts w:eastAsia="IRNazanin" w:cs="IRNazanin"/>
          <w:color w:val="111111"/>
          <w:sz w:val="28"/>
          <w:szCs w:val="28"/>
          <w:rtl w:val="true"/>
          <w:lang w:bidi="fa-IR"/>
        </w:rPr>
        <w:t>.</w:t>
      </w:r>
    </w:p>
    <w:p>
      <w:pPr>
        <w:pStyle w:val="Heading6"/>
        <w:numPr>
          <w:ilvl w:val="5"/>
          <w:numId w:val="1"/>
        </w:numPr>
        <w:rPr/>
      </w:pPr>
      <w:bookmarkStart w:id="1567" w:name="__RefHeading___Toc5768027_3224264995"/>
      <w:bookmarkStart w:id="1568" w:name="_Toc622"/>
      <w:bookmarkEnd w:id="1567"/>
      <w:r>
        <w:rPr>
          <w:rtl w:val="true"/>
        </w:rPr>
        <w:t>بعض الإشکالات فی ترتّب المرجّحات فی المقبولة</w:t>
      </w:r>
      <w:r>
        <w:rPr>
          <w:rtl w:val="true"/>
        </w:rPr>
        <w:t>:</w:t>
      </w:r>
      <w:bookmarkEnd w:id="1568"/>
    </w:p>
    <w:p>
      <w:pPr>
        <w:pStyle w:val="BookText"/>
        <w:rPr/>
      </w:pPr>
      <w:r>
        <w:rPr>
          <w:rFonts w:ascii="IRNazanin" w:hAnsi="IRNazanin" w:eastAsia="IRNazanin"/>
          <w:color w:val="111111"/>
          <w:sz w:val="28"/>
          <w:sz w:val="28"/>
          <w:szCs w:val="28"/>
          <w:rtl w:val="true"/>
          <w:lang w:bidi="fa-IR"/>
        </w:rPr>
        <w:t>نعم یرد علیه بعض الإشکالات فی ترتّب المرجّحات؛فإنّ ظاهر الروایة تقدیم الترجیح من حیث صفات الراوی علی الترجیح بالشهرة و الشذوذ،مع أنّ عمل العلماء قدیما و حدیثا 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یدلّ علیه المرفوعة الآتیة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w:t>
      </w:r>
      <w:r>
        <w:rPr>
          <w:rStyle w:val="FootnoteAnchor"/>
          <w:rtl w:val="true"/>
        </w:rPr>
        <w:footnoteReference w:id="1525"/>
      </w:r>
      <w:r>
        <w:rPr>
          <w:rFonts w:ascii="IRNazanin" w:hAnsi="IRNazanin" w:eastAsia="IRNazanin"/>
          <w:color w:val="111111"/>
          <w:sz w:val="28"/>
          <w:sz w:val="28"/>
          <w:szCs w:val="28"/>
          <w:rtl w:val="true"/>
          <w:lang w:bidi="fa-IR"/>
        </w:rPr>
        <w:t>لا ینظرون عند تعارض المشهور و الشاذّ إلی صفات الراوی أصلا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یمنع ذلک؛فإنّ الراوی إذا فرض کونه أفقه و أصدق و أورع،لم یبعد ترجیح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انفرد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الروایة المشهورة بین الرواة؛لکشف اختیاره إیّاها مع فقهه و ورعه عن اطّلاعه علی قدح فی الروایة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صدورها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تأویل لم یطّلع علیه غیره؛لکمال فقاهته و تنبّهه لدقائق الامور و جهات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نعم،مجرّد </w:t>
      </w:r>
      <w:bookmarkStart w:id="1569" w:name="pg12985_125317"/>
    </w:p>
    <w:p>
      <w:pPr>
        <w:pStyle w:val="BookText"/>
        <w:rPr/>
      </w:pPr>
      <w:bookmarkEnd w:id="1569"/>
      <w:r>
        <w:rPr>
          <w:rFonts w:ascii="IRNazanin" w:hAnsi="IRNazanin" w:eastAsia="IRNazanin"/>
          <w:color w:val="111111"/>
          <w:sz w:val="28"/>
          <w:sz w:val="28"/>
          <w:szCs w:val="28"/>
          <w:rtl w:val="true"/>
          <w:lang w:bidi="fa-IR"/>
        </w:rPr>
        <w:t>أصدقیّة الراوی و أورعیّته لا یوجب ذلک،ما لم ینضمّ إلیهما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الروایة مطلقة،فتشمل الخبر المشهور روایته بین الأصحاب حتّی بین من هو أفقه من هذا المتفرّد بروایة الشاذّ،و إن کان هو أفقه من صاحبه المرضیّ بحکومته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أفقهیّة الحاکم بإحدی الروایتین لا تستلزم أفقهیّة جمیع رواتها،فقد یکون من عداه مفضولا بالنسبة إلی رواة الاخری،إلاّ أن ینزّل الروایة علی غیر هاتین الصورتین</w:t>
      </w:r>
      <w:r>
        <w:rPr>
          <w:rFonts w:eastAsia="IRNazanin" w:cs="IRNazanin"/>
          <w:color w:val="111111"/>
          <w:sz w:val="28"/>
          <w:szCs w:val="28"/>
          <w:rtl w:val="true"/>
          <w:lang w:bidi="fa-IR"/>
        </w:rPr>
        <w:t>.</w:t>
      </w:r>
    </w:p>
    <w:p>
      <w:pPr>
        <w:pStyle w:val="Heading6"/>
        <w:numPr>
          <w:ilvl w:val="5"/>
          <w:numId w:val="1"/>
        </w:numPr>
        <w:rPr/>
      </w:pPr>
      <w:bookmarkStart w:id="1570" w:name="__RefHeading___Toc5768029_3224264995"/>
      <w:bookmarkStart w:id="1571" w:name="_Toc623"/>
      <w:bookmarkEnd w:id="1570"/>
      <w:r>
        <w:rPr>
          <w:rtl w:val="true"/>
        </w:rPr>
        <w:t>عدم قدح هذه الإشکالات فی ظهور المقبولة</w:t>
      </w:r>
      <w:r>
        <w:rPr>
          <w:rtl w:val="true"/>
        </w:rPr>
        <w:t>:</w:t>
      </w:r>
      <w:bookmarkEnd w:id="157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الإشکال </w:t>
      </w:r>
      <w:r>
        <w:rPr>
          <w:rStyle w:val="FootnoteAnchor"/>
          <w:rtl w:val="true"/>
        </w:rPr>
        <w:footnoteReference w:id="1526"/>
      </w:r>
      <w:r>
        <w:rPr>
          <w:rFonts w:ascii="IRNazanin" w:hAnsi="IRNazanin" w:eastAsia="IRNazanin"/>
          <w:color w:val="111111"/>
          <w:sz w:val="28"/>
          <w:sz w:val="28"/>
          <w:szCs w:val="28"/>
          <w:rtl w:val="true"/>
          <w:lang w:bidi="fa-IR"/>
        </w:rPr>
        <w:t xml:space="preserve">أیضا لا یقدح فی ظهور الروایة بل صراحتها فی وجوب الترجیح بصفات الراوی،و بالشهرة من حیث الروایة،و بموافقة الکتاب و السنّة </w:t>
      </w:r>
      <w:r>
        <w:rPr>
          <w:rStyle w:val="FootnoteAnchor"/>
          <w:rtl w:val="true"/>
        </w:rPr>
        <w:footnoteReference w:id="1527"/>
      </w:r>
      <w:r>
        <w:rPr>
          <w:rFonts w:ascii="Amiri" w:hAnsi="Amiri" w:eastAsia="Amiri" w:cs="Amiri"/>
          <w:color w:val="111111"/>
          <w:sz w:val="28"/>
          <w:sz w:val="28"/>
          <w:szCs w:val="28"/>
          <w:rtl w:val="true"/>
          <w:lang w:bidi="ar-SA"/>
        </w:rPr>
        <w:t>،و 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نعم،المذکور فی الروایة الترجیح باجتماع صفات الراوی من العدالة و الفقاهة و الصداقة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إرادة بیان جواز الترجیح بکلّ منها؛و لذا </w:t>
      </w:r>
      <w:r>
        <w:rPr>
          <w:rStyle w:val="FootnoteAnchor"/>
          <w:rtl w:val="true"/>
        </w:rPr>
        <w:footnoteReference w:id="1528"/>
      </w:r>
      <w:r>
        <w:rPr>
          <w:rFonts w:ascii="IRNazanin" w:hAnsi="IRNazanin" w:eastAsia="IRNazanin"/>
          <w:color w:val="111111"/>
          <w:sz w:val="28"/>
          <w:sz w:val="28"/>
          <w:szCs w:val="28"/>
          <w:rtl w:val="true"/>
          <w:lang w:bidi="fa-IR"/>
        </w:rPr>
        <w:t>لم یسأل الراوی عن صورة وجود بعض الصفات دون بعض،أو تعارض الصفات بعضها مع بعض،بل ذکر فی السؤال أنّهما معا عدلان مرضیّان لا یفضل أحدهما علی صاحبه،فقد فهم أنّ الترجیح بمطلق التفاضل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یوجّه الجمع بین موافقة الکتاب و السنّة و مخالفة العامّة،مع کفایة واحدة منها إجماعا</w:t>
      </w:r>
      <w:r>
        <w:rPr>
          <w:rFonts w:eastAsia="IRNazanin" w:cs="IRNazanin"/>
          <w:color w:val="111111"/>
          <w:sz w:val="28"/>
          <w:szCs w:val="28"/>
          <w:rtl w:val="true"/>
          <w:lang w:bidi="fa-IR"/>
        </w:rPr>
        <w:t xml:space="preserve">. </w:t>
      </w:r>
      <w:bookmarkStart w:id="1572" w:name="pg12985_125318"/>
    </w:p>
    <w:p>
      <w:pPr>
        <w:pStyle w:val="Heading6"/>
        <w:numPr>
          <w:ilvl w:val="5"/>
          <w:numId w:val="1"/>
        </w:numPr>
        <w:rPr/>
      </w:pPr>
      <w:bookmarkStart w:id="1573" w:name="__RefHeading___Toc5768031_3224264995"/>
      <w:bookmarkStart w:id="1574" w:name="_Toc624"/>
      <w:bookmarkEnd w:id="1572"/>
      <w:bookmarkEnd w:id="1573"/>
      <w:r>
        <w:rPr/>
        <w:t>2</w:t>
      </w:r>
      <w:r>
        <w:rPr>
          <w:rtl w:val="true"/>
        </w:rPr>
        <w:t>-</w:t>
      </w:r>
      <w:r>
        <w:rPr>
          <w:rtl w:val="true"/>
        </w:rPr>
        <w:t>مرفوعة زرارة</w:t>
      </w:r>
      <w:r>
        <w:rPr>
          <w:rtl w:val="true"/>
        </w:rPr>
        <w:t>:</w:t>
      </w:r>
      <w:bookmarkEnd w:id="157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أبی جمهور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العلاّمة مرفوعا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فداک،یأتی عنکم الخبران و الحدیثان </w:t>
      </w:r>
      <w:r>
        <w:rPr>
          <w:rStyle w:val="FootnoteAnchor"/>
          <w:rtl w:val="true"/>
        </w:rPr>
        <w:footnoteReference w:id="1529"/>
      </w:r>
      <w:r>
        <w:rPr>
          <w:rFonts w:ascii="IRNazanin" w:hAnsi="IRNazanin" w:eastAsia="IRNazanin"/>
          <w:color w:val="111111"/>
          <w:sz w:val="28"/>
          <w:sz w:val="28"/>
          <w:szCs w:val="28"/>
          <w:rtl w:val="true"/>
          <w:lang w:bidi="fa-IR"/>
        </w:rPr>
        <w:t>المتعارضان فبأیّهما آخذ؟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زرارة،خذ بما اشتهر بین أصحابک 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سیّدی،إنّهما معا مشهوران </w:t>
      </w:r>
      <w:r>
        <w:rPr>
          <w:rStyle w:val="FootnoteAnchor"/>
          <w:rtl w:val="true"/>
        </w:rPr>
        <w:footnoteReference w:id="1530"/>
      </w:r>
      <w:r>
        <w:rPr>
          <w:rFonts w:ascii="IRNazanin" w:hAnsi="IRNazanin" w:eastAsia="IRNazanin"/>
          <w:color w:val="111111"/>
          <w:sz w:val="28"/>
          <w:sz w:val="28"/>
          <w:szCs w:val="28"/>
          <w:rtl w:val="true"/>
          <w:lang w:bidi="fa-IR"/>
        </w:rPr>
        <w:t>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 أعدلهما عندک و 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عدلان مرضیّان موثّقان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 وافق منهما </w:t>
      </w:r>
      <w:r>
        <w:rPr>
          <w:rStyle w:val="FootnoteAnchor"/>
          <w:rtl w:val="true"/>
        </w:rPr>
        <w:footnoteReference w:id="1531"/>
      </w:r>
      <w:r>
        <w:rPr>
          <w:rFonts w:ascii="IRNazanin" w:hAnsi="IRNazanin" w:eastAsia="IRNazanin"/>
          <w:color w:val="111111"/>
          <w:sz w:val="28"/>
          <w:sz w:val="28"/>
          <w:szCs w:val="28"/>
          <w:rtl w:val="true"/>
          <w:lang w:bidi="fa-IR"/>
        </w:rPr>
        <w:t xml:space="preserve">العامّة،فاترکه و خذ بما خالف </w:t>
      </w:r>
      <w:r>
        <w:rPr>
          <w:rStyle w:val="FootnoteAnchor"/>
          <w:rtl w:val="true"/>
        </w:rPr>
        <w:footnoteReference w:id="1532"/>
      </w:r>
      <w:r>
        <w:rPr>
          <w:rFonts w:ascii="Amiri" w:hAnsi="Amiri" w:eastAsia="Amiri" w:cs="Amiri"/>
          <w:color w:val="111111"/>
          <w:sz w:val="28"/>
          <w:sz w:val="28"/>
          <w:szCs w:val="28"/>
          <w:rtl w:val="true"/>
          <w:lang w:bidi="ar-SA"/>
        </w:rPr>
        <w:t>فإنّ الحقّ فیما 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موافقین لهم أو مخالفین،فکیف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 اترک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موافقان للاحتیاط أو مخالفان له،فکیف أصنع؟</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أحدهما،فتأخذ به و تدع الآخر</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bookmarkStart w:id="1575" w:name="pg12985_125319"/>
    </w:p>
    <w:p>
      <w:pPr>
        <w:pStyle w:val="Heading6"/>
        <w:numPr>
          <w:ilvl w:val="5"/>
          <w:numId w:val="1"/>
        </w:numPr>
        <w:rPr/>
      </w:pPr>
      <w:bookmarkStart w:id="1576" w:name="__RefHeading___Toc5768033_3224264995"/>
      <w:bookmarkStart w:id="1577" w:name="_Toc625"/>
      <w:bookmarkEnd w:id="1575"/>
      <w:bookmarkEnd w:id="1576"/>
      <w:r>
        <w:rPr/>
        <w:t>3</w:t>
      </w:r>
      <w:r>
        <w:rPr>
          <w:rtl w:val="true"/>
        </w:rPr>
        <w:t>-</w:t>
      </w:r>
      <w:r>
        <w:rPr>
          <w:rtl w:val="true"/>
        </w:rPr>
        <w:t>روایة الصدوق</w:t>
      </w:r>
      <w:r>
        <w:rPr>
          <w:rtl w:val="true"/>
        </w:rPr>
        <w:t>:</w:t>
      </w:r>
      <w:bookmarkEnd w:id="157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بإسناده عن أبی الحسن الرضا علیه السّلام فی حدیث طویل،قال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ورد علیکم من حدیثین مختلفین فاعرضوهما علی کتاب اللّه، فما کان فی کتاب اللّه موجودا حلالا أو حراما فاتّبعوا ما وافق الکتاب،و ما لم یکن فی الکتاب فاعرضوه علی سنن رسول اللّه صلی اللّه علیه و آله و سلّم، فما کان فی السنة موجودا منهیا عنه نهی حرام أو مأمورا به عن رسول اللّه صلی اللّه علیه و آله و سلّم أمر إلزام،فاتّبعوا ما وافق نهی النبیّ صلی اللّه علیه و آله و سلّم و أمره، و ما کان فی السنّة نهی إعافة أو کراهة ثمّ کان الخبر </w:t>
      </w:r>
      <w:r>
        <w:rPr>
          <w:rStyle w:val="FootnoteAnchor"/>
          <w:rtl w:val="true"/>
        </w:rPr>
        <w:footnoteReference w:id="1534"/>
      </w:r>
      <w:r>
        <w:rPr>
          <w:rFonts w:ascii="IRNazanin" w:hAnsi="IRNazanin" w:eastAsia="IRNazanin"/>
          <w:color w:val="111111"/>
          <w:sz w:val="28"/>
          <w:sz w:val="28"/>
          <w:szCs w:val="28"/>
          <w:rtl w:val="true"/>
          <w:lang w:bidi="fa-IR"/>
        </w:rPr>
        <w:t xml:space="preserve">خلافه،فذلک رخصة فی ما عافه رسول اللّه صلی اللّه علیه و آله و سلّم و کرهه و لم یحرّمه،فذلک الذی یسع الأخذ بهما جمیعا،و </w:t>
      </w:r>
      <w:r>
        <w:rPr>
          <w:rStyle w:val="FootnoteAnchor"/>
          <w:rtl w:val="true"/>
        </w:rPr>
        <w:footnoteReference w:id="1535"/>
      </w:r>
      <w:r>
        <w:rPr>
          <w:rFonts w:ascii="IRNazanin" w:hAnsi="IRNazanin" w:eastAsia="IRNazanin"/>
          <w:color w:val="111111"/>
          <w:sz w:val="28"/>
          <w:sz w:val="28"/>
          <w:szCs w:val="28"/>
          <w:rtl w:val="true"/>
          <w:lang w:bidi="fa-IR"/>
        </w:rPr>
        <w:t>بأیّهما شئت وسعک الاختیار من باب التسلیم و الاتّباع و الردّ إلی رسول اللّه صلی اللّه علیه و آله،و ما لم تجدوه فی شیء من هذه الوجوه فردّوا إلینا علمه،فنحن أولی بذلک،و لا تقولوا فیه بآرائکم، و علیکم بالکفّ و التثبّت و الوقوف،و 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8" w:name="__RefHeading___Toc5768035_3224264995"/>
      <w:bookmarkStart w:id="1579" w:name="_Toc626"/>
      <w:bookmarkEnd w:id="1578"/>
      <w:r>
        <w:rPr/>
        <w:t>4</w:t>
      </w:r>
      <w:r>
        <w:rPr>
          <w:rtl w:val="true"/>
        </w:rPr>
        <w:t>-</w:t>
      </w:r>
      <w:r>
        <w:rPr>
          <w:rtl w:val="true"/>
        </w:rPr>
        <w:t>روایة القطب الراوندی</w:t>
      </w:r>
      <w:r>
        <w:rPr>
          <w:rtl w:val="true"/>
        </w:rPr>
        <w:t>:</w:t>
      </w:r>
      <w:bookmarkEnd w:id="157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رسالة القطب الراوندی </w:t>
      </w:r>
      <w:r>
        <w:rPr>
          <w:rStyle w:val="FootnoteAnchor"/>
          <w:rtl w:val="true"/>
        </w:rPr>
        <w:footnoteReference w:id="1537"/>
      </w:r>
      <w:r>
        <w:rPr>
          <w:rFonts w:ascii="IRNazanin" w:hAnsi="IRNazanin" w:eastAsia="IRNazanin"/>
          <w:color w:val="111111"/>
          <w:sz w:val="28"/>
          <w:sz w:val="28"/>
          <w:szCs w:val="28"/>
          <w:rtl w:val="true"/>
          <w:lang w:bidi="fa-IR"/>
        </w:rPr>
        <w:t xml:space="preserve">بسنده الصحیح عن </w:t>
      </w:r>
      <w:bookmarkStart w:id="1580" w:name="pg12985_125320"/>
    </w:p>
    <w:p>
      <w:pPr>
        <w:pStyle w:val="BookText"/>
        <w:rPr/>
      </w:pPr>
      <w:bookmarkEnd w:id="1580"/>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علیکم حدیثان مختلفان فاعرضوهما علی کتاب اللّه،فما وافق کتاب اللّه فخذوه و ما خالف کتاب اللّه فذروه </w:t>
      </w:r>
      <w:r>
        <w:rPr>
          <w:rStyle w:val="FootnoteAnchor"/>
          <w:rtl w:val="true"/>
        </w:rPr>
        <w:footnoteReference w:id="1538"/>
      </w:r>
      <w:r>
        <w:rPr>
          <w:rFonts w:ascii="IRNazanin" w:hAnsi="IRNazanin" w:eastAsia="IRNazanin"/>
          <w:color w:val="111111"/>
          <w:sz w:val="28"/>
          <w:sz w:val="28"/>
          <w:szCs w:val="28"/>
          <w:rtl w:val="true"/>
          <w:lang w:bidi="fa-IR"/>
        </w:rPr>
        <w:t>،فإن لم تجدوهما فی کتاب اللّه فاعرضوهما علی أخبار العامّة،فما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1" w:name="__RefHeading___Toc5768037_3224264995"/>
      <w:bookmarkStart w:id="1582" w:name="_Toc627"/>
      <w:bookmarkEnd w:id="1581"/>
      <w:r>
        <w:rPr/>
        <w:t>5</w:t>
      </w:r>
      <w:r>
        <w:rPr>
          <w:rtl w:val="true"/>
        </w:rPr>
        <w:t>-</w:t>
      </w:r>
      <w:r>
        <w:rPr>
          <w:rtl w:val="true"/>
        </w:rPr>
        <w:t>روایة الحسین بن السرّی</w:t>
      </w:r>
      <w:r>
        <w:rPr>
          <w:rtl w:val="true"/>
        </w:rPr>
        <w:t>:</w:t>
      </w:r>
      <w:bookmarkEnd w:id="158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الحسین 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3" w:name="__RefHeading___Toc5768039_3224264995"/>
      <w:bookmarkStart w:id="1584" w:name="_Toc628"/>
      <w:bookmarkEnd w:id="1583"/>
      <w:r>
        <w:rPr/>
        <w:t>6</w:t>
      </w:r>
      <w:r>
        <w:rPr>
          <w:rtl w:val="true"/>
        </w:rPr>
        <w:t>-</w:t>
      </w:r>
      <w:r>
        <w:rPr>
          <w:rtl w:val="true"/>
        </w:rPr>
        <w:t>روایة الحسن بن الجهم</w:t>
      </w:r>
      <w:r>
        <w:rPr>
          <w:rtl w:val="true"/>
        </w:rPr>
        <w:t>:</w:t>
      </w:r>
      <w:bookmarkEnd w:id="158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الحسن بن الجهم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العبد الصالح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أبی عبد اللّه علیه السّلام شیء و یروی عنه أیضا خلاف ذلک،فبأیّهما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القوم،و ما وافق القوم فاجتنبه</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5" w:name="__RefHeading___Toc5768041_3224264995"/>
      <w:bookmarkStart w:id="1586" w:name="_Toc629"/>
      <w:bookmarkEnd w:id="1585"/>
      <w:r>
        <w:rPr/>
        <w:t>7</w:t>
      </w:r>
      <w:r>
        <w:rPr>
          <w:rtl w:val="true"/>
        </w:rPr>
        <w:t>-</w:t>
      </w:r>
      <w:r>
        <w:rPr>
          <w:rtl w:val="true"/>
        </w:rPr>
        <w:t>روایة محمد بن عبد اللّه</w:t>
      </w:r>
      <w:r>
        <w:rPr>
          <w:rtl w:val="true"/>
        </w:rPr>
        <w:t>:</w:t>
      </w:r>
      <w:bookmarkEnd w:id="158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 بالخبرین المختلفین؟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علیکم خبران مختلفان،فانظروا ما خالف منهما </w:t>
      </w:r>
      <w:bookmarkStart w:id="1587" w:name="pg12985_125321"/>
    </w:p>
    <w:p>
      <w:pPr>
        <w:pStyle w:val="BookText"/>
        <w:rPr/>
      </w:pPr>
      <w:bookmarkEnd w:id="1587"/>
      <w:r>
        <w:rPr>
          <w:rFonts w:ascii="IRNazanin" w:hAnsi="IRNazanin" w:eastAsia="IRNazanin"/>
          <w:color w:val="111111"/>
          <w:sz w:val="28"/>
          <w:sz w:val="28"/>
          <w:szCs w:val="28"/>
          <w:rtl w:val="true"/>
          <w:lang w:bidi="fa-IR"/>
        </w:rPr>
        <w:t>العامّة فخذوه،و انظروا ما یوافق أخبارهم فذروه</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8" w:name="__RefHeading___Toc5768043_3224264995"/>
      <w:bookmarkStart w:id="1589" w:name="_Toc630"/>
      <w:bookmarkEnd w:id="1588"/>
      <w:r>
        <w:rPr/>
        <w:t>8</w:t>
      </w:r>
      <w:r>
        <w:rPr>
          <w:rtl w:val="true"/>
        </w:rPr>
        <w:t>-</w:t>
      </w:r>
      <w:r>
        <w:rPr>
          <w:rtl w:val="true"/>
        </w:rPr>
        <w:t>روایة سماعة بن مهران</w:t>
      </w:r>
      <w:r>
        <w:rPr>
          <w:rtl w:val="true"/>
        </w:rPr>
        <w:t>:</w:t>
      </w:r>
      <w:bookmarkEnd w:id="158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الاحتجاج بسنده عن سماعة بن مهران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علینا حدیثان،واحد یأمرنا بالأخذ به و الآخر ینهانا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تعمل بواحد منهما حتّی تلقی صاحبک فتسأل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0" w:name="__RefHeading___Toc5768045_3224264995"/>
      <w:bookmarkStart w:id="1591" w:name="_Toc631"/>
      <w:bookmarkEnd w:id="1590"/>
      <w:r>
        <w:rPr/>
        <w:t>9</w:t>
      </w:r>
      <w:r>
        <w:rPr>
          <w:rtl w:val="true"/>
        </w:rPr>
        <w:t>-</w:t>
      </w:r>
      <w:r>
        <w:rPr>
          <w:rtl w:val="true"/>
        </w:rPr>
        <w:t>روایة المعلّی بن خنیس</w:t>
      </w:r>
      <w:r>
        <w:rPr>
          <w:rtl w:val="true"/>
        </w:rPr>
        <w:t>:</w:t>
      </w:r>
      <w:bookmarkEnd w:id="159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الکافی بسنده عن المعلّی بن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حدیث عن أوّلکم و حدیث عن آخرکم 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به حتّی یبلغکم عن الحیّ،فإن بلغکم عن الحیّ فخذوا بقوله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592" w:name="pg12985_125322"/>
    </w:p>
    <w:p>
      <w:pPr>
        <w:pStyle w:val="Heading6"/>
        <w:numPr>
          <w:ilvl w:val="5"/>
          <w:numId w:val="1"/>
        </w:numPr>
        <w:rPr/>
      </w:pPr>
      <w:bookmarkStart w:id="1593" w:name="__RefHeading___Toc5768047_3224264995"/>
      <w:bookmarkStart w:id="1594" w:name="_Toc632"/>
      <w:bookmarkEnd w:id="1592"/>
      <w:bookmarkEnd w:id="1593"/>
      <w:r>
        <w:rPr/>
        <w:t>10</w:t>
      </w:r>
      <w:r>
        <w:rPr>
          <w:rtl w:val="true"/>
        </w:rPr>
        <w:t>-</w:t>
      </w:r>
      <w:r>
        <w:rPr>
          <w:rtl w:val="true"/>
        </w:rPr>
        <w:t>روایة الحسین بن المختار</w:t>
      </w:r>
      <w:r>
        <w:rPr>
          <w:rtl w:val="true"/>
        </w:rPr>
        <w:t>:</w:t>
      </w:r>
      <w:bookmarkEnd w:id="1594"/>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إلی الحسین بن المختار،عن بعض أصحابنا،عن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 لو حدّثتک بحدیث العام ثمّ جئتنی من قابل فحدّثتک بخلافه،بأیّهما کنت تأخذ؟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آخذ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5" w:name="__RefHeading___Toc5768049_3224264995"/>
      <w:bookmarkStart w:id="1596" w:name="_Toc633"/>
      <w:bookmarkEnd w:id="1595"/>
      <w:r>
        <w:rPr/>
        <w:t>11</w:t>
      </w:r>
      <w:r>
        <w:rPr>
          <w:rtl w:val="true"/>
        </w:rPr>
        <w:t>-</w:t>
      </w:r>
      <w:r>
        <w:rPr>
          <w:rtl w:val="true"/>
        </w:rPr>
        <w:t>روایة أبی عمرو الکنانی</w:t>
      </w:r>
      <w:r>
        <w:rPr>
          <w:rtl w:val="true"/>
        </w:rPr>
        <w:t>:</w:t>
      </w:r>
      <w:bookmarkEnd w:id="1596"/>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عمرو الکنانی،عن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عمرو،أ رأیتک لو حدّثتک بحدیث أو أفتیتک بفتیا ثمّ جئت بعد ذلک تسألنی عنه، فأخبرتک بخلاف ما کنت أخبرتک أو أفتیتک بخلاف ذلک،بأیّهما کنت تأخذ؟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بأحدثهما و أدع الآخر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أصبت یا أبا عمرو،أبی اللّه إلاّ أن یعبد سرّا،أما و اللّه، لئن فعلتم ذلک،إنّه لخیر لی و لکم،أبی اللّه لنا </w:t>
      </w:r>
      <w:r>
        <w:rPr>
          <w:rStyle w:val="FootnoteAnchor"/>
          <w:rtl w:val="true"/>
        </w:rPr>
        <w:footnoteReference w:id="1547"/>
      </w:r>
      <w:r>
        <w:rPr>
          <w:rFonts w:ascii="Amiri" w:hAnsi="Amiri" w:eastAsia="Amiri" w:cs="Amiri"/>
          <w:color w:val="111111"/>
          <w:sz w:val="28"/>
          <w:sz w:val="28"/>
          <w:szCs w:val="28"/>
          <w:rtl w:val="true"/>
          <w:lang w:bidi="ar-SA"/>
        </w:rPr>
        <w:t>فی دینه إلاّ التقیّة</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1597" w:name="pg12985_125323"/>
    </w:p>
    <w:p>
      <w:pPr>
        <w:pStyle w:val="Heading6"/>
        <w:numPr>
          <w:ilvl w:val="5"/>
          <w:numId w:val="1"/>
        </w:numPr>
        <w:rPr/>
      </w:pPr>
      <w:bookmarkStart w:id="1598" w:name="__RefHeading___Toc5768051_3224264995"/>
      <w:bookmarkStart w:id="1599" w:name="_Toc634"/>
      <w:bookmarkEnd w:id="1597"/>
      <w:bookmarkEnd w:id="1598"/>
      <w:r>
        <w:rPr/>
        <w:t>12</w:t>
      </w:r>
      <w:r>
        <w:rPr>
          <w:rtl w:val="true"/>
        </w:rPr>
        <w:t>-</w:t>
      </w:r>
      <w:r>
        <w:rPr>
          <w:rtl w:val="true"/>
        </w:rPr>
        <w:t>روایة محمد بن مسلم</w:t>
      </w:r>
      <w:r>
        <w:rPr>
          <w:rtl w:val="true"/>
        </w:rPr>
        <w:t>:</w:t>
      </w:r>
      <w:bookmarkEnd w:id="1599"/>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الموثّق عن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و سلّم،لا یتّهمون بالکذب،فیجیء منکم خلافه؟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0" w:name="__RefHeading___Toc5768053_3224264995"/>
      <w:bookmarkStart w:id="1601" w:name="_Toc635"/>
      <w:bookmarkEnd w:id="1600"/>
      <w:r>
        <w:rPr/>
        <w:t>13</w:t>
      </w:r>
      <w:r>
        <w:rPr>
          <w:rtl w:val="true"/>
        </w:rPr>
        <w:t>-</w:t>
      </w:r>
      <w:r>
        <w:rPr>
          <w:rtl w:val="true"/>
        </w:rPr>
        <w:t>روایة أبی حیّون</w:t>
      </w:r>
      <w:r>
        <w:rPr>
          <w:rtl w:val="true"/>
        </w:rPr>
        <w:t>:</w:t>
      </w:r>
      <w:bookmarkEnd w:id="1601"/>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بسنده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حیّون مولی الرضا علیه السّلام عنه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محکما کمحکم القرآن،و متشابها کمتشابه القرآن، فردّوا متشابهها إلی محکمها،و لا تتّبعوا متشابهها دون محکمها، فتضلّوا</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2" w:name="__RefHeading___Toc5768055_3224264995"/>
      <w:bookmarkStart w:id="1603" w:name="_Toc636"/>
      <w:bookmarkEnd w:id="1602"/>
      <w:r>
        <w:rPr/>
        <w:t>14</w:t>
      </w:r>
      <w:r>
        <w:rPr>
          <w:rtl w:val="true"/>
        </w:rPr>
        <w:t>-</w:t>
      </w:r>
      <w:r>
        <w:rPr>
          <w:rtl w:val="true"/>
        </w:rPr>
        <w:t>روایة داود بن فرقد</w:t>
      </w:r>
      <w:r>
        <w:rPr>
          <w:rtl w:val="true"/>
        </w:rPr>
        <w:t>:</w:t>
      </w:r>
      <w:bookmarkEnd w:id="1603"/>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معانی الأخبار بسنده عن داود بن فرقد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أفقه الناس إذا عرفتم </w:t>
      </w:r>
      <w:bookmarkStart w:id="1604" w:name="pg12985_125324"/>
    </w:p>
    <w:p>
      <w:pPr>
        <w:pStyle w:val="BookText"/>
        <w:rPr/>
      </w:pPr>
      <w:bookmarkEnd w:id="1604"/>
      <w:r>
        <w:rPr>
          <w:rFonts w:ascii="IRNazanin" w:hAnsi="IRNazanin" w:eastAsia="IRNazanin"/>
          <w:color w:val="111111"/>
          <w:sz w:val="28"/>
          <w:sz w:val="28"/>
          <w:szCs w:val="28"/>
          <w:rtl w:val="true"/>
          <w:lang w:bidi="fa-IR"/>
        </w:rPr>
        <w:t>معانی کلامنا،إنّ الکلمة لتنصرف علی وجوه،فلو شاء إنسان لصرف کلامه کیف شاء و لا یکذب</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هاتین الروایتین الأخیرتین دلالة علی وجوب الترجیح بحسب قوّة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وقفنا علیه من الأخبار الدالّة علی التراجیح</w:t>
      </w:r>
      <w:r>
        <w:rPr>
          <w:rFonts w:eastAsia="IRNazanin" w:cs="IRNazanin"/>
          <w:color w:val="111111"/>
          <w:sz w:val="28"/>
          <w:szCs w:val="28"/>
          <w:rtl w:val="true"/>
          <w:lang w:bidi="fa-IR"/>
        </w:rPr>
        <w:t>.</w:t>
      </w:r>
    </w:p>
    <w:p>
      <w:pPr>
        <w:pStyle w:val="Heading6"/>
        <w:numPr>
          <w:ilvl w:val="5"/>
          <w:numId w:val="1"/>
        </w:numPr>
        <w:rPr/>
      </w:pPr>
      <w:bookmarkStart w:id="1605" w:name="__RefHeading___Toc5768057_3224264995"/>
      <w:bookmarkStart w:id="1606" w:name="_Toc637"/>
      <w:bookmarkEnd w:id="1605"/>
      <w:r>
        <w:rPr>
          <w:rtl w:val="true"/>
        </w:rPr>
        <w:t>علاج التعارض المتوهّم بین الأخبار العلاجیّة</w:t>
      </w:r>
      <w:bookmarkEnd w:id="1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التعارض المتوهّم بین الأخبار العلاجیّة</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إذا عرفت ما تلوناه علیک </w:t>
      </w:r>
      <w:r>
        <w:rPr>
          <w:rStyle w:val="FootnoteAnchor"/>
          <w:rtl w:val="true"/>
        </w:rPr>
        <w:footnoteReference w:id="1555"/>
      </w:r>
      <w:r>
        <w:rPr>
          <w:rFonts w:ascii="IRNazanin" w:hAnsi="IRNazanin" w:eastAsia="IRNazanin"/>
          <w:color w:val="111111"/>
          <w:sz w:val="28"/>
          <w:sz w:val="28"/>
          <w:szCs w:val="28"/>
          <w:rtl w:val="true"/>
          <w:lang w:bidi="fa-IR"/>
        </w:rPr>
        <w:t xml:space="preserve">،فلا یخفی علیک أنّ ظواهرها متعارضة،فلا بدّ من </w:t>
      </w:r>
      <w:r>
        <w:rPr>
          <w:rStyle w:val="FootnoteAnchor"/>
          <w:rtl w:val="true"/>
        </w:rPr>
        <w:footnoteReference w:id="1556"/>
      </w:r>
      <w:r>
        <w:rPr>
          <w:rFonts w:ascii="IRNazanin" w:hAnsi="IRNazanin" w:eastAsia="IRNazanin"/>
          <w:color w:val="111111"/>
          <w:sz w:val="28"/>
          <w:sz w:val="28"/>
          <w:szCs w:val="28"/>
          <w:rtl w:val="true"/>
          <w:lang w:bidi="fa-IR"/>
        </w:rPr>
        <w:t>علاج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ذلک یقع فی مواضع</w:t>
      </w:r>
      <w:r>
        <w:rPr>
          <w:rFonts w:eastAsia="IRNazanin" w:cs="IRNazanin"/>
          <w:color w:val="111111"/>
          <w:sz w:val="28"/>
          <w:szCs w:val="28"/>
          <w:rtl w:val="true"/>
          <w:lang w:bidi="fa-IR"/>
        </w:rPr>
        <w:t>:</w:t>
      </w:r>
    </w:p>
    <w:p>
      <w:pPr>
        <w:pStyle w:val="Heading6"/>
        <w:numPr>
          <w:ilvl w:val="5"/>
          <w:numId w:val="1"/>
        </w:numPr>
        <w:rPr/>
      </w:pPr>
      <w:bookmarkStart w:id="1607" w:name="__RefHeading___Toc5768059_3224264995"/>
      <w:bookmarkStart w:id="1608" w:name="_Toc638"/>
      <w:bookmarkEnd w:id="1607"/>
      <w:r>
        <w:rPr>
          <w:rtl w:val="true"/>
        </w:rPr>
        <w:t>الموضع الاول</w:t>
      </w:r>
      <w:r>
        <w:rPr>
          <w:rtl w:val="true"/>
        </w:rPr>
        <w:t xml:space="preserve">: </w:t>
      </w:r>
      <w:r>
        <w:rPr>
          <w:rtl w:val="true"/>
        </w:rPr>
        <w:t>علاج تعارض مقبولة ابن حنظلة و مرفوعة زرازة</w:t>
      </w:r>
      <w:bookmarkEnd w:id="16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تعارض مقبولة ابن حنظلة و مرفوعة زرارة؛ حیث إنّ الاولی صریحة فی تقدیم الترجیح بصفات الراوی علی الترجیح بالشهرة،و الثانیة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 إن کانت ضعیفة السند إلاّ أنّها موافقة لسیرة العلماء فی باب الترجیح؛فإنّ طریقتهم مستمرّة علی </w:t>
      </w:r>
    </w:p>
    <w:p>
      <w:pPr>
        <w:pStyle w:val="BookText"/>
        <w:rPr/>
      </w:pPr>
      <w:r>
        <w:rPr>
          <w:rFonts w:ascii="IRNazanin" w:hAnsi="IRNazanin" w:eastAsia="IRNazanin"/>
          <w:color w:val="111111"/>
          <w:sz w:val="28"/>
          <w:sz w:val="28"/>
          <w:szCs w:val="28"/>
          <w:rtl w:val="true"/>
          <w:lang w:bidi="fa-IR"/>
        </w:rPr>
        <w:t>تقدیم المشهور علی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المقبولة و إن کانت مشهورة بین العلماء حتّی سمّیت مقبولة،إلاّ أنّ عملهم علی طبق المرفوعة و إن کانت شاذّة من حیث الروایة؛حیث لم یوجد </w:t>
      </w:r>
      <w:r>
        <w:rPr>
          <w:rStyle w:val="FootnoteAnchor"/>
          <w:rtl w:val="true"/>
        </w:rPr>
        <w:footnoteReference w:id="1557"/>
      </w:r>
      <w:r>
        <w:rPr>
          <w:rFonts w:ascii="IRNazanin" w:hAnsi="IRNazanin" w:eastAsia="IRNazanin"/>
          <w:color w:val="111111"/>
          <w:sz w:val="28"/>
          <w:sz w:val="28"/>
          <w:szCs w:val="28"/>
          <w:rtl w:val="true"/>
          <w:lang w:bidi="fa-IR"/>
        </w:rPr>
        <w:t>مرویّة فی شیء من جوامع الأخبار المعروفة،و لم یحکها إلاّ ابن أبی جمهور عن العلاّمة مرفوعة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المرفوعة تدلّ علی تقدیم المشهور روایة علی غیره،و هی هنا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الترجیح بالشهرة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نمنع أنّ عمل المشهور علی تقدیم الخبر المشهور روایة علی غیره إذا کان الغیر أصحّ منه من حیث صفات الراوی،خصوصا صفة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لمّا کان عن الحکمین کان الترجیح فیهما من حیث الصفات،فقال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السائل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اتفق الفقهاء علی عدم الترجیح بین الحکّام إلاّ بالفقاهة و الورع،فالمقبولة نظیر روایة داود بن الحصین الواردة فی اختلاف الحکمین،من دون تعرّض الراوی لکون منشأ اختلافهما الاختلاف فی الروایات،حیث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أفقههما و أعلمهما </w:t>
      </w:r>
      <w:r>
        <w:rPr>
          <w:rStyle w:val="FootnoteAnchor"/>
          <w:rtl w:val="true"/>
        </w:rPr>
        <w:footnoteReference w:id="1558"/>
      </w:r>
      <w:r>
        <w:rPr>
          <w:rFonts w:ascii="IRNazanin" w:hAnsi="IRNazanin" w:eastAsia="IRNazanin"/>
          <w:color w:val="111111"/>
          <w:sz w:val="28"/>
          <w:sz w:val="28"/>
          <w:szCs w:val="28"/>
          <w:rtl w:val="true"/>
          <w:lang w:bidi="fa-IR"/>
        </w:rPr>
        <w:t>و أورعهما فینفذ حکمه</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،و حینئذ فیکون الصفات من مرجّحات الحکمین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نعم،لمّا فرض الراوی تساویهما أرجعه الإمام علیه السّلام إلی ملاحظة </w:t>
      </w:r>
      <w:bookmarkStart w:id="1609" w:name="pg12985_125326"/>
    </w:p>
    <w:p>
      <w:pPr>
        <w:pStyle w:val="BookText"/>
        <w:rPr/>
      </w:pPr>
      <w:bookmarkEnd w:id="1609"/>
      <w:r>
        <w:rPr>
          <w:rFonts w:ascii="IRNazanin" w:hAnsi="IRNazanin" w:eastAsia="IRNazanin"/>
          <w:color w:val="111111"/>
          <w:sz w:val="28"/>
          <w:sz w:val="28"/>
          <w:szCs w:val="28"/>
          <w:rtl w:val="true"/>
          <w:lang w:bidi="fa-IR"/>
        </w:rPr>
        <w:t>الترجیح فی مستندیهما،و أمره بالاجتهاد و العمل فی الواقعة علی طبق الراجح من الخبرین مع إلغاء حکومة الحکمین کلیهما،فأوّل المرجّحات الخبریّة هی الشهرة بین الأصحاب فینطبق علی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یورد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علی قواعد الفقهاء الرجوع مع تساوی الحاکمین إلی اختیار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جریان هذا الحکم فی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کان،فهذا التوجیه غیر بعید</w:t>
      </w:r>
      <w:r>
        <w:rPr>
          <w:rFonts w:eastAsia="IRNazanin" w:cs="IRNazanin"/>
          <w:color w:val="111111"/>
          <w:sz w:val="28"/>
          <w:szCs w:val="28"/>
          <w:rtl w:val="true"/>
          <w:lang w:bidi="fa-IR"/>
        </w:rPr>
        <w:t>.</w:t>
      </w:r>
    </w:p>
    <w:p>
      <w:pPr>
        <w:pStyle w:val="Heading6"/>
        <w:numPr>
          <w:ilvl w:val="5"/>
          <w:numId w:val="1"/>
        </w:numPr>
        <w:rPr/>
      </w:pPr>
      <w:bookmarkStart w:id="1610" w:name="__RefHeading___Toc5768061_3224264995"/>
      <w:bookmarkStart w:id="1611" w:name="_Toc639"/>
      <w:bookmarkEnd w:id="1610"/>
      <w:r>
        <w:rPr>
          <w:rtl w:val="true"/>
        </w:rPr>
        <w:t>الموضع الثانی</w:t>
      </w:r>
      <w:bookmarkEnd w:id="161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الاحتجاج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التوقّف أوّلا،ثمّ مع عدم إمکانه یرجع إلی الترجیح بموافقة العامّة و مخالفتهم،و أخبار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و ستعرف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صورة التمکّن من العلم،فتدلّ الروایة علی أنّ الترجیح بمخالفة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غیرها من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یرجع إلیها بعد العجز عن تحصیل العلم فی الواقعة بالرجوع إلی الإمام علیه السّلام،کما ذهب إلیه بعض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خلاف ظاهر الأخبار الآمرة بالرجوع إلی المرجّحات ابتداء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بعضها صریح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التمکّن من العلم، کالمقبولة الآمرة بالرجوع إلی المرجّحات ثمّ بالإرجاء حتّی یلقی الإمام علیه السّلام،فیکون وجوب الرجوع إلی الإمام بعد فقد المرجّحات</w:t>
      </w:r>
      <w:r>
        <w:rPr>
          <w:rFonts w:eastAsia="IRNazanin" w:cs="IRNazanin"/>
          <w:color w:val="111111"/>
          <w:sz w:val="28"/>
          <w:szCs w:val="28"/>
          <w:rtl w:val="true"/>
          <w:lang w:bidi="fa-IR"/>
        </w:rPr>
        <w:t xml:space="preserve">. </w:t>
      </w:r>
      <w:bookmarkStart w:id="1612" w:name="pg12985_125327"/>
    </w:p>
    <w:p>
      <w:pPr>
        <w:pStyle w:val="BookText"/>
        <w:rPr/>
      </w:pPr>
      <w:bookmarkEnd w:id="1612"/>
      <w:r>
        <w:rPr>
          <w:rFonts w:ascii="IRNazanin" w:hAnsi="IRNazanin" w:eastAsia="IRNazanin"/>
          <w:color w:val="111111"/>
          <w:sz w:val="28"/>
          <w:sz w:val="28"/>
          <w:szCs w:val="28"/>
          <w:rtl w:val="true"/>
          <w:lang w:bidi="fa-IR"/>
        </w:rPr>
        <w:t>و الظاهر لزوم طرحها؛لمعارضتها بالمقبولة الراجحة علیها،فیبقی إطلاقات الترجیح سلیمة</w:t>
      </w:r>
      <w:r>
        <w:rPr>
          <w:rFonts w:eastAsia="IRNazanin" w:cs="IRNazanin"/>
          <w:color w:val="111111"/>
          <w:sz w:val="28"/>
          <w:szCs w:val="28"/>
          <w:rtl w:val="true"/>
          <w:lang w:bidi="fa-IR"/>
        </w:rPr>
        <w:t>.</w:t>
      </w:r>
    </w:p>
    <w:p>
      <w:pPr>
        <w:pStyle w:val="Heading6"/>
        <w:numPr>
          <w:ilvl w:val="5"/>
          <w:numId w:val="1"/>
        </w:numPr>
        <w:rPr/>
      </w:pPr>
      <w:bookmarkStart w:id="1613" w:name="__RefHeading___Toc5768063_3224264995"/>
      <w:bookmarkStart w:id="1614" w:name="_Toc640"/>
      <w:bookmarkEnd w:id="1613"/>
      <w:r>
        <w:rPr>
          <w:rtl w:val="true"/>
        </w:rPr>
        <w:t>الموضع الثالث</w:t>
      </w:r>
      <w:bookmarkEnd w:id="161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تقیید إطلاق ما اقتصر فیها علی بعض المرجّحات بالمقبولة،إلاّ أنّه قد یستبعد ذلک؛لورود تلک المطلقات فی مقام الحاجة،فلا بدّ من جعل المقبولة کاشفة عن قرینة متّصلة فهم منها الإمام علیه السّلام أنّ مراد الراوی تساوی الروایتین من سائر الجهات،کما یحمل إطلاق أخبار التخییر علی ذلک</w:t>
      </w:r>
      <w:r>
        <w:rPr>
          <w:rFonts w:eastAsia="IRNazanin" w:cs="IRNazanin"/>
          <w:color w:val="111111"/>
          <w:sz w:val="28"/>
          <w:szCs w:val="28"/>
          <w:rtl w:val="true"/>
          <w:lang w:bidi="fa-IR"/>
        </w:rPr>
        <w:t>.</w:t>
      </w:r>
    </w:p>
    <w:p>
      <w:pPr>
        <w:pStyle w:val="Heading6"/>
        <w:numPr>
          <w:ilvl w:val="5"/>
          <w:numId w:val="1"/>
        </w:numPr>
        <w:rPr/>
      </w:pPr>
      <w:bookmarkStart w:id="1615" w:name="__RefHeading___Toc5768065_3224264995"/>
      <w:bookmarkStart w:id="1616" w:name="_Toc641"/>
      <w:bookmarkEnd w:id="1615"/>
      <w:r>
        <w:rPr>
          <w:rtl w:val="true"/>
        </w:rPr>
        <w:t>الموضع الرابع</w:t>
      </w:r>
      <w:bookmarkEnd w:id="161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الثانی عشر الدالّ علی نسخ الحدیث بالحدیث، علی تقدیر شموله للروایات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بکشفهم علیهم السّلام عن الناسخ الذی أودعه رسول اللّه صلّی اللّه علیه و آله و سلّم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مقدّم علی باقی الترجیحات أو مؤخّر؟وجهان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النسخ من جهات التصرّف فی الظاهر </w:t>
      </w:r>
      <w:r>
        <w:rPr>
          <w:rStyle w:val="FootnoteAnchor"/>
          <w:rtl w:val="true"/>
        </w:rPr>
        <w:footnoteReference w:id="1562"/>
      </w:r>
      <w:r>
        <w:rPr>
          <w:rFonts w:ascii="IRNazanin" w:hAnsi="IRNazanin" w:eastAsia="IRNazanin"/>
          <w:color w:val="111111"/>
          <w:sz w:val="28"/>
          <w:sz w:val="28"/>
          <w:szCs w:val="28"/>
          <w:rtl w:val="true"/>
          <w:lang w:bidi="fa-IR"/>
        </w:rPr>
        <w:t xml:space="preserve">لأنّه من تخصیص الأزمان؛و لذا ذکروه فی تعارض الأحوال،و قد مرّ و سیجیء </w:t>
      </w:r>
      <w:r>
        <w:rPr>
          <w:rStyle w:val="FootnoteAnchor"/>
          <w:rtl w:val="true"/>
        </w:rPr>
        <w:footnoteReference w:id="1563"/>
      </w:r>
      <w:r>
        <w:rPr>
          <w:rFonts w:ascii="IRNazanin" w:hAnsi="IRNazanin" w:eastAsia="IRNazanin"/>
          <w:color w:val="111111"/>
          <w:sz w:val="28"/>
          <w:sz w:val="28"/>
          <w:szCs w:val="28"/>
          <w:rtl w:val="true"/>
          <w:lang w:bidi="fa-IR"/>
        </w:rPr>
        <w:t>تقدیم الجمع بهذا النحو علی الترجیحات الأخر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النسخ علی فرض ثبوته فی غایة القلّة،فلا یعتنی به فی مقام الجمع،و لا یحکم به العرف،فلا بدّ من الرجوع إلی المرجّحات الأخر،کما إذا امتنع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بعض الکلام فی ذلک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1617" w:name="pg12985_125328"/>
    </w:p>
    <w:p>
      <w:pPr>
        <w:pStyle w:val="Heading6"/>
        <w:numPr>
          <w:ilvl w:val="5"/>
          <w:numId w:val="1"/>
        </w:numPr>
        <w:rPr/>
      </w:pPr>
      <w:bookmarkStart w:id="1618" w:name="__RefHeading___Toc5768067_3224264995"/>
      <w:bookmarkStart w:id="1619" w:name="_Toc642"/>
      <w:bookmarkEnd w:id="1617"/>
      <w:bookmarkEnd w:id="1618"/>
      <w:r>
        <w:rPr>
          <w:rtl w:val="true"/>
        </w:rPr>
        <w:t>الموضع الخامس</w:t>
      </w:r>
      <w:bookmarkEnd w:id="161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الروایتین الأخیرتین ظاهرتان فی وجوب الجمع بین الأقوال الصادرة عن الأئمّة صلوات اللّه علیهم،بردّ المتشابه إلی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متشابهها فتضلّوا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الذی ارید منه خلافه؛إذ المتشابه إمّا المجمل و إمّا المؤوّل، و لا معنی للنهی عن اتّباع المجمل،فالمراد إرجاع الظاهر إلی النصّ أو إلی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لمّا کان مرکوزا فی أذهان أهل اللسان،و لم یحتج إلی البیان فی الکلام المعلوم الصدور عنهم،فلا یبعد إرادة ما یقع من ذلک فی الکلمات المحکیّة عنهم بإسناد الثقات،التی تنزّل منزلة المعلوم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أنّه لا یجوز المبادرة إلی طرح الخبر المنافی لخبر آخر و لو کان الآخر أرجح منه،إذا أمکن ردّ المتشابه منهما إلی المحکم </w:t>
      </w:r>
      <w:r>
        <w:rPr>
          <w:rStyle w:val="FootnoteAnchor"/>
          <w:rtl w:val="true"/>
        </w:rPr>
        <w:footnoteReference w:id="1565"/>
      </w:r>
      <w:r>
        <w:rPr>
          <w:rFonts w:ascii="IRNazanin" w:hAnsi="IRNazanin" w:eastAsia="IRNazanin"/>
          <w:color w:val="111111"/>
          <w:sz w:val="28"/>
          <w:sz w:val="28"/>
          <w:szCs w:val="28"/>
          <w:rtl w:val="true"/>
          <w:lang w:bidi="fa-IR"/>
        </w:rPr>
        <w:t>،و أنّ الفقیه من تأمّل فی أطراف الکلمات المحکیّة عنهم،و لم یبادر إلی طرحها لمعارضتها بما هو أرجح منها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الروایتین الحثّ علی الاجتهاد و استفراغ الوسع فی معانی الروایات،و عدم المبادرة إلی طرح الخبر بمجرّد مرجّح لغیره علیه</w:t>
      </w:r>
      <w:r>
        <w:rPr>
          <w:rFonts w:eastAsia="IRNazanin" w:cs="IRNazanin"/>
          <w:color w:val="111111"/>
          <w:sz w:val="28"/>
          <w:szCs w:val="28"/>
          <w:rtl w:val="true"/>
          <w:lang w:bidi="fa-IR"/>
        </w:rPr>
        <w:t xml:space="preserve">. </w:t>
      </w:r>
      <w:bookmarkStart w:id="1620" w:name="pg12985_125329"/>
    </w:p>
    <w:p>
      <w:pPr>
        <w:pStyle w:val="Heading6"/>
        <w:numPr>
          <w:ilvl w:val="5"/>
          <w:numId w:val="1"/>
        </w:numPr>
        <w:rPr/>
      </w:pPr>
      <w:bookmarkStart w:id="1621" w:name="__RefHeading___Toc5768069_3224264995"/>
      <w:bookmarkStart w:id="1622" w:name="_Toc643"/>
      <w:bookmarkEnd w:id="1620"/>
      <w:bookmarkEnd w:id="1621"/>
      <w:r>
        <w:rPr>
          <w:rtl w:val="true"/>
        </w:rPr>
        <w:t xml:space="preserve">المقام الثالث </w:t>
      </w:r>
      <w:r>
        <w:rPr>
          <w:rtl w:val="true"/>
        </w:rPr>
        <w:t>:</w:t>
      </w:r>
      <w:r>
        <w:rPr>
          <w:rtl w:val="true"/>
        </w:rPr>
        <w:t>فی عدم جواز الاقتصار علی المرجّحات المنصوصة</w:t>
      </w:r>
      <w:bookmarkEnd w:id="1622"/>
    </w:p>
    <w:p>
      <w:pPr>
        <w:pStyle w:val="BookText"/>
        <w:rPr/>
      </w:pPr>
      <w:r>
        <w:rPr>
          <w:rFonts w:ascii="IRNazanin" w:hAnsi="IRNazanin" w:eastAsia="IRNazanin"/>
          <w:color w:val="111111"/>
          <w:sz w:val="28"/>
          <w:sz w:val="28"/>
          <w:szCs w:val="28"/>
          <w:rtl w:val="true"/>
          <w:lang w:bidi="fa-IR"/>
        </w:rPr>
        <w:t>فی عدم جواز الاقتصار علی المرجّحات المنصوصة</w:t>
      </w:r>
      <w:r>
        <w:rPr>
          <w:rFonts w:eastAsia="IRNazanin" w:cs="IRNazanin"/>
          <w:color w:val="111111"/>
          <w:sz w:val="28"/>
          <w:szCs w:val="28"/>
          <w:rtl w:val="true"/>
          <w:lang w:bidi="fa-IR"/>
        </w:rPr>
        <w:t>.</w:t>
      </w:r>
    </w:p>
    <w:p>
      <w:pPr>
        <w:pStyle w:val="Heading6"/>
        <w:numPr>
          <w:ilvl w:val="5"/>
          <w:numId w:val="1"/>
        </w:numPr>
        <w:rPr/>
      </w:pPr>
      <w:bookmarkStart w:id="1623" w:name="__RefHeading___Toc5768071_3224264995"/>
      <w:bookmarkStart w:id="1624" w:name="_Toc644"/>
      <w:bookmarkEnd w:id="1623"/>
      <w:r>
        <w:rPr>
          <w:rtl w:val="true"/>
        </w:rPr>
        <w:t>حاصل ما یستفاد من أخبار الترجیح</w:t>
      </w:r>
      <w:r>
        <w:rPr>
          <w:rtl w:val="true"/>
        </w:rPr>
        <w:t>:</w:t>
      </w:r>
      <w:bookmarkEnd w:id="16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حاصل ما یستفاد من مجموع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تقدیم الجمع المقبول علی الطرح،و بعد ما ذکرنا من أنّ الترجیح بالأعدلیّة و أخواتها إنّما هو بین الحکمین مع قطع النظر عن ملاحظة مستندهما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الترجیح أوّلا بالشهرة و الشذوذ،ثمّ بالأعدلیّة و الأوثقیّة،ثمّ بمخالفة العامّة،ثمّ بمخالفة میل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بموافقة الکتاب و السنّة فهو من باب اعتضاد أحد الخبرین بدلیل قطعیّ الصدور،و لا إشکال فی وجوب الأخذ به،و کذا الترجیح بموافقة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 لم یذکر ثقة الإسلام،رضوان اللّه علیه،فی مقام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دیباجة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ذکر،فقال</w:t>
      </w:r>
      <w:r>
        <w:rPr>
          <w:rFonts w:eastAsia="IRNazanin" w:cs="IRNazanin"/>
          <w:color w:val="111111"/>
          <w:sz w:val="28"/>
          <w:szCs w:val="28"/>
          <w:rtl w:val="true"/>
          <w:lang w:bidi="fa-IR"/>
        </w:rPr>
        <w:t>:</w:t>
      </w:r>
    </w:p>
    <w:p>
      <w:pPr>
        <w:pStyle w:val="Heading6"/>
        <w:numPr>
          <w:ilvl w:val="5"/>
          <w:numId w:val="1"/>
        </w:numPr>
        <w:rPr/>
      </w:pPr>
      <w:bookmarkStart w:id="1625" w:name="__RefHeading___Toc5768073_3224264995"/>
      <w:bookmarkStart w:id="1626" w:name="_Toc645"/>
      <w:bookmarkEnd w:id="1625"/>
      <w:r>
        <w:rPr>
          <w:rtl w:val="true"/>
        </w:rPr>
        <w:t>کلام الشیخ الکلینی فی دیباجة الکافی</w:t>
      </w:r>
      <w:bookmarkEnd w:id="162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یسع أحدا تمییز شیء ممّا اختلف الروایة فیه من العلماء علیهم السّلام برأیه،إلاّ علی ما أطلقه العالم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اعرضوهما </w:t>
      </w:r>
      <w:r>
        <w:rPr>
          <w:rStyle w:val="FootnoteAnchor"/>
          <w:rtl w:val="true"/>
        </w:rPr>
        <w:footnoteReference w:id="1566"/>
      </w:r>
      <w:r>
        <w:rPr>
          <w:rFonts w:ascii="IRNazanin" w:hAnsi="IRNazanin" w:eastAsia="IRNazanin"/>
          <w:color w:val="111111"/>
          <w:sz w:val="28"/>
          <w:sz w:val="28"/>
          <w:szCs w:val="28"/>
          <w:rtl w:val="true"/>
          <w:lang w:bidi="fa-IR"/>
        </w:rPr>
        <w:t>علی کتاب اللّه،فما وافق کتاب اللّه عزّ و جلّ فخذوه،و ما خالف کتاب اللّه عزّ و جلّ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القوم،فإنّ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بالمجمع علیه،فإنّ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لا نعرف من جمیع ذلک إلاّ أقلّه،و لا نجد شیئا أحوط و لا أوسع من ردّ علم ذلک کلّه إلی </w:t>
      </w:r>
      <w:bookmarkStart w:id="1627" w:name="pg12985_125330"/>
    </w:p>
    <w:p>
      <w:pPr>
        <w:pStyle w:val="BookText"/>
        <w:rPr/>
      </w:pPr>
      <w:bookmarkEnd w:id="1627"/>
      <w:r>
        <w:rPr>
          <w:rFonts w:ascii="IRNazanin" w:hAnsi="IRNazanin" w:eastAsia="IRNazanin"/>
          <w:color w:val="111111"/>
          <w:sz w:val="28"/>
          <w:sz w:val="28"/>
          <w:szCs w:val="28"/>
          <w:rtl w:val="true"/>
          <w:lang w:bidi="fa-IR"/>
        </w:rPr>
        <w:t>العالم علیه السّلام،و قبول ما وسع من الأمر فیه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28" w:name="__RefHeading___Toc5768075_3224264995"/>
      <w:bookmarkStart w:id="1629" w:name="_Toc646"/>
      <w:bookmarkEnd w:id="1628"/>
      <w:r>
        <w:rPr>
          <w:rtl w:val="true"/>
        </w:rPr>
        <w:t>توضیح کلام الشیخ الکلینی</w:t>
      </w:r>
      <w:bookmarkEnd w:id="1629"/>
    </w:p>
    <w:p>
      <w:pPr>
        <w:pStyle w:val="BookText"/>
        <w:rPr/>
      </w:pPr>
      <w:r>
        <w:rPr>
          <w:rFonts w:ascii="IRNazanin" w:hAnsi="IRNazanin" w:eastAsia="IRNazanin"/>
          <w:color w:val="111111"/>
          <w:sz w:val="28"/>
          <w:sz w:val="28"/>
          <w:szCs w:val="28"/>
          <w:rtl w:val="true"/>
          <w:lang w:bidi="fa-IR"/>
        </w:rPr>
        <w:t>و لعلّه ترک الترجیح بالأعدلیّة و الأوثقیّة؛لأنّ الترجیح بذلک مرکوز فی أذهان الناس،غیر محتاج إلی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بعض الأخباریّین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إهمال هذا المرجّح کون أخبار کتابه 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من ذلک إلاّ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العلم بمخالفة الروایة للعامّة فی زمن صدورها أو کونها مجمعا علیها قلیل،و التعویل علی الظنّ بذلک عار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شیئا أحوط و لا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أوسعیّة التخییر فواضح،و أمّا وجه کونه أحوط،مع أنّ الأحوط التوقّف و الاحتیاط فی العمل،فلا یبعد أن یکون من جهة أنّ فی ذلک ترک العمل بالظنون التی لم یثبت الترجیح بها،و الإفتاء بکون مضمونها هو حکم اللّه لا غیر، و تقیید إطلاقات التخییر و التوسعة من دون نصّ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طعن غیر واحد من الأخباریّین علی رؤساء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المحقّق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یعتمدون فی الترجیحات علی امور اعتمدها العامّة فی کتبهم،ممّا لیس فی النصوص منه عین و لا أثر</w:t>
      </w:r>
      <w:r>
        <w:rPr>
          <w:rFonts w:eastAsia="IRNazanin" w:cs="IRNazanin"/>
          <w:color w:val="111111"/>
          <w:sz w:val="28"/>
          <w:szCs w:val="28"/>
          <w:rtl w:val="true"/>
          <w:lang w:bidi="fa-IR"/>
        </w:rPr>
        <w:t>.</w:t>
      </w:r>
    </w:p>
    <w:p>
      <w:pPr>
        <w:pStyle w:val="Heading6"/>
        <w:numPr>
          <w:ilvl w:val="5"/>
          <w:numId w:val="1"/>
        </w:numPr>
        <w:rPr/>
      </w:pPr>
      <w:bookmarkStart w:id="1630" w:name="__RefHeading___Toc5768077_3224264995"/>
      <w:bookmarkStart w:id="1631" w:name="_Toc647"/>
      <w:bookmarkEnd w:id="1630"/>
      <w:r>
        <w:rPr>
          <w:rtl w:val="true"/>
        </w:rPr>
        <w:t>کلام المحدث البحرانی</w:t>
      </w:r>
      <w:bookmarkEnd w:id="1631"/>
    </w:p>
    <w:p>
      <w:pPr>
        <w:pStyle w:val="BookText"/>
        <w:rPr/>
      </w:pPr>
      <w:r>
        <w:rPr>
          <w:rFonts w:ascii="IRNazanin" w:hAnsi="IRNazanin" w:eastAsia="IRNazanin"/>
          <w:color w:val="111111"/>
          <w:sz w:val="28"/>
          <w:sz w:val="28"/>
          <w:szCs w:val="28"/>
          <w:rtl w:val="true"/>
          <w:lang w:bidi="fa-IR"/>
        </w:rPr>
        <w:t>قال المحدّث البحرانی قدّس سرّه فی هذا المقام من مقدّمات الحدائق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ذکر علماء الاصول من الترجیحات فی هذا المقام ما لا یرجع أکثرها إلی محصول،و المعتمد عندنا ما ورد من أهل بیت الرسول صلی اللّه علیه و آله و سلّم، </w:t>
      </w:r>
      <w:bookmarkStart w:id="1632" w:name="pg12985_125331"/>
    </w:p>
    <w:p>
      <w:pPr>
        <w:pStyle w:val="BookText"/>
        <w:rPr/>
      </w:pPr>
      <w:bookmarkEnd w:id="1632"/>
      <w:r>
        <w:rPr>
          <w:rFonts w:ascii="IRNazanin" w:hAnsi="IRNazanin" w:eastAsia="IRNazanin"/>
          <w:color w:val="111111"/>
          <w:sz w:val="28"/>
          <w:sz w:val="28"/>
          <w:szCs w:val="28"/>
          <w:rtl w:val="true"/>
          <w:lang w:bidi="fa-IR"/>
        </w:rPr>
        <w:t xml:space="preserve">من الأخبار المشتملة علی وجوه الترجیحات </w:t>
      </w:r>
      <w:r>
        <w:rPr>
          <w:rStyle w:val="FootnoteAnchor"/>
          <w:rtl w:val="true"/>
        </w:rPr>
        <w:footnoteReference w:id="15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33" w:name="__RefHeading___Toc5768079_3224264995"/>
      <w:bookmarkStart w:id="1634" w:name="_Toc648"/>
      <w:bookmarkEnd w:id="1633"/>
      <w:r>
        <w:rPr>
          <w:rtl w:val="true"/>
        </w:rPr>
        <w:t>المناقشة فیما افاده المحدث البحرانی</w:t>
      </w:r>
      <w:bookmarkEnd w:id="1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w:t>
      </w:r>
      <w:r>
        <w:rPr>
          <w:rStyle w:val="FootnoteAnchor"/>
          <w:rtl w:val="true"/>
        </w:rPr>
        <w:footnoteReference w:id="1570"/>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ورود التکلیف الشرعیّ بالعمل بأحد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بما یحتمل أن یکون مرجّحا فی نظر الشارع؛لأنّ جواز العمل بالمرجوح مشکوک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المرجع بعد التکافؤ هو التوقّف و الاحتیاط،کان الأصل عدم الترجیح إلاّ بما علم کونه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عرفت أنّ المختار مع التکافؤ هو التخییر </w:t>
      </w:r>
      <w:r>
        <w:rPr>
          <w:rStyle w:val="FootnoteAnchor"/>
          <w:rtl w:val="true"/>
        </w:rPr>
        <w:footnoteReference w:id="1571"/>
      </w:r>
      <w:r>
        <w:rPr>
          <w:rFonts w:ascii="IRNazanin" w:hAnsi="IRNazanin" w:eastAsia="IRNazanin"/>
          <w:color w:val="111111"/>
          <w:sz w:val="28"/>
          <w:sz w:val="28"/>
          <w:szCs w:val="28"/>
          <w:rtl w:val="true"/>
          <w:lang w:bidi="fa-IR"/>
        </w:rPr>
        <w:t>،فالأصل هو العمل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إطلاقات التخییر حاکمة علی هذا الأصل،فلا بدّ للمتعدّی من المرجّحات الخاصّة المنصوصة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یستنبط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بمعونة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بکلّ مزیّة توجب أقربیّة ذیها إلی الواقع،و إمّا أن یستظهر من إطلاقات التخییر الاختصاص بصورة التکافؤ من جمیع الوجوه</w:t>
      </w:r>
      <w:r>
        <w:rPr>
          <w:rFonts w:eastAsia="IRNazanin" w:cs="IRNazanin"/>
          <w:color w:val="111111"/>
          <w:sz w:val="28"/>
          <w:szCs w:val="28"/>
          <w:rtl w:val="true"/>
          <w:lang w:bidi="fa-IR"/>
        </w:rPr>
        <w:t>.</w:t>
      </w:r>
    </w:p>
    <w:p>
      <w:pPr>
        <w:pStyle w:val="Heading6"/>
        <w:numPr>
          <w:ilvl w:val="5"/>
          <w:numId w:val="1"/>
        </w:numPr>
        <w:rPr/>
      </w:pPr>
      <w:bookmarkStart w:id="1635" w:name="__RefHeading___Toc5768081_3224264995"/>
      <w:bookmarkStart w:id="1636" w:name="_Toc649"/>
      <w:bookmarkEnd w:id="1635"/>
      <w:r>
        <w:rPr>
          <w:rtl w:val="true"/>
        </w:rPr>
        <w:t>عدم الاقتصار علی المرجّحات الخاصّة</w:t>
      </w:r>
      <w:r>
        <w:rPr>
          <w:rtl w:val="true"/>
        </w:rPr>
        <w:t>:</w:t>
      </w:r>
      <w:bookmarkEnd w:id="163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تدقیق النظر فی أخبار الترجیح یقتضی التزام الأوّل، کما أنّ التأمّل الصادق فی أخبار التخییر یقتضی التزام الثانی؛و لذا ذهب جمهور المجتهدین إلی عدم الاقتصار علی المرجّحات الخاصّة </w:t>
      </w:r>
      <w:r>
        <w:rPr>
          <w:rStyle w:val="FootnoteAnchor"/>
          <w:rtl w:val="true"/>
        </w:rPr>
        <w:footnoteReference w:id="1572"/>
      </w:r>
      <w:r>
        <w:rPr>
          <w:rFonts w:ascii="IRNazanin" w:hAnsi="IRNazanin" w:eastAsia="IRNazanin"/>
          <w:color w:val="111111"/>
          <w:sz w:val="28"/>
          <w:sz w:val="28"/>
          <w:szCs w:val="28"/>
          <w:rtl w:val="true"/>
          <w:lang w:bidi="fa-IR"/>
        </w:rPr>
        <w:t xml:space="preserve">،بل </w:t>
      </w:r>
      <w:bookmarkStart w:id="1637" w:name="pg12985_125332"/>
    </w:p>
    <w:p>
      <w:pPr>
        <w:pStyle w:val="BookText"/>
        <w:rPr/>
      </w:pPr>
      <w:bookmarkEnd w:id="1637"/>
      <w:r>
        <w:rPr>
          <w:rFonts w:ascii="Amiri" w:hAnsi="Amiri" w:eastAsia="Amiri" w:cs="Amiri"/>
          <w:color w:val="111111"/>
          <w:sz w:val="28"/>
          <w:sz w:val="28"/>
          <w:szCs w:val="28"/>
          <w:rtl w:val="true"/>
          <w:lang w:bidi="ar-SA"/>
        </w:rPr>
        <w:t xml:space="preserve">ادّعی بعضهم </w:t>
      </w:r>
      <w:r>
        <w:rPr>
          <w:rStyle w:val="FootnoteAnchor"/>
          <w:rtl w:val="true"/>
        </w:rPr>
        <w:footnoteReference w:id="1573"/>
      </w:r>
      <w:r>
        <w:rPr>
          <w:rFonts w:ascii="IRNazanin" w:hAnsi="IRNazanin" w:eastAsia="IRNazanin"/>
          <w:color w:val="111111"/>
          <w:sz w:val="28"/>
          <w:sz w:val="28"/>
          <w:szCs w:val="28"/>
          <w:rtl w:val="true"/>
          <w:lang w:bidi="fa-IR"/>
        </w:rPr>
        <w:t>ظهور الإجماع و عدم ظهور الخلاف علی وجوب العمل بالراجح من الدلیلین،بعد أن حکی الإجماع علیه عن جماعة</w:t>
      </w:r>
      <w:r>
        <w:rPr>
          <w:rFonts w:eastAsia="IRNazanin" w:cs="IRNazanin"/>
          <w:color w:val="111111"/>
          <w:sz w:val="28"/>
          <w:szCs w:val="28"/>
          <w:rtl w:val="true"/>
          <w:lang w:bidi="fa-IR"/>
        </w:rPr>
        <w:t>.</w:t>
      </w:r>
    </w:p>
    <w:p>
      <w:pPr>
        <w:pStyle w:val="Heading6"/>
        <w:numPr>
          <w:ilvl w:val="5"/>
          <w:numId w:val="1"/>
        </w:numPr>
        <w:rPr/>
      </w:pPr>
      <w:bookmarkStart w:id="1638" w:name="__RefHeading___Toc5768083_3224264995"/>
      <w:bookmarkStart w:id="1639" w:name="_Toc650"/>
      <w:bookmarkEnd w:id="1638"/>
      <w:r>
        <w:rPr>
          <w:rtl w:val="true"/>
        </w:rPr>
        <w:t>ما یمکن ان یستفاد منه هذا المطلب</w:t>
      </w:r>
      <w:bookmarkEnd w:id="1639"/>
    </w:p>
    <w:p>
      <w:pPr>
        <w:pStyle w:val="BookText"/>
        <w:rPr/>
      </w:pPr>
      <w:r>
        <w:rPr>
          <w:rFonts w:ascii="IRNazanin" w:hAnsi="IRNazanin" w:eastAsia="IRNazanin"/>
          <w:color w:val="111111"/>
          <w:sz w:val="28"/>
          <w:sz w:val="28"/>
          <w:szCs w:val="28"/>
          <w:rtl w:val="true"/>
          <w:lang w:bidi="fa-IR"/>
        </w:rPr>
        <w:t>و کیف کان،فما یمکن استفادة هذا المطلب منه فقرات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بالأصدقیّة فی المقبولة و بالأوثقیّة فی المرفوعة؛فإنّ اعتبار هاتین الصفتین لیس إلاّ لترجیح الأقرب إلی مطابقة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الناظر فی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أقرب،من غیر مدخلیّة خصوصیّة سبب،و لیستا کالأعدلیّة و الأفقهیّة تحتملان اعتبار الأقربیّة الحاصلة من السبب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أحد الراویین أضبط من الآخر أو أعرف بنقل الحدیث بالمعنی أو شبه ذلک،فیکون أصدق و أوثق من الراوی الآخر،و نتعدّی من صفات الراوی المرجّحة </w:t>
      </w:r>
      <w:r>
        <w:rPr>
          <w:rStyle w:val="FootnoteAnchor"/>
          <w:rtl w:val="true"/>
        </w:rPr>
        <w:footnoteReference w:id="1574"/>
      </w:r>
      <w:r>
        <w:rPr>
          <w:rFonts w:ascii="IRNazanin" w:hAnsi="IRNazanin" w:eastAsia="IRNazanin"/>
          <w:color w:val="111111"/>
          <w:sz w:val="28"/>
          <w:sz w:val="28"/>
          <w:szCs w:val="28"/>
          <w:rtl w:val="true"/>
          <w:lang w:bidi="fa-IR"/>
        </w:rPr>
        <w:t>إلی صفات الروایة الموجبة لأقربیّة صدورها؛لأنّ أصدقیّة الراوی و أوثقیّته لم تعتبر فی الراوی إلاّ من حیث حصول صفة الصدق و الوثاقة فی الروایة،فإذا کان أحد الخبرین منقولا باللفظ و الآخر منقولا بالمعنی کان الأوّل أقرب إلی الصدق و أولی بالوثوق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الراوی بعد سماع الترجیح بمجموع الصفات لم یسأل عن صورة وجود بعضها و تخالفها فی الراویین </w:t>
      </w:r>
      <w:r>
        <w:rPr>
          <w:rStyle w:val="FootnoteAnchor"/>
          <w:rtl w:val="true"/>
        </w:rPr>
        <w:footnoteReference w:id="1575"/>
      </w:r>
      <w:r>
        <w:rPr>
          <w:rFonts w:ascii="IRNazanin" w:hAnsi="IRNazanin" w:eastAsia="IRNazanin"/>
          <w:color w:val="111111"/>
          <w:sz w:val="28"/>
          <w:sz w:val="28"/>
          <w:szCs w:val="28"/>
          <w:rtl w:val="true"/>
          <w:lang w:bidi="fa-IR"/>
        </w:rPr>
        <w:t xml:space="preserve">،و إنّما سأل عن </w:t>
      </w:r>
    </w:p>
    <w:p>
      <w:pPr>
        <w:pStyle w:val="BookText"/>
        <w:rPr/>
      </w:pPr>
      <w:r>
        <w:rPr>
          <w:rFonts w:ascii="IRNazanin" w:hAnsi="IRNazanin" w:eastAsia="IRNazanin"/>
          <w:color w:val="111111"/>
          <w:sz w:val="28"/>
          <w:sz w:val="28"/>
          <w:szCs w:val="28"/>
          <w:rtl w:val="true"/>
          <w:lang w:bidi="fa-IR"/>
        </w:rPr>
        <w:t>حکم صورة تساوی الراویین فی الصفات المذکورة و غیرها،حتّی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أحدهما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بمزیّة من المزایا أصلا، فلو لا فهمه أنّ کلّ واحد من هذه الصفات و ما یشبهها مزیّة مستقلّة، لم یکن وقع للسؤال عن صورة عدم المزیّة فیهما رأسا،بل ناسبه السؤال عن حکم عدم اجتماع الصفات،فافهم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 علیه السّلام الأخذ بالمشهور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معنی کون الروایة مشهورة کونها معروفة عند الکلّ،کما یدلّ علیه فرض السائل کلیهما مشهورین،و المراد بالشاذّ ما لا یعرفه إلاّ القلیل،و لا ریب أنّ المشهور بهذا المعنی لیس قطعیّا من جمیع الجهات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المتن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ممّا لا ریب فیه،و إلاّ لم یمکن فرضهما مشهورین،و لا الرجوع إلی صفات الراوی قبل ملاحظة الشهرة،و لا الحکم بالرجوع مع شهرتهما إلی المرجّحات الأخر،فالمراد بنفی الریب نفیه بالإضافة إلی الشاذّ،و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الریب المحتمل فی الشاذّ غیر محتمل فیه،فیصیر حاصل التعلیل ترجیح المشهور علی الشاذّ بأنّ فی الشاذّ احتمالا لا یوجد فی المشهور،و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تعلیلهم علیهم السّلام لتقدیم الخبر المخالف للعامّة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و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وافقهم فیه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کلّها </w:t>
      </w:r>
    </w:p>
    <w:p>
      <w:pPr>
        <w:pStyle w:val="BookText"/>
        <w:rPr/>
      </w:pPr>
      <w:r>
        <w:rPr>
          <w:rFonts w:ascii="IRNazanin" w:hAnsi="IRNazanin" w:eastAsia="IRNazanin"/>
          <w:color w:val="111111"/>
          <w:sz w:val="28"/>
          <w:sz w:val="28"/>
          <w:szCs w:val="28"/>
          <w:rtl w:val="true"/>
          <w:lang w:bidi="fa-IR"/>
        </w:rPr>
        <w:t>قضایا غالبیّة لا دائمیّة،فیدلّ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ترجیح کلّ ما کان معه أمارة الحقّ و الرشد،و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التعلیل کسابقه وجوب الترجیح بما هو أبعد عن الباطل من الآخر،و إن لم یکن علیه أمارة المطابقة،کما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جاءکم عنّا من حدیثین مختلفین </w:t>
      </w:r>
      <w:r>
        <w:rPr>
          <w:rStyle w:val="FootnoteAnchor"/>
          <w:rtl w:val="true"/>
        </w:rPr>
        <w:footnoteReference w:id="1577"/>
      </w:r>
      <w:r>
        <w:rPr>
          <w:rFonts w:ascii="IRNazanin" w:hAnsi="IRNazanin" w:eastAsia="IRNazanin"/>
          <w:color w:val="111111"/>
          <w:sz w:val="28"/>
          <w:sz w:val="28"/>
          <w:szCs w:val="28"/>
          <w:rtl w:val="true"/>
          <w:lang w:bidi="fa-IR"/>
        </w:rPr>
        <w:t>،فقسهما علی کتاب اللّه و أحادیثنا،فإن أشبهها فهو حقّ،و إن لم یشبهها فهو باطل</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فإنّه لا توجیه لهاتین القضیّتین إلاّ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الأبعدیّة عن الباطل و الأقربیّة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،دلّ علی أنّه إذا دار الأمر بین أمرین فی أحدهما ریب لیس فی الآخر ذلک الریب یجب الأخذ به،و لیس المراد نفی مطلق الریب،کما لا یخفی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فإذا فرض أحد المتعارضین منقولا باللفظ </w:t>
      </w:r>
      <w:r>
        <w:rPr>
          <w:rStyle w:val="FootnoteAnchor"/>
          <w:rtl w:val="true"/>
        </w:rPr>
        <w:footnoteReference w:id="1580"/>
      </w:r>
      <w:r>
        <w:rPr>
          <w:rFonts w:ascii="IRNazanin" w:hAnsi="IRNazanin" w:eastAsia="IRNazanin"/>
          <w:color w:val="111111"/>
          <w:sz w:val="28"/>
          <w:sz w:val="28"/>
          <w:szCs w:val="28"/>
          <w:rtl w:val="true"/>
          <w:lang w:bidi="fa-IR"/>
        </w:rPr>
        <w:t>و الآخر بالمعنی وجب الأخذ بالأوّل؛لأنّ احتمال الخطأ فی النقل بالمعنی منفیّ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أحدهما أعلی سندا لقلّة 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المرجّحات النافیة للاحتمال الغیر المنفیّ فی طرف المرجوح</w:t>
      </w:r>
      <w:r>
        <w:rPr>
          <w:rFonts w:eastAsia="IRNazanin" w:cs="IRNazanin"/>
          <w:color w:val="111111"/>
          <w:sz w:val="28"/>
          <w:szCs w:val="28"/>
          <w:rtl w:val="true"/>
          <w:lang w:bidi="fa-IR"/>
        </w:rPr>
        <w:t xml:space="preserve">. </w:t>
      </w:r>
      <w:bookmarkStart w:id="1640" w:name="pg12985_125335"/>
    </w:p>
    <w:p>
      <w:pPr>
        <w:pStyle w:val="Heading6"/>
        <w:numPr>
          <w:ilvl w:val="5"/>
          <w:numId w:val="1"/>
        </w:numPr>
        <w:rPr/>
      </w:pPr>
      <w:bookmarkStart w:id="1641" w:name="__RefHeading___Toc5768085_3224264995"/>
      <w:bookmarkStart w:id="1642" w:name="_Toc651"/>
      <w:bookmarkEnd w:id="1640"/>
      <w:bookmarkEnd w:id="1641"/>
      <w:r>
        <w:rPr>
          <w:rtl w:val="true"/>
        </w:rPr>
        <w:t>المقام الرابع</w:t>
      </w:r>
      <w:r>
        <w:rPr>
          <w:rtl w:val="true"/>
        </w:rPr>
        <w:t>:</w:t>
      </w:r>
      <w:r>
        <w:rPr>
          <w:rtl w:val="true"/>
        </w:rPr>
        <w:t>فی بیان المرجّحات</w:t>
      </w:r>
      <w:r>
        <w:rPr>
          <w:rtl w:val="true"/>
        </w:rPr>
        <w:t>.</w:t>
      </w:r>
      <w:bookmarkEnd w:id="1642"/>
    </w:p>
    <w:p>
      <w:pPr>
        <w:pStyle w:val="Heading6"/>
        <w:numPr>
          <w:ilvl w:val="5"/>
          <w:numId w:val="1"/>
        </w:numPr>
        <w:rPr/>
      </w:pPr>
      <w:bookmarkStart w:id="1643" w:name="__RefHeading___Toc5768087_3224264995"/>
      <w:bookmarkStart w:id="1644" w:name="_Toc652"/>
      <w:bookmarkEnd w:id="1643"/>
      <w:r>
        <w:rPr>
          <w:rtl w:val="true"/>
        </w:rPr>
        <w:t>أصناف المرجّحات</w:t>
      </w:r>
      <w:r>
        <w:rPr>
          <w:rtl w:val="true"/>
        </w:rPr>
        <w:t>:</w:t>
      </w:r>
      <w:bookmarkEnd w:id="1644"/>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داخلیّا،و هی کلّ مزیّة غیر مستقلّة فی نفسها، بل متقوّمة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خارجیّا،بأن یکون أمرا مستقلا بنفسه و لو لم یکن هناک خبر،سواء کان معتبرا کالأصل و الکتاب،أو غیر معتبر فی نفسه </w:t>
      </w:r>
      <w:r>
        <w:rPr>
          <w:rStyle w:val="FootnoteAnchor"/>
          <w:rtl w:val="true"/>
        </w:rPr>
        <w:footnoteReference w:id="1581"/>
      </w:r>
      <w:r>
        <w:rPr>
          <w:rFonts w:ascii="IRNazanin" w:hAnsi="IRNazanin" w:eastAsia="IRNazanin"/>
          <w:color w:val="111111"/>
          <w:sz w:val="28"/>
          <w:sz w:val="28"/>
          <w:szCs w:val="28"/>
          <w:rtl w:val="true"/>
          <w:lang w:bidi="fa-IR"/>
        </w:rPr>
        <w:t>کالشهرة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المستقلّ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مؤثّرا فی أقربیّة أحد الخبرین إلی الواقع کالکتاب،و الأصل بناء علی إفادته الظنّ،أو غیر مؤثّر ککون الحرمة أولی بالأخذ من الوجوب،و الأصل بناء علی کونه من باب التعبّد الظاهریّ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المستقلّ </w:t>
      </w:r>
      <w:r>
        <w:rPr>
          <w:rStyle w:val="FootnoteAnchor"/>
          <w:rtl w:val="true"/>
        </w:rPr>
        <w:footnoteReference w:id="1583"/>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ما لا یؤثّر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المرجّحات لا یخلو عن مسامحة</w:t>
      </w:r>
      <w:r>
        <w:rPr>
          <w:rFonts w:eastAsia="IRNazanin" w:cs="IRNazanin"/>
          <w:color w:val="111111"/>
          <w:sz w:val="28"/>
          <w:szCs w:val="28"/>
          <w:rtl w:val="true"/>
          <w:lang w:bidi="fa-IR"/>
        </w:rPr>
        <w:t xml:space="preserve">. </w:t>
      </w:r>
      <w:bookmarkStart w:id="1645" w:name="pg12985_125336"/>
    </w:p>
    <w:p>
      <w:pPr>
        <w:pStyle w:val="Heading6"/>
        <w:numPr>
          <w:ilvl w:val="5"/>
          <w:numId w:val="1"/>
        </w:numPr>
        <w:rPr/>
      </w:pPr>
      <w:bookmarkStart w:id="1646" w:name="__RefHeading___Toc5768089_3224264995"/>
      <w:bookmarkStart w:id="1647" w:name="_Toc653"/>
      <w:bookmarkEnd w:id="1645"/>
      <w:bookmarkEnd w:id="1646"/>
      <w:r>
        <w:rPr>
          <w:rtl w:val="true"/>
        </w:rPr>
        <w:t>المرجحات الداخلیّة</w:t>
      </w:r>
      <w:bookmarkEnd w:id="1647"/>
    </w:p>
    <w:p>
      <w:pPr>
        <w:pStyle w:val="BookText"/>
        <w:rPr/>
      </w:pP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الداخلی،فهو علی أقسام؛لأنّه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راجعا إلی الصدور،فیفید المرجّح کون الخبر أقرب إلی الصدور و أبعد عن الکذب،سواء کان راجعا إلی سنده کصفات الراوی،أو إلی متنه کالأفصحیّة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إلاّ فی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راجعا إلی وجه الصدور،ککون أحدهما مخالفا للعامّة أو لعمل سلطان الجور أو قاضی الجور،بناء علی احتمال کون مثل هذا الخبر صادرا لأجل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راجعا إلی مضمونه،کالمنقول باللفظ بالنسبة إلی المنقول بالمعنی؛إذ یحتمل الاشتباه فی التعبیر،فیکون مضمون المنقول باللفظ أقرب إلی الواقع،و </w:t>
      </w:r>
      <w:r>
        <w:rPr>
          <w:rStyle w:val="FootnoteAnchor"/>
          <w:rtl w:val="true"/>
        </w:rPr>
        <w:footnoteReference w:id="1585"/>
      </w:r>
      <w:r>
        <w:rPr>
          <w:rFonts w:ascii="IRNazanin" w:hAnsi="IRNazanin" w:eastAsia="IRNazanin"/>
          <w:color w:val="111111"/>
          <w:sz w:val="28"/>
          <w:sz w:val="28"/>
          <w:szCs w:val="28"/>
          <w:rtl w:val="true"/>
          <w:lang w:bidi="fa-IR"/>
        </w:rPr>
        <w:t>کمخالفة العامّة بناء علی أنّ الوجه فی الترجیح بها ما فی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خلافهم أقرب إلی الحقّ</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و کالترجیح بشهرة الروایة و نحوها</w:t>
      </w:r>
      <w:r>
        <w:rPr>
          <w:rFonts w:eastAsia="IRNazanin" w:cs="IRNazanin"/>
          <w:color w:val="111111"/>
          <w:sz w:val="28"/>
          <w:szCs w:val="28"/>
          <w:rtl w:val="true"/>
          <w:lang w:bidi="fa-IR"/>
        </w:rPr>
        <w:t>.</w:t>
      </w:r>
    </w:p>
    <w:p>
      <w:pPr>
        <w:pStyle w:val="Heading6"/>
        <w:numPr>
          <w:ilvl w:val="5"/>
          <w:numId w:val="1"/>
        </w:numPr>
        <w:rPr/>
      </w:pPr>
      <w:bookmarkStart w:id="1648" w:name="__RefHeading___Toc5768091_3224264995"/>
      <w:bookmarkStart w:id="1649" w:name="_Toc654"/>
      <w:bookmarkEnd w:id="1648"/>
      <w:r>
        <w:rPr>
          <w:rtl w:val="true"/>
        </w:rPr>
        <w:t>تأخّر المرجّحات الداخلیّة عن الترجیح بالدلالة و الاستدلال علیه</w:t>
      </w:r>
      <w:r>
        <w:rPr>
          <w:rtl w:val="true"/>
        </w:rPr>
        <w:t>:</w:t>
      </w:r>
      <w:bookmarkEnd w:id="164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الأنواع الثلاثة کلّها متأخّرة عن الترجیح باعتبار قوّة الدلالة،فإنّ الأقوی دلالة مقدّم علی ما کان أصحّ سندا و موافقا للکتاب و مشهور الروایة بین الأصحاب؛لأنّ صفات الروایة لا تزیده </w:t>
      </w:r>
    </w:p>
    <w:p>
      <w:pPr>
        <w:pStyle w:val="BookText"/>
        <w:rPr/>
      </w:pPr>
      <w:r>
        <w:rPr>
          <w:rFonts w:ascii="IRNazanin" w:hAnsi="IRNazanin" w:eastAsia="IRNazanin"/>
          <w:color w:val="111111"/>
          <w:sz w:val="28"/>
          <w:sz w:val="28"/>
          <w:szCs w:val="28"/>
          <w:rtl w:val="true"/>
          <w:lang w:bidi="fa-IR"/>
        </w:rPr>
        <w:t>علی المتواتر،و موافقة الکتاب لا تجعله أعلی من الکتاب،و قد تقرّر فی محلّه تخصیص الکتاب و المتواتر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رجع التعارض إلی تعارض الظاهر و الأظهر،فلا ینبغی الارتیاب فی عدم ملاحظة المرجّحات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ما أشرنا إلیه سابقا </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مصبّ الترجیح بها هو ما إذا لم یمکن الجمع بوجه عرفیّ یجری فی کلامین مقطوعی الصدور علی غیر جهة التقیّة </w:t>
      </w:r>
      <w:r>
        <w:rPr>
          <w:rStyle w:val="FootnoteAnchor"/>
          <w:rtl w:val="true"/>
        </w:rPr>
        <w:footnoteReference w:id="1588"/>
      </w:r>
      <w:r>
        <w:rPr>
          <w:rFonts w:ascii="IRNazanin" w:hAnsi="IRNazanin" w:eastAsia="IRNazanin"/>
          <w:color w:val="111111"/>
          <w:sz w:val="28"/>
          <w:sz w:val="28"/>
          <w:szCs w:val="28"/>
          <w:rtl w:val="true"/>
          <w:lang w:bidi="fa-IR"/>
        </w:rPr>
        <w:t>،بل فی جزءی کلام واحد لمتکلّم واحد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أمکن فرض صدور الکلامین علی غیر جهة التقیّة </w:t>
      </w:r>
      <w:r>
        <w:rPr>
          <w:rStyle w:val="FootnoteAnchor"/>
          <w:rtl w:val="true"/>
        </w:rPr>
        <w:footnoteReference w:id="1589"/>
      </w:r>
      <w:r>
        <w:rPr>
          <w:rFonts w:ascii="IRNazanin" w:hAnsi="IRNazanin" w:eastAsia="IRNazanin"/>
          <w:color w:val="111111"/>
          <w:sz w:val="28"/>
          <w:sz w:val="28"/>
          <w:szCs w:val="28"/>
          <w:rtl w:val="true"/>
          <w:lang w:bidi="fa-IR"/>
        </w:rPr>
        <w:t>،و صیرورتهما کالکلام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دلیل وجوب التعبّد بصدور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الروایة المتقدّمة </w:t>
      </w:r>
      <w:r>
        <w:rPr>
          <w:rStyle w:val="FootnoteAnchor"/>
          <w:rtl w:val="true"/>
        </w:rPr>
        <w:footnoteReference w:id="159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کلامنا محکما و متشابها فردّوا متشابهها إلی محکمها</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،و لا یدخل ذلک فی مورد السؤال عن علاج المتعارضین،بل مورد السؤال عن العلاج مختصّ بما إذا کان المتعارضان لو فرض صدورهما،بل اقترانهما، تحیّر السائل فیهما،و لم یظهر المراد منهما إلاّ ببیان آخر لأحدهما أو 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یقع الکلام فی ترجیح بعض الظواهر علی بعض و تعیین </w:t>
      </w:r>
      <w:bookmarkStart w:id="1650" w:name="pg12985_125338"/>
    </w:p>
    <w:p>
      <w:pPr>
        <w:pStyle w:val="BookText"/>
        <w:rPr/>
      </w:pPr>
      <w:bookmarkEnd w:id="1650"/>
      <w:r>
        <w:rPr>
          <w:rFonts w:ascii="IRNazanin" w:hAnsi="IRNazanin" w:eastAsia="IRNazanin"/>
          <w:color w:val="111111"/>
          <w:sz w:val="28"/>
          <w:sz w:val="28"/>
          <w:szCs w:val="28"/>
          <w:rtl w:val="true"/>
          <w:lang w:bidi="fa-IR"/>
        </w:rPr>
        <w:t>الأظهر،و هذا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کأنّه </w:t>
      </w:r>
      <w:r>
        <w:rPr>
          <w:rStyle w:val="FootnoteAnchor"/>
          <w:rtl w:val="true"/>
        </w:rPr>
        <w:footnoteReference w:id="1592"/>
      </w:r>
      <w:r>
        <w:rPr>
          <w:rFonts w:ascii="IRNazanin" w:hAnsi="IRNazanin" w:eastAsia="IRNazanin"/>
          <w:color w:val="111111"/>
          <w:sz w:val="28"/>
          <w:sz w:val="28"/>
          <w:szCs w:val="28"/>
          <w:rtl w:val="true"/>
          <w:lang w:bidi="fa-IR"/>
        </w:rPr>
        <w:t>ممّا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بعض مشایخنا المعاصرین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ما یظهر من مذاهبهم فی الاصول و طریقتهم فی الفروع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1" w:name="__RefHeading___Toc5768093_3224264995"/>
      <w:bookmarkStart w:id="1652" w:name="_Toc655"/>
      <w:bookmarkEnd w:id="1651"/>
      <w:r>
        <w:rPr>
          <w:rtl w:val="true"/>
        </w:rPr>
        <w:t>ظاهر الشیخ الطوسی خلاف ذلک</w:t>
      </w:r>
      <w:bookmarkEnd w:id="1652"/>
    </w:p>
    <w:p>
      <w:pPr>
        <w:pStyle w:val="BookText"/>
        <w:rPr/>
      </w:pPr>
      <w:r>
        <w:rPr>
          <w:rFonts w:ascii="IRNazanin" w:hAnsi="IRNazanin" w:eastAsia="IRNazanin"/>
          <w:color w:val="111111"/>
          <w:sz w:val="28"/>
          <w:sz w:val="28"/>
          <w:szCs w:val="28"/>
          <w:rtl w:val="true"/>
          <w:lang w:bidi="fa-IR"/>
        </w:rPr>
        <w:t xml:space="preserve">نعم قد یظهر من عبارة الشیخ قدّس سرّه فی الاستبصار خلاف ذلک، بل یظهر منه أنّ الترجیح بالمرجّحات یلاحظ بین النصّ و الظاهر،فضلا عن الظاهر و الأظهر؛فإنّه قدّس سرّه بعد ما </w:t>
      </w:r>
      <w:r>
        <w:rPr>
          <w:rStyle w:val="FootnoteAnchor"/>
          <w:rtl w:val="true"/>
        </w:rPr>
        <w:footnoteReference w:id="1595"/>
      </w:r>
      <w:r>
        <w:rPr>
          <w:rFonts w:ascii="IRNazanin" w:hAnsi="IRNazanin" w:eastAsia="IRNazanin"/>
          <w:color w:val="111111"/>
          <w:sz w:val="28"/>
          <w:sz w:val="28"/>
          <w:szCs w:val="28"/>
          <w:rtl w:val="true"/>
          <w:lang w:bidi="fa-IR"/>
        </w:rPr>
        <w:t>ذکر حکم الخبر الخالی عمّا یعارضه،قال</w:t>
      </w:r>
      <w:r>
        <w:rPr>
          <w:rFonts w:eastAsia="IRNazanin" w:cs="IRNazanin"/>
          <w:color w:val="111111"/>
          <w:sz w:val="28"/>
          <w:szCs w:val="28"/>
          <w:rtl w:val="true"/>
          <w:lang w:bidi="fa-IR"/>
        </w:rPr>
        <w:t>:</w:t>
      </w:r>
    </w:p>
    <w:p>
      <w:pPr>
        <w:pStyle w:val="Heading6"/>
        <w:numPr>
          <w:ilvl w:val="5"/>
          <w:numId w:val="1"/>
        </w:numPr>
        <w:rPr/>
      </w:pPr>
      <w:bookmarkStart w:id="1653" w:name="__RefHeading___Toc5768095_3224264995"/>
      <w:bookmarkStart w:id="1654" w:name="_Toc656"/>
      <w:bookmarkEnd w:id="1653"/>
      <w:r>
        <w:rPr>
          <w:rtl w:val="true"/>
        </w:rPr>
        <w:t>کلام الشیخ فی الاستبصار</w:t>
      </w:r>
      <w:bookmarkEnd w:id="1654"/>
    </w:p>
    <w:p>
      <w:pPr>
        <w:pStyle w:val="BookText"/>
        <w:rPr/>
      </w:pPr>
      <w:r>
        <w:rPr>
          <w:rFonts w:ascii="IRNazanin" w:hAnsi="IRNazanin" w:eastAsia="IRNazanin"/>
          <w:color w:val="111111"/>
          <w:sz w:val="28"/>
          <w:sz w:val="28"/>
          <w:szCs w:val="28"/>
          <w:rtl w:val="true"/>
          <w:lang w:bidi="fa-IR"/>
        </w:rPr>
        <w:t>و إن کان هناک ما یعارضه فینبغی أن ینظر فی المتعارضین،فیعمل علی أعدل الرواة فی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سواء فی العدالة عمل علی أکثر الرواة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فی العدالة و العدد و کانا عاریین عن جمیع القرائن التی ذکرناها نظر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متی عمل بأحد الخبرین أمکن العمل بالآخر علی بعض الوجوه و ضرب من التأویل،کان العمل به أولی من العمل بالآخر </w:t>
      </w:r>
      <w:bookmarkStart w:id="1655" w:name="pg12985_125339"/>
    </w:p>
    <w:p>
      <w:pPr>
        <w:pStyle w:val="BookText"/>
        <w:rPr/>
      </w:pPr>
      <w:bookmarkEnd w:id="1655"/>
      <w:r>
        <w:rPr>
          <w:rFonts w:ascii="IRNazanin" w:hAnsi="IRNazanin" w:eastAsia="IRNazanin"/>
          <w:color w:val="111111"/>
          <w:sz w:val="28"/>
          <w:sz w:val="28"/>
          <w:szCs w:val="28"/>
          <w:rtl w:val="true"/>
          <w:lang w:bidi="fa-IR"/>
        </w:rPr>
        <w:t>الذی یحتاج مع العمل به إلی طرح الخبر الآخر؛لأنّه یکون العامل به عاملا بالخبرین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الخبران یمکن العمل بکلّ منهما و حمل الآخر علی بعض الوجوه من التأویل،و کان لأحد التأویلین خبر یعضده أو یشهد به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أو تلویحا،لفظا أو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الآخر عاریا عن ذلک،کان العمل به أولی من العمل بما لا یشهد له شیء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یشهد لأحد التأویلین خبر آخر و کانا </w:t>
      </w:r>
      <w:r>
        <w:rPr>
          <w:rStyle w:val="FootnoteAnchor"/>
          <w:rtl w:val="true"/>
        </w:rPr>
        <w:footnoteReference w:id="1596"/>
      </w:r>
      <w:r>
        <w:rPr>
          <w:rFonts w:ascii="IRNazanin" w:hAnsi="IRNazanin" w:eastAsia="IRNazanin"/>
          <w:color w:val="111111"/>
          <w:sz w:val="28"/>
          <w:sz w:val="28"/>
          <w:szCs w:val="28"/>
          <w:rtl w:val="true"/>
          <w:lang w:bidi="fa-IR"/>
        </w:rPr>
        <w:t xml:space="preserve">متحاذیین </w:t>
      </w:r>
      <w:r>
        <w:rPr>
          <w:rStyle w:val="FootnoteAnchor"/>
          <w:rtl w:val="true"/>
        </w:rPr>
        <w:footnoteReference w:id="1597"/>
      </w:r>
      <w:r>
        <w:rPr>
          <w:rFonts w:ascii="IRNazanin" w:hAnsi="IRNazanin" w:eastAsia="IRNazanin"/>
          <w:color w:val="111111"/>
          <w:sz w:val="28"/>
          <w:sz w:val="28"/>
          <w:szCs w:val="28"/>
          <w:rtl w:val="true"/>
          <w:lang w:bidi="fa-IR"/>
        </w:rPr>
        <w:t xml:space="preserve">، کان العامل مخیّرا فی العمل بأیّهما شاء </w:t>
      </w:r>
      <w:r>
        <w:rPr>
          <w:rStyle w:val="FootnoteAnchor"/>
          <w:rtl w:val="true"/>
        </w:rPr>
        <w:footnoteReference w:id="1598"/>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العدّة</w:t>
      </w:r>
      <w:r>
        <w:rPr>
          <w:rFonts w:eastAsia="IRNazanin" w:cs="IRNazanin"/>
          <w:color w:val="111111"/>
          <w:sz w:val="28"/>
          <w:szCs w:val="28"/>
          <w:rtl w:val="true"/>
          <w:lang w:bidi="fa-IR"/>
        </w:rPr>
        <w:t>:</w:t>
      </w:r>
    </w:p>
    <w:p>
      <w:pPr>
        <w:pStyle w:val="Heading6"/>
        <w:numPr>
          <w:ilvl w:val="5"/>
          <w:numId w:val="1"/>
        </w:numPr>
        <w:rPr/>
      </w:pPr>
      <w:bookmarkStart w:id="1656" w:name="__RefHeading___Toc5768097_3224264995"/>
      <w:bookmarkStart w:id="1657" w:name="_Toc657"/>
      <w:bookmarkEnd w:id="1656"/>
      <w:r>
        <w:rPr>
          <w:rtl w:val="true"/>
        </w:rPr>
        <w:t>کلام الشیخ فی العدة</w:t>
      </w:r>
      <w:bookmarkEnd w:id="1657"/>
    </w:p>
    <w:p>
      <w:pPr>
        <w:pStyle w:val="BookText"/>
        <w:rPr/>
      </w:pPr>
      <w:r>
        <w:rPr>
          <w:rFonts w:ascii="IRNazanin" w:hAnsi="IRNazanin" w:eastAsia="IRNazanin"/>
          <w:color w:val="111111"/>
          <w:sz w:val="28"/>
          <w:sz w:val="28"/>
          <w:szCs w:val="28"/>
          <w:rtl w:val="true"/>
          <w:lang w:bidi="fa-IR"/>
        </w:rPr>
        <w:t>و أمّا الأخبار إذا تعارضت و تقابلت،فإنّه یحتاج فی العمل ببعضها إلی ترجیح،و الترجیح یکون بأشیاء،منها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الخبرین موافقا للکتاب أو السنّة المقطوع بها و الآخر مخالفا لهما؛فإنّه یجب العمل بما وافقهما و ترک العمل بما خالفهما،و کذلک إن وافق أحدهما إجماع الفرقة المحقّة و الآخر یخالفه وجب العمل بما یوافقه و ترک ما یخالفهم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مع أحد الخبرین شیء من ذلک و کانت فتیا الطائفة مختلفة نظر فی حال رواتهما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إحدی الروایتین راویها عدلا وجب العمل بها و ترک العمل بما لم یروه العدل،و سنبیّن القول فی العدالة المرعیّة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رواتهما جمیعا عدلین نظر فی أکثرهما </w:t>
      </w:r>
    </w:p>
    <w:p>
      <w:pPr>
        <w:pStyle w:val="BookText"/>
        <w:rPr/>
      </w:pPr>
      <w:r>
        <w:rPr>
          <w:rFonts w:ascii="IRNazanin" w:hAnsi="IRNazanin" w:eastAsia="IRNazanin"/>
          <w:color w:val="111111"/>
          <w:sz w:val="28"/>
          <w:sz w:val="28"/>
          <w:szCs w:val="28"/>
          <w:rtl w:val="true"/>
          <w:lang w:bidi="fa-IR"/>
        </w:rPr>
        <w:t>رواة و عمل به و ترک العمل بقلیل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رواتهما متساویین فی العدد و العدالة عمل بأبعدهما من قول العامّة و ترک العمل بما یوافقهم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الخبران موافقین للعامّة أو مخالفین لهم نظر فی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متی عمل بأحد الخبرین أمکن العمل بالآخر علی وجه من الوجوه و ضرب من التأویل و إذا عمل بالخبر الآخر لا یمکن العمل بهذا الخبر، وجب العمل بالخبر الذی یمکن مع العمل به العمل بالخبر الآخر؛لأنّ الخبرین جمیعا منقولان مجمع علی نقلهما،و لیس هنا قرینة تدلّ علی صحّة أحدهما،و لا ما یرجّح أحدهما علی الآخر،فینبغی أن یعمل بهما إذا أمکن،و لا یعمل بالخبر الذی إذا عمل به وجب اطّراح العمل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یمکن العمل بهما جمیعا لتضادّهما و تنافیهما،أو أمکن </w:t>
      </w:r>
      <w:r>
        <w:rPr>
          <w:rStyle w:val="FootnoteAnchor"/>
          <w:rtl w:val="true"/>
        </w:rPr>
        <w:footnoteReference w:id="1599"/>
      </w:r>
      <w:r>
        <w:rPr>
          <w:rFonts w:ascii="IRNazanin" w:hAnsi="IRNazanin" w:eastAsia="IRNazanin"/>
          <w:color w:val="111111"/>
          <w:sz w:val="28"/>
          <w:sz w:val="28"/>
          <w:szCs w:val="28"/>
          <w:rtl w:val="true"/>
          <w:lang w:bidi="fa-IR"/>
        </w:rPr>
        <w:t xml:space="preserve">حمل کلّ واحد منهما علی ما یوافق الآخر علی وجه،کان الإنسان مخیّرا فی العمل بأیّهما شاء </w:t>
      </w:r>
      <w:r>
        <w:rPr>
          <w:rStyle w:val="FootnoteAnchor"/>
          <w:rtl w:val="true"/>
        </w:rPr>
        <w:footnoteReference w:id="16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کما تری،یشمل حتّی تعارض العامّ و الخاصّ مع الاتّفاق فیه علی الأخذ بالنصّ</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بناء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الرجوع إلی الترجیح و التخییر إنّما هو فی تعارض العامّین دون العامّ و الخاصّ،بل لم یجعلهما من المتعارضین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العمل بالخاصّ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بالخاصّ لیس طرحا للعامّ،بل حمل له علی ما یمکن أن یریده الحکیم،و أنّ العمل بالترجیح و التخییر فرع </w:t>
      </w:r>
      <w:bookmarkStart w:id="1658" w:name="pg12985_125341"/>
    </w:p>
    <w:p>
      <w:pPr>
        <w:pStyle w:val="BookText"/>
        <w:rPr/>
      </w:pPr>
      <w:bookmarkEnd w:id="1658"/>
      <w:r>
        <w:rPr>
          <w:rFonts w:ascii="IRNazanin" w:hAnsi="IRNazanin" w:eastAsia="IRNazanin"/>
          <w:color w:val="111111"/>
          <w:sz w:val="28"/>
          <w:sz w:val="28"/>
          <w:szCs w:val="28"/>
          <w:rtl w:val="true"/>
          <w:lang w:bidi="fa-IR"/>
        </w:rPr>
        <w:t xml:space="preserve">التعارض الذی لا یجری فیه الجمع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مناقض صریح لما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الجمع من جهة عدم ما یرجّح أحدهما علی الآخر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9" w:name="__RefHeading___Toc5768099_3224264995"/>
      <w:bookmarkStart w:id="1660" w:name="_Toc658"/>
      <w:bookmarkEnd w:id="1659"/>
      <w:r>
        <w:rPr>
          <w:rtl w:val="true"/>
        </w:rPr>
        <w:t>ظهور کلام المحدث البحرانی فی ذلک ایضا</w:t>
      </w:r>
      <w:bookmarkEnd w:id="1660"/>
    </w:p>
    <w:p>
      <w:pPr>
        <w:pStyle w:val="BookText"/>
        <w:rPr/>
      </w:pPr>
      <w:r>
        <w:rPr>
          <w:rFonts w:ascii="IRNazanin" w:hAnsi="IRNazanin" w:eastAsia="IRNazanin"/>
          <w:color w:val="111111"/>
          <w:sz w:val="28"/>
          <w:sz w:val="28"/>
          <w:szCs w:val="28"/>
          <w:rtl w:val="true"/>
          <w:lang w:bidi="fa-IR"/>
        </w:rPr>
        <w:t xml:space="preserve">و قد یظهر ما فی العدّة من کلام بعض المحدّثین </w:t>
      </w:r>
      <w:r>
        <w:rPr>
          <w:rStyle w:val="FootnoteAnchor"/>
          <w:rtl w:val="true"/>
        </w:rPr>
        <w:footnoteReference w:id="1603"/>
      </w:r>
      <w:r>
        <w:rPr>
          <w:rFonts w:ascii="IRNazanin" w:hAnsi="IRNazanin" w:eastAsia="IRNazanin"/>
          <w:color w:val="111111"/>
          <w:sz w:val="28"/>
          <w:sz w:val="28"/>
          <w:szCs w:val="28"/>
          <w:rtl w:val="true"/>
          <w:lang w:bidi="fa-IR"/>
        </w:rPr>
        <w:t xml:space="preserve">،حیث أنکر حمل الخبر الظاهر فی الوجوب أو التحریم علی الاستحباب أو الکراهة لمعارضة خبر الرخصة </w:t>
      </w:r>
      <w:r>
        <w:rPr>
          <w:rStyle w:val="FootnoteAnchor"/>
          <w:rtl w:val="true"/>
        </w:rPr>
        <w:footnoteReference w:id="1604"/>
      </w:r>
      <w:r>
        <w:rPr>
          <w:rFonts w:ascii="IRNazanin" w:hAnsi="IRNazanin" w:eastAsia="IRNazanin"/>
          <w:color w:val="111111"/>
          <w:sz w:val="28"/>
          <w:sz w:val="28"/>
          <w:szCs w:val="28"/>
          <w:rtl w:val="true"/>
          <w:lang w:bidi="fa-IR"/>
        </w:rPr>
        <w:t>،زاعما أنّه طریق جمع لا إشارة إلیه فی أخبار الباب،بل ظاهرها تعیّن الرجوع إلی المرجّحات المقرّرة</w:t>
      </w:r>
      <w:r>
        <w:rPr>
          <w:rFonts w:eastAsia="IRNazanin" w:cs="IRNazanin"/>
          <w:color w:val="111111"/>
          <w:sz w:val="28"/>
          <w:szCs w:val="28"/>
          <w:rtl w:val="true"/>
          <w:lang w:bidi="fa-IR"/>
        </w:rPr>
        <w:t>.</w:t>
      </w:r>
    </w:p>
    <w:p>
      <w:pPr>
        <w:pStyle w:val="Heading6"/>
        <w:numPr>
          <w:ilvl w:val="5"/>
          <w:numId w:val="1"/>
        </w:numPr>
        <w:rPr/>
      </w:pPr>
      <w:bookmarkStart w:id="1661" w:name="__RefHeading___Toc5768101_3224264995"/>
      <w:bookmarkStart w:id="1662" w:name="_Toc659"/>
      <w:bookmarkEnd w:id="1661"/>
      <w:r>
        <w:rPr>
          <w:rtl w:val="true"/>
        </w:rPr>
        <w:t>یلوح ذلک من المحقق القمی ایضا</w:t>
      </w:r>
      <w:bookmarkEnd w:id="1662"/>
    </w:p>
    <w:p>
      <w:pPr>
        <w:pStyle w:val="BookText"/>
        <w:rPr/>
      </w:pPr>
      <w:r>
        <w:rPr>
          <w:rFonts w:ascii="IRNazanin" w:hAnsi="IRNazanin" w:eastAsia="IRNazanin"/>
          <w:color w:val="111111"/>
          <w:sz w:val="28"/>
          <w:sz w:val="28"/>
          <w:szCs w:val="28"/>
          <w:rtl w:val="true"/>
          <w:lang w:bidi="fa-IR"/>
        </w:rPr>
        <w:t>و ربما یلوح هذا أیضا من کلام المحقّق القمّی،فی باب بناء العامّ علی الخاصّ،فإنّه بعد ما حکم بوجوب البناء،قال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قد وردت فی تقدیم ما هو مخالف للعامّة أو موافق للکتاب و نحو ذلک،و هو یقتضی تقدیم العامّ لو کان هو الموافق للکتاب أو المخالف للعامّة أو نحو 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منعقد لملاحظة العامّ و الخاصّ من حیث العموم و الخصوص،لا بالنظر إلی المرجّحات الخارجیّة،إذ قد یصیر التجوّز فی الخاصّ أولی من التخصیص فی العامّ من جهة مرجّح خارجیّ،و هو خارج عن المتنازع </w:t>
      </w:r>
      <w:r>
        <w:rPr>
          <w:rStyle w:val="FootnoteAnchor"/>
          <w:rtl w:val="true"/>
        </w:rPr>
        <w:footnoteReference w:id="16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663" w:name="pg12985_125342"/>
    </w:p>
    <w:p>
      <w:pPr>
        <w:pStyle w:val="BookText"/>
        <w:rPr/>
      </w:pPr>
      <w:bookmarkEnd w:id="1663"/>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کلّه خلاف ما یقتضیه الدلیل؛لأنّ الأصل فی الخبرین الصدق و الحکم بصدورهما فیفرضان کالمتواترین،و لا مانع عن فرض صدورهما حتّی یحصل التعارض؛و لهذا لا یطرح الخبر الواحد الخاصّ بمعارضة العامّ المتواتر</w:t>
      </w:r>
      <w:r>
        <w:rPr>
          <w:rFonts w:eastAsia="IRNazanin" w:cs="IRNazanin"/>
          <w:color w:val="111111"/>
          <w:sz w:val="28"/>
          <w:szCs w:val="28"/>
          <w:rtl w:val="true"/>
          <w:lang w:bidi="fa-IR"/>
        </w:rPr>
        <w:t>.</w:t>
      </w:r>
    </w:p>
    <w:p>
      <w:pPr>
        <w:pStyle w:val="Heading6"/>
        <w:numPr>
          <w:ilvl w:val="5"/>
          <w:numId w:val="1"/>
        </w:numPr>
        <w:rPr/>
      </w:pPr>
      <w:bookmarkStart w:id="1664" w:name="__RefHeading___Toc5768103_3224264995"/>
      <w:bookmarkStart w:id="1665" w:name="_Toc660"/>
      <w:bookmarkEnd w:id="1664"/>
      <w:r>
        <w:rPr>
          <w:rtl w:val="true"/>
        </w:rPr>
        <w:t>مرجع التعارض بین النصّ و الظاهر</w:t>
      </w:r>
      <w:r>
        <w:rPr>
          <w:rtl w:val="true"/>
        </w:rPr>
        <w:t>:</w:t>
      </w:r>
      <w:bookmarkEnd w:id="1665"/>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التعارض بین النصّ و الظاهر إلی التعارض بین أصالة الحقیقة فی الظاهر و دلیل حجیّة النصّ،و من المعلوم ارتفاع الأصل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الکلام فی الظاهر و الأظهر؛فإنّ دلیل حجیّة الأظهر یجعله قرینة صارفة عن إرادة الظاهر،و لا یمکن طرحه لأجل أصالة الظهور،و لا طرح ظهوره لظهور الظاهر،فتعیّن العمل به و تأویل الظاهر به </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إبطال الجمع بین الدلیلین ما یوضح ذلک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6" w:name="__RefHeading___Toc5768105_3224264995"/>
      <w:bookmarkStart w:id="1667" w:name="_Toc661"/>
      <w:bookmarkEnd w:id="1666"/>
      <w:r>
        <w:rPr>
          <w:rtl w:val="true"/>
        </w:rPr>
        <w:t>الإشکال فی الظاهرین اللذین یمکن رفع المنافاة بینهما بالتصرّف فی کلّ واحد منهما</w:t>
      </w:r>
      <w:bookmarkEnd w:id="1667"/>
    </w:p>
    <w:p>
      <w:pPr>
        <w:pStyle w:val="BookText"/>
        <w:rPr/>
      </w:pPr>
      <w:r>
        <w:rPr>
          <w:rFonts w:ascii="IRNazanin" w:hAnsi="IRNazanin" w:eastAsia="IRNazanin"/>
          <w:color w:val="111111"/>
          <w:sz w:val="28"/>
          <w:sz w:val="28"/>
          <w:szCs w:val="28"/>
          <w:rtl w:val="true"/>
          <w:lang w:bidi="fa-IR"/>
        </w:rPr>
        <w:t>نعم،یبقی الإشکال فی الظاهرین اللذین یمکن التصرّف فی کلّ واحد منهما بما یرفع منافاته لظاهر الآخر،فیدور الأمر بین الترجیح من حیث السند و طرح المرجوح،و بین الحکم بصدورهما و إرادة خلاف الظاهر فی أحدهما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دلیل حجّیّة المعارض لا یجوز طرحه لأجل أصالة الظهور فی صاحبه،بل الأمر بالعکس؛لأنّ الأصل لا یزاحم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الحکم فی المقام بالإجمال؛لتکافؤ أصالتی الحقیقة فی کلّ منهما،مع العلم إجمالا بإرادة خلاف الظاهر من أحدهما، </w:t>
      </w:r>
    </w:p>
    <w:p>
      <w:pPr>
        <w:pStyle w:val="BookText"/>
        <w:rPr/>
      </w:pPr>
      <w:r>
        <w:rPr>
          <w:rFonts w:ascii="IRNazanin" w:hAnsi="IRNazanin" w:eastAsia="IRNazanin"/>
          <w:color w:val="111111"/>
          <w:sz w:val="28"/>
          <w:sz w:val="28"/>
          <w:szCs w:val="28"/>
          <w:rtl w:val="true"/>
          <w:lang w:bidi="fa-IR"/>
        </w:rPr>
        <w:t>فیتساقط الظهوران من الطرفین،فیصیران مجملین بالنسبة إلی مورد التعارض،فهما کظاهری مقطوعی الصدور،أو ککلام واحد تصادم فیه 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بصدق التعارض بینهما عرفا و دخولهما فی الأخبار العلاجیّة؛إذ تخصیصها بخصوص المتعارضین اللذین لا یمکن الجمع بینهما إلاّ بإخراج کلیهما عن ظاهرهما خلاف الظاهر،مع أنّه لا محصّل للحکم بصدور الخبرین و التعبّد بکلیهما؛لأجل أن یکون کلّ منهما سببا لإجمال الآخر،و یتوقّف فی العمل بهما فیرجع إلی الأصل؛إذ لا یترتّب حینئذ ثمرة علی الأمر بالعمل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نعم،کلاهما دلیل واحد علی نفی الثالث، کما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المتعیّن؛و لذا استقرّت طریقة العلماء علی ملاحظة المرجّحات السندیّة فی مثل ذلک،إلاّ أنّ اللازم من ذلک وجوب التخییر بینهما عند فقد المرجّحات،کما هو ظاهر آخر عبارتی العدّة و الاستبصار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اللازم علی الأوّل التوقّف من أوّل الأمر و الرجوع إلی الأصل إن لم یکن مخالفا لهما،و إلاّ فالتخییر من جهة العقل،بناء علی القول به فی دوران الأمر بین احتمالین مخالفین للأصل، کالوجوب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سابقا إلی أنّه قد یفصّل فی المسألة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 إذا کان لکلّ من المتعارضین مورد سلیم عن التعارض، کما فی العامّین من وجه؛حیث إنّ الرجوع إلی المرجّحات السندیّة </w:t>
      </w:r>
    </w:p>
    <w:p>
      <w:pPr>
        <w:pStyle w:val="BookText"/>
        <w:rPr/>
      </w:pPr>
      <w:r>
        <w:rPr>
          <w:rFonts w:ascii="IRNazanin" w:hAnsi="IRNazanin" w:eastAsia="IRNazanin"/>
          <w:color w:val="111111"/>
          <w:sz w:val="28"/>
          <w:sz w:val="28"/>
          <w:szCs w:val="28"/>
          <w:rtl w:val="true"/>
          <w:lang w:bidi="fa-IR"/>
        </w:rPr>
        <w:t xml:space="preserve">فیهما علی الإطلاق،یوجب طرح الخبر المرجوح فی مادّة الافتراق و لا وجه له،و الاقتصار فی الترجیح بها علی </w:t>
      </w:r>
      <w:r>
        <w:rPr>
          <w:rStyle w:val="FootnoteAnchor"/>
          <w:rtl w:val="true"/>
        </w:rPr>
        <w:footnoteReference w:id="1609"/>
      </w:r>
      <w:r>
        <w:rPr>
          <w:rFonts w:ascii="IRNazanin" w:hAnsi="IRNazanin" w:eastAsia="IRNazanin"/>
          <w:color w:val="111111"/>
          <w:sz w:val="28"/>
          <w:sz w:val="28"/>
          <w:szCs w:val="28"/>
          <w:rtl w:val="true"/>
          <w:lang w:bidi="fa-IR"/>
        </w:rPr>
        <w:t>خصوص مادّة الاجتماع التی هی محلّ المعارضة و طرح المرجوح بالنسبة إلیها مع العمل به فی مادّة الافتراق،بعید عن ظاهر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لم یکن لهما مورد سلیم،مثل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الاستحباب، فیطرح الخبر المرجوح رأسا لأجل بعض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الاستبعاد المذکور فی الأخبار العلاجیّة إنّما هو من جهة أنّ بناء العرف فی العمل بأخبارهم من حیث الظنّ بالصدور،فلا یمکن التبعیض </w:t>
      </w:r>
      <w:r>
        <w:rPr>
          <w:rStyle w:val="FootnoteAnchor"/>
          <w:rtl w:val="true"/>
        </w:rPr>
        <w:footnoteReference w:id="1610"/>
      </w:r>
      <w:r>
        <w:rPr>
          <w:rFonts w:ascii="IRNazanin" w:hAnsi="IRNazanin" w:eastAsia="IRNazanin"/>
          <w:color w:val="111111"/>
          <w:sz w:val="28"/>
          <w:sz w:val="28"/>
          <w:szCs w:val="28"/>
          <w:rtl w:val="true"/>
          <w:lang w:bidi="fa-IR"/>
        </w:rPr>
        <w:t xml:space="preserve">فی صدور العامّین من وجه من حیث مادّتی الافتراق و الاجتماع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تعبّدنا الشارع بصدور الخبر الجامع للشرائط،فلا مانع من تعبّده ببعض مضمون الخبر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فترک التفصیل أوجه منه،و هو أوجه من إطلاق إهمال المرجّحات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ذکرنا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طرح دلیل حجّیّة أحد الخبرین لأصالة الظهور فی </w:t>
      </w:r>
      <w:r>
        <w:rPr>
          <w:rStyle w:val="FootnoteAnchor"/>
          <w:rtl w:val="true"/>
        </w:rPr>
        <w:footnoteReference w:id="1612"/>
      </w:r>
      <w:r>
        <w:rPr>
          <w:rFonts w:ascii="IRNazanin" w:hAnsi="IRNazanin" w:eastAsia="IRNazanin"/>
          <w:color w:val="111111"/>
          <w:sz w:val="28"/>
          <w:sz w:val="28"/>
          <w:szCs w:val="28"/>
          <w:rtl w:val="true"/>
          <w:lang w:bidi="fa-IR"/>
        </w:rPr>
        <w:t xml:space="preserve">الآخر،فهو إنّما یحسن إذا کان ذلک الخبر </w:t>
      </w:r>
      <w:bookmarkStart w:id="1668" w:name="pg12985_125345"/>
    </w:p>
    <w:p>
      <w:pPr>
        <w:pStyle w:val="BookText"/>
        <w:rPr/>
      </w:pPr>
      <w:bookmarkEnd w:id="1668"/>
      <w:r>
        <w:rPr>
          <w:rFonts w:ascii="IRNazanin" w:hAnsi="IRNazanin" w:eastAsia="IRNazanin"/>
          <w:color w:val="111111"/>
          <w:sz w:val="28"/>
          <w:sz w:val="28"/>
          <w:szCs w:val="28"/>
          <w:rtl w:val="true"/>
          <w:lang w:bidi="fa-IR"/>
        </w:rPr>
        <w:t xml:space="preserve">بنفسه قرینة علی إرادة </w:t>
      </w:r>
      <w:r>
        <w:rPr>
          <w:rStyle w:val="FootnoteAnchor"/>
          <w:rtl w:val="true"/>
        </w:rPr>
        <w:footnoteReference w:id="1613"/>
      </w:r>
      <w:r>
        <w:rPr>
          <w:rFonts w:ascii="IRNazanin" w:hAnsi="IRNazanin" w:eastAsia="IRNazanin"/>
          <w:color w:val="111111"/>
          <w:sz w:val="28"/>
          <w:sz w:val="28"/>
          <w:szCs w:val="28"/>
          <w:rtl w:val="true"/>
          <w:lang w:bidi="fa-IR"/>
        </w:rPr>
        <w:t xml:space="preserve">خلاف الظاهر فی الآخر،و أمّا إذا کان محتاجا إلی دلیل ثالث یوجب صرف أحدهما،فحکمهما حکم الظاهرین المحتاجین فی الجمع بینهما إلی شاهدین،فی أنّ العمل بکلیهما مع تعارض ظاهریهما یعدّ </w:t>
      </w:r>
      <w:r>
        <w:rPr>
          <w:rStyle w:val="FootnoteAnchor"/>
          <w:rtl w:val="true"/>
        </w:rPr>
        <w:footnoteReference w:id="1614"/>
      </w:r>
      <w:r>
        <w:rPr>
          <w:rFonts w:ascii="IRNazanin" w:hAnsi="IRNazanin" w:eastAsia="IRNazanin"/>
          <w:color w:val="111111"/>
          <w:sz w:val="28"/>
          <w:sz w:val="28"/>
          <w:szCs w:val="28"/>
          <w:rtl w:val="true"/>
          <w:lang w:bidi="fa-IR"/>
        </w:rPr>
        <w:t>غیر ممکن،فلا بدّ من طرح أحدهما معیّنا؛للترجیح، أو غیر معیّن؛للتخییر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یقاس حالهما علی حال مقطوعی الصدور فی الالتجاء إلی الجمع بینهما،کما أشرنا </w:t>
      </w:r>
      <w:r>
        <w:rPr>
          <w:rStyle w:val="FootnoteAnchor"/>
          <w:rtl w:val="true"/>
        </w:rPr>
        <w:footnoteReference w:id="1615"/>
      </w:r>
      <w:r>
        <w:rPr>
          <w:rFonts w:ascii="IRNazanin" w:hAnsi="IRNazanin" w:eastAsia="IRNazanin"/>
          <w:color w:val="111111"/>
          <w:sz w:val="28"/>
          <w:sz w:val="28"/>
          <w:szCs w:val="28"/>
          <w:rtl w:val="true"/>
          <w:lang w:bidi="fa-IR"/>
        </w:rPr>
        <w:t xml:space="preserve">إلی دفع ذلک عند الکلام فی أولویّة </w:t>
      </w:r>
      <w:r>
        <w:rPr>
          <w:rStyle w:val="FootnoteAnchor"/>
          <w:rtl w:val="true"/>
        </w:rPr>
        <w:footnoteReference w:id="1616"/>
      </w:r>
      <w:r>
        <w:rPr>
          <w:rFonts w:ascii="IRNazanin" w:hAnsi="IRNazanin" w:eastAsia="IRNazanin"/>
          <w:color w:val="111111"/>
          <w:sz w:val="28"/>
          <w:sz w:val="28"/>
          <w:szCs w:val="28"/>
          <w:rtl w:val="true"/>
          <w:lang w:bidi="fa-IR"/>
        </w:rPr>
        <w:t>الجمع علی الطرح،و المسألة محلّ إشکال</w:t>
      </w:r>
      <w:r>
        <w:rPr>
          <w:rFonts w:eastAsia="IRNazanin" w:cs="IRNazanin"/>
          <w:color w:val="111111"/>
          <w:sz w:val="28"/>
          <w:szCs w:val="28"/>
          <w:rtl w:val="true"/>
          <w:lang w:bidi="fa-IR"/>
        </w:rPr>
        <w:t>.</w:t>
      </w:r>
    </w:p>
    <w:p>
      <w:pPr>
        <w:pStyle w:val="Heading6"/>
        <w:numPr>
          <w:ilvl w:val="5"/>
          <w:numId w:val="1"/>
        </w:numPr>
        <w:rPr/>
      </w:pPr>
      <w:bookmarkStart w:id="1669" w:name="__RefHeading___Toc5768107_3224264995"/>
      <w:bookmarkStart w:id="1670" w:name="_Toc662"/>
      <w:bookmarkEnd w:id="1669"/>
      <w:r>
        <w:rPr>
          <w:rtl w:val="true"/>
        </w:rPr>
        <w:t>تقدیم النصّ علی الظاهر خارج عن مسألة الترجیح</w:t>
      </w:r>
      <w:r>
        <w:rPr>
          <w:rtl w:val="true"/>
        </w:rPr>
        <w:t>:</w:t>
      </w:r>
      <w:bookmarkEnd w:id="1670"/>
    </w:p>
    <w:p>
      <w:pPr>
        <w:pStyle w:val="BookText"/>
        <w:rPr/>
      </w:pPr>
      <w:r>
        <w:rPr>
          <w:rFonts w:ascii="IRNazanin" w:hAnsi="IRNazanin" w:eastAsia="IRNazanin"/>
          <w:color w:val="111111"/>
          <w:sz w:val="28"/>
          <w:sz w:val="28"/>
          <w:szCs w:val="28"/>
          <w:rtl w:val="true"/>
          <w:lang w:bidi="fa-IR"/>
        </w:rPr>
        <w:t>و قد 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النصّ علی الظاهر خارج عن مسألة الترجیح بحسب الدلالة؛إذ الظاهر لا یعارض النصّ حتّی یرجّح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نعم،النصّ الظنّی السند یعارض دلیل سنده لدلیل حجّیة الظهور،لکنّه حاکم علی دلیل اعتبار الظاهر</w:t>
      </w:r>
      <w:r>
        <w:rPr>
          <w:rFonts w:eastAsia="IRNazanin" w:cs="IRNazanin"/>
          <w:color w:val="111111"/>
          <w:sz w:val="28"/>
          <w:szCs w:val="28"/>
          <w:rtl w:val="true"/>
          <w:lang w:bidi="fa-IR"/>
        </w:rPr>
        <w:t>.</w:t>
      </w:r>
    </w:p>
    <w:p>
      <w:pPr>
        <w:pStyle w:val="Heading6"/>
        <w:numPr>
          <w:ilvl w:val="5"/>
          <w:numId w:val="1"/>
        </w:numPr>
        <w:rPr/>
      </w:pPr>
      <w:bookmarkStart w:id="1671" w:name="__RefHeading___Toc5768109_3224264995"/>
      <w:bookmarkStart w:id="1672" w:name="_Toc663"/>
      <w:bookmarkEnd w:id="1671"/>
      <w:r>
        <w:rPr>
          <w:rtl w:val="true"/>
        </w:rPr>
        <w:t>انحصار الترجیح بالدلالة فی تعارض الأظهر و الظاهر</w:t>
      </w:r>
      <w:bookmarkEnd w:id="1672"/>
    </w:p>
    <w:p>
      <w:pPr>
        <w:pStyle w:val="BookText"/>
        <w:rPr/>
      </w:pPr>
      <w:r>
        <w:rPr>
          <w:rFonts w:ascii="IRNazanin" w:hAnsi="IRNazanin" w:eastAsia="IRNazanin"/>
          <w:color w:val="111111"/>
          <w:sz w:val="28"/>
          <w:sz w:val="28"/>
          <w:szCs w:val="28"/>
          <w:rtl w:val="true"/>
          <w:lang w:bidi="fa-IR"/>
        </w:rPr>
        <w:t>فینحصر الترجیح بحسب الدلالة فی تعارض الظاهر و الأظهر؛نظرا إلی احتمال خلاف الظاهر فی کلّ منهما بملاحظة نفسه،غایة الأمر ترجیح الأظهر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الظاهر و النصّ بین العامّ و الخاصّ المطلقین إذا فرض عدم احتمال فی الخاصّ یبقی معه ظهور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دخل </w:t>
      </w:r>
      <w:r>
        <w:rPr>
          <w:rStyle w:val="FootnoteAnchor"/>
          <w:rtl w:val="true"/>
        </w:rPr>
        <w:footnoteReference w:id="1617"/>
      </w:r>
      <w:r>
        <w:rPr>
          <w:rFonts w:ascii="IRNazanin" w:hAnsi="IRNazanin" w:eastAsia="IRNazanin"/>
          <w:color w:val="111111"/>
          <w:sz w:val="28"/>
          <w:sz w:val="28"/>
          <w:szCs w:val="28"/>
          <w:rtl w:val="true"/>
          <w:lang w:bidi="fa-IR"/>
        </w:rPr>
        <w:t xml:space="preserve">فی تعارض </w:t>
      </w:r>
      <w:bookmarkStart w:id="1673" w:name="pg12985_125346"/>
    </w:p>
    <w:p>
      <w:pPr>
        <w:pStyle w:val="BookText"/>
        <w:rPr/>
      </w:pPr>
      <w:bookmarkEnd w:id="1673"/>
      <w:r>
        <w:rPr>
          <w:rFonts w:ascii="IRNazanin" w:hAnsi="IRNazanin" w:eastAsia="IRNazanin"/>
          <w:color w:val="111111"/>
          <w:sz w:val="28"/>
          <w:sz w:val="28"/>
          <w:szCs w:val="28"/>
          <w:rtl w:val="true"/>
          <w:lang w:bidi="fa-IR"/>
        </w:rPr>
        <w:t>الظاهرین أو تعارض الظاهر 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ما یکون التوجیه فیه قریبا،و بین ما یکون التوجیه فیه بعیدا </w:t>
      </w:r>
      <w:r>
        <w:rPr>
          <w:rStyle w:val="FootnoteAnchor"/>
          <w:rtl w:val="true"/>
        </w:rPr>
        <w:footnoteReference w:id="1618"/>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الوجوب مع دلیل نفی البأس عن الترک؛لأنّ العبرة بوجود احتمال فی أحد الدلیلین لا یحتمل ذلک فی الآخر و إن کان ذلک الاحتمال بعیدا فی الغایة؛لأنّ مقتضی الجمع بین العامّ و الخاصّ بعینه موجود فیه</w:t>
      </w:r>
      <w:r>
        <w:rPr>
          <w:rFonts w:eastAsia="IRNazanin" w:cs="IRNazanin"/>
          <w:color w:val="111111"/>
          <w:sz w:val="28"/>
          <w:szCs w:val="28"/>
          <w:rtl w:val="true"/>
          <w:lang w:bidi="fa-IR"/>
        </w:rPr>
        <w:t>.</w:t>
      </w:r>
    </w:p>
    <w:p>
      <w:pPr>
        <w:pStyle w:val="Heading6"/>
        <w:numPr>
          <w:ilvl w:val="5"/>
          <w:numId w:val="1"/>
        </w:numPr>
        <w:rPr/>
      </w:pPr>
      <w:bookmarkStart w:id="1674" w:name="__RefHeading___Toc5768111_3224264995"/>
      <w:bookmarkStart w:id="1675" w:name="_Toc664"/>
      <w:bookmarkEnd w:id="1674"/>
      <w:r>
        <w:rPr>
          <w:rtl w:val="true"/>
        </w:rPr>
        <w:t>ظهور خلاف ما ذکرنا من بعض</w:t>
      </w:r>
      <w:bookmarkEnd w:id="1675"/>
    </w:p>
    <w:p>
      <w:pPr>
        <w:pStyle w:val="BookText"/>
        <w:rPr/>
      </w:pPr>
      <w:r>
        <w:rPr>
          <w:rFonts w:ascii="IRNazanin" w:hAnsi="IRNazanin" w:eastAsia="IRNazanin"/>
          <w:color w:val="111111"/>
          <w:sz w:val="28"/>
          <w:sz w:val="28"/>
          <w:szCs w:val="28"/>
          <w:rtl w:val="true"/>
          <w:lang w:bidi="fa-IR"/>
        </w:rPr>
        <w:t>و قد یظهر خلاف ما ذکرنا فی حکم النصّ و الظاهر من بعض الأصحاب فی کتبهم الاستدلالیّة،مثل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الخاصّ المطلق علی التقیّة لموافقته لمذهب العامّة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الشیخ رحمه اللّه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حمل ما ورد فی صحّة صلاة من جلس فی الرابعة بقدر التشهّد علی التقیّة،و عمل علی عمومات إبطال الزیادة </w:t>
      </w:r>
      <w:r>
        <w:rPr>
          <w:rStyle w:val="FootnoteAnchor"/>
          <w:rtl w:val="true"/>
        </w:rPr>
        <w:footnoteReference w:id="1619"/>
      </w:r>
      <w:r>
        <w:rPr>
          <w:rFonts w:ascii="IRNazanin" w:hAnsi="IRNazanin" w:eastAsia="IRNazanin"/>
          <w:color w:val="111111"/>
          <w:sz w:val="28"/>
          <w:sz w:val="28"/>
          <w:szCs w:val="28"/>
          <w:rtl w:val="true"/>
          <w:lang w:bidi="fa-IR"/>
        </w:rPr>
        <w:t xml:space="preserve">،و تبعه بعض متأخّری المتأخّرین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الشیخ رحمه اللّه کأنّه بنی علی ما تقدّم عن العدّة و الاستبصار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المرجّحات قبل حمل أحد الخبرین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استفادة التقیّة من قرائن أخر غیر موافقة مذهب العامّة</w:t>
      </w:r>
      <w:r>
        <w:rPr>
          <w:rFonts w:eastAsia="IRNazanin" w:cs="IRNazanin"/>
          <w:color w:val="111111"/>
          <w:sz w:val="28"/>
          <w:szCs w:val="28"/>
          <w:rtl w:val="true"/>
          <w:lang w:bidi="fa-IR"/>
        </w:rPr>
        <w:t xml:space="preserve">. </w:t>
      </w:r>
      <w:bookmarkStart w:id="1676" w:name="pg12985_125347"/>
    </w:p>
    <w:p>
      <w:pPr>
        <w:pStyle w:val="BookText"/>
        <w:rPr/>
      </w:pPr>
      <w:bookmarkEnd w:id="167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عن بعض المحدّثین </w:t>
      </w:r>
      <w:r>
        <w:rPr>
          <w:rStyle w:val="FootnoteAnchor"/>
          <w:rtl w:val="true"/>
        </w:rPr>
        <w:footnoteReference w:id="1622"/>
      </w:r>
      <w:r>
        <w:rPr>
          <w:rFonts w:ascii="IRNazanin" w:hAnsi="IRNazanin" w:eastAsia="IRNazanin"/>
          <w:color w:val="111111"/>
          <w:sz w:val="28"/>
          <w:sz w:val="28"/>
          <w:szCs w:val="28"/>
          <w:rtl w:val="true"/>
          <w:lang w:bidi="fa-IR"/>
        </w:rPr>
        <w:t>،من مؤاخذة حمل الأمر و النهی علی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یظهر من بعض </w:t>
      </w:r>
      <w:r>
        <w:rPr>
          <w:rStyle w:val="FootnoteAnchor"/>
          <w:rtl w:val="true"/>
        </w:rPr>
        <w:footnoteReference w:id="1623"/>
      </w:r>
      <w:r>
        <w:rPr>
          <w:rFonts w:ascii="IRNazanin" w:hAnsi="IRNazanin" w:eastAsia="IRNazanin"/>
          <w:color w:val="111111"/>
          <w:sz w:val="28"/>
          <w:sz w:val="28"/>
          <w:szCs w:val="28"/>
          <w:rtl w:val="true"/>
          <w:lang w:bidi="fa-IR"/>
        </w:rPr>
        <w:t xml:space="preserve">الفرق بین العامّ و الخاصّ و الظاهر فی الوجوب و النصّ </w:t>
      </w:r>
      <w:r>
        <w:rPr>
          <w:rStyle w:val="FootnoteAnchor"/>
          <w:rtl w:val="true"/>
        </w:rPr>
        <w:footnoteReference w:id="1624"/>
      </w:r>
      <w:r>
        <w:rPr>
          <w:rFonts w:ascii="IRNazanin" w:hAnsi="IRNazanin" w:eastAsia="IRNazanin"/>
          <w:color w:val="111111"/>
          <w:sz w:val="28"/>
          <w:sz w:val="28"/>
          <w:szCs w:val="28"/>
          <w:rtl w:val="true"/>
          <w:lang w:bidi="fa-IR"/>
        </w:rPr>
        <w:t xml:space="preserve">فی الاستحباب و ما یتلوهما فی قرب التوجیه،و بین غیرهما ممّا کان تأویل الظاهر فیه بعیدا،حیث إنّه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نفی الإشکال عن الجمع بین العامّ و الخاصّ و الظاهر فی الوجوب و النصّ </w:t>
      </w:r>
      <w:r>
        <w:rPr>
          <w:rStyle w:val="FootnoteAnchor"/>
          <w:rtl w:val="true"/>
        </w:rPr>
        <w:footnoteReference w:id="1626"/>
      </w:r>
      <w:r>
        <w:rPr>
          <w:rFonts w:ascii="IRNazanin" w:hAnsi="IRNazanin" w:eastAsia="IRNazanin"/>
          <w:color w:val="111111"/>
          <w:sz w:val="28"/>
          <w:sz w:val="28"/>
          <w:szCs w:val="28"/>
          <w:rtl w:val="true"/>
          <w:lang w:bidi="fa-IR"/>
        </w:rPr>
        <w:t>فی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الجمع فی مثل ما إذا دلّ دلیل علی أنّ القبلة أو مسّ باطن الفرج لا ینقض الوضوء،و دلّ دلیل آخر علی أنّ الوضوء یعاد منهما،و قال</w:t>
      </w:r>
      <w:r>
        <w:rPr>
          <w:rFonts w:eastAsia="IRNazanin" w:cs="IRNazanin"/>
          <w:color w:val="111111"/>
          <w:sz w:val="28"/>
          <w:szCs w:val="28"/>
          <w:rtl w:val="true"/>
          <w:lang w:bidi="fa-IR"/>
        </w:rPr>
        <w:t>:</w:t>
      </w:r>
    </w:p>
    <w:p>
      <w:pPr>
        <w:pStyle w:val="Heading6"/>
        <w:numPr>
          <w:ilvl w:val="5"/>
          <w:numId w:val="1"/>
        </w:numPr>
        <w:rPr/>
      </w:pPr>
      <w:bookmarkStart w:id="1677" w:name="__RefHeading___Toc5768113_3224264995"/>
      <w:bookmarkStart w:id="1678" w:name="_Toc665"/>
      <w:bookmarkEnd w:id="1677"/>
      <w:r>
        <w:rPr>
          <w:rtl w:val="true"/>
        </w:rPr>
        <w:t>کلام الوحید البهبهائی</w:t>
      </w:r>
      <w:bookmarkEnd w:id="1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بعدم وجوب الوضوء فی المقام مستند إلی النصّ المذکور،و أمّا الحکم باستحباب الوضوء فلیس له مستند ظاهر،لأنّ تأویل کلامهم لم یثبت حجّیته إلاّ إذا فهم من الخارج إرادته،و الفتوی و العمل به محتاج إلی مستند شرعیّ،و مجرّد أولویّة الجمع غیر صالح</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ذکرنا من أنّ الدلیل الدالّ علی وجوب الجمع بین العامّ و الخاصّ و شبهه </w:t>
      </w:r>
      <w:r>
        <w:rPr>
          <w:rStyle w:val="FootnoteAnchor"/>
          <w:rtl w:val="true"/>
        </w:rPr>
        <w:footnoteReference w:id="1628"/>
      </w:r>
      <w:r>
        <w:rPr>
          <w:rFonts w:ascii="IRNazanin" w:hAnsi="IRNazanin" w:eastAsia="IRNazanin"/>
          <w:color w:val="111111"/>
          <w:sz w:val="28"/>
          <w:sz w:val="28"/>
          <w:szCs w:val="28"/>
          <w:rtl w:val="true"/>
          <w:lang w:bidi="fa-IR"/>
        </w:rPr>
        <w:t xml:space="preserve">بعینه جار فیما نحن فیه،و لیس الوجه فی الجمع </w:t>
      </w:r>
    </w:p>
    <w:p>
      <w:pPr>
        <w:pStyle w:val="BookText"/>
        <w:rPr/>
      </w:pPr>
      <w:r>
        <w:rPr>
          <w:rFonts w:ascii="IRNazanin" w:hAnsi="IRNazanin" w:eastAsia="IRNazanin"/>
          <w:color w:val="111111"/>
          <w:sz w:val="28"/>
          <w:sz w:val="28"/>
          <w:szCs w:val="28"/>
          <w:rtl w:val="true"/>
          <w:lang w:bidi="fa-IR"/>
        </w:rPr>
        <w:t xml:space="preserve">شیوع التخصیص،بل المدار علی احتمال موجود فی أحد الدلیلین مفقود فی الآخر </w:t>
      </w:r>
      <w:r>
        <w:rPr>
          <w:rStyle w:val="FootnoteAnchor"/>
          <w:rtl w:val="true"/>
        </w:rPr>
        <w:footnoteReference w:id="1629"/>
      </w:r>
      <w:r>
        <w:rPr>
          <w:rFonts w:ascii="IRNazanin" w:hAnsi="IRNazanin" w:eastAsia="IRNazanin"/>
          <w:color w:val="111111"/>
          <w:sz w:val="28"/>
          <w:sz w:val="28"/>
          <w:szCs w:val="28"/>
          <w:rtl w:val="true"/>
          <w:lang w:bidi="fa-IR"/>
        </w:rPr>
        <w:t>،مع أنّ حمل ظاهر وجوب إعادة الوضوء علی الاستحباب أیضا شایع علی ما اعترف به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ما الذی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کلامهم لم یثبت حجّیّته إلاّ إذا فهم من الخارج إرادته؟</w:t>
      </w:r>
    </w:p>
    <w:p>
      <w:pPr>
        <w:pStyle w:val="BookText"/>
        <w:rPr/>
      </w:pPr>
      <w:r>
        <w:rPr>
          <w:rFonts w:ascii="IRNazanin" w:hAnsi="IRNazanin" w:eastAsia="IRNazanin"/>
          <w:color w:val="111111"/>
          <w:sz w:val="28"/>
          <w:sz w:val="28"/>
          <w:szCs w:val="28"/>
          <w:rtl w:val="true"/>
          <w:lang w:bidi="fa-IR"/>
        </w:rPr>
        <w:t xml:space="preserve">فإن بنی علی طرح ما دلّ علی وجوب إعادة الوضوء و عدم البناء علی أنّه کلامهم علیهم السّلام،فأین کلامهم </w:t>
      </w:r>
      <w:r>
        <w:rPr>
          <w:rStyle w:val="FootnoteAnchor"/>
          <w:rtl w:val="true"/>
        </w:rPr>
        <w:footnoteReference w:id="1630"/>
      </w:r>
      <w:r>
        <w:rPr>
          <w:rFonts w:ascii="IRNazanin" w:hAnsi="IRNazanin" w:eastAsia="IRNazanin"/>
          <w:color w:val="111111"/>
          <w:sz w:val="28"/>
          <w:sz w:val="28"/>
          <w:szCs w:val="28"/>
          <w:rtl w:val="true"/>
          <w:lang w:bidi="fa-IR"/>
        </w:rPr>
        <w:t>حتّی یمنع من تأویله إلاّ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w:t>
      </w:r>
      <w:r>
        <w:rPr>
          <w:rStyle w:val="FootnoteAnchor"/>
          <w:rtl w:val="true"/>
        </w:rPr>
        <w:footnoteReference w:id="1631"/>
      </w:r>
      <w:r>
        <w:rPr>
          <w:rFonts w:ascii="IRNazanin" w:hAnsi="IRNazanin" w:eastAsia="IRNazanin"/>
          <w:color w:val="111111"/>
          <w:sz w:val="28"/>
          <w:sz w:val="28"/>
          <w:szCs w:val="28"/>
          <w:rtl w:val="true"/>
          <w:lang w:bidi="fa-IR"/>
        </w:rPr>
        <w:t>هو إلاّ طرح السند لأجل الفرار عن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 علی عدم طرحه و علی التعبّد بصدوره ثمّ حمله علی التقیّة،فهذا أیضا قریب من الأوّل؛إذ لا دلیل علی وجوب التعبّد بخبر یتعیّن حمله علی التقیّة علی تقدیر الصدور،بل لا معنی لوجوب التعبّد به؛إذ لا أثر فی العمل یترتّب علیه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الظنّی إذا دار الأمر بین طرح سنده،و حمله، و تأویله،فلا ینبغی التأمّل فی أنّ المتعیّن تأویله و وجوب العمل علی طبق التأویل،و لا معنی لطرحه أو الحکم بصدوره تقیّة فرارا عن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زیادة توضیح ذلک إن شاء اللّه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679" w:name="pg12985_125349"/>
    </w:p>
    <w:p>
      <w:pPr>
        <w:pStyle w:val="Heading6"/>
        <w:numPr>
          <w:ilvl w:val="5"/>
          <w:numId w:val="1"/>
        </w:numPr>
        <w:rPr/>
      </w:pPr>
      <w:bookmarkStart w:id="1680" w:name="__RefHeading___Toc5768115_3224264995"/>
      <w:bookmarkStart w:id="1681" w:name="_Toc666"/>
      <w:bookmarkEnd w:id="1679"/>
      <w:bookmarkEnd w:id="1680"/>
      <w:r>
        <w:rPr>
          <w:rtl w:val="true"/>
        </w:rPr>
        <w:t>المرجّحات فی الدلالة</w:t>
      </w:r>
      <w:bookmarkEnd w:id="1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فی الدلالة</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فلنرجع إلی ما کنّا فیه من بیان المرجّحات فی الدلالة،و مرجعها إلی ترجیح الأظهر علی الظاهر</w:t>
      </w:r>
      <w:r>
        <w:rPr>
          <w:rFonts w:eastAsia="IRNazanin" w:cs="IRNazanin"/>
          <w:color w:val="111111"/>
          <w:sz w:val="28"/>
          <w:szCs w:val="28"/>
          <w:rtl w:val="true"/>
          <w:lang w:bidi="fa-IR"/>
        </w:rPr>
        <w:t>.</w:t>
      </w:r>
    </w:p>
    <w:p>
      <w:pPr>
        <w:pStyle w:val="Heading6"/>
        <w:numPr>
          <w:ilvl w:val="5"/>
          <w:numId w:val="1"/>
        </w:numPr>
        <w:rPr/>
      </w:pPr>
      <w:bookmarkStart w:id="1682" w:name="__RefHeading___Toc5768117_3224264995"/>
      <w:bookmarkStart w:id="1683" w:name="_Toc667"/>
      <w:bookmarkEnd w:id="1682"/>
      <w:r>
        <w:rPr>
          <w:rtl w:val="true"/>
        </w:rPr>
        <w:t>الأظهریّة قد تکون بملاحظة خصوص المتعارضین و قد تکون بملاحظة نوعهما</w:t>
      </w:r>
      <w:bookmarkEnd w:id="1683"/>
    </w:p>
    <w:p>
      <w:pPr>
        <w:pStyle w:val="BookText"/>
        <w:rPr/>
      </w:pPr>
      <w:r>
        <w:rPr>
          <w:rFonts w:ascii="IRNazanin" w:hAnsi="IRNazanin" w:eastAsia="IRNazanin"/>
          <w:color w:val="111111"/>
          <w:sz w:val="28"/>
          <w:sz w:val="28"/>
          <w:szCs w:val="28"/>
          <w:rtl w:val="true"/>
          <w:lang w:bidi="fa-IR"/>
        </w:rPr>
        <w:t>و الأظهریّة قد تکون بملاحظة خصوص المتعارضین من جهة القرائن الشخصیّة،و هذا لا یدخل تحت 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بملاحظة نوع المتعارضین،کأن یکون أحدهما ظاهرا فی العموم و الآخر جملة شرطیّة ظاهرة فی المفهوم،فیتعارضان </w:t>
      </w:r>
      <w:r>
        <w:rPr>
          <w:rStyle w:val="FootnoteAnchor"/>
          <w:rtl w:val="true"/>
        </w:rPr>
        <w:footnoteReference w:id="1634"/>
      </w:r>
      <w:r>
        <w:rPr>
          <w:rFonts w:ascii="IRNazanin" w:hAnsi="IRNazanin" w:eastAsia="IRNazanin"/>
          <w:color w:val="111111"/>
          <w:sz w:val="28"/>
          <w:sz w:val="28"/>
          <w:szCs w:val="28"/>
          <w:rtl w:val="true"/>
          <w:lang w:bidi="fa-IR"/>
        </w:rPr>
        <w:t>،فیقع الکلام فی ترجیح المفهوم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کتعارض التخصیص و النسخ فی بعض أفراد العامّ و الخاصّ،و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باعتبار الصنف،کترجیح أحد العامّین أو المطلقین علی الآخر لبعد التخصیص أو التقیید فیه</w:t>
      </w:r>
      <w:r>
        <w:rPr>
          <w:rFonts w:eastAsia="IRNazanin" w:cs="IRNazanin"/>
          <w:color w:val="111111"/>
          <w:sz w:val="28"/>
          <w:szCs w:val="28"/>
          <w:rtl w:val="true"/>
          <w:lang w:bidi="fa-IR"/>
        </w:rPr>
        <w:t>.</w:t>
      </w:r>
    </w:p>
    <w:p>
      <w:pPr>
        <w:pStyle w:val="Heading6"/>
        <w:numPr>
          <w:ilvl w:val="5"/>
          <w:numId w:val="1"/>
        </w:numPr>
        <w:rPr/>
      </w:pPr>
      <w:bookmarkStart w:id="1684" w:name="__RefHeading___Toc5768119_3224264995"/>
      <w:bookmarkStart w:id="1685" w:name="_Toc668"/>
      <w:bookmarkEnd w:id="1684"/>
      <w:r>
        <w:rPr>
          <w:rtl w:val="true"/>
        </w:rPr>
        <w:t>المرجّحات النوعیّة لظاهر أحد المتعارضین</w:t>
      </w:r>
      <w:r>
        <w:rPr>
          <w:rtl w:val="true"/>
        </w:rPr>
        <w:t>:</w:t>
      </w:r>
      <w:bookmarkEnd w:id="1685"/>
    </w:p>
    <w:p>
      <w:pPr>
        <w:pStyle w:val="BookText"/>
        <w:rPr/>
      </w:pPr>
      <w:r>
        <w:rPr>
          <w:rFonts w:ascii="IRNazanin" w:hAnsi="IRNazanin" w:eastAsia="IRNazanin"/>
          <w:color w:val="111111"/>
          <w:sz w:val="28"/>
          <w:sz w:val="28"/>
          <w:szCs w:val="28"/>
          <w:rtl w:val="true"/>
          <w:lang w:bidi="fa-IR"/>
        </w:rPr>
        <w:t>و لنشر إلی جملة من هذه المرجّحات النوعیّة لظاهر أحد المتعارضین فی مسائل</w:t>
      </w:r>
      <w:r>
        <w:rPr>
          <w:rFonts w:eastAsia="IRNazanin" w:cs="IRNazanin"/>
          <w:color w:val="111111"/>
          <w:sz w:val="28"/>
          <w:szCs w:val="28"/>
          <w:rtl w:val="true"/>
          <w:lang w:bidi="fa-IR"/>
        </w:rPr>
        <w:t>:</w:t>
      </w:r>
    </w:p>
    <w:p>
      <w:pPr>
        <w:pStyle w:val="Heading6"/>
        <w:numPr>
          <w:ilvl w:val="5"/>
          <w:numId w:val="1"/>
        </w:numPr>
        <w:rPr/>
      </w:pPr>
      <w:bookmarkStart w:id="1686" w:name="__RefHeading___Toc5768121_3224264995"/>
      <w:bookmarkStart w:id="1687" w:name="_Toc669"/>
      <w:bookmarkEnd w:id="1686"/>
      <w:r>
        <w:rPr>
          <w:rtl w:val="true"/>
        </w:rPr>
        <w:t>ترجیح التخصیص علی النسخ</w:t>
      </w:r>
      <w:r>
        <w:rPr>
          <w:rtl w:val="true"/>
        </w:rPr>
        <w:t>:</w:t>
      </w:r>
      <w:bookmarkEnd w:id="168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تقدیم ظهور الحکم الملقی من الشارع فی مقام </w:t>
      </w:r>
      <w:bookmarkStart w:id="1688" w:name="pg12985_125350"/>
    </w:p>
    <w:p>
      <w:pPr>
        <w:pStyle w:val="BookText"/>
        <w:rPr/>
      </w:pPr>
      <w:bookmarkEnd w:id="1688"/>
      <w:r>
        <w:rPr>
          <w:rFonts w:ascii="IRNazanin" w:hAnsi="IRNazanin" w:eastAsia="IRNazanin"/>
          <w:color w:val="111111"/>
          <w:sz w:val="28"/>
          <w:sz w:val="28"/>
          <w:szCs w:val="28"/>
          <w:rtl w:val="true"/>
          <w:lang w:bidi="fa-IR"/>
        </w:rPr>
        <w:t>التشریع فی استمراره باستمرار الشریعة،علی ظهور العامّ فی العموم الأفرادیّ،و یعبّر عن ذلک بأنّ التخصیص أولی من النسخ،من غیر فرق بین أن یکون احتمال المنسوخیّة فی العامّ أو فی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تعلیل ذلک بشیوع التخصیص و ندرة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بعض الصور،و تمام ذلک فی بحث العامّ و الخاصّ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إشکال فی أنّ احتمال التخصیص مشروط بعدم ورود الخاصّ بعد حضور وقت العمل بالعامّ،کما أنّ احتمال النسخ مشروط بورود الناسخ بعد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 الوارد بعد حضور وقت العمل بالعامّ یتعیّن فیه النسخ، و أمّا ارتکاب کون الخاصّ کاشفا عن قرینة کانت مع العامّ و اختفت فهو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علاج المتعارضین من دون التزام وجود شیء زائد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هناک دلیل علی امتناع النسخ وجب المصیر إلی التخصیص مع التزام اختفاء القرینة حین العمل،أو جواز إرادة خلاف الظاهر من المخاطبین واقعا مع مخاطبتهم بالظاهر الموجبة لعملهم بظهوره،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تکلیفهم ظاهرا هو العمل بالعموم</w:t>
      </w:r>
      <w:r>
        <w:rPr>
          <w:rFonts w:eastAsia="IRNazanin" w:cs="IRNazanin"/>
          <w:color w:val="111111"/>
          <w:sz w:val="28"/>
          <w:szCs w:val="28"/>
          <w:rtl w:val="true"/>
          <w:lang w:bidi="fa-IR"/>
        </w:rPr>
        <w:t>.</w:t>
      </w:r>
    </w:p>
    <w:p>
      <w:pPr>
        <w:pStyle w:val="Heading6"/>
        <w:numPr>
          <w:ilvl w:val="5"/>
          <w:numId w:val="1"/>
        </w:numPr>
        <w:rPr/>
      </w:pPr>
      <w:bookmarkStart w:id="1689" w:name="__RefHeading___Toc5768123_3224264995"/>
      <w:bookmarkStart w:id="1690" w:name="_Toc670"/>
      <w:bookmarkEnd w:id="1689"/>
      <w:r>
        <w:rPr>
          <w:rtl w:val="true"/>
        </w:rPr>
        <w:t>الإشکال فی تخصیص العمومات المتقدّمة بالمخصّصات المتأخّرة</w:t>
      </w:r>
      <w:r>
        <w:rPr>
          <w:rtl w:val="true"/>
        </w:rPr>
        <w:t>:</w:t>
      </w:r>
      <w:bookmarkEnd w:id="169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یقع الإشکال فی تخصیص العمومات المتقدّمة فی کلام النبیّ أو الوصیّ أو بعض الأئمّة علیهم السّلام بالمخصّصات الواردة بعد ذلک بمدّة عن باقی الأئمّة علیهم السّلام؛فإنّه لا بدّ أن یرتکب فیها النسخ،أو کشف الخاصّ عن قرینة مع العامّ مختفیة،أو کون المخاطبین بالعامّ تکلیفهم ظاهرا العمل بالعموم المراد به الخصوص واقعا</w:t>
      </w:r>
      <w:r>
        <w:rPr>
          <w:rFonts w:eastAsia="IRNazanin" w:cs="IRNazanin"/>
          <w:color w:val="111111"/>
          <w:sz w:val="28"/>
          <w:szCs w:val="28"/>
          <w:rtl w:val="true"/>
          <w:lang w:bidi="fa-IR"/>
        </w:rPr>
        <w:t xml:space="preserve">. </w:t>
      </w:r>
      <w:bookmarkStart w:id="1691" w:name="pg12985_125351"/>
    </w:p>
    <w:p>
      <w:pPr>
        <w:pStyle w:val="BookText"/>
        <w:rPr/>
      </w:pPr>
      <w:bookmarkEnd w:id="1691"/>
      <w:r>
        <w:rPr>
          <w:rFonts w:ascii="IRNazanin" w:hAnsi="IRNazanin" w:eastAsia="IRNazanin"/>
          <w:color w:val="111111"/>
          <w:sz w:val="28"/>
          <w:sz w:val="28"/>
          <w:szCs w:val="28"/>
          <w:rtl w:val="true"/>
          <w:lang w:bidi="fa-IR"/>
        </w:rPr>
        <w:t>أمّا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توجیه وقوعه بعد النبیّ صلی اللّه علیه و آله و سلّم بإرادة کشف ما بیّنه النبیّ صلی اللّه علیه و آله و سلّم للوصیّ علیه السّلام عن غایة الحکم الأوّل و ابتداء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غلبة هذا النحو </w:t>
      </w:r>
      <w:r>
        <w:rPr>
          <w:rStyle w:val="FootnoteAnchor"/>
          <w:rtl w:val="true"/>
        </w:rPr>
        <w:footnoteReference w:id="1635"/>
      </w:r>
      <w:r>
        <w:rPr>
          <w:rFonts w:ascii="IRNazanin" w:hAnsi="IRNazanin" w:eastAsia="IRNazanin"/>
          <w:color w:val="111111"/>
          <w:sz w:val="28"/>
          <w:sz w:val="28"/>
          <w:szCs w:val="28"/>
          <w:rtl w:val="true"/>
          <w:lang w:bidi="fa-IR"/>
        </w:rPr>
        <w:t xml:space="preserve">من التخصیصات یأبی عن حملها علی ذلک،مع أنّ الحمل علی النسخ یوجب طرح ظهور کلا الخبرین فی کون مضمونهما حکما مستمرّا من أوّل الشریعة إلی آخرها،إلاّ أن یفرض المتقدّم ظاهرا فی الاستمرار،و المتأخّر غیر ظاهر بالنسبة إلی ما قبل صدوره،فحینئذ یوجب طرح ظهور المتقدّم لا المتأخّر، کما لا یخفی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لم </w:t>
      </w:r>
      <w:r>
        <w:rPr>
          <w:rStyle w:val="FootnoteAnchor"/>
          <w:rtl w:val="true"/>
        </w:rPr>
        <w:footnoteReference w:id="1637"/>
      </w:r>
      <w:r>
        <w:rPr>
          <w:rFonts w:ascii="IRNazanin" w:hAnsi="IRNazanin" w:eastAsia="IRNazanin"/>
          <w:color w:val="111111"/>
          <w:sz w:val="28"/>
          <w:sz w:val="28"/>
          <w:szCs w:val="28"/>
          <w:rtl w:val="true"/>
          <w:lang w:bidi="fa-IR"/>
        </w:rPr>
        <w:t>یحصل فی کثیر من الموارد بل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اختفاء المخصّصات،فیبعّده بل یحیله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البلوی بها من حیث العلم و العمل،مع إمکان دعوی العلم بعدم علم أهل العصر المتقدّم و عملهم بها،بل المعلوم جهلهم بها</w:t>
      </w:r>
      <w:r>
        <w:rPr>
          <w:rFonts w:eastAsia="IRNazanin" w:cs="IRNazanin"/>
          <w:color w:val="111111"/>
          <w:sz w:val="28"/>
          <w:szCs w:val="28"/>
          <w:rtl w:val="true"/>
          <w:lang w:bidi="fa-IR"/>
        </w:rPr>
        <w:t>.</w:t>
      </w:r>
    </w:p>
    <w:p>
      <w:pPr>
        <w:pStyle w:val="Heading6"/>
        <w:numPr>
          <w:ilvl w:val="5"/>
          <w:numId w:val="1"/>
        </w:numPr>
        <w:rPr/>
      </w:pPr>
      <w:bookmarkStart w:id="1692" w:name="__RefHeading___Toc5768125_3224264995"/>
      <w:bookmarkStart w:id="1693" w:name="_Toc671"/>
      <w:bookmarkEnd w:id="1692"/>
      <w:r>
        <w:rPr>
          <w:rtl w:val="true"/>
        </w:rPr>
        <w:t>الأوجه فی دفع الإشکال</w:t>
      </w:r>
      <w:r>
        <w:rPr>
          <w:rtl w:val="true"/>
        </w:rPr>
        <w:t>:</w:t>
      </w:r>
      <w:bookmarkEnd w:id="169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فالأوجه هو الاحتمال الثالث،فکما أنّ رفع مقتضی البراءة العقلیّة ببیان التکلیف کان علی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 الکلّ فی الأحکام الواقعیّة،فکذلک ورود التقیید و التخصیص للعمومات و المطلقات،فیجوز أن یکون الحکم الظاهریّ للسابقین الترخیص فی ترک بعض الواجبات و فعل بعض المحرّمات الذی یقتضیه العمل بالعمومات،و إن کان المراد منها الخصوص الذی هو الحکم المشترک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إخفاء </w:t>
      </w:r>
      <w:r>
        <w:rPr>
          <w:rStyle w:val="FootnoteAnchor"/>
          <w:rtl w:val="true"/>
        </w:rPr>
        <w:footnoteReference w:id="1638"/>
      </w:r>
      <w:r>
        <w:rPr>
          <w:rFonts w:ascii="IRNazanin" w:hAnsi="IRNazanin" w:eastAsia="IRNazanin"/>
          <w:color w:val="111111"/>
          <w:sz w:val="28"/>
          <w:sz w:val="28"/>
          <w:szCs w:val="28"/>
          <w:rtl w:val="true"/>
          <w:lang w:bidi="fa-IR"/>
        </w:rPr>
        <w:t>التکلیف الفعلیّ و إبقاء المکلّف علی ما کان علیه من الفعل و الترک بمقتضی البراءة العقلیّة،و بین إنشاء الرخصة له فی فعل الحرام و ترک الواجب،ممنوعة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الأوّل من قبیل عدم البیان،و الثانی من قبیل بیان العدم،و لا قبح فیه بعد فرض المصلحة،مع أنّ بیان العدم قد یدّعی وجوده فی الکلّ،بمثل قوله صلی اللّه علیه و آله و سلّم فی خطبة الغدیر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من شیء یقرّبکم إلی الجنّة و یباعدکم عن النار إلاّ و قد أمرتکم به،و ما من شیء یقرّبکم من النار و یباعدکم من الجنّة إلاّ و قد نهیتکم عنه</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أن یکون مضمون العموم و الإطلاق هو الحکم الإلزامیّ و إخفاء </w:t>
      </w:r>
      <w:r>
        <w:rPr>
          <w:rStyle w:val="FootnoteAnchor"/>
          <w:rtl w:val="true"/>
        </w:rPr>
        <w:footnoteReference w:id="1640"/>
      </w:r>
      <w:r>
        <w:rPr>
          <w:rFonts w:ascii="IRNazanin" w:hAnsi="IRNazanin" w:eastAsia="IRNazanin"/>
          <w:color w:val="111111"/>
          <w:sz w:val="28"/>
          <w:sz w:val="28"/>
          <w:szCs w:val="28"/>
          <w:rtl w:val="true"/>
          <w:lang w:bidi="fa-IR"/>
        </w:rPr>
        <w:t>القرینة المتضمّنة لنفی الإلزام،فیکون التکلیف حینئذ لمصلحة فیه لا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التتبّع فی الأخبار و الظاهر من خلوّ العمومات و المطلقات عن القرینة،أنّ النبیّ صلی اللّه علیه و آله و سلّم جعل الوصیّ علیه السّلام مبیّنا لجمیع ما أطلقه و اطلق فی کتاب اللّه،و أودعه علم ذلک و غیره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الوصیّ بالنسبة إلی من بعده من الأوصیاء صلوات اللّه علیهم أجمعین،فبیّنوا ما رأوا فیه المصلحة،و أخفوا ما رأوا المصلحة فی إخفائه</w:t>
      </w:r>
      <w:r>
        <w:rPr>
          <w:rFonts w:eastAsia="IRNazanin" w:cs="IRNazanin"/>
          <w:color w:val="111111"/>
          <w:sz w:val="28"/>
          <w:szCs w:val="28"/>
          <w:rtl w:val="true"/>
          <w:lang w:bidi="fa-IR"/>
        </w:rPr>
        <w:t xml:space="preserve">. </w:t>
      </w:r>
      <w:bookmarkStart w:id="1694" w:name="pg12985_125353"/>
    </w:p>
    <w:p>
      <w:pPr>
        <w:pStyle w:val="BookText"/>
        <w:rPr/>
      </w:pPr>
      <w:bookmarkEnd w:id="1694"/>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من ذلک عدم جواز التمسّک بأصالة عدم التخصیص فی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 الخطاب بالمشافهین أو فرض الخطاب فی غیر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یلزم من عدم المخصّص لها فی الواقع إرادة العموم؛لأنّ المفروض حینئذ جواز تأخیر المخصّص عن وقت العمل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المستند فی إثبات أصالة الحقیقة بأصالة عدم القرینة قبح الخطاب بالظاهر المجرّد و إرادة خلافه،بضمیمة أنّ الأصل الذی استقرّ علیه طریقة التخاطب هو أنّ المتکلّم لا یلقی الکلام إلاّ لأجل إرادة تفهیم معناه الحقیقیّ أو المجازیّ،فإذا لم ینصب قرینة علی إرادة تفهیم </w:t>
      </w:r>
      <w:r>
        <w:rPr>
          <w:rStyle w:val="FootnoteAnchor"/>
          <w:rtl w:val="true"/>
        </w:rPr>
        <w:footnoteReference w:id="1641"/>
      </w:r>
      <w:r>
        <w:rPr>
          <w:rFonts w:ascii="IRNazanin" w:hAnsi="IRNazanin" w:eastAsia="IRNazanin"/>
          <w:color w:val="111111"/>
          <w:sz w:val="28"/>
          <w:sz w:val="28"/>
          <w:szCs w:val="28"/>
          <w:rtl w:val="true"/>
          <w:lang w:bidi="fa-IR"/>
        </w:rPr>
        <w:t xml:space="preserve">المجاز تعیّن إرادة الحقیقة فعلا،و حینئذ فإن اطّلعنا علی التخصیص المتأخّر کان هذا کاشفا عن مخالفة المتکلّم لهذا الأصل لنکتة،و أمّا إذا لم نطّلع علیه و نفیناه بالأصل فاللازم الحکم بإرادة تفهیم </w:t>
      </w:r>
      <w:r>
        <w:rPr>
          <w:rStyle w:val="FootnoteAnchor"/>
          <w:rtl w:val="true"/>
        </w:rPr>
        <w:footnoteReference w:id="1642"/>
      </w:r>
      <w:r>
        <w:rPr>
          <w:rFonts w:ascii="IRNazanin" w:hAnsi="IRNazanin" w:eastAsia="IRNazanin"/>
          <w:color w:val="111111"/>
          <w:sz w:val="28"/>
          <w:sz w:val="28"/>
          <w:szCs w:val="28"/>
          <w:rtl w:val="true"/>
          <w:lang w:bidi="fa-IR"/>
        </w:rPr>
        <w:t xml:space="preserve">الظاهر فعلا </w:t>
      </w:r>
      <w:r>
        <w:rPr>
          <w:rStyle w:val="FootnoteAnchor"/>
          <w:rtl w:val="true"/>
        </w:rPr>
        <w:footnoteReference w:id="1643"/>
      </w:r>
      <w:r>
        <w:rPr>
          <w:rFonts w:ascii="IRNazanin" w:hAnsi="IRNazanin" w:eastAsia="IRNazanin"/>
          <w:color w:val="111111"/>
          <w:sz w:val="28"/>
          <w:sz w:val="28"/>
          <w:szCs w:val="28"/>
          <w:rtl w:val="true"/>
          <w:lang w:bidi="fa-IR"/>
        </w:rPr>
        <w:t>من المخاطبین،فیشترک الغائبون معهم</w:t>
      </w:r>
      <w:r>
        <w:rPr>
          <w:rFonts w:eastAsia="IRNazanin" w:cs="IRNazanin"/>
          <w:color w:val="111111"/>
          <w:sz w:val="28"/>
          <w:szCs w:val="28"/>
          <w:rtl w:val="true"/>
          <w:lang w:bidi="fa-IR"/>
        </w:rPr>
        <w:t>.</w:t>
      </w:r>
    </w:p>
    <w:p>
      <w:pPr>
        <w:pStyle w:val="Heading6"/>
        <w:numPr>
          <w:ilvl w:val="5"/>
          <w:numId w:val="1"/>
        </w:numPr>
        <w:rPr/>
      </w:pPr>
      <w:bookmarkStart w:id="1695" w:name="__RefHeading___Toc5768127_3224264995"/>
      <w:bookmarkStart w:id="1696" w:name="_Toc672"/>
      <w:bookmarkEnd w:id="1695"/>
      <w:r>
        <w:rPr>
          <w:rtl w:val="true"/>
        </w:rPr>
        <w:t>ترجیح التقیید علی التخصیص عند تعارض الإطلاق و العموم</w:t>
      </w:r>
      <w:r>
        <w:rPr>
          <w:rtl w:val="true"/>
        </w:rPr>
        <w:t>:</w:t>
      </w:r>
      <w:bookmarkEnd w:id="169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الإطلاق و العموم،فیتعارض تقیید المطلق و تخصیص العامّ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ترجیح التقیید،علی ما حقّقه سلطان العلماء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bookmarkStart w:id="1697" w:name="pg12985_125354"/>
    </w:p>
    <w:p>
      <w:pPr>
        <w:pStyle w:val="BookText"/>
        <w:rPr/>
      </w:pPr>
      <w:bookmarkEnd w:id="1697"/>
      <w:r>
        <w:rPr>
          <w:rFonts w:ascii="IRNazanin" w:hAnsi="IRNazanin" w:eastAsia="IRNazanin"/>
          <w:color w:val="111111"/>
          <w:sz w:val="28"/>
          <w:sz w:val="28"/>
          <w:szCs w:val="28"/>
          <w:rtl w:val="true"/>
          <w:lang w:bidi="fa-IR"/>
        </w:rPr>
        <w:t xml:space="preserve">من کونه حقیقة؛لأنّ الحکم بالإطلاق من حیث عدم البیان،و العامّ بیان،فعدم البیان للتقیید جزء من مقتضی الإطلاق،و البیان للتخصیص مانع عن اقتضاء العامّ للعموم،فإذا دفعنا المانع عن العموم بالأصل، و المفروض وجود المقتضی له،ثبت بیان التقیید و ارتفع المقتضی للإطلاق،فالمطلق دلیل تعلیقی و العامّ دلیل تنجیزی،و العمل بالتعلیقیّ موقوف علی طرح التنجیزیّ؛لتوقّف موضوعه علی عدمه،فلو کان طرح التنجیزیّ متوقّفا علی العمل بالتعلیقیّ و مسبّبا عنه لزم الدور،بل هو یتوقّف علی حجّة اخری راجحة علیه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القول بکونه مجازا،فالمعروف فی وجه تقدیم التقیید کونه أغلب من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تأمّل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8" w:name="__RefHeading___Toc5768129_3224264995"/>
      <w:bookmarkStart w:id="1699" w:name="_Toc673"/>
      <w:bookmarkEnd w:id="1698"/>
      <w:r>
        <w:rPr>
          <w:rtl w:val="true"/>
        </w:rPr>
        <w:t>تقدیم التخصیص عند تعارض العموم مع غیر الإطلاق</w:t>
      </w:r>
      <w:r>
        <w:rPr>
          <w:rtl w:val="true"/>
        </w:rPr>
        <w:t>:</w:t>
      </w:r>
      <w:bookmarkEnd w:id="1699"/>
    </w:p>
    <w:p>
      <w:pPr>
        <w:pStyle w:val="BookText"/>
        <w:rPr/>
      </w:pPr>
      <w:r>
        <w:rPr>
          <w:rFonts w:ascii="IRNazanin" w:hAnsi="IRNazanin" w:eastAsia="IRNazanin"/>
          <w:color w:val="111111"/>
          <w:sz w:val="28"/>
          <w:sz w:val="28"/>
          <w:szCs w:val="28"/>
          <w:rtl w:val="true"/>
          <w:lang w:bidi="fa-IR"/>
        </w:rPr>
        <w:t xml:space="preserve">نعم،إذا استفید العموم الشمولیّ من دلیل الحکمة کانت الإفادة غیر مستندة إلی الوضع،کمذهب السلطان فی العموم البدلیّ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حال التقیید مع سائر المجازات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العموم مع غیر الإطلاق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المعروف تقدیم التخصیص لغلبته و شیوعه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1700" w:name="pg12985_125355"/>
    </w:p>
    <w:p>
      <w:pPr>
        <w:pStyle w:val="BookText"/>
        <w:rPr/>
      </w:pPr>
      <w:bookmarkEnd w:id="1700"/>
      <w:r>
        <w:rPr>
          <w:rFonts w:ascii="IRNazanin" w:hAnsi="IRNazanin" w:eastAsia="IRNazanin"/>
          <w:color w:val="111111"/>
          <w:sz w:val="28"/>
          <w:sz w:val="28"/>
          <w:szCs w:val="28"/>
          <w:rtl w:val="true"/>
          <w:lang w:bidi="fa-IR"/>
        </w:rPr>
        <w:t xml:space="preserve">و قد یتأمّل فی بعضها،مثل ظهور الصیغة فی الوجوب؛فإنّ استعمالها فی الاستحباب شایع أیضا،بل قیل بکونه مجازا مشهورا </w:t>
      </w:r>
      <w:r>
        <w:rPr>
          <w:rStyle w:val="FootnoteAnchor"/>
          <w:rtl w:val="true"/>
        </w:rPr>
        <w:footnoteReference w:id="1649"/>
      </w:r>
      <w:r>
        <w:rPr>
          <w:rFonts w:ascii="IRNazanin" w:hAnsi="IRNazanin" w:eastAsia="IRNazanin"/>
          <w:color w:val="111111"/>
          <w:sz w:val="28"/>
          <w:sz w:val="28"/>
          <w:szCs w:val="28"/>
          <w:rtl w:val="true"/>
          <w:lang w:bidi="fa-IR"/>
        </w:rPr>
        <w:t>، و لم یقل ذلک فی العامّ المخصّص،فتأمّل</w:t>
      </w:r>
      <w:r>
        <w:rPr>
          <w:rFonts w:eastAsia="IRNazanin" w:cs="IRNazanin"/>
          <w:color w:val="111111"/>
          <w:sz w:val="28"/>
          <w:szCs w:val="28"/>
          <w:rtl w:val="true"/>
          <w:lang w:bidi="fa-IR"/>
        </w:rPr>
        <w:t>.</w:t>
      </w:r>
    </w:p>
    <w:p>
      <w:pPr>
        <w:pStyle w:val="Heading6"/>
        <w:numPr>
          <w:ilvl w:val="5"/>
          <w:numId w:val="1"/>
        </w:numPr>
        <w:rPr/>
      </w:pPr>
      <w:bookmarkStart w:id="1701" w:name="__RefHeading___Toc5768131_3224264995"/>
      <w:bookmarkStart w:id="1702" w:name="_Toc674"/>
      <w:bookmarkEnd w:id="1701"/>
      <w:r>
        <w:rPr>
          <w:rtl w:val="true"/>
        </w:rPr>
        <w:t>تقدیم الجملة الغائیّة علی الشرطیّة،و الشرطیّة علی الوصفیّة</w:t>
      </w:r>
      <w:r>
        <w:rPr>
          <w:rtl w:val="true"/>
        </w:rPr>
        <w:t>:</w:t>
      </w:r>
      <w:bookmarkEnd w:id="170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ظهور بعض ذوات المفهوم من الجمل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تقدیم الجملة الغائیّة علی الشرطیّة،و الشرطیّة علی الوصفیّة</w:t>
      </w:r>
      <w:r>
        <w:rPr>
          <w:rFonts w:eastAsia="IRNazanin" w:cs="IRNazanin"/>
          <w:color w:val="111111"/>
          <w:sz w:val="28"/>
          <w:szCs w:val="28"/>
          <w:rtl w:val="true"/>
          <w:lang w:bidi="fa-IR"/>
        </w:rPr>
        <w:t>.</w:t>
      </w:r>
    </w:p>
    <w:p>
      <w:pPr>
        <w:pStyle w:val="Heading6"/>
        <w:numPr>
          <w:ilvl w:val="5"/>
          <w:numId w:val="1"/>
        </w:numPr>
        <w:rPr/>
      </w:pPr>
      <w:bookmarkStart w:id="1703" w:name="__RefHeading___Toc5768133_3224264995"/>
      <w:bookmarkStart w:id="1704" w:name="_Toc675"/>
      <w:bookmarkEnd w:id="1703"/>
      <w:r>
        <w:rPr>
          <w:rtl w:val="true"/>
        </w:rPr>
        <w:t>ترجیح کلّ الاحتمالات علی النسخ</w:t>
      </w:r>
      <w:r>
        <w:rPr>
          <w:rtl w:val="true"/>
        </w:rPr>
        <w:t>:</w:t>
      </w:r>
      <w:bookmarkEnd w:id="170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ظهور الکلام فی استمرار الحکم مع غیره من الظهورات،فیدور الأمر بین النسخ و ارتکاب خلاف ظاهر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ترجیح الکلّ علی النسخ؛لغلبتها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إلی یوم القیامة،و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سوقه لبیان استمرار أحکام محمّد صلی اللّه علیه و آله و سلّم نوعا من قبل اللّه جلّ ذکره إلی یوم القیامة فی مقابل نسخها بدین آخر، لا بیان استمرار أحکامه الشخصیّة إلاّ ما خرج بالدلیل،فالمراد أنّ حلاله صلی اللّه علیه و آله و سلّم حلال من قبل اللّه جلّ ذکره إلی یوم القیامة،لا أنّ الحلال من قبله صلّی اللّه علیه و آله و سلّم حلال من قبله إلی یوم القیامة،لیکون المراد استمرار حلیّته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أضعف من ذلک التمسّک باستصحاب عدم النسخ فی المقام؛لأنّ الکلام فی قوّة أحد الظاهرین و ضعف الآخر،فلا وجه لملاحظة الاصول </w:t>
      </w:r>
      <w:bookmarkStart w:id="1705" w:name="pg12985_125356"/>
    </w:p>
    <w:p>
      <w:pPr>
        <w:pStyle w:val="BookText"/>
        <w:rPr/>
      </w:pPr>
      <w:bookmarkEnd w:id="1705"/>
      <w:r>
        <w:rPr>
          <w:rFonts w:ascii="IRNazanin" w:hAnsi="IRNazanin" w:eastAsia="IRNazanin"/>
          <w:color w:val="111111"/>
          <w:sz w:val="28"/>
          <w:sz w:val="28"/>
          <w:szCs w:val="28"/>
          <w:rtl w:val="true"/>
          <w:lang w:bidi="fa-IR"/>
        </w:rPr>
        <w:t>العملیّة فی هذا المقام،مع أنّا إذا فرضنا عامّا متقدّما و خاصّا متأخّرا، فالشکّ فی تکلیف المتقدّمین بالعامّ و عدم تکلیفهم،فاستصحاب الحکم السابق لا معنی له،فیبقی ظهور الکلام فی عدم النسخ معارضا بظهوره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یجری فی مثل العامّ المتأخّر عن الخاصّ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التعارض إنّما هو مع عدم ظهور الخاصّ فی ثبوت حکمه فی الشریعة ابتداء،و إلاّ تعیّن التخصیص</w:t>
      </w:r>
      <w:r>
        <w:rPr>
          <w:rFonts w:eastAsia="IRNazanin" w:cs="IRNazanin"/>
          <w:color w:val="111111"/>
          <w:sz w:val="28"/>
          <w:szCs w:val="28"/>
          <w:rtl w:val="true"/>
          <w:lang w:bidi="fa-IR"/>
        </w:rPr>
        <w:t>.</w:t>
      </w:r>
    </w:p>
    <w:p>
      <w:pPr>
        <w:pStyle w:val="Heading6"/>
        <w:numPr>
          <w:ilvl w:val="5"/>
          <w:numId w:val="1"/>
        </w:numPr>
        <w:rPr/>
      </w:pPr>
      <w:bookmarkStart w:id="1706" w:name="__RefHeading___Toc5768135_3224264995"/>
      <w:bookmarkStart w:id="1707" w:name="_Toc676"/>
      <w:bookmarkEnd w:id="1706"/>
      <w:r>
        <w:rPr>
          <w:rtl w:val="true"/>
        </w:rPr>
        <w:t>تقدیم الحقیقة علی المجاز و المناقشة فیه</w:t>
      </w:r>
      <w:r>
        <w:rPr>
          <w:rtl w:val="true"/>
        </w:rPr>
        <w:t>:</w:t>
      </w:r>
      <w:bookmarkEnd w:id="170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اللفظ فی المعنی الحقیقی مع ظهوره مع القرینة فی المعنی المجازیّ؛و عبّروا عنه بتقدیم الحقیقة علی المجاز،و رجّحوها علیه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أرادوا أنّه إذا دار الأمر بین طرح الوضع اللفظیّ بإرادة المعنی المجازیّ و بین طرح مقتضی القرینة فی الظهور المجازیّ بإرادة المعنی الحقیقیّ،فلا أعرف له وجها؛لأنّ ظهور اللفظ فی المعنی المجازیّ إن کان مستندا إلی قرینة لفظیّة فظهوره مستند إلی الوضع،و إن استند إلی حال أو قرینة منفصلة قطعیّة فلا یقصر عن الوضع،و إن کان ظنّا معتبرا فینبغی تقدیمه علی الظهور اللفظیّ المعارض،کما یقدّم علی ظهور اللفظ </w:t>
      </w:r>
      <w:r>
        <w:rPr>
          <w:rStyle w:val="FootnoteAnchor"/>
          <w:rtl w:val="true"/>
        </w:rPr>
        <w:footnoteReference w:id="1652"/>
      </w:r>
      <w:r>
        <w:rPr>
          <w:rFonts w:ascii="IRNazanin" w:hAnsi="IRNazanin" w:eastAsia="IRNazanin"/>
          <w:color w:val="111111"/>
          <w:sz w:val="28"/>
          <w:sz w:val="28"/>
          <w:szCs w:val="28"/>
          <w:rtl w:val="true"/>
          <w:lang w:bidi="fa-IR"/>
        </w:rPr>
        <w:t xml:space="preserve">المقرون به،إلاّ أن یفرض ظهوره ضعیفا یقوی علیه </w:t>
      </w:r>
      <w:r>
        <w:rPr>
          <w:rStyle w:val="FootnoteAnchor"/>
          <w:rtl w:val="true"/>
        </w:rPr>
        <w:footnoteReference w:id="1653"/>
      </w:r>
      <w:r>
        <w:rPr>
          <w:rFonts w:ascii="IRNazanin" w:hAnsi="IRNazanin" w:eastAsia="IRNazanin"/>
          <w:color w:val="111111"/>
          <w:sz w:val="28"/>
          <w:sz w:val="28"/>
          <w:szCs w:val="28"/>
          <w:rtl w:val="true"/>
          <w:lang w:bidi="fa-IR"/>
        </w:rPr>
        <w:t>ظهور الدلیل المعارض،فیدور الأمر بین ظاهرین أحدهما أقوی من الآخر</w:t>
      </w:r>
      <w:r>
        <w:rPr>
          <w:rFonts w:eastAsia="IRNazanin" w:cs="IRNazanin"/>
          <w:color w:val="111111"/>
          <w:sz w:val="28"/>
          <w:szCs w:val="28"/>
          <w:rtl w:val="true"/>
          <w:lang w:bidi="fa-IR"/>
        </w:rPr>
        <w:t xml:space="preserve">. </w:t>
      </w:r>
      <w:bookmarkStart w:id="1708" w:name="pg12985_125357"/>
    </w:p>
    <w:p>
      <w:pPr>
        <w:pStyle w:val="BookText"/>
        <w:rPr/>
      </w:pPr>
      <w:bookmarkEnd w:id="1708"/>
      <w:r>
        <w:rPr>
          <w:rFonts w:ascii="IRNazanin" w:hAnsi="IRNazanin" w:eastAsia="IRNazanin"/>
          <w:color w:val="111111"/>
          <w:sz w:val="28"/>
          <w:sz w:val="28"/>
          <w:szCs w:val="28"/>
          <w:rtl w:val="true"/>
          <w:lang w:bidi="fa-IR"/>
        </w:rPr>
        <w:t xml:space="preserve">و إن أرادوا به معنی آخر فلا بدّ من التأمّل فیه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الکلام فی تعارض النوعین المختلفین من الظهور</w:t>
      </w:r>
      <w:r>
        <w:rPr>
          <w:rFonts w:eastAsia="IRNazanin" w:cs="IRNazanin"/>
          <w:color w:val="111111"/>
          <w:sz w:val="28"/>
          <w:szCs w:val="28"/>
          <w:rtl w:val="true"/>
          <w:lang w:bidi="fa-IR"/>
        </w:rPr>
        <w:t>.</w:t>
      </w:r>
    </w:p>
    <w:p>
      <w:pPr>
        <w:pStyle w:val="Heading6"/>
        <w:numPr>
          <w:ilvl w:val="5"/>
          <w:numId w:val="1"/>
        </w:numPr>
        <w:rPr/>
      </w:pPr>
      <w:bookmarkStart w:id="1709" w:name="__RefHeading___Toc5768137_3224264995"/>
      <w:bookmarkStart w:id="1710" w:name="_Toc677"/>
      <w:bookmarkEnd w:id="1709"/>
      <w:r>
        <w:rPr>
          <w:rtl w:val="true"/>
        </w:rPr>
        <w:t>تعارض الصنفین المختلفین فی الظهور</w:t>
      </w:r>
      <w:r>
        <w:rPr>
          <w:rtl w:val="true"/>
        </w:rPr>
        <w:t>:</w:t>
      </w:r>
      <w:bookmarkEnd w:id="1710"/>
    </w:p>
    <w:p>
      <w:pPr>
        <w:pStyle w:val="BookText"/>
        <w:rPr/>
      </w:pPr>
      <w:r>
        <w:rPr>
          <w:rFonts w:ascii="IRNazanin" w:hAnsi="IRNazanin" w:eastAsia="IRNazanin"/>
          <w:color w:val="111111"/>
          <w:sz w:val="28"/>
          <w:sz w:val="28"/>
          <w:szCs w:val="28"/>
          <w:rtl w:val="true"/>
          <w:lang w:bidi="fa-IR"/>
        </w:rPr>
        <w:t>و أمّا الصنفان المختلفان من نوع واحد،فالمجاز الراجح الشائع مقدّم علی غیره؛و لذا یحمل الأسد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الشجاع دون الرجل الأبخر،و یحمل الأمر المصروف عن الوجوب علی الاستحباب دون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بعض أفراد التخصیص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یکون بقوّة عموم أحد العامّین علی الآخر،إمّا بنفسه </w:t>
      </w:r>
      <w:r>
        <w:rPr>
          <w:rStyle w:val="FootnoteAnchor"/>
          <w:rtl w:val="true"/>
        </w:rPr>
        <w:footnoteReference w:id="1655"/>
      </w:r>
      <w:r>
        <w:rPr>
          <w:rFonts w:ascii="IRNazanin" w:hAnsi="IRNazanin" w:eastAsia="IRNazanin"/>
          <w:color w:val="111111"/>
          <w:sz w:val="28"/>
          <w:sz w:val="28"/>
          <w:szCs w:val="28"/>
          <w:rtl w:val="true"/>
          <w:lang w:bidi="fa-IR"/>
        </w:rPr>
        <w:t>کتقدیم الجمع المحلّی باللاّم علی المفرد المعرّف و نحو ذلک،و إمّا بملاحظة المقام،فإنّ العامّ المسوق لبیان الضابط أقوی من غیره،و نحو ذلک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لقرب أحد التخصیصین </w:t>
      </w:r>
      <w:r>
        <w:rPr>
          <w:rStyle w:val="FootnoteAnchor"/>
          <w:rtl w:val="true"/>
        </w:rPr>
        <w:footnoteReference w:id="1656"/>
      </w:r>
      <w:r>
        <w:rPr>
          <w:rFonts w:ascii="IRNazanin" w:hAnsi="IRNazanin" w:eastAsia="IRNazanin"/>
          <w:color w:val="111111"/>
          <w:sz w:val="28"/>
          <w:sz w:val="28"/>
          <w:szCs w:val="28"/>
          <w:rtl w:val="true"/>
          <w:lang w:bidi="fa-IR"/>
        </w:rPr>
        <w:t>و بعد الآخر،کما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1657"/>
      </w:r>
      <w:r>
        <w:rPr>
          <w:rFonts w:ascii="IRNazanin" w:hAnsi="IRNazanin" w:eastAsia="IRNazanin"/>
          <w:color w:val="111111"/>
          <w:sz w:val="28"/>
          <w:sz w:val="28"/>
          <w:szCs w:val="28"/>
          <w:rtl w:val="true"/>
          <w:lang w:bidi="fa-IR"/>
        </w:rPr>
        <w:t>الأقلّ أفرادا مقدّم علی غیره،فإنّ العرف یقدّم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کلّ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النهی عن أکل کلّ حامض؛لأنّه أقلّ أفرادا،فیکون أشبه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کان التخصیص فی أحدهما تخصیصا لکثیر من الأفراد،بخلاف الآخر</w:t>
      </w:r>
      <w:r>
        <w:rPr>
          <w:rFonts w:eastAsia="IRNazanin" w:cs="IRNazanin"/>
          <w:color w:val="111111"/>
          <w:sz w:val="28"/>
          <w:szCs w:val="28"/>
          <w:rtl w:val="true"/>
          <w:lang w:bidi="fa-IR"/>
        </w:rPr>
        <w:t xml:space="preserve">. </w:t>
      </w:r>
      <w:bookmarkStart w:id="1711" w:name="pg12985_125358"/>
    </w:p>
    <w:p>
      <w:pPr>
        <w:pStyle w:val="Heading6"/>
        <w:numPr>
          <w:ilvl w:val="5"/>
          <w:numId w:val="1"/>
        </w:numPr>
        <w:rPr/>
      </w:pPr>
      <w:bookmarkStart w:id="1712" w:name="__RefHeading___Toc5768139_3224264995"/>
      <w:bookmarkStart w:id="1713" w:name="_Toc678"/>
      <w:bookmarkEnd w:id="1711"/>
      <w:bookmarkEnd w:id="1712"/>
      <w:r>
        <w:rPr>
          <w:rtl w:val="true"/>
        </w:rPr>
        <w:t>بیان انقلاب النسبة</w:t>
      </w:r>
      <w:bookmarkEnd w:id="1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انقلاب النسبة</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ما ذکرنا من حکم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النصّ یحکّم علی الظاهر،و الأظهر علی الظاهر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تحصیله فی المتعارضین،</w:t>
      </w:r>
    </w:p>
    <w:p>
      <w:pPr>
        <w:pStyle w:val="Heading6"/>
        <w:numPr>
          <w:ilvl w:val="5"/>
          <w:numId w:val="1"/>
        </w:numPr>
        <w:rPr/>
      </w:pPr>
      <w:bookmarkStart w:id="1714" w:name="__RefHeading___Toc5768141_3224264995"/>
      <w:bookmarkStart w:id="1715" w:name="_Toc679"/>
      <w:bookmarkEnd w:id="1714"/>
      <w:r>
        <w:rPr>
          <w:rtl w:val="true"/>
        </w:rPr>
        <w:t>التعارض بین أزید من دلیلین</w:t>
      </w:r>
      <w:r>
        <w:rPr>
          <w:rtl w:val="true"/>
        </w:rPr>
        <w:t>:</w:t>
      </w:r>
      <w:bookmarkEnd w:id="1715"/>
    </w:p>
    <w:p>
      <w:pPr>
        <w:pStyle w:val="BookText"/>
        <w:rPr/>
      </w:pPr>
      <w:r>
        <w:rPr>
          <w:rFonts w:ascii="IRNazanin" w:hAnsi="IRNazanin" w:eastAsia="IRNazanin"/>
          <w:color w:val="111111"/>
          <w:sz w:val="28"/>
          <w:sz w:val="28"/>
          <w:szCs w:val="28"/>
          <w:rtl w:val="true"/>
          <w:lang w:bidi="fa-IR"/>
        </w:rPr>
        <w:t xml:space="preserve">و أمّا إذا کان التعارض بین أزید من دلیلین،فقد یصعب تحصیل ذلک؛ إذ قد </w:t>
      </w:r>
      <w:r>
        <w:rPr>
          <w:rStyle w:val="FootnoteAnchor"/>
          <w:rtl w:val="true"/>
        </w:rPr>
        <w:footnoteReference w:id="1660"/>
      </w:r>
      <w:r>
        <w:rPr>
          <w:rFonts w:ascii="IRNazanin" w:hAnsi="IRNazanin" w:eastAsia="IRNazanin"/>
          <w:color w:val="111111"/>
          <w:sz w:val="28"/>
          <w:sz w:val="28"/>
          <w:szCs w:val="28"/>
          <w:rtl w:val="true"/>
          <w:lang w:bidi="fa-IR"/>
        </w:rPr>
        <w:t>یختلف حال التعارض بین اثنین منها بملاحظة أحدهما مع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النسبة بین الاثنین العموم و الخصوص من وجه، و ینقلب بعد تلک الملاحظة إلی العموم المطلق أو بالعکس أو إلی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التوهّم فی بعض المقامات،فنقول توضیحا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النسبة بین المتعارضات المذکورة</w:t>
      </w:r>
      <w:r>
        <w:rPr>
          <w:rFonts w:eastAsia="IRNazanin" w:cs="IRNazanin"/>
          <w:color w:val="111111"/>
          <w:sz w:val="28"/>
          <w:szCs w:val="28"/>
          <w:rtl w:val="true"/>
          <w:lang w:bidi="fa-IR"/>
        </w:rPr>
        <w:t>:</w:t>
      </w:r>
    </w:p>
    <w:p>
      <w:pPr>
        <w:pStyle w:val="Heading6"/>
        <w:numPr>
          <w:ilvl w:val="5"/>
          <w:numId w:val="1"/>
        </w:numPr>
        <w:rPr/>
      </w:pPr>
      <w:bookmarkStart w:id="1716" w:name="__RefHeading___Toc5768143_3224264995"/>
      <w:bookmarkStart w:id="1717" w:name="_Toc680"/>
      <w:bookmarkEnd w:id="1716"/>
      <w:r>
        <w:rPr>
          <w:rtl w:val="true"/>
        </w:rPr>
        <w:t>إذا کانت النسبة بین المتعارضات واحدة</w:t>
      </w:r>
      <w:r>
        <w:rPr>
          <w:rtl w:val="true"/>
        </w:rPr>
        <w:t>:</w:t>
      </w:r>
      <w:bookmarkEnd w:id="1717"/>
    </w:p>
    <w:p>
      <w:pPr>
        <w:pStyle w:val="BookText"/>
        <w:rPr/>
      </w:pPr>
      <w:r>
        <w:rPr>
          <w:rFonts w:ascii="IRNazanin" w:hAnsi="IRNazanin" w:eastAsia="IRNazanin"/>
          <w:color w:val="111111"/>
          <w:sz w:val="28"/>
          <w:sz w:val="28"/>
          <w:szCs w:val="28"/>
          <w:rtl w:val="true"/>
          <w:lang w:bidi="fa-IR"/>
        </w:rPr>
        <w:t>إن کانت نسبة واحدة فحکمها حکم المتعارضین</w:t>
      </w:r>
      <w:r>
        <w:rPr>
          <w:rFonts w:eastAsia="IRNazanin" w:cs="IRNazanin"/>
          <w:color w:val="111111"/>
          <w:sz w:val="28"/>
          <w:szCs w:val="28"/>
          <w:rtl w:val="true"/>
          <w:lang w:bidi="fa-IR"/>
        </w:rPr>
        <w:t>:</w:t>
      </w:r>
    </w:p>
    <w:p>
      <w:pPr>
        <w:pStyle w:val="Heading6"/>
        <w:numPr>
          <w:ilvl w:val="5"/>
          <w:numId w:val="1"/>
        </w:numPr>
        <w:rPr/>
      </w:pPr>
      <w:bookmarkStart w:id="1718" w:name="__RefHeading___Toc5768145_3224264995"/>
      <w:bookmarkStart w:id="1719" w:name="_Toc681"/>
      <w:bookmarkEnd w:id="1718"/>
      <w:r>
        <w:rPr>
          <w:rtl w:val="true"/>
        </w:rPr>
        <w:t>لو کانت النسبة العموم من وجه</w:t>
      </w:r>
      <w:r>
        <w:rPr>
          <w:rtl w:val="true"/>
        </w:rPr>
        <w:t>:</w:t>
      </w:r>
      <w:bookmarkEnd w:id="1719"/>
    </w:p>
    <w:p>
      <w:pPr>
        <w:pStyle w:val="BookText"/>
        <w:rPr/>
      </w:pPr>
      <w:r>
        <w:rPr>
          <w:rFonts w:ascii="IRNazanin" w:hAnsi="IRNazanin" w:eastAsia="IRNazanin"/>
          <w:color w:val="111111"/>
          <w:sz w:val="28"/>
          <w:sz w:val="28"/>
          <w:szCs w:val="28"/>
          <w:rtl w:val="true"/>
          <w:lang w:bidi="fa-IR"/>
        </w:rPr>
        <w:t>فإن کانت النسبة العموم من وجه وجب الرجوع إلی المرجّحات،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الکلّ فی مادّة الاجتماع</w:t>
      </w:r>
      <w:r>
        <w:rPr>
          <w:rFonts w:eastAsia="IRNazanin" w:cs="IRNazanin"/>
          <w:color w:val="111111"/>
          <w:sz w:val="28"/>
          <w:szCs w:val="28"/>
          <w:rtl w:val="true"/>
          <w:lang w:bidi="fa-IR"/>
        </w:rPr>
        <w:t>.</w:t>
      </w:r>
    </w:p>
    <w:p>
      <w:pPr>
        <w:pStyle w:val="Heading6"/>
        <w:numPr>
          <w:ilvl w:val="5"/>
          <w:numId w:val="1"/>
        </w:numPr>
        <w:rPr/>
      </w:pPr>
      <w:bookmarkStart w:id="1720" w:name="__RefHeading___Toc5768147_3224264995"/>
      <w:bookmarkStart w:id="1721" w:name="_Toc682"/>
      <w:bookmarkEnd w:id="1720"/>
      <w:r>
        <w:rPr>
          <w:rtl w:val="true"/>
        </w:rPr>
        <w:t>لو کانت النسبة عموما مطلقا</w:t>
      </w:r>
      <w:r>
        <w:rPr>
          <w:rtl w:val="true"/>
        </w:rPr>
        <w:t>:</w:t>
      </w:r>
      <w:bookmarkEnd w:id="172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النسبة عموما مطلقا،فإن لم یلزم محذور من تخصیص العامّ بهما خصّص بهما،مثل المثال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لزم محذور،مثل قوله</w:t>
      </w:r>
      <w:r>
        <w:rPr>
          <w:rFonts w:eastAsia="IRNazanin" w:cs="IRNazanin"/>
          <w:color w:val="111111"/>
          <w:sz w:val="28"/>
          <w:szCs w:val="28"/>
          <w:rtl w:val="true"/>
          <w:lang w:bidi="fa-IR"/>
        </w:rPr>
        <w:t xml:space="preserve">: </w:t>
      </w:r>
      <w:bookmarkStart w:id="1722" w:name="pg12985_125359"/>
    </w:p>
    <w:p>
      <w:pPr>
        <w:pStyle w:val="BookText"/>
        <w:rPr/>
      </w:pPr>
      <w:bookmarkEnd w:id="1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إکرام عدول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اللازم من تخصیص العامّ بهما بقاؤه بلا مورد، فحکم ذلک کالمتباینین،لأنّ مجموع الخاصّین مباین للعامّ</w:t>
      </w:r>
      <w:r>
        <w:rPr>
          <w:rFonts w:eastAsia="IRNazanin" w:cs="IRNazanin"/>
          <w:color w:val="111111"/>
          <w:sz w:val="28"/>
          <w:szCs w:val="28"/>
          <w:rtl w:val="true"/>
          <w:lang w:bidi="fa-IR"/>
        </w:rPr>
        <w:t>.</w:t>
      </w:r>
    </w:p>
    <w:p>
      <w:pPr>
        <w:pStyle w:val="Heading6"/>
        <w:numPr>
          <w:ilvl w:val="5"/>
          <w:numId w:val="1"/>
        </w:numPr>
        <w:rPr/>
      </w:pPr>
      <w:bookmarkStart w:id="1723" w:name="__RefHeading___Toc5768149_3224264995"/>
      <w:bookmarkStart w:id="1724" w:name="_Toc683"/>
      <w:bookmarkEnd w:id="1723"/>
      <w:r>
        <w:rPr>
          <w:rtl w:val="true"/>
        </w:rPr>
        <w:t>ما توهمه بعض المعاصرین</w:t>
      </w:r>
      <w:bookmarkEnd w:id="1724"/>
    </w:p>
    <w:p>
      <w:pPr>
        <w:pStyle w:val="BookText"/>
        <w:rPr/>
      </w:pPr>
      <w:r>
        <w:rPr>
          <w:rFonts w:ascii="IRNazanin" w:hAnsi="IRNazanin" w:eastAsia="IRNazanin"/>
          <w:color w:val="111111"/>
          <w:sz w:val="28"/>
          <w:sz w:val="28"/>
          <w:szCs w:val="28"/>
          <w:rtl w:val="true"/>
          <w:lang w:bidi="fa-IR"/>
        </w:rPr>
        <w:t xml:space="preserve">و قد توهّم بعض من عاصرناه </w:t>
      </w:r>
      <w:r>
        <w:rPr>
          <w:rStyle w:val="FootnoteAnchor"/>
          <w:rtl w:val="true"/>
        </w:rPr>
        <w:footnoteReference w:id="1661"/>
      </w:r>
      <w:r>
        <w:rPr>
          <w:rFonts w:ascii="IRNazanin" w:hAnsi="IRNazanin" w:eastAsia="IRNazanin"/>
          <w:color w:val="111111"/>
          <w:sz w:val="28"/>
          <w:sz w:val="28"/>
          <w:szCs w:val="28"/>
          <w:rtl w:val="true"/>
          <w:lang w:bidi="fa-IR"/>
        </w:rPr>
        <w:t>،فلاحظ العامّ بعد تخصیصه ببعض الأفراد بإجماع و نحوه مع الخاصّ المطلق الآخر،فإذا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من الخارج دلیل علی عدم وجوب إکرام فسّاق العلماء، 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النسبة علی هذا بینه و بین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یلتزم بذلک فیما إذا کان الخاصّان دلیلین لفظیّین؛إذ لا وجه لسبق ملاحظة العامّ مع أحدهما علی ملاحظته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یتوهّم ذلک فی العامّ المخصّص بالإجماع أو العقل؛لزعم أنّ المخصّص المذکور یکون کالمتّصل،فکأنّ العامّ استعمل فیما عدا ذلک الفرد المخرج،و التعارض إنّما یلاحظ بین ما استعمل فیه لفظ کلّ من الدلیلین، لا بین ما وضع له اللفظ و إن علم عدم استعماله فیه </w:t>
      </w:r>
      <w:r>
        <w:rPr>
          <w:rStyle w:val="FootnoteAnchor"/>
          <w:rtl w:val="true"/>
        </w:rPr>
        <w:footnoteReference w:id="1662"/>
      </w:r>
      <w:r>
        <w:rPr>
          <w:rFonts w:ascii="IRNazanin" w:hAnsi="IRNazanin" w:eastAsia="IRNazanin"/>
          <w:color w:val="111111"/>
          <w:sz w:val="28"/>
          <w:sz w:val="28"/>
          <w:szCs w:val="28"/>
          <w:rtl w:val="true"/>
          <w:lang w:bidi="fa-IR"/>
        </w:rPr>
        <w:t>،فکأنّ المراد بالعلماء فی المثال المذکور عدولهم،و النسبة بینه و بین النحویّین عموم من وجه</w:t>
      </w:r>
      <w:r>
        <w:rPr>
          <w:rFonts w:eastAsia="IRNazanin" w:cs="IRNazanin"/>
          <w:color w:val="111111"/>
          <w:sz w:val="28"/>
          <w:szCs w:val="28"/>
          <w:rtl w:val="true"/>
          <w:lang w:bidi="fa-IR"/>
        </w:rPr>
        <w:t>.</w:t>
      </w:r>
    </w:p>
    <w:p>
      <w:pPr>
        <w:pStyle w:val="Heading6"/>
        <w:numPr>
          <w:ilvl w:val="5"/>
          <w:numId w:val="1"/>
        </w:numPr>
        <w:rPr/>
      </w:pPr>
      <w:bookmarkStart w:id="1725" w:name="__RefHeading___Toc5768151_3224264995"/>
      <w:bookmarkStart w:id="1726" w:name="_Toc684"/>
      <w:bookmarkEnd w:id="1725"/>
      <w:r>
        <w:rPr>
          <w:rtl w:val="true"/>
        </w:rPr>
        <w:t>دفع التوهم المذکور</w:t>
      </w:r>
      <w:bookmarkEnd w:id="172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التنافی فی المتعارضین إنّما یکون بین ظاهری الدلیلین،و ظهور الظاهر إمّا أن یستند إلی وضعه،و إمّا أن یستند إلی </w:t>
      </w:r>
    </w:p>
    <w:p>
      <w:pPr>
        <w:pStyle w:val="BookText"/>
        <w:rPr/>
      </w:pPr>
      <w:r>
        <w:rPr>
          <w:rFonts w:ascii="IRNazanin" w:hAnsi="IRNazanin" w:eastAsia="IRNazanin"/>
          <w:color w:val="111111"/>
          <w:sz w:val="28"/>
          <w:sz w:val="28"/>
          <w:szCs w:val="28"/>
          <w:rtl w:val="true"/>
          <w:lang w:bidi="fa-IR"/>
        </w:rPr>
        <w:t>قرینة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بدّ من إحرازه حین التعارض و قبل علاجه؛إذ العلاج راجع إلی دفع المانع،لا إلی إحراز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تخصیصه بذلک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لوحظ بالنسبة إلی وضعه للعموم مع قطع النظر عن تخصیصه بذلک الدلیل،فالدلیل المذکور و المخصّص اللفظیّ سواء فی المانعیّة عن ظهوره فی العموم،فیرفع الید عن الموضوع له بهما،و إن لوحظ بالنسبة إلی المراد </w:t>
      </w:r>
      <w:r>
        <w:rPr>
          <w:rStyle w:val="FootnoteAnchor"/>
          <w:rtl w:val="true"/>
        </w:rPr>
        <w:footnoteReference w:id="1663"/>
      </w:r>
      <w:r>
        <w:rPr>
          <w:rFonts w:ascii="IRNazanin" w:hAnsi="IRNazanin" w:eastAsia="IRNazanin"/>
          <w:color w:val="111111"/>
          <w:sz w:val="28"/>
          <w:sz w:val="28"/>
          <w:szCs w:val="28"/>
          <w:rtl w:val="true"/>
          <w:lang w:bidi="fa-IR"/>
        </w:rPr>
        <w:t xml:space="preserve">منه بعد التخصیص بذلک الدلیل،فلا ظهور له فی إرادة العموم باستثناء ما خرج بذلک الدلیل،إلاّ بعد إثبات کونه تمام الباقی </w:t>
      </w:r>
      <w:r>
        <w:rPr>
          <w:rStyle w:val="FootnoteAnchor"/>
          <w:rtl w:val="true"/>
        </w:rPr>
        <w:footnoteReference w:id="1664"/>
      </w:r>
      <w:r>
        <w:rPr>
          <w:rFonts w:ascii="IRNazanin" w:hAnsi="IRNazanin" w:eastAsia="IRNazanin"/>
          <w:color w:val="111111"/>
          <w:sz w:val="28"/>
          <w:sz w:val="28"/>
          <w:szCs w:val="28"/>
          <w:rtl w:val="true"/>
          <w:lang w:bidi="fa-IR"/>
        </w:rPr>
        <w:t xml:space="preserve">،و هو غیر معلوم،إلاّ بعد نفی احتمال مخصّص آخر و لو بأصالة عدمه،و إلاّ فهو مجمل مردّد بین تمام الباقی </w:t>
      </w:r>
      <w:r>
        <w:rPr>
          <w:rStyle w:val="FootnoteAnchor"/>
          <w:rtl w:val="true"/>
        </w:rPr>
        <w:footnoteReference w:id="1665"/>
      </w:r>
      <w:r>
        <w:rPr>
          <w:rFonts w:ascii="IRNazanin" w:hAnsi="IRNazanin" w:eastAsia="IRNazanin"/>
          <w:color w:val="111111"/>
          <w:sz w:val="28"/>
          <w:sz w:val="28"/>
          <w:szCs w:val="28"/>
          <w:rtl w:val="true"/>
          <w:lang w:bidi="fa-IR"/>
        </w:rPr>
        <w:t>و بعضه؛لأنّ الدلیل المذکور قرینة صارفة عن العموم لا معیّنة لتمام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عدم المخصّص الآخر فی المقام غیر جاریة مع وجود المخصّص اللفظیّ،فلا ظهور له فی تمام الباقی حتّی یکون النسبة بینه و بین المخصّص اللفظی </w:t>
      </w:r>
      <w:r>
        <w:rPr>
          <w:rStyle w:val="FootnoteAnchor"/>
          <w:rtl w:val="true"/>
        </w:rPr>
        <w:footnoteReference w:id="1666"/>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قبل علاج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r>
        <w:rPr>
          <w:rStyle w:val="FootnoteAnchor"/>
          <w:rtl w:val="true"/>
        </w:rPr>
        <w:footnoteReference w:id="1667"/>
      </w:r>
      <w:r>
        <w:rPr>
          <w:rFonts w:ascii="IRNazanin" w:hAnsi="IRNazanin" w:eastAsia="IRNazanin"/>
          <w:color w:val="111111"/>
          <w:sz w:val="28"/>
          <w:sz w:val="28"/>
          <w:szCs w:val="28"/>
          <w:rtl w:val="true"/>
          <w:lang w:bidi="fa-IR"/>
        </w:rPr>
        <w:t xml:space="preserve">مانعیّته، فلا ظهور له حتّی یلاحظ النسبة بین ظاهرین؛لأنّ ظهوره یتوقّف علی </w:t>
      </w:r>
    </w:p>
    <w:p>
      <w:pPr>
        <w:pStyle w:val="BookText"/>
        <w:rPr/>
      </w:pPr>
      <w:r>
        <w:rPr>
          <w:rFonts w:ascii="IRNazanin" w:hAnsi="IRNazanin" w:eastAsia="IRNazanin"/>
          <w:color w:val="111111"/>
          <w:sz w:val="28"/>
          <w:sz w:val="28"/>
          <w:szCs w:val="28"/>
          <w:rtl w:val="true"/>
          <w:lang w:bidi="fa-IR"/>
        </w:rPr>
        <w:t xml:space="preserve">علاجه و رفع </w:t>
      </w:r>
      <w:r>
        <w:rPr>
          <w:rStyle w:val="FootnoteAnchor"/>
          <w:rtl w:val="true"/>
        </w:rPr>
        <w:footnoteReference w:id="1668"/>
      </w:r>
      <w:r>
        <w:rPr>
          <w:rFonts w:ascii="IRNazanin" w:hAnsi="IRNazanin" w:eastAsia="IRNazanin"/>
          <w:color w:val="111111"/>
          <w:sz w:val="28"/>
          <w:sz w:val="28"/>
          <w:szCs w:val="28"/>
          <w:rtl w:val="true"/>
          <w:lang w:bidi="fa-IR"/>
        </w:rPr>
        <w:t>تخصیصه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بعد علاجه و دفعه فلا دافع له،بل هو کالدلیل الخارجیّ المذکور دافع </w:t>
      </w:r>
      <w:r>
        <w:rPr>
          <w:rStyle w:val="FootnoteAnchor"/>
          <w:rtl w:val="true"/>
        </w:rPr>
        <w:footnoteReference w:id="1669"/>
      </w:r>
      <w:r>
        <w:rPr>
          <w:rFonts w:ascii="IRNazanin" w:hAnsi="IRNazanin" w:eastAsia="IRNazanin"/>
          <w:color w:val="111111"/>
          <w:sz w:val="28"/>
          <w:sz w:val="28"/>
          <w:szCs w:val="28"/>
          <w:rtl w:val="true"/>
          <w:lang w:bidi="fa-IR"/>
        </w:rPr>
        <w:t>عن مقتضی وضع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المخصّص متصلا بالعامّ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الصفة،و الشرط، و بدل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ملاحظة النسبة بین هذا الترکیب الظاهر فی تمام الباقی و بین المخصّص اللفظیّ المذکور و إن قلنا بکون العامّ المخصّص بالمتّصل مجازا،إلاّ أنّه یصیر حینئذ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ورد مخصّص منفصل آخر کان مانعا لهذا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العامّ المخصّص بالمنفصل،فإنّه لا یحکم بمجرّد وجدان مخصّص منفصل بظهوره فی تمام الباقی،إلاّ بعد إحراز عدم مخصّص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فالعامّ المخصّص بالمنفصل لا ظهور له فی المراد </w:t>
      </w:r>
      <w:r>
        <w:rPr>
          <w:rStyle w:val="FootnoteAnchor"/>
          <w:rtl w:val="true"/>
        </w:rPr>
        <w:footnoteReference w:id="1670"/>
      </w:r>
      <w:r>
        <w:rPr>
          <w:rFonts w:ascii="IRNazanin" w:hAnsi="IRNazanin" w:eastAsia="IRNazanin"/>
          <w:color w:val="111111"/>
          <w:sz w:val="28"/>
          <w:sz w:val="28"/>
          <w:szCs w:val="28"/>
          <w:rtl w:val="true"/>
          <w:lang w:bidi="fa-IR"/>
        </w:rPr>
        <w:t>منه،بل هو قبل إحراز جمیع المخصّصات مجمل مردّد بین تمام الباقی و بعضه،و بعده یتعیّن إرادة الباقی بعد جمیع ما ورد علیه من التخصیص</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المخصّص بالمتّصل،فلمّا کان ظهوره مستندا إلی وضع الکلام الترکیبیّ علی القول بکونه حقیقة،أو وضع لفظ القرینة بناء علی کون لفظ العامّ مجازا،صحّ اتّصاف الکلام بالظهور،لاحتمال إرادة خلاف ما </w:t>
      </w:r>
      <w:bookmarkStart w:id="1727" w:name="pg12985_125362"/>
    </w:p>
    <w:p>
      <w:pPr>
        <w:pStyle w:val="BookText"/>
        <w:rPr/>
      </w:pPr>
      <w:bookmarkEnd w:id="1727"/>
      <w:r>
        <w:rPr>
          <w:rFonts w:ascii="IRNazanin" w:hAnsi="IRNazanin" w:eastAsia="IRNazanin"/>
          <w:color w:val="111111"/>
          <w:sz w:val="28"/>
          <w:sz w:val="28"/>
          <w:szCs w:val="28"/>
          <w:rtl w:val="true"/>
          <w:lang w:bidi="fa-IR"/>
        </w:rPr>
        <w:t>وضع له الترکیب أو لفظ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التخصیص بالاستثناء من قبیل المتّصل؛لأنّ مجموع الکلام ظاهر فی تمام الباقی؛و لذا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إلاّ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فالنسبة عموم من وجه؛ لأنّ إخراج غیر العادل من النحویین مخالف لظاهر الکلام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العاریة ضمان إلاّ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قوّاه غیر واحد من متأخّری المتأخّرین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 الأوّل؛لأنّ دلالته بالعموم و دلالة الثانی بالإطلاق،أو یرجع إلی عمومات نفی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لما ذکره بعضهم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تخصیص العموم بالدرهم و الدینار لا ینافی تخصیصه أیضا بمطلق الذهب و الفضّة</w:t>
      </w:r>
      <w:r>
        <w:rPr>
          <w:rFonts w:eastAsia="IRNazanin" w:cs="IRNazanin"/>
          <w:color w:val="111111"/>
          <w:sz w:val="28"/>
          <w:szCs w:val="28"/>
          <w:rtl w:val="true"/>
          <w:lang w:bidi="fa-IR"/>
        </w:rPr>
        <w:t>.</w:t>
      </w:r>
    </w:p>
    <w:p>
      <w:pPr>
        <w:pStyle w:val="Heading6"/>
        <w:numPr>
          <w:ilvl w:val="5"/>
          <w:numId w:val="1"/>
        </w:numPr>
        <w:rPr/>
      </w:pPr>
      <w:bookmarkStart w:id="1728" w:name="__RefHeading___Toc5768153_3224264995"/>
      <w:bookmarkStart w:id="1729" w:name="_Toc685"/>
      <w:bookmarkEnd w:id="1728"/>
      <w:r>
        <w:rPr>
          <w:rtl w:val="true"/>
        </w:rPr>
        <w:t>کلام صاحب المسالک فی ضمان عاریة الذهب و الفضّة</w:t>
      </w:r>
      <w:r>
        <w:rPr>
          <w:rtl w:val="true"/>
        </w:rPr>
        <w:t>:</w:t>
      </w:r>
      <w:bookmarkEnd w:id="1729"/>
    </w:p>
    <w:p>
      <w:pPr>
        <w:pStyle w:val="BookText"/>
        <w:rPr/>
      </w:pPr>
      <w:r>
        <w:rPr>
          <w:rFonts w:ascii="IRNazanin" w:hAnsi="IRNazanin" w:eastAsia="IRNazanin"/>
          <w:color w:val="111111"/>
          <w:sz w:val="28"/>
          <w:sz w:val="28"/>
          <w:szCs w:val="28"/>
          <w:rtl w:val="true"/>
          <w:lang w:bidi="fa-IR"/>
        </w:rPr>
        <w:t>و ذکره صاحب المسالک،و أطال الکلام فی توضیح ذلک،فقال ما لفظه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ضمانهما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عندنا،و إنّما الخلاف فی غیرهما من الذهب و الفضّة کالحلّی المصوغة،فإنّ مقتضی </w:t>
      </w:r>
    </w:p>
    <w:p>
      <w:pPr>
        <w:pStyle w:val="BookText"/>
        <w:rPr/>
      </w:pPr>
      <w:r>
        <w:rPr>
          <w:rFonts w:ascii="IRNazanin" w:hAnsi="IRNazanin" w:eastAsia="IRNazanin"/>
          <w:color w:val="111111"/>
          <w:sz w:val="28"/>
          <w:sz w:val="28"/>
          <w:szCs w:val="28"/>
          <w:rtl w:val="true"/>
          <w:lang w:bidi="fa-IR"/>
        </w:rPr>
        <w:t xml:space="preserve">الخبر الأوّل </w:t>
      </w:r>
      <w:r>
        <w:rPr>
          <w:rStyle w:val="FootnoteAnchor"/>
          <w:rtl w:val="true"/>
        </w:rPr>
        <w:footnoteReference w:id="1673"/>
      </w:r>
      <w:r>
        <w:rPr>
          <w:rFonts w:ascii="IRNazanin" w:hAnsi="IRNazanin" w:eastAsia="IRNazanin"/>
          <w:color w:val="111111"/>
          <w:sz w:val="28"/>
          <w:sz w:val="28"/>
          <w:szCs w:val="28"/>
          <w:rtl w:val="true"/>
          <w:lang w:bidi="fa-IR"/>
        </w:rPr>
        <w:t xml:space="preserve">و نحوه دخولها،و مقتضی تخصیص الثانی </w:t>
      </w:r>
      <w:r>
        <w:rPr>
          <w:rStyle w:val="FootnoteAnchor"/>
          <w:rtl w:val="true"/>
        </w:rPr>
        <w:footnoteReference w:id="1674"/>
      </w:r>
      <w:r>
        <w:rPr>
          <w:rFonts w:ascii="IRNazanin" w:hAnsi="IRNazanin" w:eastAsia="IRNazanin"/>
          <w:color w:val="111111"/>
          <w:sz w:val="28"/>
          <w:sz w:val="28"/>
          <w:szCs w:val="28"/>
          <w:rtl w:val="true"/>
          <w:lang w:bidi="fa-IR"/>
        </w:rPr>
        <w:t>بالدراهم و الدنانیر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الأصحاب </w:t>
      </w:r>
      <w:r>
        <w:rPr>
          <w:rStyle w:val="FootnoteAnchor"/>
          <w:rtl w:val="true"/>
        </w:rPr>
        <w:footnoteReference w:id="1675"/>
      </w:r>
      <w:r>
        <w:rPr>
          <w:rFonts w:ascii="IRNazanin" w:hAnsi="IRNazanin" w:eastAsia="IRNazanin"/>
          <w:color w:val="111111"/>
          <w:sz w:val="28"/>
          <w:sz w:val="28"/>
          <w:szCs w:val="28"/>
          <w:rtl w:val="true"/>
          <w:lang w:bidi="fa-IR"/>
        </w:rPr>
        <w:t>من نظر إلی أنّ الذهب و الفضّة مخصّصان من عدم الضمان مطلقا،و لا منافاة بینهما و بین الدراهم و الدنانیر؛لأنّهما بعض أفرادهما،و یستثنی الجمیع،و یثبت الضمان فی مطلق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676"/>
      </w:r>
      <w:r>
        <w:rPr>
          <w:rFonts w:ascii="IRNazanin" w:hAnsi="IRNazanin" w:eastAsia="IRNazanin"/>
          <w:color w:val="111111"/>
          <w:sz w:val="28"/>
          <w:sz w:val="28"/>
          <w:szCs w:val="28"/>
          <w:rtl w:val="true"/>
          <w:lang w:bidi="fa-IR"/>
        </w:rPr>
        <w:t xml:space="preserve">من التفت إلی أنّ الذهب و الفضّة مطلقان أو عامّان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إفادة الجنس المعرّف العموم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الدراهم و الدنانیر مقیّدان أو مخصّصان،فیجمع بین النصوص بحمل المطلق علی المقیّد أو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ذلک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نصوصا علی ثلاثة أضرب</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عدم الضمان من غیر تقیید،کصحیحة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مستعیر عاریة ضمان،و صاحب العاریة </w:t>
      </w:r>
    </w:p>
    <w:p>
      <w:pPr>
        <w:pStyle w:val="BookText"/>
        <w:rPr/>
      </w:pPr>
      <w:r>
        <w:rPr>
          <w:rFonts w:ascii="IRNazanin" w:hAnsi="IRNazanin" w:eastAsia="IRNazanin"/>
          <w:color w:val="111111"/>
          <w:sz w:val="28"/>
          <w:sz w:val="28"/>
          <w:szCs w:val="28"/>
          <w:rtl w:val="true"/>
          <w:lang w:bidi="fa-IR"/>
        </w:rPr>
        <w:t>و الودیعة مؤتمن</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،و قریب منها صحیحة محمّد بن مسلم عن الباقر علیه السّلام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الجمع،فإخراج الدراهم و الدنانیر لازم؛ لخروجهما علی الوجهین الأخیرین،فإذا خرجا من العموم بقی العموم فی ما عداهما بحاله،و قد عارضه التخصیص بمطلق الجنسین،فلا بدّ من الجمع بینهما بحمل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الدراهم و الدنانیر أخصّ من الذهب و الفضّة وجب تخصیصهما بهما عملا بالقاعدة،فلا تبقی المعارضة إلاّ بین العامّ الأوّل و الخاصّ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کلاّ منهما مخصّص لذلک العامّ؛لأنّ کلاّ منهما مستثنی،و لیس هنا إلاّ أنّ أحد المخصّصین أعمّ من الآخر مطلقا،و ذلک غیر مانع،فیخصّ العامّ الأوّل بکلّ منهما أو یقیّد مطلقه،لا أنّ أحدهما یخصّص بالآخر؛لعدم المنافاة بین إخراج الذهب و الفضّة فی لفظ، و الدراهم و الدنانیر فی لفظ،حتّی یوجب الجمع بینهما بالتخصیص أو التقیید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العمل بالخبرین الأخصّین لا یمکن؛لأنّ أحدهما لم یخصّ إلاّ الدنانیر و أبقی الباقی علی حکم عدم الضمان صریحا،و الآخر لم یستثن إلاّ الدراهم و أبقی الباقی علی حکم عدم الضمان کذلک،فدلالتهما </w:t>
      </w:r>
    </w:p>
    <w:p>
      <w:pPr>
        <w:pStyle w:val="BookText"/>
        <w:rPr/>
      </w:pPr>
      <w:r>
        <w:rPr>
          <w:rFonts w:ascii="IRNazanin" w:hAnsi="IRNazanin" w:eastAsia="IRNazanin"/>
          <w:color w:val="111111"/>
          <w:sz w:val="28"/>
          <w:sz w:val="28"/>
          <w:szCs w:val="28"/>
          <w:rtl w:val="true"/>
          <w:lang w:bidi="fa-IR"/>
        </w:rPr>
        <w:t>قاصرة،و العمل بظاهر کلّ منهما لم یقل به أحد،بخلاف الخبر المخصّص بالذهب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إنّما جعلناه بهما معا،لا بکلّ واحد منهما، فلا یضرّ عدم دلالة أحدهما علی الحکم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أیضا لا یمنع قصور کلّ واحد من </w:t>
      </w:r>
      <w:r>
        <w:rPr>
          <w:rStyle w:val="FootnoteAnchor"/>
          <w:rtl w:val="true"/>
        </w:rPr>
        <w:footnoteReference w:id="1679"/>
      </w:r>
      <w:r>
        <w:rPr>
          <w:rFonts w:ascii="IRNazanin" w:hAnsi="IRNazanin" w:eastAsia="IRNazanin"/>
          <w:color w:val="111111"/>
          <w:sz w:val="28"/>
          <w:sz w:val="28"/>
          <w:szCs w:val="28"/>
          <w:rtl w:val="true"/>
          <w:lang w:bidi="fa-IR"/>
        </w:rPr>
        <w:t>الدلالة؛لأنّ کلّ واحد مع قطع النظر عن صاحبه قاصر،و قد وقعا فی وقتین فی حالتین مختلفتین،فظهر أنّ إرادة الحصر من کلّ منهما غیر مقصود،و إنّما المستثنی فیهما من جملة الأفراد المستثناة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المستثنی مجموع ما استفید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یخرجان عن القصور فی الدلالة علی المطلوب؛إذ لا یعلم منهما إلاّ أنّ الاستثناء لیس مقصورا علی ما ذکر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الدراهم و الدنانیر خاصّة ینافی إخراج جملة الذهب و الفضّة،فلا بدّ من الجمع بینهما بحمل الذهب و الفضّة علی الدراهم و الدنانیر،کما یجب الجمع بین عدم الضمان لمطلق العاریة و الضمان لهذین النوعین؛لتحقّق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المنافاة بین الأمرین؛فإنّ استثناء الدراهم و الدنانیر اقتضی بقاء العموم فی حکم عدم الضمان فی ما عداهما،و قد عارضه الاستثناء الآخر،فوجب تخصیصه به أیضا،فلا وجه لتخصیص أحد المخصّصین بالآخر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حمل العامّ علی الخاصّ استعمال مجازیّ،و إبقاءه علی </w:t>
      </w:r>
      <w:bookmarkStart w:id="1730" w:name="pg12985_125366"/>
    </w:p>
    <w:p>
      <w:pPr>
        <w:pStyle w:val="BookText"/>
        <w:rPr/>
      </w:pPr>
      <w:bookmarkEnd w:id="1730"/>
      <w:r>
        <w:rPr>
          <w:rFonts w:ascii="IRNazanin" w:hAnsi="IRNazanin" w:eastAsia="IRNazanin"/>
          <w:color w:val="111111"/>
          <w:sz w:val="28"/>
          <w:sz w:val="28"/>
          <w:szCs w:val="28"/>
          <w:rtl w:val="true"/>
          <w:lang w:bidi="fa-IR"/>
        </w:rPr>
        <w:t>عمومه حقیقة،و لا یجوز العدول إلی المجاز مع إمکان الاستعمال علی وجه الحقیقة،و هو هنا ممکن فی عموم الذهب و الفضّة فیتعیّن،و إنّما صرنا إلی التخصیص فی الأوّل لتعیّنه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التخصیص یوجب المجاز وجب تقلیله ما أمکن؛لأنّ کلّ فرد یخرج یوجب زیادة المجاز فی الاستعمال،حیث کان حقّه أن یطلق علی جمیع الأفراد،و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تعارض هنا مجازان،أحدهما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تخصیص الذهب و الفضّة بالدنانیر و الدراهم،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تخصیص العامّ الأوّل بمطلق الذهب و الفضّة علی تقدیر عدم تخصیصهما بالدنانیر و الدراهم،فترجیح أحد المجازین علی الآخر ترجیح من غیر مرجّح،بل یمکن ترجیح تخصیص الذهب و الفضّة؛لأنّ فیه مراعاة قوانین التعارض بینه و بین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التعارض بین الأمرین؛لأنّ استعمال العامّ الأوّل علی وجه المجاز حاصل علی کلّ تقدیر إجماعا،و زیادة التجوّز فی الاستعمال لا یعارض به أصل التجوّز فی المعنی الآخر،فإنّ إبقاء الذهب و الفضّة علی عمومهما استعمال حقیقیّ،فکیف یکافیه مجرّد تقلیل التجوّز مع ثبوت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بطلان الترجیح بغیر مرجّح؛ لأنّ المرجّح حاصل فی جانب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یقتضیه الحال من الکلام علی هذین الوجهین،و بقی فیه مواضع تحتاج إلی تنقیح </w:t>
      </w:r>
      <w:r>
        <w:rPr>
          <w:rStyle w:val="FootnoteAnchor"/>
          <w:rtl w:val="true"/>
        </w:rPr>
        <w:footnoteReference w:id="16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31" w:name="__RefHeading___Toc5768155_3224264995"/>
      <w:bookmarkStart w:id="1732" w:name="_Toc686"/>
      <w:bookmarkEnd w:id="1731"/>
      <w:r>
        <w:rPr>
          <w:rtl w:val="true"/>
        </w:rPr>
        <w:t>نظریّة المصنّف فی الجمع بین الأدلّة الواردة فی ضمان العاریة</w:t>
      </w:r>
      <w:bookmarkEnd w:id="173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یقتضیه النظر،أنّ النسبة بین روایتی الدراهم </w:t>
      </w:r>
      <w:bookmarkStart w:id="1733" w:name="pg12985_125367"/>
    </w:p>
    <w:p>
      <w:pPr>
        <w:pStyle w:val="BookText"/>
        <w:rPr/>
      </w:pPr>
      <w:bookmarkEnd w:id="1733"/>
      <w:r>
        <w:rPr>
          <w:rFonts w:ascii="IRNazanin" w:hAnsi="IRNazanin" w:eastAsia="IRNazanin"/>
          <w:color w:val="111111"/>
          <w:sz w:val="28"/>
          <w:sz w:val="28"/>
          <w:szCs w:val="28"/>
          <w:rtl w:val="true"/>
          <w:lang w:bidi="fa-IR"/>
        </w:rPr>
        <w:t>و الدنانیر بعد جعلهما کروایة واحدة،و بین ما دلّ علی استثناء الذهب و الفضّة،من قبیل العموم من وجه؛لأنّ التعارض بین العقد السلبیّ من الاولی و العقد الإیجابیّ من الثانیة،إلاّ أنّ الأوّل عامّ و الثانی مطلق، و التقیید أولی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الأمر بین رفع الید عن ظاهر الحصر فی الدرهم و الدینار،و رفع الید عن إطلاق الذهب و الفضّة،و تقییدهما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الحصر فی کلّ من روایتی الدرهم و الدینار موهون؛من حیث اختصاصهما بأحدهما،فیجب إخراج الآخر من عمومه،فإنّ ذلک یوجب الوهن فی الحصر و إن لم یکن الأمر کذلک فی مطلق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أنّ تقیید الذهب و الفضّة بالنقدین مع غلبة استعارة المصوغ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مواضع ممّا ذکره صاحب المسالک فی تحریر وجهی المسألة</w:t>
      </w:r>
      <w:r>
        <w:rPr>
          <w:rFonts w:eastAsia="IRNazanin" w:cs="IRNazanin"/>
          <w:color w:val="111111"/>
          <w:sz w:val="28"/>
          <w:szCs w:val="28"/>
          <w:rtl w:val="true"/>
          <w:lang w:bidi="fa-IR"/>
        </w:rPr>
        <w:t>.</w:t>
      </w:r>
    </w:p>
    <w:p>
      <w:pPr>
        <w:pStyle w:val="Heading6"/>
        <w:numPr>
          <w:ilvl w:val="5"/>
          <w:numId w:val="1"/>
        </w:numPr>
        <w:rPr/>
      </w:pPr>
      <w:bookmarkStart w:id="1734" w:name="__RefHeading___Toc5768157_3224264995"/>
      <w:bookmarkStart w:id="1735" w:name="_Toc687"/>
      <w:bookmarkEnd w:id="1734"/>
      <w:r>
        <w:rPr>
          <w:rtl w:val="true"/>
        </w:rPr>
        <w:t>إذا کانت النسبة بین المتعارضات مختلفة</w:t>
      </w:r>
      <w:r>
        <w:rPr>
          <w:rtl w:val="true"/>
        </w:rPr>
        <w:t>:</w:t>
      </w:r>
      <w:bookmarkEnd w:id="1735"/>
    </w:p>
    <w:p>
      <w:pPr>
        <w:pStyle w:val="BookText"/>
        <w:rPr/>
      </w:pPr>
      <w:r>
        <w:rPr>
          <w:rFonts w:ascii="IRNazanin" w:hAnsi="IRNazanin" w:eastAsia="IRNazanin"/>
          <w:color w:val="111111"/>
          <w:sz w:val="28"/>
          <w:sz w:val="28"/>
          <w:szCs w:val="28"/>
          <w:rtl w:val="true"/>
          <w:lang w:bidi="fa-IR"/>
        </w:rPr>
        <w:t>و إن کانت النسبة بین المتعارضات مختلفة،فإن کان فیها ما یقدّم علی بعض آخر منها،إمّا لأجل الدلالة کما فی النصّ و الظاهر أو الظاهر و الأظهر،و إمّا لأجل مرجّح آخر،قدّم ما حقّه التقدیم،ثمّ لوحظ النسبة مع باقی المعارضات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تنقلب النسبة و قد یحدث الترجیح،کما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إذا خصّ العلماء بعدولهم یصیر أخصّ مطلقا من العدول،فیخصّص العدول بغیر علمائهم،و السرّ فی ذلک واضح؛إذ لو لا الترتیب فی العلاج لزم إلغاء </w:t>
      </w:r>
    </w:p>
    <w:p>
      <w:pPr>
        <w:pStyle w:val="BookText"/>
        <w:rPr/>
      </w:pPr>
      <w:r>
        <w:rPr>
          <w:rFonts w:ascii="Amiri" w:hAnsi="Amiri" w:eastAsia="Amiri" w:cs="Amiri"/>
          <w:color w:val="111111"/>
          <w:sz w:val="28"/>
          <w:sz w:val="28"/>
          <w:szCs w:val="28"/>
          <w:rtl w:val="true"/>
          <w:lang w:bidi="ar-SA"/>
        </w:rPr>
        <w:t xml:space="preserve">النصّ أو طرح </w:t>
      </w:r>
      <w:r>
        <w:rPr>
          <w:rStyle w:val="FootnoteAnchor"/>
          <w:rtl w:val="true"/>
        </w:rPr>
        <w:footnoteReference w:id="1681"/>
      </w:r>
      <w:r>
        <w:rPr>
          <w:rFonts w:ascii="IRNazanin" w:hAnsi="IRNazanin" w:eastAsia="IRNazanin"/>
          <w:color w:val="111111"/>
          <w:sz w:val="28"/>
          <w:sz w:val="28"/>
          <w:szCs w:val="28"/>
          <w:rtl w:val="true"/>
          <w:lang w:bidi="fa-IR"/>
        </w:rPr>
        <w:t>الظاهر المنافی له رأسا،و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تنقلب </w:t>
      </w:r>
      <w:r>
        <w:rPr>
          <w:rStyle w:val="FootnoteAnchor"/>
          <w:rtl w:val="true"/>
        </w:rPr>
        <w:footnoteReference w:id="1682"/>
      </w:r>
      <w:r>
        <w:rPr>
          <w:rFonts w:ascii="IRNazanin" w:hAnsi="IRNazanin" w:eastAsia="IRNazanin"/>
          <w:color w:val="111111"/>
          <w:sz w:val="28"/>
          <w:sz w:val="28"/>
          <w:szCs w:val="28"/>
          <w:rtl w:val="true"/>
          <w:lang w:bidi="fa-IR"/>
        </w:rPr>
        <w:t xml:space="preserve">النسبة فیحدث الترجیح فی المتعارضات بنسبة واحدة </w:t>
      </w:r>
      <w:r>
        <w:rPr>
          <w:rStyle w:val="FootnoteAnchor"/>
          <w:rtl w:val="true"/>
        </w:rPr>
        <w:footnoteReference w:id="1683"/>
      </w:r>
      <w:r>
        <w:rPr>
          <w:rFonts w:ascii="IRNazanin" w:hAnsi="IRNazanin" w:eastAsia="IRNazanin"/>
          <w:color w:val="111111"/>
          <w:sz w:val="28"/>
          <w:sz w:val="28"/>
          <w:szCs w:val="28"/>
          <w:rtl w:val="true"/>
          <w:lang w:bidi="fa-IR"/>
        </w:rPr>
        <w:t xml:space="preserve">،کما </w:t>
      </w:r>
      <w:r>
        <w:rPr>
          <w:rStyle w:val="FootnoteAnchor"/>
          <w:rtl w:val="true"/>
        </w:rPr>
        <w:footnoteReference w:id="1684"/>
      </w:r>
      <w:r>
        <w:rPr>
          <w:rFonts w:ascii="IRNazanin" w:hAnsi="IRNazanin" w:eastAsia="IRNazanin"/>
          <w:color w:val="111111"/>
          <w:sz w:val="28"/>
          <w:sz w:val="28"/>
          <w:szCs w:val="28"/>
          <w:rtl w:val="true"/>
          <w:lang w:bidi="fa-IR"/>
        </w:rPr>
        <w:t>لو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فرضنا أنّ الفسّاق أکثر فردا من العلماء خصّ بغیر العلماء،فیخرج العالم الفاسق عن الحرمة،و یبقی الفرد الشاعر من العلماء الفسّاق </w:t>
      </w:r>
      <w:r>
        <w:rPr>
          <w:rStyle w:val="FootnoteAnchor"/>
          <w:rtl w:val="true"/>
        </w:rPr>
        <w:footnoteReference w:id="1685"/>
      </w:r>
      <w:r>
        <w:rPr>
          <w:rFonts w:ascii="IRNazanin" w:hAnsi="IRNazanin" w:eastAsia="IRNazanin"/>
          <w:color w:val="111111"/>
          <w:sz w:val="28"/>
          <w:sz w:val="28"/>
          <w:szCs w:val="28"/>
          <w:rtl w:val="true"/>
          <w:lang w:bidi="fa-IR"/>
        </w:rPr>
        <w:t>مردّدا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فرض أنّ الفسّاق بعد إخراج العلماء أقلّ فردا من الشعراء خصّ الشعراء به </w:t>
      </w:r>
      <w:r>
        <w:rPr>
          <w:rStyle w:val="FootnoteAnchor"/>
          <w:rtl w:val="true"/>
        </w:rPr>
        <w:footnoteReference w:id="1686"/>
      </w:r>
      <w:r>
        <w:rPr>
          <w:rFonts w:ascii="IRNazanin" w:hAnsi="IRNazanin" w:eastAsia="IRNazanin"/>
          <w:color w:val="111111"/>
          <w:sz w:val="28"/>
          <w:sz w:val="28"/>
          <w:szCs w:val="28"/>
          <w:rtl w:val="true"/>
          <w:lang w:bidi="fa-IR"/>
        </w:rPr>
        <w:t>،فالفاسق الشاعر غیر مستحبّ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صیرورة الشعراء بعد التخصیص بالفسّاق أقلّ موردا من العلماء خصّ دلیل العلماء بدلیله،فیحکم بأنّ مادّة الاجتماع بین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العالم الشاعر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صورة وجود المرجّح من غیر جهة الدلالة لبعضها علی بعض</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إطالة الکلام فی ذلک التنبیه علی وجوب التأمّل فی علاج الدلالة عند التعارض؛لأنّا قد عثرنا فی کتب الاستدلال علی بعض الزلاّت،و اللّه مقیل العثرات</w:t>
      </w:r>
      <w:r>
        <w:rPr>
          <w:rFonts w:eastAsia="IRNazanin" w:cs="IRNazanin"/>
          <w:color w:val="111111"/>
          <w:sz w:val="28"/>
          <w:szCs w:val="28"/>
          <w:rtl w:val="true"/>
          <w:lang w:bidi="fa-IR"/>
        </w:rPr>
        <w:t xml:space="preserve">. </w:t>
      </w:r>
      <w:bookmarkStart w:id="1736" w:name="pg12985_125369"/>
    </w:p>
    <w:p>
      <w:pPr>
        <w:pStyle w:val="Heading6"/>
        <w:numPr>
          <w:ilvl w:val="5"/>
          <w:numId w:val="1"/>
        </w:numPr>
        <w:rPr/>
      </w:pPr>
      <w:bookmarkStart w:id="1737" w:name="__RefHeading___Toc5768159_3224264995"/>
      <w:bookmarkStart w:id="1738" w:name="_Toc688"/>
      <w:bookmarkEnd w:id="1736"/>
      <w:bookmarkEnd w:id="1737"/>
      <w:r>
        <w:rPr>
          <w:rtl w:val="true"/>
        </w:rPr>
        <w:t>المرجّحات الاخری</w:t>
      </w:r>
      <w:bookmarkEnd w:id="1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الاخری</w:t>
      </w:r>
      <w:r>
        <w:rPr>
          <w:rFonts w:eastAsia="IRNazanin" w:cs="IRNazanin"/>
          <w:color w:val="111111"/>
          <w:sz w:val="28"/>
          <w:szCs w:val="28"/>
          <w:rtl w:val="true"/>
          <w:lang w:bidi="fa-IR"/>
        </w:rPr>
        <w:t xml:space="preserve">] </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غیر 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فرغنا عن بعض الکلام فی المرجّحات من حیث الدلالة التی هی مقدّمة علی غیرها،فلنشرع فی مرجّحات الروایة من الجهات الأخر،فنقول و من اللّه التوفیق للاهتداء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688"/>
      </w:r>
      <w:r>
        <w:rPr>
          <w:rFonts w:ascii="IRNazanin" w:hAnsi="IRNazanin" w:eastAsia="IRNazanin"/>
          <w:color w:val="111111"/>
          <w:sz w:val="28"/>
          <w:sz w:val="28"/>
          <w:szCs w:val="28"/>
          <w:rtl w:val="true"/>
          <w:lang w:bidi="fa-IR"/>
        </w:rPr>
        <w:t>أنّ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حیث الصدور؛بمعنی جعل صدور أحد الخبرین أقرب من صدور غیره،بحیث لو دار الأمر بین الحکم بصدوره و صدور غیره لحکمنا بصدوره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هذا المرجّح قد یکون فی السند کأعدلیّة الراوی،و قد یکون فی المتن ککونه أفصح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أن یکون من حیث جهة الصدور،فإنّ صدور الروایة قد یکون لجهة بیان الحکم الواقعی،و قد یکون لبیان خلافه؛لتقیّة أو غیرها من مصالح إظهار خلاف الواقع،فیکون أحدهما بحسب المرجّح أقرب إلی الصدور لأجل بیان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حیث المضمون،بأن یکون مضمون أحدهما أقرب فی النظر إلی الواقع</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تقسیم الاصولیّین المرجّحات إلی السندیّة و المتنیّة،فهو </w:t>
      </w:r>
      <w:bookmarkStart w:id="1739" w:name="pg12985_125370"/>
    </w:p>
    <w:p>
      <w:pPr>
        <w:pStyle w:val="BookText"/>
        <w:rPr/>
      </w:pPr>
      <w:bookmarkEnd w:id="1739"/>
      <w:r>
        <w:rPr>
          <w:rFonts w:ascii="IRNazanin" w:hAnsi="IRNazanin" w:eastAsia="IRNazanin"/>
          <w:color w:val="111111"/>
          <w:sz w:val="28"/>
          <w:sz w:val="28"/>
          <w:szCs w:val="28"/>
          <w:rtl w:val="true"/>
          <w:lang w:bidi="fa-IR"/>
        </w:rPr>
        <w:t xml:space="preserve">باعتبار مورد المرجّح،لا باعتبار مورد </w:t>
      </w:r>
      <w:r>
        <w:rPr>
          <w:rStyle w:val="FootnoteAnchor"/>
          <w:rtl w:val="true"/>
        </w:rPr>
        <w:footnoteReference w:id="1690"/>
      </w:r>
      <w:r>
        <w:rPr>
          <w:rFonts w:ascii="IRNazanin" w:hAnsi="IRNazanin" w:eastAsia="IRNazanin"/>
          <w:color w:val="111111"/>
          <w:sz w:val="28"/>
          <w:sz w:val="28"/>
          <w:szCs w:val="28"/>
          <w:rtl w:val="true"/>
          <w:lang w:bidi="fa-IR"/>
        </w:rPr>
        <w:t>الرجحان،و لذا یذکرون فی المرجّحات المتنیّة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الفصیح،و الأفصح،و النقل باللفظ و المعنی،بل یذکرون المنطوق و المفهوم،و الخصوص و العموم،و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إن شاء اللّه تعالی نبذا من القسمین؛لأنّ استیفاء الجمیع تطویل لا حاجة إلیه بعد معرفة أنّ المناط کون أحدهما أقرب من حیث الصدور عن الإمام علیه السّلام لبیان الحکم الواقعیّ</w:t>
      </w:r>
      <w:r>
        <w:rPr>
          <w:rFonts w:eastAsia="IRNazanin" w:cs="IRNazanin"/>
          <w:color w:val="111111"/>
          <w:sz w:val="28"/>
          <w:szCs w:val="28"/>
          <w:rtl w:val="true"/>
          <w:lang w:bidi="fa-IR"/>
        </w:rPr>
        <w:t>.</w:t>
      </w:r>
    </w:p>
    <w:p>
      <w:pPr>
        <w:pStyle w:val="Heading6"/>
        <w:numPr>
          <w:ilvl w:val="5"/>
          <w:numId w:val="1"/>
        </w:numPr>
        <w:rPr/>
      </w:pPr>
      <w:bookmarkStart w:id="1740" w:name="__RefHeading___Toc5768161_3224264995"/>
      <w:bookmarkStart w:id="1741" w:name="_Toc689"/>
      <w:bookmarkEnd w:id="1740"/>
      <w:r>
        <w:rPr>
          <w:rtl w:val="true"/>
        </w:rPr>
        <w:t>المرجّحات السندیّة</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السندیّة</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أمّا الترجیح بالسند،فبأمور</w:t>
      </w:r>
      <w:r>
        <w:rPr>
          <w:rFonts w:eastAsia="IRNazanin" w:cs="IRNazanin"/>
          <w:color w:val="111111"/>
          <w:sz w:val="28"/>
          <w:szCs w:val="28"/>
          <w:rtl w:val="true"/>
          <w:lang w:bidi="fa-IR"/>
        </w:rPr>
        <w:t>:</w:t>
      </w:r>
    </w:p>
    <w:p>
      <w:pPr>
        <w:pStyle w:val="Heading6"/>
        <w:numPr>
          <w:ilvl w:val="5"/>
          <w:numId w:val="1"/>
        </w:numPr>
        <w:rPr/>
      </w:pPr>
      <w:bookmarkStart w:id="1742" w:name="__RefHeading___Toc5768163_3224264995"/>
      <w:bookmarkStart w:id="1743" w:name="_Toc690"/>
      <w:bookmarkEnd w:id="1742"/>
      <w:r>
        <w:rPr/>
        <w:t>1</w:t>
      </w:r>
      <w:r>
        <w:rPr>
          <w:rtl w:val="true"/>
        </w:rPr>
        <w:t>-</w:t>
      </w:r>
      <w:r>
        <w:rPr>
          <w:rtl w:val="true"/>
        </w:rPr>
        <w:t>العدالة</w:t>
      </w:r>
      <w:r>
        <w:rPr>
          <w:rtl w:val="true"/>
        </w:rPr>
        <w:t>:</w:t>
      </w:r>
      <w:bookmarkEnd w:id="174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أحد الراویین عدلا و الآخر غیر عدل مع کونه مقبول الروایة من حیث کونه متحرّزا عن الکذب</w:t>
      </w:r>
      <w:r>
        <w:rPr>
          <w:rFonts w:eastAsia="IRNazanin" w:cs="IRNazanin"/>
          <w:color w:val="111111"/>
          <w:sz w:val="28"/>
          <w:szCs w:val="28"/>
          <w:rtl w:val="true"/>
          <w:lang w:bidi="fa-IR"/>
        </w:rPr>
        <w:t>.</w:t>
      </w:r>
    </w:p>
    <w:p>
      <w:pPr>
        <w:pStyle w:val="Heading6"/>
        <w:numPr>
          <w:ilvl w:val="5"/>
          <w:numId w:val="1"/>
        </w:numPr>
        <w:rPr/>
      </w:pPr>
      <w:bookmarkStart w:id="1744" w:name="__RefHeading___Toc5768165_3224264995"/>
      <w:bookmarkStart w:id="1745" w:name="_Toc691"/>
      <w:bookmarkEnd w:id="1744"/>
      <w:r>
        <w:rPr/>
        <w:t>2</w:t>
      </w:r>
      <w:r>
        <w:rPr>
          <w:rtl w:val="true"/>
        </w:rPr>
        <w:t>-</w:t>
      </w:r>
      <w:r>
        <w:rPr>
          <w:rtl w:val="true"/>
        </w:rPr>
        <w:t>الأعدلیّة</w:t>
      </w:r>
      <w:r>
        <w:rPr>
          <w:rtl w:val="true"/>
        </w:rPr>
        <w:t>:</w:t>
      </w:r>
      <w:bookmarkEnd w:id="174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الأعدلیّة إمّا بالنصّ علیها،و إمّا بذکر فضائل فیه لم تذکر فی الآخر</w:t>
      </w:r>
      <w:r>
        <w:rPr>
          <w:rFonts w:eastAsia="IRNazanin" w:cs="IRNazanin"/>
          <w:color w:val="111111"/>
          <w:sz w:val="28"/>
          <w:szCs w:val="28"/>
          <w:rtl w:val="true"/>
          <w:lang w:bidi="fa-IR"/>
        </w:rPr>
        <w:t>.</w:t>
      </w:r>
    </w:p>
    <w:p>
      <w:pPr>
        <w:pStyle w:val="Heading6"/>
        <w:numPr>
          <w:ilvl w:val="5"/>
          <w:numId w:val="1"/>
        </w:numPr>
        <w:rPr/>
      </w:pPr>
      <w:bookmarkStart w:id="1746" w:name="__RefHeading___Toc5768167_3224264995"/>
      <w:bookmarkStart w:id="1747" w:name="_Toc692"/>
      <w:bookmarkEnd w:id="1746"/>
      <w:r>
        <w:rPr/>
        <w:t>3</w:t>
      </w:r>
      <w:r>
        <w:rPr>
          <w:rtl w:val="true"/>
        </w:rPr>
        <w:t>-</w:t>
      </w:r>
      <w:r>
        <w:rPr>
          <w:rtl w:val="true"/>
        </w:rPr>
        <w:t>الأصدقیّة</w:t>
      </w:r>
      <w:r>
        <w:rPr>
          <w:rtl w:val="true"/>
        </w:rPr>
        <w:t>:</w:t>
      </w:r>
      <w:bookmarkEnd w:id="174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أصدق مع عدالة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 فی ذلک کونه أضبط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الترجیح بهذه الامور،أن یکون طریق ثبوت مناط القبول فی أحدهما أوضح من الآخر و أقرب إلی الواقع؛من جهة تعدّد </w:t>
      </w:r>
      <w:bookmarkStart w:id="1748" w:name="pg12985_125371"/>
    </w:p>
    <w:p>
      <w:pPr>
        <w:pStyle w:val="BookText"/>
        <w:rPr/>
      </w:pPr>
      <w:bookmarkEnd w:id="1748"/>
      <w:r>
        <w:rPr>
          <w:rFonts w:ascii="IRNazanin" w:hAnsi="IRNazanin" w:eastAsia="IRNazanin"/>
          <w:color w:val="111111"/>
          <w:sz w:val="28"/>
          <w:sz w:val="28"/>
          <w:szCs w:val="28"/>
          <w:rtl w:val="true"/>
          <w:lang w:bidi="fa-IR"/>
        </w:rPr>
        <w:t>المزکّی أو رجحان أحد المزکّیین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التباس اسم المزکّی بغیره من المجروحین،و ضعف ما یمیّز المشترک به</w:t>
      </w:r>
      <w:r>
        <w:rPr>
          <w:rFonts w:eastAsia="IRNazanin" w:cs="IRNazanin"/>
          <w:color w:val="111111"/>
          <w:sz w:val="28"/>
          <w:szCs w:val="28"/>
          <w:rtl w:val="true"/>
          <w:lang w:bidi="fa-IR"/>
        </w:rPr>
        <w:t>.</w:t>
      </w:r>
    </w:p>
    <w:p>
      <w:pPr>
        <w:pStyle w:val="Heading6"/>
        <w:numPr>
          <w:ilvl w:val="5"/>
          <w:numId w:val="1"/>
        </w:numPr>
        <w:rPr/>
      </w:pPr>
      <w:bookmarkStart w:id="1749" w:name="__RefHeading___Toc5768169_3224264995"/>
      <w:bookmarkStart w:id="1750" w:name="_Toc693"/>
      <w:bookmarkEnd w:id="1749"/>
      <w:r>
        <w:rPr/>
        <w:t>4</w:t>
      </w:r>
      <w:r>
        <w:rPr>
          <w:rtl w:val="true"/>
        </w:rPr>
        <w:t>-</w:t>
      </w:r>
      <w:r>
        <w:rPr>
          <w:rtl w:val="true"/>
        </w:rPr>
        <w:t>علوّ الإسناد</w:t>
      </w:r>
      <w:r>
        <w:rPr>
          <w:rtl w:val="true"/>
        </w:rPr>
        <w:t>:</w:t>
      </w:r>
      <w:bookmarkEnd w:id="175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الإسناد؛لأنّه کلّما قلّت الواسطة کان احتمال الکذب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یعارض </w:t>
      </w:r>
      <w:r>
        <w:rPr>
          <w:rStyle w:val="FootnoteAnchor"/>
          <w:rtl w:val="true"/>
        </w:rPr>
        <w:footnoteReference w:id="1693"/>
      </w:r>
      <w:r>
        <w:rPr>
          <w:rFonts w:ascii="IRNazanin" w:hAnsi="IRNazanin" w:eastAsia="IRNazanin"/>
          <w:color w:val="111111"/>
          <w:sz w:val="28"/>
          <w:sz w:val="28"/>
          <w:szCs w:val="28"/>
          <w:rtl w:val="true"/>
          <w:lang w:bidi="fa-IR"/>
        </w:rPr>
        <w:t>فی بعض الموارد بندرة ذلک،و استبعاد الإسناد لتباعد أزمنة الرواة،فیکون مظنّة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 علی نظر المجتهد</w:t>
      </w:r>
      <w:r>
        <w:rPr>
          <w:rFonts w:eastAsia="IRNazanin" w:cs="IRNazanin"/>
          <w:color w:val="111111"/>
          <w:sz w:val="28"/>
          <w:szCs w:val="28"/>
          <w:rtl w:val="true"/>
          <w:lang w:bidi="fa-IR"/>
        </w:rPr>
        <w:t>.</w:t>
      </w:r>
    </w:p>
    <w:p>
      <w:pPr>
        <w:pStyle w:val="Heading6"/>
        <w:numPr>
          <w:ilvl w:val="5"/>
          <w:numId w:val="1"/>
        </w:numPr>
        <w:rPr/>
      </w:pPr>
      <w:bookmarkStart w:id="1751" w:name="__RefHeading___Toc5768171_3224264995"/>
      <w:bookmarkStart w:id="1752" w:name="_Toc694"/>
      <w:bookmarkEnd w:id="1751"/>
      <w:r>
        <w:rPr/>
        <w:t>5</w:t>
      </w:r>
      <w:r>
        <w:rPr>
          <w:rtl w:val="true"/>
        </w:rPr>
        <w:t>-</w:t>
      </w:r>
      <w:r>
        <w:rPr>
          <w:rtl w:val="true"/>
        </w:rPr>
        <w:t>المسندیّة</w:t>
      </w:r>
      <w:r>
        <w:rPr>
          <w:rtl w:val="true"/>
        </w:rPr>
        <w:t>:</w:t>
      </w:r>
      <w:bookmarkEnd w:id="175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أحد الراویین فیحذف الواسطة و یسند الآخر روایته؛فإنّ المحذوف یحتمل أن یکون توثیق المرسل له معارضا بجرح جارح،و هذا الاحتمال منفیّ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کان المرسل ممّن تقبل مراسیله،و إلاّ فلا یعارض المسند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الشیخ فی العدّة تکافؤ المرسل المقبول و المسند </w:t>
      </w:r>
      <w:r>
        <w:rPr>
          <w:rStyle w:val="FootnoteAnchor"/>
          <w:rtl w:val="true"/>
        </w:rPr>
        <w:footnoteReference w:id="1694"/>
      </w:r>
      <w:r>
        <w:rPr>
          <w:rFonts w:ascii="IRNazanin" w:hAnsi="IRNazanin" w:eastAsia="IRNazanin"/>
          <w:color w:val="111111"/>
          <w:sz w:val="28"/>
          <w:sz w:val="28"/>
          <w:szCs w:val="28"/>
          <w:rtl w:val="true"/>
          <w:lang w:bidi="fa-IR"/>
        </w:rPr>
        <w:t>،و لم یعلم وجهه</w:t>
      </w:r>
      <w:r>
        <w:rPr>
          <w:rFonts w:eastAsia="IRNazanin" w:cs="IRNazanin"/>
          <w:color w:val="111111"/>
          <w:sz w:val="28"/>
          <w:szCs w:val="28"/>
          <w:rtl w:val="true"/>
          <w:lang w:bidi="fa-IR"/>
        </w:rPr>
        <w:t>.</w:t>
      </w:r>
    </w:p>
    <w:p>
      <w:pPr>
        <w:pStyle w:val="Heading6"/>
        <w:numPr>
          <w:ilvl w:val="5"/>
          <w:numId w:val="1"/>
        </w:numPr>
        <w:rPr/>
      </w:pPr>
      <w:bookmarkStart w:id="1753" w:name="__RefHeading___Toc5768173_3224264995"/>
      <w:bookmarkStart w:id="1754" w:name="_Toc695"/>
      <w:bookmarkEnd w:id="1753"/>
      <w:r>
        <w:rPr/>
        <w:t>6</w:t>
      </w:r>
      <w:r>
        <w:rPr>
          <w:rtl w:val="true"/>
        </w:rPr>
        <w:t>-</w:t>
      </w:r>
      <w:r>
        <w:rPr>
          <w:rtl w:val="true"/>
        </w:rPr>
        <w:t>تعدّد الراوی</w:t>
      </w:r>
      <w:r>
        <w:rPr>
          <w:rtl w:val="true"/>
        </w:rPr>
        <w:t>:</w:t>
      </w:r>
      <w:bookmarkEnd w:id="175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الراوی لإحدی الروایتین متعدّدا و راوی الاخری واحدا،أو یکون رواة إحداهما أکثر؛فإنّ المتعدّد یرجّح علی الواحد و الأکثر علی الأقلّ،کما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بعض العامّة </w:t>
      </w:r>
      <w:r>
        <w:rPr>
          <w:rStyle w:val="FootnoteAnchor"/>
          <w:rtl w:val="true"/>
        </w:rPr>
        <w:footnoteReference w:id="1695"/>
      </w:r>
      <w:r>
        <w:rPr>
          <w:rFonts w:ascii="IRNazanin" w:hAnsi="IRNazanin" w:eastAsia="IRNazanin"/>
          <w:color w:val="111111"/>
          <w:sz w:val="28"/>
          <w:sz w:val="28"/>
          <w:szCs w:val="28"/>
          <w:rtl w:val="true"/>
          <w:lang w:bidi="fa-IR"/>
        </w:rPr>
        <w:t>عدم الترجیح قیاسا علی الشهادة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القول عدم الترجیح بسائر المرجّحات أیضا،و هو ضعیف</w:t>
      </w:r>
      <w:r>
        <w:rPr>
          <w:rFonts w:eastAsia="IRNazanin" w:cs="IRNazanin"/>
          <w:color w:val="111111"/>
          <w:sz w:val="28"/>
          <w:szCs w:val="28"/>
          <w:rtl w:val="true"/>
          <w:lang w:bidi="fa-IR"/>
        </w:rPr>
        <w:t>.</w:t>
      </w:r>
    </w:p>
    <w:p>
      <w:pPr>
        <w:pStyle w:val="Heading6"/>
        <w:numPr>
          <w:ilvl w:val="5"/>
          <w:numId w:val="1"/>
        </w:numPr>
        <w:rPr/>
      </w:pPr>
      <w:bookmarkStart w:id="1755" w:name="__RefHeading___Toc5768175_3224264995"/>
      <w:bookmarkStart w:id="1756" w:name="_Toc696"/>
      <w:bookmarkEnd w:id="1755"/>
      <w:r>
        <w:rPr/>
        <w:t>7</w:t>
      </w:r>
      <w:r>
        <w:rPr>
          <w:rtl w:val="true"/>
        </w:rPr>
        <w:t>-</w:t>
      </w:r>
      <w:r>
        <w:rPr>
          <w:rtl w:val="true"/>
        </w:rPr>
        <w:t>أعلائیّة طریق التحمّل</w:t>
      </w:r>
      <w:r>
        <w:rPr>
          <w:rtl w:val="true"/>
        </w:rPr>
        <w:t>:</w:t>
      </w:r>
      <w:bookmarkEnd w:id="175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طریق تحمّل أحد الراویین أعلی من طریق </w:t>
      </w:r>
      <w:bookmarkStart w:id="1757" w:name="pg12985_125372"/>
    </w:p>
    <w:p>
      <w:pPr>
        <w:pStyle w:val="BookText"/>
        <w:rPr/>
      </w:pPr>
      <w:bookmarkEnd w:id="1757"/>
      <w:r>
        <w:rPr>
          <w:rFonts w:ascii="IRNazanin" w:hAnsi="IRNazanin" w:eastAsia="IRNazanin"/>
          <w:color w:val="111111"/>
          <w:sz w:val="28"/>
          <w:sz w:val="28"/>
          <w:szCs w:val="28"/>
          <w:rtl w:val="true"/>
          <w:lang w:bidi="fa-IR"/>
        </w:rPr>
        <w:t>تحمّل الآخر،کأن یکون أحدهما بقراءته علی الشیخ و الآخر بقراءة الشیخ علیه،و هکذا غیرهما من أنحاء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نبذة من المرجّحات السندیّة التی توجب القوّة من حیث الصدور،و عرفت أنّ معنی القوّة کون أحدهما أقرب إلی الواقع من حیث اشتماله علی مزیّة غیر موجودة فی الآخر،بحیث لو فرضنا العلم بکذب أحدهما و مخالفته للواقع کان احتمال مطابقة ذی المزیّة للواقع أرجح و أقوی من مطابقة الآخر،و إلاّ فقد لا یوجب المرجّح الظنّ بکذب الخبر المرجوح </w:t>
      </w:r>
      <w:r>
        <w:rPr>
          <w:rStyle w:val="FootnoteAnchor"/>
          <w:rtl w:val="true"/>
        </w:rPr>
        <w:footnoteReference w:id="1696"/>
      </w:r>
      <w:r>
        <w:rPr>
          <w:rFonts w:ascii="IRNazanin" w:hAnsi="IRNazanin" w:eastAsia="IRNazanin"/>
          <w:color w:val="111111"/>
          <w:sz w:val="28"/>
          <w:sz w:val="28"/>
          <w:szCs w:val="28"/>
          <w:rtl w:val="true"/>
          <w:lang w:bidi="fa-IR"/>
        </w:rPr>
        <w:t>من جهة احتمال صدق کلا الخبرین،فإنّ الخبرین المتعارضین لا یعلم غالبا کذب أحدهما،و إنّما التجأنا إلی طرح أحدهما،بناء علی تنافی ظاهریهما و عدم إمکان الجمع بینهما لعدم الشاهد،فیصیران فی حکم ما لو وجب طرح أحدهما لکونه کاذبا فیؤخذ بما هو أقرب إلی الصدق من الآخر</w:t>
      </w:r>
      <w:r>
        <w:rPr>
          <w:rFonts w:eastAsia="IRNazanin" w:cs="IRNazanin"/>
          <w:color w:val="111111"/>
          <w:sz w:val="28"/>
          <w:szCs w:val="28"/>
          <w:rtl w:val="true"/>
          <w:lang w:bidi="fa-IR"/>
        </w:rPr>
        <w:t>.</w:t>
      </w:r>
    </w:p>
    <w:p>
      <w:pPr>
        <w:pStyle w:val="Heading6"/>
        <w:numPr>
          <w:ilvl w:val="5"/>
          <w:numId w:val="1"/>
        </w:numPr>
        <w:rPr/>
      </w:pPr>
      <w:bookmarkStart w:id="1758" w:name="__RefHeading___Toc5768177_3224264995"/>
      <w:bookmarkStart w:id="1759" w:name="_Toc697"/>
      <w:bookmarkEnd w:id="1758"/>
      <w:r>
        <w:rPr>
          <w:rtl w:val="true"/>
        </w:rPr>
        <w:t>ما تخلیه بعض</w:t>
      </w:r>
      <w:bookmarkEnd w:id="1759"/>
    </w:p>
    <w:p>
      <w:pPr>
        <w:pStyle w:val="BookText"/>
        <w:rPr/>
      </w:pPr>
      <w:r>
        <w:rPr>
          <w:rFonts w:ascii="IRNazanin" w:hAnsi="IRNazanin" w:eastAsia="IRNazanin"/>
          <w:color w:val="111111"/>
          <w:sz w:val="28"/>
          <w:sz w:val="28"/>
          <w:szCs w:val="28"/>
          <w:rtl w:val="true"/>
          <w:lang w:bidi="fa-IR"/>
        </w:rPr>
        <w:t xml:space="preserve">و الغرض من إطالة الکلام هنا أنّ بعضهم </w:t>
      </w:r>
      <w:r>
        <w:rPr>
          <w:rStyle w:val="FootnoteAnchor"/>
          <w:rtl w:val="true"/>
        </w:rPr>
        <w:footnoteReference w:id="1697"/>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المرجّحات المذکورة فی کلماتهم للخبر من حیث السند أو المتن،بعضها یفید الظنّ القویّ،و بعضها یفید الظنّ الضعیف،و بعضها لا یفید الظنّ أصلا،فحکم بحجّیّة الأوّلین و استشکل فی الثالث؛من حیث إنّ الأحوط الأخذ بما فیه المرجّح،و من إطلاق أدلّة التخییر،و قوّی ذلک بناء علی أنّه لا دلیل علی الترجیح بالامور التعبّدیة فی مقابل إطلاقات التخییر</w:t>
      </w:r>
      <w:r>
        <w:rPr>
          <w:rFonts w:eastAsia="IRNazanin" w:cs="IRNazanin"/>
          <w:color w:val="111111"/>
          <w:sz w:val="28"/>
          <w:szCs w:val="28"/>
          <w:rtl w:val="true"/>
          <w:lang w:bidi="fa-IR"/>
        </w:rPr>
        <w:t>.</w:t>
      </w:r>
    </w:p>
    <w:p>
      <w:pPr>
        <w:pStyle w:val="Heading6"/>
        <w:numPr>
          <w:ilvl w:val="5"/>
          <w:numId w:val="1"/>
        </w:numPr>
        <w:rPr/>
      </w:pPr>
      <w:bookmarkStart w:id="1760" w:name="__RefHeading___Toc5768179_3224264995"/>
      <w:bookmarkStart w:id="1761" w:name="_Toc698"/>
      <w:bookmarkEnd w:id="1760"/>
      <w:r>
        <w:rPr>
          <w:rtl w:val="true"/>
        </w:rPr>
        <w:t>دفع التخیل المذکور</w:t>
      </w:r>
      <w:bookmarkEnd w:id="176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جمیع المرجّحات المذکورة مفیدة للظنّ الشأنیّ </w:t>
      </w:r>
      <w:bookmarkStart w:id="1762" w:name="pg12985_125373"/>
    </w:p>
    <w:p>
      <w:pPr>
        <w:pStyle w:val="BookText"/>
        <w:rPr/>
      </w:pPr>
      <w:bookmarkEnd w:id="1762"/>
      <w:r>
        <w:rPr>
          <w:rFonts w:ascii="IRNazanin" w:hAnsi="IRNazanin" w:eastAsia="IRNazanin"/>
          <w:color w:val="111111"/>
          <w:sz w:val="28"/>
          <w:sz w:val="28"/>
          <w:szCs w:val="28"/>
          <w:rtl w:val="true"/>
          <w:lang w:bidi="fa-IR"/>
        </w:rPr>
        <w:t>بالمعنی الذی ذکرنا،و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 القطع بکذب أحد الخبرین کان احتمال کذب المرجوح أرجح من صدقه،و إذا لم یفرض العلم بکذب أحد الخبرین فلیس فی المرجّحات المذکورة ما یوجب الظنّ بکذب الآخر </w:t>
      </w:r>
      <w:r>
        <w:rPr>
          <w:rStyle w:val="FootnoteAnchor"/>
          <w:rtl w:val="true"/>
        </w:rPr>
        <w:footnoteReference w:id="1698"/>
      </w:r>
      <w:r>
        <w:rPr>
          <w:rFonts w:ascii="IRNazanin" w:hAnsi="IRNazanin" w:eastAsia="IRNazanin"/>
          <w:color w:val="111111"/>
          <w:sz w:val="28"/>
          <w:sz w:val="28"/>
          <w:szCs w:val="28"/>
          <w:rtl w:val="true"/>
          <w:lang w:bidi="fa-IR"/>
        </w:rPr>
        <w:t>،و لو فرض أنّ شیئا منها کان فی نفسه موجبا للظنّ بکذب الخبر کان مسقطا للخبر عن درجة الحجّیة،و مخرجا للمسألة عن التعارض،فیعدّ ذلک الشیء موهنا لا مرجّحا؛إذ فرق واضح عند التأمّل بین ما یوجب فی نفسه مرجوحیّة الخبر،و بین ما یوجب مرجوحیّته بملاحظة التعارض و فرض عدم الاجتماع</w:t>
      </w:r>
      <w:r>
        <w:rPr>
          <w:rFonts w:eastAsia="IRNazanin" w:cs="IRNazanin"/>
          <w:color w:val="111111"/>
          <w:sz w:val="28"/>
          <w:szCs w:val="28"/>
          <w:rtl w:val="true"/>
          <w:lang w:bidi="fa-IR"/>
        </w:rPr>
        <w:t>.</w:t>
      </w:r>
    </w:p>
    <w:p>
      <w:pPr>
        <w:pStyle w:val="Heading6"/>
        <w:numPr>
          <w:ilvl w:val="5"/>
          <w:numId w:val="1"/>
        </w:numPr>
        <w:rPr/>
      </w:pPr>
      <w:bookmarkStart w:id="1763" w:name="__RefHeading___Toc5768181_3224264995"/>
      <w:bookmarkStart w:id="1764" w:name="_Toc699"/>
      <w:bookmarkEnd w:id="1763"/>
      <w:r>
        <w:rPr>
          <w:rtl w:val="true"/>
        </w:rPr>
        <w:t>المرجّحات المتنیّة</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المتنیّة</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و أمّا ما یرجع إلی المتن،فهی امور</w:t>
      </w:r>
      <w:r>
        <w:rPr>
          <w:rFonts w:eastAsia="IRNazanin" w:cs="IRNazanin"/>
          <w:color w:val="111111"/>
          <w:sz w:val="28"/>
          <w:szCs w:val="28"/>
          <w:rtl w:val="true"/>
          <w:lang w:bidi="fa-IR"/>
        </w:rPr>
        <w:t>:</w:t>
      </w:r>
    </w:p>
    <w:p>
      <w:pPr>
        <w:pStyle w:val="Heading6"/>
        <w:numPr>
          <w:ilvl w:val="5"/>
          <w:numId w:val="1"/>
        </w:numPr>
        <w:rPr/>
      </w:pPr>
      <w:bookmarkStart w:id="1765" w:name="__RefHeading___Toc5768183_3224264995"/>
      <w:bookmarkStart w:id="1766" w:name="_Toc700"/>
      <w:bookmarkEnd w:id="1765"/>
      <w:r>
        <w:rPr/>
        <w:t>1</w:t>
      </w:r>
      <w:r>
        <w:rPr>
          <w:rtl w:val="true"/>
        </w:rPr>
        <w:t>-</w:t>
      </w:r>
      <w:r>
        <w:rPr>
          <w:rtl w:val="true"/>
        </w:rPr>
        <w:t>الفصاحة</w:t>
      </w:r>
      <w:r>
        <w:rPr>
          <w:rtl w:val="true"/>
        </w:rPr>
        <w:t>:</w:t>
      </w:r>
      <w:bookmarkEnd w:id="17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الفصاحة،فیقدّم الفصیح علی غیره؛لأنّ الرکیک أبعد من کلام المعصوم علیه السّلام،إلاّ أن یکون منقولا بالمعنی</w:t>
      </w:r>
      <w:r>
        <w:rPr>
          <w:rFonts w:eastAsia="IRNazanin" w:cs="IRNazanin"/>
          <w:color w:val="111111"/>
          <w:sz w:val="28"/>
          <w:szCs w:val="28"/>
          <w:rtl w:val="true"/>
          <w:lang w:bidi="fa-IR"/>
        </w:rPr>
        <w:t>.</w:t>
      </w:r>
    </w:p>
    <w:p>
      <w:pPr>
        <w:pStyle w:val="Heading6"/>
        <w:numPr>
          <w:ilvl w:val="5"/>
          <w:numId w:val="1"/>
        </w:numPr>
        <w:rPr/>
      </w:pPr>
      <w:bookmarkStart w:id="1767" w:name="__RefHeading___Toc5768185_3224264995"/>
      <w:bookmarkStart w:id="1768" w:name="_Toc701"/>
      <w:bookmarkEnd w:id="1767"/>
      <w:r>
        <w:rPr/>
        <w:t>2</w:t>
      </w:r>
      <w:r>
        <w:rPr>
          <w:rtl w:val="true"/>
        </w:rPr>
        <w:t>-</w:t>
      </w:r>
      <w:r>
        <w:rPr>
          <w:rtl w:val="true"/>
        </w:rPr>
        <w:t>الأفصحیّة</w:t>
      </w:r>
      <w:r>
        <w:rPr>
          <w:rtl w:val="true"/>
        </w:rPr>
        <w:t>:</w:t>
      </w:r>
      <w:bookmarkEnd w:id="176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الأفصحیّة،ذکره جماعة </w:t>
      </w:r>
      <w:r>
        <w:rPr>
          <w:rStyle w:val="FootnoteAnchor"/>
          <w:rtl w:val="true"/>
        </w:rPr>
        <w:footnoteReference w:id="1700"/>
      </w:r>
      <w:r>
        <w:rPr>
          <w:rFonts w:ascii="IRNazanin" w:hAnsi="IRNazanin" w:eastAsia="IRNazanin"/>
          <w:color w:val="111111"/>
          <w:sz w:val="28"/>
          <w:sz w:val="28"/>
          <w:szCs w:val="28"/>
          <w:rtl w:val="true"/>
          <w:lang w:bidi="fa-IR"/>
        </w:rPr>
        <w:t xml:space="preserve">خلافا لآخرین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تأمّل؛ </w:t>
      </w:r>
      <w:bookmarkStart w:id="1769" w:name="pg12985_125374"/>
    </w:p>
    <w:p>
      <w:pPr>
        <w:pStyle w:val="BookText"/>
        <w:rPr/>
      </w:pPr>
      <w:bookmarkEnd w:id="1769"/>
      <w:r>
        <w:rPr>
          <w:rFonts w:ascii="IRNazanin" w:hAnsi="IRNazanin" w:eastAsia="IRNazanin"/>
          <w:color w:val="111111"/>
          <w:sz w:val="28"/>
          <w:sz w:val="28"/>
          <w:szCs w:val="28"/>
          <w:rtl w:val="true"/>
          <w:lang w:bidi="fa-IR"/>
        </w:rPr>
        <w:t xml:space="preserve">لعدم کون الفصیح بعیدا عن کلام </w:t>
      </w:r>
      <w:r>
        <w:rPr>
          <w:rStyle w:val="FootnoteAnchor"/>
          <w:rtl w:val="true"/>
        </w:rPr>
        <w:footnoteReference w:id="1702"/>
      </w:r>
      <w:r>
        <w:rPr>
          <w:rFonts w:ascii="IRNazanin" w:hAnsi="IRNazanin" w:eastAsia="IRNazanin"/>
          <w:color w:val="111111"/>
          <w:sz w:val="28"/>
          <w:sz w:val="28"/>
          <w:szCs w:val="28"/>
          <w:rtl w:val="true"/>
          <w:lang w:bidi="fa-IR"/>
        </w:rPr>
        <w:t>الإمام،و لا الأفصح أقرب إلیه فی مقام بیان الأحکام الشرعیّة</w:t>
      </w:r>
      <w:r>
        <w:rPr>
          <w:rFonts w:eastAsia="IRNazanin" w:cs="IRNazanin"/>
          <w:color w:val="111111"/>
          <w:sz w:val="28"/>
          <w:szCs w:val="28"/>
          <w:rtl w:val="true"/>
          <w:lang w:bidi="fa-IR"/>
        </w:rPr>
        <w:t>.</w:t>
      </w:r>
    </w:p>
    <w:p>
      <w:pPr>
        <w:pStyle w:val="Heading6"/>
        <w:numPr>
          <w:ilvl w:val="5"/>
          <w:numId w:val="1"/>
        </w:numPr>
        <w:rPr/>
      </w:pPr>
      <w:bookmarkStart w:id="1770" w:name="__RefHeading___Toc5768187_3224264995"/>
      <w:bookmarkStart w:id="1771" w:name="_Toc702"/>
      <w:bookmarkEnd w:id="1770"/>
      <w:r>
        <w:rPr/>
        <w:t>3</w:t>
      </w:r>
      <w:r>
        <w:rPr>
          <w:rtl w:val="true"/>
        </w:rPr>
        <w:t>-</w:t>
      </w:r>
      <w:r>
        <w:rPr>
          <w:rtl w:val="true"/>
        </w:rPr>
        <w:t>استقامة المتن</w:t>
      </w:r>
      <w:r>
        <w:rPr>
          <w:rtl w:val="true"/>
        </w:rPr>
        <w:t>:</w:t>
      </w:r>
      <w:bookmarkEnd w:id="177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المتن،کما فی بعض روایات عمّار </w:t>
      </w:r>
      <w:r>
        <w:rPr>
          <w:rStyle w:val="FootnoteAnchor"/>
          <w:rtl w:val="true"/>
        </w:rPr>
        <w:footnoteReference w:id="1703"/>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الترجیح بهذه إلی کون متن أحد الخبرین أقرب صدورا من متن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بعض المعاصرین </w:t>
      </w:r>
      <w:r>
        <w:rPr>
          <w:rStyle w:val="FootnoteAnchor"/>
          <w:rtl w:val="true"/>
        </w:rPr>
        <w:footnoteReference w:id="1705"/>
      </w:r>
      <w:r>
        <w:rPr>
          <w:rFonts w:ascii="IRNazanin" w:hAnsi="IRNazanin" w:eastAsia="IRNazanin"/>
          <w:color w:val="111111"/>
          <w:sz w:val="28"/>
          <w:sz w:val="28"/>
          <w:szCs w:val="28"/>
          <w:rtl w:val="true"/>
          <w:lang w:bidi="fa-IR"/>
        </w:rPr>
        <w:t>الترجیح بمرجّحات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عدّ هذه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ذلک إلی الظنّ بالدلالة،و هو ممّا لم یختلف فیه علماء الإسلام،و لیس مبنیّا علی حجّیّة مطلق الظنّ المختلف فیه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مرجّحات المتن النقل باللفظ،و الفصاحة،و الرکاکة، و المسموع من الشیخ بالنسبة إلی المقروء علیه،و الجزم بالسماع من المعصوم علیه السّلام علی غیره،و کثیرا من أقسام مرجّحات الدلالة،کالمنطوق و المفهوم و الخصوص و العموم و نحو ذلک</w:t>
      </w:r>
      <w:r>
        <w:rPr>
          <w:rFonts w:eastAsia="IRNazanin" w:cs="IRNazanin"/>
          <w:color w:val="111111"/>
          <w:sz w:val="28"/>
          <w:szCs w:val="28"/>
          <w:rtl w:val="true"/>
          <w:lang w:bidi="fa-IR"/>
        </w:rPr>
        <w:t xml:space="preserve">. </w:t>
      </w:r>
      <w:bookmarkStart w:id="1772" w:name="pg12985_125375"/>
    </w:p>
    <w:p>
      <w:pPr>
        <w:pStyle w:val="BookText"/>
        <w:rPr/>
      </w:pPr>
      <w:bookmarkEnd w:id="1772"/>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مرجع الترجیح بالفصاحة و النقل باللفظ </w:t>
      </w:r>
      <w:r>
        <w:rPr>
          <w:rStyle w:val="FootnoteAnchor"/>
          <w:rtl w:val="true"/>
        </w:rPr>
        <w:footnoteReference w:id="1706"/>
      </w:r>
      <w:r>
        <w:rPr>
          <w:rFonts w:ascii="IRNazanin" w:hAnsi="IRNazanin" w:eastAsia="IRNazanin"/>
          <w:color w:val="111111"/>
          <w:sz w:val="28"/>
          <w:sz w:val="28"/>
          <w:szCs w:val="28"/>
          <w:rtl w:val="true"/>
          <w:lang w:bidi="fa-IR"/>
        </w:rPr>
        <w:t>إلی رجحان صدور أحد المتنین بالنسبة إلی الآخر،فالدلیل علیه هو الدلیل علی اعتبار رجحان الصدور،و لیس راجعا إلی الظنّ فی الدلالة المتّفق علیه بین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مرجّحات الدلالة،فهی من هذا الظنّ المتّفق علیه،و قد عدّها من مرجّحات المتن جماعة کصاحب الزبدة </w:t>
      </w:r>
      <w:r>
        <w:rPr>
          <w:rStyle w:val="FootnoteAnchor"/>
          <w:rtl w:val="true"/>
        </w:rPr>
        <w:footnoteReference w:id="1707"/>
      </w:r>
      <w:r>
        <w:rPr>
          <w:rFonts w:ascii="IRNazanin" w:hAnsi="IRNazanin" w:eastAsia="IRNazanin"/>
          <w:color w:val="111111"/>
          <w:sz w:val="28"/>
          <w:sz w:val="28"/>
          <w:szCs w:val="28"/>
          <w:rtl w:val="true"/>
          <w:lang w:bidi="fa-IR"/>
        </w:rPr>
        <w:t xml:space="preserve">و غیره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هذه من قبیل النصّ و الظاهر، و الأظهر و الظاهر </w:t>
      </w:r>
      <w:r>
        <w:rPr>
          <w:rStyle w:val="FootnoteAnchor"/>
          <w:rtl w:val="true"/>
        </w:rPr>
        <w:footnoteReference w:id="1709"/>
      </w:r>
      <w:r>
        <w:rPr>
          <w:rFonts w:ascii="IRNazanin" w:hAnsi="IRNazanin" w:eastAsia="IRNazanin"/>
          <w:color w:val="111111"/>
          <w:sz w:val="28"/>
          <w:sz w:val="28"/>
          <w:szCs w:val="28"/>
          <w:rtl w:val="true"/>
          <w:lang w:bidi="fa-IR"/>
        </w:rPr>
        <w:t>،و لا تعارض بینهما،و لا ترجیح فی الحقیقة،بل هی من موارد الجمع المقبول،فراجع</w:t>
      </w:r>
      <w:r>
        <w:rPr>
          <w:rFonts w:eastAsia="IRNazanin" w:cs="IRNazanin"/>
          <w:color w:val="111111"/>
          <w:sz w:val="28"/>
          <w:szCs w:val="28"/>
          <w:rtl w:val="true"/>
          <w:lang w:bidi="fa-IR"/>
        </w:rPr>
        <w:t>.</w:t>
      </w:r>
    </w:p>
    <w:p>
      <w:pPr>
        <w:pStyle w:val="Heading6"/>
        <w:numPr>
          <w:ilvl w:val="5"/>
          <w:numId w:val="1"/>
        </w:numPr>
        <w:rPr/>
      </w:pPr>
      <w:bookmarkStart w:id="1773" w:name="__RefHeading___Toc5768189_3224264995"/>
      <w:bookmarkStart w:id="1774" w:name="_Toc703"/>
      <w:bookmarkEnd w:id="1773"/>
      <w:r>
        <w:rPr>
          <w:rtl w:val="true"/>
        </w:rPr>
        <w:t>المرجّحات الجهتیّة</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الجهتیّة</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و أمّا الترجیح من حیث وجه الصدور</w:t>
      </w:r>
      <w:r>
        <w:rPr>
          <w:rFonts w:eastAsia="IRNazanin" w:cs="IRNazanin"/>
          <w:color w:val="111111"/>
          <w:sz w:val="28"/>
          <w:szCs w:val="28"/>
          <w:rtl w:val="true"/>
          <w:lang w:bidi="fa-IR"/>
        </w:rPr>
        <w:t>:</w:t>
      </w:r>
    </w:p>
    <w:p>
      <w:pPr>
        <w:pStyle w:val="Heading6"/>
        <w:numPr>
          <w:ilvl w:val="5"/>
          <w:numId w:val="1"/>
        </w:numPr>
        <w:rPr/>
      </w:pPr>
      <w:bookmarkStart w:id="1775" w:name="__RefHeading___Toc5768191_3224264995"/>
      <w:bookmarkStart w:id="1776" w:name="_Toc704"/>
      <w:bookmarkEnd w:id="1775"/>
      <w:r>
        <w:rPr>
          <w:rtl w:val="true"/>
        </w:rPr>
        <w:t>التقیّة و غیرها من المصالح</w:t>
      </w:r>
      <w:r>
        <w:rPr>
          <w:rtl w:val="true"/>
        </w:rPr>
        <w:t>:</w:t>
      </w:r>
      <w:bookmarkEnd w:id="177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فبأن یکون أحد الخبرین مقرونا بشیء یحتمل من أجله أن یکون </w:t>
      </w:r>
      <w:bookmarkStart w:id="1777" w:name="pg12985_125376"/>
    </w:p>
    <w:p>
      <w:pPr>
        <w:pStyle w:val="BookText"/>
        <w:rPr/>
      </w:pPr>
      <w:bookmarkEnd w:id="1777"/>
      <w:r>
        <w:rPr>
          <w:rFonts w:ascii="IRNazanin" w:hAnsi="IRNazanin" w:eastAsia="IRNazanin"/>
          <w:color w:val="111111"/>
          <w:sz w:val="28"/>
          <w:sz w:val="28"/>
          <w:szCs w:val="28"/>
          <w:rtl w:val="true"/>
          <w:lang w:bidi="fa-IR"/>
        </w:rPr>
        <w:t>الخبر صادرا علی وجه المصلحة المقتضیة لبیان خلاف حکم اللّه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تقیّة أو نحوها من المصالح</w:t>
      </w:r>
      <w:r>
        <w:rPr>
          <w:rFonts w:eastAsia="IRNazanin" w:cs="IRNazanin"/>
          <w:color w:val="111111"/>
          <w:sz w:val="28"/>
          <w:szCs w:val="28"/>
          <w:rtl w:val="true"/>
          <w:lang w:bidi="fa-IR"/>
        </w:rPr>
        <w:t>.</w:t>
      </w:r>
    </w:p>
    <w:p>
      <w:pPr>
        <w:pStyle w:val="Heading6"/>
        <w:numPr>
          <w:ilvl w:val="5"/>
          <w:numId w:val="1"/>
        </w:numPr>
        <w:rPr/>
      </w:pPr>
      <w:bookmarkStart w:id="1778" w:name="__RefHeading___Toc5768193_3224264995"/>
      <w:bookmarkStart w:id="1779" w:name="_Toc705"/>
      <w:bookmarkEnd w:id="1778"/>
      <w:r>
        <w:rPr>
          <w:rtl w:val="true"/>
        </w:rPr>
        <w:t>الترجیح بمخالفة العامّة</w:t>
      </w:r>
      <w:r>
        <w:rPr>
          <w:rtl w:val="true"/>
        </w:rPr>
        <w:t>:</w:t>
      </w:r>
      <w:bookmarkEnd w:id="1779"/>
    </w:p>
    <w:p>
      <w:pPr>
        <w:pStyle w:val="BookText"/>
        <w:rPr/>
      </w:pPr>
      <w:r>
        <w:rPr>
          <w:rFonts w:ascii="IRNazanin" w:hAnsi="IRNazanin" w:eastAsia="IRNazanin"/>
          <w:color w:val="111111"/>
          <w:sz w:val="28"/>
          <w:sz w:val="28"/>
          <w:szCs w:val="28"/>
          <w:rtl w:val="true"/>
          <w:lang w:bidi="fa-IR"/>
        </w:rPr>
        <w:t>و هی و إن کانت غیر محصورة فی الواقع إلاّ أنّ الذی بأیدینا أمارة التقیّة،و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ظاهر الخبر لمذهب أهل الخلاف،فیحتمل صدور الخبر تقیّة عنهم علیهم السّلام احتمالا غیر موجود فی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رواة الخبرین متساویین فی العدد عمل بأبعدهما من قول العامّة و ترک العمل بما یوافقه </w:t>
      </w:r>
      <w:r>
        <w:rPr>
          <w:rStyle w:val="FootnoteAnchor"/>
          <w:rtl w:val="true"/>
        </w:rPr>
        <w:footnoteReference w:id="17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العبارة المتقدّمة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احتجاجه فی ذلک بروایة رویت عن الصادق علیه السّلام </w:t>
      </w:r>
      <w:r>
        <w:rPr>
          <w:rStyle w:val="FootnoteAnchor"/>
          <w:rtl w:val="true"/>
        </w:rPr>
        <w:footnoteReference w:id="1712"/>
      </w:r>
      <w:r>
        <w:rPr>
          <w:rFonts w:ascii="IRNazanin" w:hAnsi="IRNazanin" w:eastAsia="IRNazanin"/>
          <w:color w:val="111111"/>
          <w:sz w:val="28"/>
          <w:sz w:val="28"/>
          <w:szCs w:val="28"/>
          <w:rtl w:val="true"/>
          <w:lang w:bidi="fa-IR"/>
        </w:rPr>
        <w:t>، و هو إثبات مسألة علمیّة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ما فیه،مع أنّه قد طعن فیه فضلاء من الشیعة کالمفید و غیره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احتجّ بأنّ الأبعد لا یحتمل إلاّ الفتوی،و الموافق للعامّة یحتمل التقیّة،فوجب الرجوع إلی 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لا یحتمل إلاّ الفتوی؛لأنّه کما جاز الفتوی لمصلحة یراها الإمام علیه السّلام،کذلک یجوز الفتوی بما یحتمل التأویل لمصلحة یعلمها الإمام علیه السّلام و إن کنّا لا نعلم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یسدّ باب العمل بالحدیث</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نصیر إلی ذلک علی تقدیر التعارض و حصول مانع یمنع </w:t>
      </w:r>
      <w:bookmarkStart w:id="1780" w:name="pg12985_125377"/>
    </w:p>
    <w:p>
      <w:pPr>
        <w:pStyle w:val="BookText"/>
        <w:rPr/>
      </w:pPr>
      <w:bookmarkEnd w:id="1780"/>
      <w:r>
        <w:rPr>
          <w:rFonts w:ascii="IRNazanin" w:hAnsi="IRNazanin" w:eastAsia="IRNazanin"/>
          <w:color w:val="111111"/>
          <w:sz w:val="28"/>
          <w:sz w:val="28"/>
          <w:szCs w:val="28"/>
          <w:rtl w:val="true"/>
          <w:lang w:bidi="fa-IR"/>
        </w:rPr>
        <w:t xml:space="preserve">من العمل لا مطلقا،فلا یلزم سدّ باب العمل </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1781" w:name="__RefHeading___Toc5768195_3224264995"/>
      <w:bookmarkStart w:id="1782" w:name="_Toc706"/>
      <w:bookmarkEnd w:id="1781"/>
      <w:r>
        <w:rPr>
          <w:rtl w:val="true"/>
        </w:rPr>
        <w:t>الوجوه المحتملة فی الترجیح بمخالفة العامّة</w:t>
      </w:r>
      <w:r>
        <w:rPr>
          <w:rtl w:val="true"/>
        </w:rPr>
        <w:t>:</w:t>
      </w:r>
      <w:bookmarkEnd w:id="1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المرام فی هذا المقام،أنّ ترجیح أحد الخبرین بمخالفة العامّة یمکن أن یکون بوجوه</w:t>
      </w:r>
      <w:r>
        <w:rPr>
          <w:rFonts w:eastAsia="IRNazanin" w:cs="IRNazanin"/>
          <w:color w:val="111111"/>
          <w:sz w:val="28"/>
          <w:szCs w:val="28"/>
          <w:rtl w:val="true"/>
          <w:lang w:bidi="fa-IR"/>
        </w:rPr>
        <w:t>:</w:t>
      </w:r>
    </w:p>
    <w:p>
      <w:pPr>
        <w:pStyle w:val="Heading6"/>
        <w:numPr>
          <w:ilvl w:val="5"/>
          <w:numId w:val="1"/>
        </w:numPr>
        <w:rPr/>
      </w:pPr>
      <w:bookmarkStart w:id="1783" w:name="__RefHeading___Toc5768197_3224264995"/>
      <w:bookmarkStart w:id="1784" w:name="_Toc707"/>
      <w:bookmarkEnd w:id="1783"/>
      <w:r>
        <w:rPr>
          <w:rtl w:val="true"/>
        </w:rPr>
        <w:t>الأوّل</w:t>
      </w:r>
      <w:r>
        <w:rPr>
          <w:rtl w:val="true"/>
        </w:rPr>
        <w:t>:</w:t>
      </w:r>
      <w:r>
        <w:rPr>
          <w:rtl w:val="true"/>
        </w:rPr>
        <w:t>مجرّد التعبّد</w:t>
      </w:r>
      <w:bookmarkEnd w:id="1784"/>
    </w:p>
    <w:p>
      <w:pPr>
        <w:pStyle w:val="BookText"/>
        <w:rPr/>
      </w:pPr>
      <w:r>
        <w:rPr>
          <w:rFonts w:ascii="IRNazanin" w:hAnsi="IRNazanin" w:eastAsia="IRNazanin"/>
          <w:color w:val="111111"/>
          <w:sz w:val="28"/>
          <w:sz w:val="28"/>
          <w:szCs w:val="28"/>
          <w:rtl w:val="true"/>
          <w:lang w:bidi="fa-IR"/>
        </w:rPr>
        <w:t>،کما هو ظاهر کثیر من أخباره،و یظهر من المحقّق استظهاره من الشیخ قدّس سرّهما</w:t>
      </w:r>
      <w:r>
        <w:rPr>
          <w:rFonts w:eastAsia="IRNazanin" w:cs="IRNazanin"/>
          <w:color w:val="111111"/>
          <w:sz w:val="28"/>
          <w:szCs w:val="28"/>
          <w:rtl w:val="true"/>
          <w:lang w:bidi="fa-IR"/>
        </w:rPr>
        <w:t>.</w:t>
      </w:r>
    </w:p>
    <w:p>
      <w:pPr>
        <w:pStyle w:val="Heading6"/>
        <w:numPr>
          <w:ilvl w:val="5"/>
          <w:numId w:val="1"/>
        </w:numPr>
        <w:rPr/>
      </w:pPr>
      <w:bookmarkStart w:id="1785" w:name="__RefHeading___Toc5768199_3224264995"/>
      <w:bookmarkStart w:id="1786" w:name="_Toc708"/>
      <w:bookmarkEnd w:id="1785"/>
      <w:r>
        <w:rPr>
          <w:rtl w:val="true"/>
        </w:rPr>
        <w:t>الثانی</w:t>
      </w:r>
      <w:r>
        <w:rPr>
          <w:rtl w:val="true"/>
        </w:rPr>
        <w:t>:</w:t>
      </w:r>
      <w:r>
        <w:rPr>
          <w:rtl w:val="true"/>
        </w:rPr>
        <w:t>کون الرشد فی خلافهم</w:t>
      </w:r>
      <w:bookmarkEnd w:id="1786"/>
    </w:p>
    <w:p>
      <w:pPr>
        <w:pStyle w:val="BookText"/>
        <w:rPr/>
      </w:pPr>
      <w:r>
        <w:rPr>
          <w:rFonts w:ascii="IRNazanin" w:hAnsi="IRNazanin" w:eastAsia="IRNazanin"/>
          <w:color w:val="111111"/>
          <w:sz w:val="28"/>
          <w:sz w:val="28"/>
          <w:szCs w:val="28"/>
          <w:rtl w:val="true"/>
          <w:lang w:bidi="fa-IR"/>
        </w:rPr>
        <w:t xml:space="preserve">،کما صرّح به فی غیر واحد من الأخبار المتقدّمة </w:t>
      </w:r>
      <w:r>
        <w:rPr>
          <w:rStyle w:val="FootnoteAnchor"/>
          <w:rtl w:val="true"/>
        </w:rPr>
        <w:footnoteReference w:id="1715"/>
      </w:r>
      <w:r>
        <w:rPr>
          <w:rFonts w:ascii="IRNazanin" w:hAnsi="IRNazanin" w:eastAsia="IRNazanin"/>
          <w:color w:val="111111"/>
          <w:sz w:val="28"/>
          <w:sz w:val="28"/>
          <w:szCs w:val="28"/>
          <w:rtl w:val="true"/>
          <w:lang w:bidi="fa-IR"/>
        </w:rPr>
        <w:t>،و روایة علیّ بن 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الأمر،لا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فقیه البلد و استفته فی أمرک،فإذا أفتاک بشیء فخذ بخلافه،فإنّ الحقّ فیه</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أصرح من ذلک کلّه خبر أبی إسحاق الأرجائیّ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تدری لم امرتم بالأخذ بخلاف ما یقوله </w:t>
      </w:r>
      <w:r>
        <w:rPr>
          <w:rStyle w:val="FootnoteAnchor"/>
          <w:rtl w:val="true"/>
        </w:rPr>
        <w:footnoteReference w:id="1718"/>
      </w:r>
      <w:r>
        <w:rPr>
          <w:rFonts w:ascii="Amiri" w:hAnsi="Amiri" w:eastAsia="Amiri" w:cs="Amiri"/>
          <w:color w:val="111111"/>
          <w:sz w:val="28"/>
          <w:sz w:val="28"/>
          <w:szCs w:val="28"/>
          <w:rtl w:val="true"/>
          <w:lang w:bidi="ar-SA"/>
        </w:rPr>
        <w:t>العامّة؟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bookmarkStart w:id="1787" w:name="pg12985_125378"/>
    </w:p>
    <w:p>
      <w:pPr>
        <w:pStyle w:val="BookText"/>
        <w:rPr/>
      </w:pPr>
      <w:bookmarkEnd w:id="178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صلوات اللّه علیه لم یکن یدین اللّه بشیء إلاّ خالف علیه العامّة </w:t>
      </w:r>
      <w:r>
        <w:rPr>
          <w:rStyle w:val="FootnoteAnchor"/>
          <w:rtl w:val="true"/>
        </w:rPr>
        <w:footnoteReference w:id="1719"/>
      </w:r>
      <w:r>
        <w:rPr>
          <w:rFonts w:ascii="IRNazanin" w:hAnsi="IRNazanin" w:eastAsia="IRNazanin"/>
          <w:color w:val="111111"/>
          <w:sz w:val="28"/>
          <w:sz w:val="28"/>
          <w:szCs w:val="28"/>
          <w:rtl w:val="true"/>
          <w:lang w:bidi="fa-IR"/>
        </w:rPr>
        <w:t>إرادة لإبطال أمره،و کانوا یسألونه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 الذی لا یعلمونه،فإذا أفتاهم بشیء جعلوا له ضدّا من عندهم لیلبسوا علی الناس</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8" w:name="__RefHeading___Toc5768201_3224264995"/>
      <w:bookmarkStart w:id="1789" w:name="_Toc709"/>
      <w:bookmarkEnd w:id="1788"/>
      <w:r>
        <w:rPr>
          <w:rtl w:val="true"/>
        </w:rPr>
        <w:t>الثالث</w:t>
      </w:r>
      <w:r>
        <w:rPr>
          <w:rtl w:val="true"/>
        </w:rPr>
        <w:t>:</w:t>
      </w:r>
      <w:r>
        <w:rPr>
          <w:rtl w:val="true"/>
        </w:rPr>
        <w:t>حسن مجرّد المخالفة لهم</w:t>
      </w:r>
      <w:bookmarkEnd w:id="1789"/>
    </w:p>
    <w:p>
      <w:pPr>
        <w:pStyle w:val="BookText"/>
        <w:rPr/>
      </w:pPr>
      <w:r>
        <w:rPr>
          <w:rFonts w:ascii="IRNazanin" w:hAnsi="IRNazanin" w:eastAsia="IRNazanin"/>
          <w:color w:val="111111"/>
          <w:sz w:val="28"/>
          <w:sz w:val="28"/>
          <w:szCs w:val="28"/>
          <w:rtl w:val="true"/>
          <w:lang w:bidi="fa-IR"/>
        </w:rPr>
        <w:t>،فمرجع هذا المرجّح لیس الأقربیّة إلی الواقع،بل هو نظیر ترجیح دلیل الحرمة علی الوجوب،و دلیل الحکم الأسهل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الاحتمال بعض الروایات،مثل قوله علیه السّلام فی مرسلة 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وافقنا خالف عدوّنا،و من وافق عدوّنا فی قول أو عمل فلیس منّا و لا نحن منه</w:t>
      </w:r>
      <w:r>
        <w:rPr>
          <w:rFonts w:eastAsia="IRNazanin" w:cs="IRNazanin"/>
          <w:color w:val="111111"/>
          <w:sz w:val="28"/>
          <w:szCs w:val="28"/>
          <w:rtl w:val="true"/>
          <w:lang w:bidi="fa-IR"/>
        </w:rPr>
        <w:t xml:space="preserve">»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و روایة الحسین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لأمرنا،الآخذون بقولنا،المخالفون لأعدائنا،فمن لم یکن کذلک فلیس منّا</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فیکون حالهم حال الیهود الوارد فیهم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 ما استطعتم</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0" w:name="__RefHeading___Toc5768203_3224264995"/>
      <w:bookmarkStart w:id="1791" w:name="_Toc710"/>
      <w:bookmarkEnd w:id="1790"/>
      <w:r>
        <w:rPr>
          <w:rtl w:val="true"/>
        </w:rPr>
        <w:t>الرابع</w:t>
      </w:r>
      <w:r>
        <w:rPr>
          <w:rtl w:val="true"/>
        </w:rPr>
        <w:t>:</w:t>
      </w:r>
      <w:r>
        <w:rPr>
          <w:rtl w:val="true"/>
        </w:rPr>
        <w:t>الحکم بصدور الموافق تقیّة</w:t>
      </w:r>
      <w:r>
        <w:rPr>
          <w:rtl w:val="true"/>
        </w:rPr>
        <w:t>.</w:t>
      </w:r>
      <w:bookmarkEnd w:id="179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قوله علیه السّلام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سمعته منی یشبه قول الناس ففیه التقیّة،و ما سمعته منّی </w:t>
      </w:r>
      <w:bookmarkStart w:id="1792" w:name="pg12985_125379"/>
    </w:p>
    <w:p>
      <w:pPr>
        <w:pStyle w:val="BookText"/>
        <w:rPr/>
      </w:pPr>
      <w:bookmarkEnd w:id="1792"/>
      <w:r>
        <w:rPr>
          <w:rFonts w:ascii="IRNazanin" w:hAnsi="IRNazanin" w:eastAsia="IRNazanin"/>
          <w:color w:val="111111"/>
          <w:sz w:val="28"/>
          <w:sz w:val="28"/>
          <w:szCs w:val="28"/>
          <w:rtl w:val="true"/>
          <w:lang w:bidi="fa-IR"/>
        </w:rPr>
        <w:t>لا یشبه قول الناس فلا تقیّة فیه</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،بناء علی أنّ المحکیّ عنه علیه السّلام مع عدالة الحاکی کالمسموع منه،و أنّ الروایة مسوقة لحکم المتعارضین،و أنّ القضیّة غالبیّة؛لکذب الدائمیّة</w:t>
      </w:r>
      <w:r>
        <w:rPr>
          <w:rFonts w:eastAsia="IRNazanin" w:cs="IRNazanin"/>
          <w:color w:val="111111"/>
          <w:sz w:val="28"/>
          <w:szCs w:val="28"/>
          <w:rtl w:val="true"/>
          <w:lang w:bidi="fa-IR"/>
        </w:rPr>
        <w:t>.</w:t>
      </w:r>
    </w:p>
    <w:p>
      <w:pPr>
        <w:pStyle w:val="Heading6"/>
        <w:numPr>
          <w:ilvl w:val="5"/>
          <w:numId w:val="1"/>
        </w:numPr>
        <w:rPr/>
      </w:pPr>
      <w:bookmarkStart w:id="1793" w:name="__RefHeading___Toc5768205_3224264995"/>
      <w:bookmarkStart w:id="1794" w:name="_Toc711"/>
      <w:bookmarkEnd w:id="1793"/>
      <w:r>
        <w:rPr>
          <w:rtl w:val="true"/>
        </w:rPr>
        <w:t>ضعف الوجه الأوّل</w:t>
      </w:r>
      <w:r>
        <w:rPr>
          <w:rtl w:val="true"/>
        </w:rPr>
        <w:t>:</w:t>
      </w:r>
      <w:bookmarkEnd w:id="1794"/>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بعده عن مقام ترجیح أحد الخبرین المبنیّ اعتبارهما علی الکشف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ینافیه </w:t>
      </w:r>
      <w:r>
        <w:rPr>
          <w:rStyle w:val="FootnoteAnchor"/>
          <w:rtl w:val="true"/>
        </w:rPr>
        <w:footnoteReference w:id="1725"/>
      </w:r>
      <w:r>
        <w:rPr>
          <w:rFonts w:ascii="IRNazanin" w:hAnsi="IRNazanin" w:eastAsia="IRNazanin"/>
          <w:color w:val="111111"/>
          <w:sz w:val="28"/>
          <w:sz w:val="28"/>
          <w:szCs w:val="28"/>
          <w:rtl w:val="true"/>
          <w:lang w:bidi="fa-IR"/>
        </w:rPr>
        <w:t xml:space="preserve">التعلیل المذکور فی الأخبار المستفیضة المتقدّمة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5" w:name="__RefHeading___Toc5768207_3224264995"/>
      <w:bookmarkStart w:id="1796" w:name="_Toc712"/>
      <w:bookmarkEnd w:id="1795"/>
      <w:r>
        <w:rPr>
          <w:rtl w:val="true"/>
        </w:rPr>
        <w:t>ضعف الوجه الثالث</w:t>
      </w:r>
      <w:r>
        <w:rPr>
          <w:rtl w:val="true"/>
        </w:rPr>
        <w:t>:</w:t>
      </w:r>
      <w:bookmarkEnd w:id="1796"/>
    </w:p>
    <w:p>
      <w:pPr>
        <w:pStyle w:val="BookText"/>
        <w:rPr/>
      </w:pPr>
      <w:r>
        <w:rPr>
          <w:rFonts w:ascii="IRNazanin" w:hAnsi="IRNazanin" w:eastAsia="IRNazanin"/>
          <w:color w:val="111111"/>
          <w:sz w:val="28"/>
          <w:sz w:val="28"/>
          <w:szCs w:val="28"/>
          <w:rtl w:val="true"/>
          <w:lang w:bidi="fa-IR"/>
        </w:rPr>
        <w:t>و منه یظهر ضعف الوجه الثالث،مضافا إلی صریح روایة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و اللّه علی شیء ممّا هم فیه،و لا هم علی شیء ممّا أنتم فیه،فخالفوهم؛فإنّهم لیسوا من الحنیفیّة علی شیء</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فقد فرّع الأمر بمخالفتهم علی مخالفة أحکامهم للواقع،لا مجرّد حسن المخالفة</w:t>
      </w:r>
      <w:r>
        <w:rPr>
          <w:rFonts w:eastAsia="IRNazanin" w:cs="IRNazanin"/>
          <w:color w:val="111111"/>
          <w:sz w:val="28"/>
          <w:szCs w:val="28"/>
          <w:rtl w:val="true"/>
          <w:lang w:bidi="fa-IR"/>
        </w:rPr>
        <w:t>.</w:t>
      </w:r>
    </w:p>
    <w:p>
      <w:pPr>
        <w:pStyle w:val="Heading6"/>
        <w:numPr>
          <w:ilvl w:val="5"/>
          <w:numId w:val="1"/>
        </w:numPr>
        <w:rPr/>
      </w:pPr>
      <w:bookmarkStart w:id="1797" w:name="__RefHeading___Toc5768209_3224264995"/>
      <w:bookmarkStart w:id="1798" w:name="_Toc713"/>
      <w:bookmarkEnd w:id="1797"/>
      <w:r>
        <w:rPr>
          <w:rtl w:val="true"/>
        </w:rPr>
        <w:t>تعیّن الوجه الثانی أو الرابع</w:t>
      </w:r>
      <w:r>
        <w:rPr>
          <w:rtl w:val="true"/>
        </w:rPr>
        <w:t>:</w:t>
      </w:r>
      <w:bookmarkEnd w:id="1798"/>
    </w:p>
    <w:p>
      <w:pPr>
        <w:pStyle w:val="BookText"/>
        <w:rPr/>
      </w:pPr>
      <w:r>
        <w:rPr>
          <w:rFonts w:ascii="IRNazanin" w:hAnsi="IRNazanin" w:eastAsia="IRNazanin"/>
          <w:color w:val="111111"/>
          <w:sz w:val="28"/>
          <w:sz w:val="28"/>
          <w:szCs w:val="28"/>
          <w:rtl w:val="true"/>
          <w:lang w:bidi="fa-IR"/>
        </w:rPr>
        <w:t>فتعیّن الوجه الثانی؛لکثرة ما یدلّ علیه من الأخبار،أو الوجه الرابع؛للخبر المذکور و ذهاب المشهور</w:t>
      </w:r>
      <w:r>
        <w:rPr>
          <w:rFonts w:eastAsia="IRNazanin" w:cs="IRNazanin"/>
          <w:color w:val="111111"/>
          <w:sz w:val="28"/>
          <w:szCs w:val="28"/>
          <w:rtl w:val="true"/>
          <w:lang w:bidi="fa-IR"/>
        </w:rPr>
        <w:t>.</w:t>
      </w:r>
    </w:p>
    <w:p>
      <w:pPr>
        <w:pStyle w:val="Heading6"/>
        <w:numPr>
          <w:ilvl w:val="5"/>
          <w:numId w:val="1"/>
        </w:numPr>
        <w:rPr/>
      </w:pPr>
      <w:bookmarkStart w:id="1799" w:name="__RefHeading___Toc5768211_3224264995"/>
      <w:bookmarkStart w:id="1800" w:name="_Toc714"/>
      <w:bookmarkEnd w:id="1799"/>
      <w:r>
        <w:rPr>
          <w:rtl w:val="true"/>
        </w:rPr>
        <w:t>الإشکال علی الوجه الثانی</w:t>
      </w:r>
      <w:r>
        <w:rPr>
          <w:rtl w:val="true"/>
        </w:rPr>
        <w:t>:</w:t>
      </w:r>
      <w:bookmarkEnd w:id="180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یشکل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التعلیل المذکور فی الأخبار بظاهره غیر مستقیم؛لأنّ خلافهم لیس حکما واحدا حتّی یکون هو الحقّ،و کون الحقّ و الرشد فیه بمعنی وجوده فی محتملاته لا ینفع فی الکشف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نعم،ینفع فی الأبعدیّة عن الباطل لو علم أو احتمل </w:t>
      </w:r>
      <w:bookmarkStart w:id="1801" w:name="pg12985_125380"/>
    </w:p>
    <w:p>
      <w:pPr>
        <w:pStyle w:val="BookText"/>
        <w:rPr/>
      </w:pPr>
      <w:bookmarkEnd w:id="1801"/>
      <w:r>
        <w:rPr>
          <w:rFonts w:ascii="IRNazanin" w:hAnsi="IRNazanin" w:eastAsia="IRNazanin"/>
          <w:color w:val="111111"/>
          <w:sz w:val="28"/>
          <w:sz w:val="28"/>
          <w:szCs w:val="28"/>
          <w:rtl w:val="true"/>
          <w:lang w:bidi="fa-IR"/>
        </w:rPr>
        <w:t>غلبة الباطل علی أحکامهم و کون الحقّ فیها نادرا،لکنّه خلاف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بصیر المتقدّمة </w:t>
      </w:r>
      <w:r>
        <w:rPr>
          <w:rStyle w:val="FootnoteAnchor"/>
          <w:rtl w:val="true"/>
        </w:rPr>
        <w:footnoteReference w:id="1728"/>
      </w:r>
      <w:r>
        <w:rPr>
          <w:rFonts w:ascii="IRNazanin" w:hAnsi="IRNazanin" w:eastAsia="IRNazanin"/>
          <w:color w:val="111111"/>
          <w:sz w:val="28"/>
          <w:sz w:val="28"/>
          <w:szCs w:val="28"/>
          <w:rtl w:val="true"/>
          <w:lang w:bidi="fa-IR"/>
        </w:rPr>
        <w:t>و إن تأکّد مضمونها بالحلف،لکن لا بدّ من توجیهها،فیرجع الأمر إلی التعبّد بعلّة الحکم،و هو أبعد من التعبّد بنفس الحکم</w:t>
      </w:r>
      <w:r>
        <w:rPr>
          <w:rFonts w:eastAsia="IRNazanin" w:cs="IRNazanin"/>
          <w:color w:val="111111"/>
          <w:sz w:val="28"/>
          <w:szCs w:val="28"/>
          <w:rtl w:val="true"/>
          <w:lang w:bidi="fa-IR"/>
        </w:rPr>
        <w:t>.</w:t>
      </w:r>
    </w:p>
    <w:p>
      <w:pPr>
        <w:pStyle w:val="Heading6"/>
        <w:numPr>
          <w:ilvl w:val="5"/>
          <w:numId w:val="1"/>
        </w:numPr>
        <w:rPr/>
      </w:pPr>
      <w:bookmarkStart w:id="1802" w:name="__RefHeading___Toc5768213_3224264995"/>
      <w:bookmarkStart w:id="1803" w:name="_Toc715"/>
      <w:bookmarkEnd w:id="1802"/>
      <w:r>
        <w:rPr>
          <w:rtl w:val="true"/>
        </w:rPr>
        <w:t>الإشکال علی الوجه الرابع</w:t>
      </w:r>
      <w:r>
        <w:rPr>
          <w:rtl w:val="true"/>
        </w:rPr>
        <w:t>:</w:t>
      </w:r>
      <w:bookmarkEnd w:id="1803"/>
    </w:p>
    <w:p>
      <w:pPr>
        <w:pStyle w:val="BookText"/>
        <w:rPr/>
      </w:pPr>
      <w:r>
        <w:rPr>
          <w:rFonts w:ascii="IRNazanin" w:hAnsi="IRNazanin" w:eastAsia="IRNazanin"/>
          <w:color w:val="111111"/>
          <w:sz w:val="28"/>
          <w:sz w:val="28"/>
          <w:szCs w:val="28"/>
          <w:rtl w:val="true"/>
          <w:lang w:bidi="fa-IR"/>
        </w:rPr>
        <w:t>و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دلالة الخبر المذکور علیه لا یخلو عن خفاء؛ لاحتمال أن یکون المراد من شباهة أحد الخبرین بقول الناس کونه متفرّعا علی قواعدهم الباطلة،مثل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الخطأ علی المعصومین من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الجبر و التفویض،و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اطلق الشباهة علی هذا المعنی فی بعض أخبار العرض علی الکتاب و السنّة،حیث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أشبههما فهو حقّ،و إن لم یشبههما فهو باطل</w:t>
      </w:r>
      <w:r>
        <w:rPr>
          <w:rFonts w:eastAsia="IRNazanin" w:cs="IRNazanin"/>
          <w:color w:val="111111"/>
          <w:sz w:val="28"/>
          <w:szCs w:val="28"/>
          <w:rtl w:val="true"/>
          <w:lang w:bidi="fa-IR"/>
        </w:rPr>
        <w:t xml:space="preserve">» </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أولی من حمل القضیّة علی الغلبة لا الدوام بعد تسلیم الغلبة</w:t>
      </w:r>
      <w:r>
        <w:rPr>
          <w:rFonts w:eastAsia="IRNazanin" w:cs="IRNazanin"/>
          <w:color w:val="111111"/>
          <w:sz w:val="28"/>
          <w:szCs w:val="28"/>
          <w:rtl w:val="true"/>
          <w:lang w:bidi="fa-IR"/>
        </w:rPr>
        <w:t>.</w:t>
      </w:r>
    </w:p>
    <w:p>
      <w:pPr>
        <w:pStyle w:val="Heading6"/>
        <w:numPr>
          <w:ilvl w:val="5"/>
          <w:numId w:val="1"/>
        </w:numPr>
        <w:rPr/>
      </w:pPr>
      <w:bookmarkStart w:id="1804" w:name="__RefHeading___Toc5768215_3224264995"/>
      <w:bookmarkStart w:id="1805" w:name="_Toc716"/>
      <w:bookmarkEnd w:id="1804"/>
      <w:r>
        <w:rPr>
          <w:rtl w:val="true"/>
        </w:rPr>
        <w:t>توجیه الوجه الثانی</w:t>
      </w:r>
      <w:r>
        <w:rPr>
          <w:rtl w:val="true"/>
        </w:rPr>
        <w:t>:</w:t>
      </w:r>
      <w:bookmarkEnd w:id="1805"/>
    </w:p>
    <w:p>
      <w:pPr>
        <w:pStyle w:val="BookText"/>
        <w:rPr/>
      </w:pPr>
      <w:r>
        <w:rPr>
          <w:rFonts w:ascii="IRNazanin" w:hAnsi="IRNazanin" w:eastAsia="IRNazanin"/>
          <w:color w:val="111111"/>
          <w:sz w:val="28"/>
          <w:sz w:val="28"/>
          <w:szCs w:val="28"/>
          <w:rtl w:val="true"/>
          <w:lang w:bidi="fa-IR"/>
        </w:rPr>
        <w:t>و یمکن دفع الإشکال فی الوجه الثانی عن التعلیل فی الأخبار، بوروده علی الغالب من انحصار الفتوی فی المسألة فی الوجهین؛لأنّ الغالب أنّ الوجوه فی المسألة إذا کثرت کانت العامّة مختلفین،و مع اتّفاقهم لا یکون فی المسألة وجوه متعدّدة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أیضا الالتزام بما ذکرنا سابقا </w:t>
      </w:r>
      <w:r>
        <w:rPr>
          <w:rStyle w:val="FootnoteAnchor"/>
          <w:rtl w:val="true"/>
        </w:rPr>
        <w:footnoteReference w:id="1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غلبة الباطل فی أقوالهم، علی ما صرّح به فی روایة الأرجائیّ المتقدّمة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منها ما حکی </w:t>
      </w:r>
      <w:bookmarkStart w:id="1806" w:name="pg12985_125381"/>
    </w:p>
    <w:p>
      <w:pPr>
        <w:pStyle w:val="BookText"/>
        <w:rPr/>
      </w:pPr>
      <w:bookmarkEnd w:id="1806"/>
      <w:r>
        <w:rPr>
          <w:rFonts w:ascii="IRNazanin" w:hAnsi="IRNazanin" w:eastAsia="IRNazanin"/>
          <w:color w:val="111111"/>
          <w:sz w:val="28"/>
          <w:sz w:val="28"/>
          <w:szCs w:val="28"/>
          <w:rtl w:val="true"/>
          <w:lang w:bidi="fa-IR"/>
        </w:rPr>
        <w:t>عن أبی حنیفة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جعفرا فی کلّ ما یقول،إلاّ أنّی لا أدری أنّه یغمض عینیه فی الرکوع و السجود أو یفتحهما</w:t>
      </w:r>
      <w:r>
        <w:rPr>
          <w:rFonts w:eastAsia="IRNazanin" w:cs="IRNazanin"/>
          <w:color w:val="111111"/>
          <w:sz w:val="28"/>
          <w:szCs w:val="28"/>
          <w:rtl w:val="true"/>
          <w:lang w:bidi="fa-IR"/>
        </w:rPr>
        <w:t xml:space="preserve">» </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خلافهم أبعد من الباطل</w:t>
      </w:r>
      <w:r>
        <w:rPr>
          <w:rFonts w:eastAsia="IRNazanin" w:cs="IRNazanin"/>
          <w:color w:val="111111"/>
          <w:sz w:val="28"/>
          <w:szCs w:val="28"/>
          <w:rtl w:val="true"/>
          <w:lang w:bidi="fa-IR"/>
        </w:rPr>
        <w:t>.</w:t>
      </w:r>
    </w:p>
    <w:p>
      <w:pPr>
        <w:pStyle w:val="Heading6"/>
        <w:numPr>
          <w:ilvl w:val="5"/>
          <w:numId w:val="1"/>
        </w:numPr>
        <w:rPr/>
      </w:pPr>
      <w:bookmarkStart w:id="1807" w:name="__RefHeading___Toc5768217_3224264995"/>
      <w:bookmarkStart w:id="1808" w:name="_Toc717"/>
      <w:bookmarkEnd w:id="1807"/>
      <w:r>
        <w:rPr>
          <w:rtl w:val="true"/>
        </w:rPr>
        <w:t>توجیه الوجه الرابع</w:t>
      </w:r>
      <w:r>
        <w:rPr>
          <w:rtl w:val="true"/>
        </w:rPr>
        <w:t>:</w:t>
      </w:r>
      <w:bookmarkEnd w:id="1808"/>
    </w:p>
    <w:p>
      <w:pPr>
        <w:pStyle w:val="BookText"/>
        <w:rPr/>
      </w:pPr>
      <w:r>
        <w:rPr>
          <w:rFonts w:ascii="IRNazanin" w:hAnsi="IRNazanin" w:eastAsia="IRNazanin"/>
          <w:color w:val="111111"/>
          <w:sz w:val="28"/>
          <w:sz w:val="28"/>
          <w:szCs w:val="28"/>
          <w:rtl w:val="true"/>
          <w:lang w:bidi="fa-IR"/>
        </w:rPr>
        <w:t>و یمکن توجیه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انحصار دلیله فی الروایة المذکورة،بل الوجه فیه هو ما تقرّر فی باب التراجیح و استفید من النصوص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حصول الترجیح بکلّ مزیّة فی أحد الخبرین یوجب کونه أقلّ أو أبعد احتمالا لمخالفة الواقع من الخبر الآخر،و معلوم أنّ الخبر المخالف لا یحتمل فیه التقیّة،کما یحتمل فی الموافق،علی ما تقدّم من المحقّق قدّس سرّه </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 المشهور من حمل الخبر الموافق علی التقیّة لیس کون الموافقة أمارة علی صدور الخبر تقیّة،بل المراد أنّ الخبرین لمّا اشترکا فی جمیع الجهات المحتملة لخلاف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احتمال الصدور تقیّة المختصّ بالخبر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العمل بالمخالف و انحصر محمل الخبر الموافق المطروح فی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أورده المحقّق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معارضة احتمال التقیّة باحتمال الفتوی علی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فیما إذا اشترک الخبران فی جمیع الاحتمالات المتطرّقة فی السند و المتن و الدلالة،فاحتمال الفتوی علی التأویل مشترک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کیف،و لو فرض اختصاص الخبر المخالف باحتمال التأویل و عدم تطرّقه فی الخبر الموافق،کان اللازم ارتکاب التأویل فی الخبر المخالف؛لما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أنّ النصّ و الظاهر لا یرجع فیهما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صاحب المعالم عن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احتمال التقیّة فی کلامهم أقرب و أغلب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إشعاره بتسلیم ما ذکره المحقّق،من معارضة احتمال التقیّة فی الموافق باحتمال التأویل،مع ما عرفت،من خروج ذلک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أغلبیّة التقیّة فی الأخبار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ذکرنا من الوجه فی رجحان الخبر المخالف مختصّ بالمتباینین،و أمّا فی ما کان من قبیل العامّین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لکلّ واحد منهما ظاهر یمکن الجمع بینهما بصرفه عن ظاهره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الأمر بین حمل الموافق منهما علی التقیّة،و الحکم بتأویل أحدهما لیجتمع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الأمر بغسل الثوب من أبوال ما لا یؤکل لحمه، 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 الأمر بین حمل الثانی علی التقیّة،و بین الحکم بتخصیص أحدهما لا بعینه،فلا وجه لترجیح التقیّة لکونها فی کلام الأئمّة علیهم السّلام أغلب من التخصیص</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الترجیح بمخالفة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تقدّم </w:t>
      </w:r>
      <w:r>
        <w:rPr>
          <w:rStyle w:val="FootnoteAnchor"/>
          <w:rtl w:val="true"/>
        </w:rPr>
        <w:footnoteReference w:id="1736"/>
      </w:r>
      <w:r>
        <w:rPr>
          <w:rFonts w:ascii="IRNazanin" w:hAnsi="IRNazanin" w:eastAsia="IRNazanin"/>
          <w:color w:val="111111"/>
          <w:sz w:val="28"/>
          <w:sz w:val="28"/>
          <w:szCs w:val="28"/>
          <w:rtl w:val="true"/>
          <w:lang w:bidi="fa-IR"/>
        </w:rPr>
        <w:t>،من جریان هذا المرجّح و شبهه فی هذا القسم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تقدّم </w:t>
      </w:r>
      <w:r>
        <w:rPr>
          <w:rStyle w:val="FootnoteAnchor"/>
          <w:rtl w:val="true"/>
        </w:rPr>
        <w:footnoteReference w:id="1737"/>
      </w:r>
      <w:r>
        <w:rPr>
          <w:rFonts w:ascii="IRNazanin" w:hAnsi="IRNazanin" w:eastAsia="IRNazanin"/>
          <w:color w:val="111111"/>
          <w:sz w:val="28"/>
          <w:sz w:val="28"/>
          <w:szCs w:val="28"/>
          <w:rtl w:val="true"/>
          <w:lang w:bidi="fa-IR"/>
        </w:rPr>
        <w:t xml:space="preserve">،من وجوب الترجیح بکلّ مزیّة فی أحد المتعارضین،و هذا </w:t>
      </w:r>
      <w:bookmarkStart w:id="1809" w:name="pg12985_125383"/>
    </w:p>
    <w:p>
      <w:pPr>
        <w:pStyle w:val="BookText"/>
        <w:rPr/>
      </w:pPr>
      <w:bookmarkEnd w:id="1809"/>
      <w:r>
        <w:rPr>
          <w:rFonts w:ascii="IRNazanin" w:hAnsi="IRNazanin" w:eastAsia="IRNazanin"/>
          <w:color w:val="111111"/>
          <w:sz w:val="28"/>
          <w:sz w:val="28"/>
          <w:szCs w:val="28"/>
          <w:rtl w:val="true"/>
          <w:lang w:bidi="fa-IR"/>
        </w:rPr>
        <w:t xml:space="preserve">موجود فیما نحن فیه؛لأنّ احتمال مخالفة الظاهر قائم فی کلّ منهما، و المخالف للعامّة مختصّ بمزیّة مفقودة فی الآخر،و هو عدم احتمال الصدور تقیّة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0" w:name="__RefHeading___Toc5768219_3224264995"/>
      <w:bookmarkStart w:id="1811" w:name="_Toc718"/>
      <w:bookmarkEnd w:id="1810"/>
      <w:r>
        <w:rPr>
          <w:rtl w:val="true"/>
        </w:rPr>
        <w:t>تلخیص ما ذکرنا</w:t>
      </w:r>
      <w:r>
        <w:rPr>
          <w:rtl w:val="true"/>
        </w:rPr>
        <w:t>:</w:t>
      </w:r>
      <w:bookmarkEnd w:id="1811"/>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الترجیح بالمخالفة من 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أبعد من الباطل و أقرب إلی الواقع،فیکون مخالفة الجمهور نظیر موافقة المشهور من المرجّحات المضمونیّة،علی ما یظهر من أکثر </w:t>
      </w:r>
      <w:r>
        <w:rPr>
          <w:rStyle w:val="FootnoteAnchor"/>
          <w:rtl w:val="true"/>
        </w:rPr>
        <w:footnoteReference w:id="1739"/>
      </w:r>
      <w:r>
        <w:rPr>
          <w:rFonts w:ascii="IRNazanin" w:hAnsi="IRNazanin" w:eastAsia="IRNazanin"/>
          <w:color w:val="111111"/>
          <w:sz w:val="28"/>
          <w:sz w:val="28"/>
          <w:szCs w:val="28"/>
          <w:rtl w:val="true"/>
          <w:lang w:bidi="fa-IR"/>
        </w:rPr>
        <w:t>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کون المخالف ذا مزیّة؛لعدم </w:t>
      </w:r>
      <w:r>
        <w:rPr>
          <w:rStyle w:val="FootnoteAnchor"/>
          <w:rtl w:val="true"/>
        </w:rPr>
        <w:footnoteReference w:id="1740"/>
      </w:r>
      <w:r>
        <w:rPr>
          <w:rFonts w:ascii="IRNazanin" w:hAnsi="IRNazanin" w:eastAsia="IRNazanin"/>
          <w:color w:val="111111"/>
          <w:sz w:val="28"/>
          <w:sz w:val="28"/>
          <w:szCs w:val="28"/>
          <w:rtl w:val="true"/>
          <w:lang w:bidi="fa-IR"/>
        </w:rPr>
        <w:t>احتمال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دلّ علی الترجیح بشهرة الروایة معلّلا بأنّه لا ریب فیه، بالتقریب المتقدّم سابقا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الثمرة بین هذین الوجهین تظهر لک فی ما یأتی إن شاء اللّه تعالی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bookmarkStart w:id="1812" w:name="pg12985_125384"/>
    </w:p>
    <w:p>
      <w:pPr>
        <w:pStyle w:val="Heading6"/>
        <w:numPr>
          <w:ilvl w:val="5"/>
          <w:numId w:val="1"/>
        </w:numPr>
        <w:rPr/>
      </w:pPr>
      <w:bookmarkStart w:id="1813" w:name="__RefHeading___Toc5768221_3224264995"/>
      <w:bookmarkStart w:id="1814" w:name="_Toc719"/>
      <w:bookmarkEnd w:id="1812"/>
      <w:bookmarkEnd w:id="1813"/>
      <w:r>
        <w:rPr>
          <w:rtl w:val="true"/>
        </w:rPr>
        <w:t>بقی فی هذا المقام امور</w:t>
      </w:r>
      <w:r>
        <w:rPr>
          <w:rtl w:val="true"/>
        </w:rPr>
        <w:t>:</w:t>
      </w:r>
      <w:bookmarkEnd w:id="1814"/>
    </w:p>
    <w:p>
      <w:pPr>
        <w:pStyle w:val="Heading6"/>
        <w:numPr>
          <w:ilvl w:val="5"/>
          <w:numId w:val="1"/>
        </w:numPr>
        <w:rPr/>
      </w:pPr>
      <w:bookmarkStart w:id="1815" w:name="__RefHeading___Toc5768223_3224264995"/>
      <w:bookmarkStart w:id="1816" w:name="_Toc720"/>
      <w:bookmarkEnd w:id="1815"/>
      <w:r>
        <w:rPr>
          <w:rtl w:val="true"/>
        </w:rPr>
        <w:t>الأوّل حمل موارد التقیّة علی التوریة</w:t>
      </w:r>
      <w:r>
        <w:rPr>
          <w:rtl w:val="true"/>
        </w:rPr>
        <w:t>:</w:t>
      </w:r>
      <w:bookmarkEnd w:id="1816"/>
    </w:p>
    <w:p>
      <w:pPr>
        <w:pStyle w:val="BookText"/>
        <w:rPr/>
      </w:pPr>
      <w:r>
        <w:rPr>
          <w:rFonts w:ascii="IRNazanin" w:hAnsi="IRNazanin" w:eastAsia="IRNazanin"/>
          <w:color w:val="111111"/>
          <w:sz w:val="28"/>
          <w:sz w:val="28"/>
          <w:szCs w:val="28"/>
          <w:rtl w:val="true"/>
          <w:lang w:bidi="fa-IR"/>
        </w:rPr>
        <w:t>أنّ الخبر الصادر تقیّة،یحتمل أن یراد به ظاهره فیکون من الکذب المجوّز لمصلحة،و یحتمل أن یراد منه تأویل مختف علی المخاطب فیکون من قبیل التوریة،و هذا ألیق بالإمام علیه السّلام،بل هو اللائق؛إذا قلنا بحرمة الکذب مع التمکّن من التوریة</w:t>
      </w:r>
      <w:r>
        <w:rPr>
          <w:rFonts w:eastAsia="IRNazanin" w:cs="IRNazanin"/>
          <w:color w:val="111111"/>
          <w:sz w:val="28"/>
          <w:szCs w:val="28"/>
          <w:rtl w:val="true"/>
          <w:lang w:bidi="fa-IR"/>
        </w:rPr>
        <w:t>.</w:t>
      </w:r>
    </w:p>
    <w:p>
      <w:pPr>
        <w:pStyle w:val="Heading6"/>
        <w:numPr>
          <w:ilvl w:val="5"/>
          <w:numId w:val="1"/>
        </w:numPr>
        <w:rPr/>
      </w:pPr>
      <w:bookmarkStart w:id="1817" w:name="__RefHeading___Toc5768225_3224264995"/>
      <w:bookmarkStart w:id="1818" w:name="_Toc721"/>
      <w:bookmarkEnd w:id="1817"/>
      <w:r>
        <w:rPr>
          <w:rtl w:val="true"/>
        </w:rPr>
        <w:t>الثانی ما أفاده المحدّث البحرانی فی منشأ التقیّة</w:t>
      </w:r>
      <w:r>
        <w:rPr>
          <w:rtl w:val="true"/>
        </w:rPr>
        <w:t>:</w:t>
      </w:r>
      <w:bookmarkEnd w:id="1818"/>
    </w:p>
    <w:p>
      <w:pPr>
        <w:pStyle w:val="BookText"/>
        <w:rPr/>
      </w:pPr>
      <w:r>
        <w:rPr>
          <w:rFonts w:ascii="IRNazanin" w:hAnsi="IRNazanin" w:eastAsia="IRNazanin"/>
          <w:color w:val="111111"/>
          <w:sz w:val="28"/>
          <w:sz w:val="28"/>
          <w:szCs w:val="28"/>
          <w:rtl w:val="true"/>
          <w:lang w:bidi="fa-IR"/>
        </w:rPr>
        <w:t>أنّ بعض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یشترط فی التقیّة موافقة الخبر لمذهب العامّة؛لأخبار تخیّلها دالّة علی مدّعاه،سلیمة عمّا هو صریح فی خلاف ما ادّعاه،إلاّ أنّ الحمل علی التقیّة فی مقام الترجیح لا یکون إلاّ مع موافقة أحدهما؛إذ لا یعقل حمل أحدهما بالخصوص علی التقیّة إذا </w:t>
      </w:r>
      <w:r>
        <w:rPr>
          <w:rStyle w:val="FootnoteAnchor"/>
          <w:rtl w:val="true"/>
        </w:rPr>
        <w:footnoteReference w:id="1743"/>
      </w:r>
      <w:r>
        <w:rPr>
          <w:rFonts w:ascii="IRNazanin" w:hAnsi="IRNazanin" w:eastAsia="IRNazanin"/>
          <w:color w:val="111111"/>
          <w:sz w:val="28"/>
          <w:sz w:val="28"/>
          <w:szCs w:val="28"/>
          <w:rtl w:val="true"/>
          <w:lang w:bidi="fa-IR"/>
        </w:rPr>
        <w:t>کانا مخالفین لهم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المحدّث المذکور لیس الحمل علی التقیّة مع عدم الموافقة فی مقام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أورده علیه بعض الأساطین </w:t>
      </w:r>
      <w:r>
        <w:rPr>
          <w:rStyle w:val="FootnoteAnchor"/>
          <w:rtl w:val="true"/>
        </w:rPr>
        <w:footnoteReference w:id="1744"/>
      </w:r>
      <w:r>
        <w:rPr>
          <w:rFonts w:ascii="IRNazanin" w:hAnsi="IRNazanin" w:eastAsia="IRNazanin"/>
          <w:color w:val="111111"/>
          <w:sz w:val="28"/>
          <w:sz w:val="28"/>
          <w:szCs w:val="28"/>
          <w:rtl w:val="true"/>
          <w:lang w:bidi="fa-IR"/>
        </w:rPr>
        <w:t xml:space="preserve">فی جملة المطاعن علی </w:t>
      </w:r>
      <w:bookmarkStart w:id="1819" w:name="pg12985_125385"/>
    </w:p>
    <w:p>
      <w:pPr>
        <w:pStyle w:val="BookText"/>
        <w:rPr/>
      </w:pPr>
      <w:bookmarkEnd w:id="1819"/>
      <w:r>
        <w:rPr>
          <w:rFonts w:ascii="IRNazanin" w:hAnsi="IRNazanin" w:eastAsia="IRNazanin"/>
          <w:color w:val="111111"/>
          <w:sz w:val="28"/>
          <w:sz w:val="28"/>
          <w:szCs w:val="28"/>
          <w:rtl w:val="true"/>
          <w:lang w:bidi="fa-IR"/>
        </w:rPr>
        <w:t>ما ذهب إلیه من عدم اشتراط الموافقة فی الحمل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المحدّث المذکور لمّا أثبت فی المقدّمة الاولی من مقدّمات الحدائق خلوّ الأخبار عن الأخبار المکذوبة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لتنقیحها و تصحیحها فی الأزمنة المتأخّرة،بعد أن کانت مغشوشة مدسوسة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هذه الأخبار المتعارضة التی لا تکاد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فی المقدّمة الثانیة دفع هذا السؤال،بأنّ معظم الاختلاف من جهة اختلاف کلمات الأئمة علیهم السّلام مع المخاطبین،و أنّ الاختلاف إنّما هو منهم علیهم السّلام،و استشهد علی ذلک بأخبار زعمها دالّة علی أنّ التقیّة کما تحصل ببیان ما یوافق العامّة، کذلک تحصل بمجرّد إلقاء الخلاف بین الشیعة؛کیلا یعرفوا فیؤخذ برقابهم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0" w:name="__RefHeading___Toc5768227_3224264995"/>
      <w:bookmarkStart w:id="1821" w:name="_Toc722"/>
      <w:bookmarkEnd w:id="1820"/>
      <w:r>
        <w:rPr>
          <w:rtl w:val="true"/>
        </w:rPr>
        <w:t>المناقشة فیما أفاده المحدّث البحرانی</w:t>
      </w:r>
      <w:r>
        <w:rPr>
          <w:rtl w:val="true"/>
        </w:rPr>
        <w:t>:</w:t>
      </w:r>
      <w:bookmarkEnd w:id="1821"/>
    </w:p>
    <w:p>
      <w:pPr>
        <w:pStyle w:val="BookText"/>
        <w:rPr/>
      </w:pPr>
      <w:r>
        <w:rPr>
          <w:rFonts w:ascii="IRNazanin" w:hAnsi="IRNazanin" w:eastAsia="IRNazanin"/>
          <w:color w:val="111111"/>
          <w:sz w:val="28"/>
          <w:sz w:val="28"/>
          <w:szCs w:val="28"/>
          <w:rtl w:val="true"/>
          <w:lang w:bidi="fa-IR"/>
        </w:rPr>
        <w:t xml:space="preserve">و هذا الکلام ضعیف؛لأنّ الغالب اندفاع الخوف بإظهار الموافقة مع الأعداء،و أمّا الاندفاع بمجرّد رؤیة </w:t>
      </w:r>
      <w:r>
        <w:rPr>
          <w:rStyle w:val="FootnoteAnchor"/>
          <w:rtl w:val="true"/>
        </w:rPr>
        <w:footnoteReference w:id="1746"/>
      </w:r>
      <w:r>
        <w:rPr>
          <w:rFonts w:ascii="IRNazanin" w:hAnsi="IRNazanin" w:eastAsia="IRNazanin"/>
          <w:color w:val="111111"/>
          <w:sz w:val="28"/>
          <w:sz w:val="28"/>
          <w:szCs w:val="28"/>
          <w:rtl w:val="true"/>
          <w:lang w:bidi="fa-IR"/>
        </w:rPr>
        <w:t xml:space="preserve">الشیعة مختلفین مع اتّفاقهم علی مخالفتهم،فهو و إن أمکن حصوله أحیانا،لکنّه نادر جدّا،فلا یصار إلیه فی جلّ الأخبار المتخالفة </w:t>
      </w:r>
      <w:r>
        <w:rPr>
          <w:rStyle w:val="FootnoteAnchor"/>
          <w:rtl w:val="true"/>
        </w:rPr>
        <w:footnoteReference w:id="1747"/>
      </w:r>
      <w:r>
        <w:rPr>
          <w:rFonts w:ascii="IRNazanin" w:hAnsi="IRNazanin" w:eastAsia="IRNazanin"/>
          <w:color w:val="111111"/>
          <w:sz w:val="28"/>
          <w:sz w:val="28"/>
          <w:szCs w:val="28"/>
          <w:rtl w:val="true"/>
          <w:lang w:bidi="fa-IR"/>
        </w:rPr>
        <w:t xml:space="preserve">،مضافا إلی مخالفته لظاهر قوله علیه السّلام فی الروایة المتقدّمة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منّی یشبه قول الناس ففیه التقیّة،و ما سمعت منّی لا یشبه قول الناس فلا تقیّة فیه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القطع بصدور جمیع الأخبار </w:t>
      </w:r>
      <w:bookmarkStart w:id="1822" w:name="pg12985_125386"/>
    </w:p>
    <w:p>
      <w:pPr>
        <w:pStyle w:val="BookText"/>
        <w:rPr/>
      </w:pPr>
      <w:bookmarkEnd w:id="1822"/>
      <w:r>
        <w:rPr>
          <w:rFonts w:ascii="IRNazanin" w:hAnsi="IRNazanin" w:eastAsia="IRNazanin"/>
          <w:color w:val="111111"/>
          <w:sz w:val="28"/>
          <w:sz w:val="28"/>
          <w:szCs w:val="28"/>
          <w:rtl w:val="true"/>
          <w:lang w:bidi="fa-IR"/>
        </w:rPr>
        <w:t xml:space="preserve">التی بأیدینا،علی ما توهّمه بعض الأخباریّین </w:t>
      </w:r>
      <w:r>
        <w:rPr>
          <w:rStyle w:val="FootnoteAnchor"/>
          <w:rtl w:val="true"/>
        </w:rPr>
        <w:footnoteReference w:id="1749"/>
      </w:r>
      <w:r>
        <w:rPr>
          <w:rFonts w:ascii="IRNazanin" w:hAnsi="IRNazanin" w:eastAsia="IRNazanin"/>
          <w:color w:val="111111"/>
          <w:sz w:val="28"/>
          <w:sz w:val="28"/>
          <w:szCs w:val="28"/>
          <w:rtl w:val="true"/>
          <w:lang w:bidi="fa-IR"/>
        </w:rPr>
        <w:t>،أو الظنّ بصدور جمیعها إلاّ قلیلا فی غایة القلّة،کما یقتضیه الإنصاف ممّن اطّلع علی کیفیّة تنقیح الأخبار و ضبطها فی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w:t>
      </w:r>
    </w:p>
    <w:p>
      <w:pPr>
        <w:pStyle w:val="Heading6"/>
        <w:numPr>
          <w:ilvl w:val="5"/>
          <w:numId w:val="1"/>
        </w:numPr>
        <w:rPr/>
      </w:pPr>
      <w:bookmarkStart w:id="1823" w:name="__RefHeading___Toc5768229_3224264995"/>
      <w:bookmarkStart w:id="1824" w:name="_Toc723"/>
      <w:bookmarkEnd w:id="1823"/>
      <w:r>
        <w:rPr>
          <w:rtl w:val="true"/>
        </w:rPr>
        <w:t>منشأ اختلاف الروایات</w:t>
      </w:r>
      <w:r>
        <w:rPr>
          <w:rtl w:val="true"/>
        </w:rPr>
        <w:t>:</w:t>
      </w:r>
      <w:bookmarkEnd w:id="1824"/>
    </w:p>
    <w:p>
      <w:pPr>
        <w:pStyle w:val="BookText"/>
        <w:rPr/>
      </w:pPr>
      <w:r>
        <w:rPr>
          <w:rFonts w:ascii="IRNazanin" w:hAnsi="IRNazanin" w:eastAsia="IRNazanin"/>
          <w:color w:val="111111"/>
          <w:sz w:val="28"/>
          <w:sz w:val="28"/>
          <w:szCs w:val="28"/>
          <w:rtl w:val="true"/>
          <w:lang w:bidi="fa-IR"/>
        </w:rPr>
        <w:t xml:space="preserve">إنّ عمدة الاختلاف إنّما هی کثرة إرادة خلاف الظواهر فی الأخبار إمّا بقرائن متّصلة اختفت علینا من جهة تقطیع الأخبار أو نقلها بالمعنی،أو منفصلة مختفیة من جهة کونها حالیّة </w:t>
      </w:r>
      <w:r>
        <w:rPr>
          <w:rStyle w:val="FootnoteAnchor"/>
          <w:rtl w:val="true"/>
        </w:rPr>
        <w:footnoteReference w:id="1750"/>
      </w:r>
      <w:r>
        <w:rPr>
          <w:rFonts w:ascii="IRNazanin" w:hAnsi="IRNazanin" w:eastAsia="IRNazanin"/>
          <w:color w:val="111111"/>
          <w:sz w:val="28"/>
          <w:sz w:val="28"/>
          <w:szCs w:val="28"/>
          <w:rtl w:val="true"/>
          <w:lang w:bidi="fa-IR"/>
        </w:rPr>
        <w:t xml:space="preserve">معلومة للمخاطبین أو مقالیّة اختفت بالانطماس،و إمّا بغیر القرینة لمصلحة یراها الإمام علیه السّلام من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اخترناه </w:t>
      </w:r>
      <w:r>
        <w:rPr>
          <w:rStyle w:val="FootnoteAnchor"/>
          <w:rtl w:val="true"/>
        </w:rPr>
        <w:footnoteReference w:id="1751"/>
      </w:r>
      <w:r>
        <w:rPr>
          <w:rFonts w:ascii="IRNazanin" w:hAnsi="IRNazanin" w:eastAsia="IRNazanin"/>
          <w:color w:val="111111"/>
          <w:sz w:val="28"/>
          <w:sz w:val="28"/>
          <w:szCs w:val="28"/>
          <w:rtl w:val="true"/>
          <w:lang w:bidi="fa-IR"/>
        </w:rPr>
        <w:t>،من أنّ التقیّة علی وجه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التقیّة من المصالح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ینظر ما فعله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الاستبصار </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إظهار إمکان الجمع بین متعارضات الأخبار،بإخراج أحد المتعارضین أو کلیهما عن ظاهره إلی معنی بعید</w:t>
      </w:r>
      <w:r>
        <w:rPr>
          <w:rFonts w:eastAsia="IRNazanin" w:cs="IRNazanin"/>
          <w:color w:val="111111"/>
          <w:sz w:val="28"/>
          <w:szCs w:val="28"/>
          <w:rtl w:val="true"/>
          <w:lang w:bidi="fa-IR"/>
        </w:rPr>
        <w:t>.</w:t>
      </w:r>
    </w:p>
    <w:p>
      <w:pPr>
        <w:pStyle w:val="Heading6"/>
        <w:numPr>
          <w:ilvl w:val="5"/>
          <w:numId w:val="1"/>
        </w:numPr>
        <w:rPr/>
      </w:pPr>
      <w:bookmarkStart w:id="1825" w:name="__RefHeading___Toc5768231_3224264995"/>
      <w:bookmarkStart w:id="1826" w:name="_Toc724"/>
      <w:bookmarkEnd w:id="1825"/>
      <w:r>
        <w:rPr>
          <w:rtl w:val="true"/>
        </w:rPr>
        <w:t>إرادة المحامل و التأویلات البعیدة فی الأخبار</w:t>
      </w:r>
      <w:r>
        <w:rPr>
          <w:rtl w:val="true"/>
        </w:rPr>
        <w:t>:</w:t>
      </w:r>
      <w:bookmarkEnd w:id="182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یظهر من الأخبار محامل و تأویلات أبعد بمراتب ممّا ذکره </w:t>
      </w:r>
    </w:p>
    <w:p>
      <w:pPr>
        <w:pStyle w:val="BookText"/>
        <w:rPr/>
      </w:pPr>
      <w:r>
        <w:rPr>
          <w:rFonts w:ascii="IRNazanin" w:hAnsi="IRNazanin" w:eastAsia="IRNazanin"/>
          <w:color w:val="111111"/>
          <w:sz w:val="28"/>
          <w:sz w:val="28"/>
          <w:szCs w:val="28"/>
          <w:rtl w:val="true"/>
          <w:lang w:bidi="fa-IR"/>
        </w:rPr>
        <w:t xml:space="preserve">الشیخ،تشهد بأنّ ما ذکره الشیخ من المحامل غیر بعید عن مراد الإمام علیه السّلام،و إن بعدت عن ظاهر الکلام إن لم </w:t>
      </w:r>
      <w:r>
        <w:rPr>
          <w:rStyle w:val="FootnoteAnchor"/>
          <w:rtl w:val="true"/>
        </w:rPr>
        <w:footnoteReference w:id="1753"/>
      </w:r>
      <w:r>
        <w:rPr>
          <w:rFonts w:ascii="IRNazanin" w:hAnsi="IRNazanin" w:eastAsia="IRNazanin"/>
          <w:color w:val="111111"/>
          <w:sz w:val="28"/>
          <w:sz w:val="28"/>
          <w:szCs w:val="28"/>
          <w:rtl w:val="true"/>
          <w:lang w:bidi="fa-IR"/>
        </w:rPr>
        <w:t>یظهر فیه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بعضهم صلوات اللّه علیهم،لمّا سأله بعض أهل العراق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آیة تقرأ فی صلاة الزوال؟فقال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السائل،فقال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یظنّ أنّه من أهل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بذلک و ما هذه الآیات؟فقال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منها ما یقرأ فی نافلة الزوال،فإنّ الحمد و التوحید لا یزید علی عشر آیات،و نافلة الزوال ثمان رکعات</w:t>
      </w:r>
      <w:r>
        <w:rPr>
          <w:rFonts w:eastAsia="IRNazanin" w:cs="IRNazanin"/>
          <w:color w:val="111111"/>
          <w:sz w:val="28"/>
          <w:szCs w:val="28"/>
          <w:rtl w:val="true"/>
          <w:lang w:bidi="fa-IR"/>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الوتر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 </w:t>
      </w:r>
      <w:r>
        <w:rPr>
          <w:rStyle w:val="FootnoteAnchor"/>
          <w:rtl w:val="true"/>
        </w:rPr>
        <w:footnoteReference w:id="1755"/>
      </w:r>
      <w:r>
        <w:rPr>
          <w:rFonts w:ascii="IRNazanin" w:hAnsi="IRNazanin" w:eastAsia="IRNazanin"/>
          <w:color w:val="111111"/>
          <w:sz w:val="28"/>
          <w:sz w:val="28"/>
          <w:szCs w:val="28"/>
          <w:rtl w:val="true"/>
          <w:lang w:bidi="fa-IR"/>
        </w:rPr>
        <w:t xml:space="preserve">السائل و استفسر </w:t>
      </w:r>
      <w:r>
        <w:rPr>
          <w:rStyle w:val="FootnoteAnchor"/>
          <w:rtl w:val="true"/>
        </w:rPr>
        <w:footnoteReference w:id="1756"/>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وجوبها علی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الشکّ بین الثلاث و الأربع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تفسیر وقت الفریضة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تطوّع فی وقت </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بزمان 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،إلی غیر ذلک ممّا یطّلع علیه المتتبّع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عمدة تنافی الأخبار لیس لأجل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ردّ الخبر و إن کان ممّا ینکر ظاهره </w:t>
      </w:r>
      <w:r>
        <w:rPr>
          <w:rStyle w:val="FootnoteAnchor"/>
          <w:rtl w:val="true"/>
        </w:rPr>
        <w:footnoteReference w:id="1761"/>
      </w:r>
      <w:r>
        <w:rPr>
          <w:rFonts w:ascii="IRNazanin" w:hAnsi="IRNazanin" w:eastAsia="IRNazanin"/>
          <w:color w:val="111111"/>
          <w:sz w:val="28"/>
          <w:sz w:val="28"/>
          <w:szCs w:val="28"/>
          <w:rtl w:val="true"/>
          <w:lang w:bidi="fa-IR"/>
        </w:rPr>
        <w:t>، حتّی إذا قال للنهار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لیل،و 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نهار </w:t>
      </w:r>
      <w:r>
        <w:rPr>
          <w:rStyle w:val="FootnoteAnchor"/>
          <w:rtl w:val="true"/>
        </w:rPr>
        <w:footnoteReference w:id="1762"/>
      </w:r>
      <w:r>
        <w:rPr>
          <w:rFonts w:ascii="IRNazanin" w:hAnsi="IRNazanin" w:eastAsia="IRNazanin"/>
          <w:color w:val="111111"/>
          <w:sz w:val="28"/>
          <w:sz w:val="28"/>
          <w:szCs w:val="28"/>
          <w:rtl w:val="true"/>
          <w:lang w:bidi="fa-IR"/>
        </w:rPr>
        <w:t>،معلّلا ذلک بأنّه یمکن أن یکون له محمل لم یتفطّن السامع له فینکره فیکفر من حیث لا یشعر، فلو کان عمدة التنافی من جهة صدور الأخبار المنافیة بظاهرها لما فی أیدینا من الأدلّة تقیّة،لم یکن فی إنکار کونها من الإمام علیه السّلام مفسدة، فضلا عن کفر الرادّ</w:t>
      </w:r>
      <w:r>
        <w:rPr>
          <w:rFonts w:eastAsia="IRNazanin" w:cs="IRNazanin"/>
          <w:color w:val="111111"/>
          <w:sz w:val="28"/>
          <w:szCs w:val="28"/>
          <w:rtl w:val="true"/>
          <w:lang w:bidi="fa-IR"/>
        </w:rPr>
        <w:t xml:space="preserve">. </w:t>
      </w:r>
      <w:bookmarkStart w:id="1827" w:name="pg12985_125389"/>
    </w:p>
    <w:p>
      <w:pPr>
        <w:pStyle w:val="Heading6"/>
        <w:numPr>
          <w:ilvl w:val="5"/>
          <w:numId w:val="1"/>
        </w:numPr>
        <w:rPr/>
      </w:pPr>
      <w:bookmarkStart w:id="1828" w:name="__RefHeading___Toc5768233_3224264995"/>
      <w:bookmarkStart w:id="1829" w:name="_Toc725"/>
      <w:bookmarkEnd w:id="1827"/>
      <w:bookmarkEnd w:id="1828"/>
      <w:r>
        <w:rPr>
          <w:rtl w:val="true"/>
        </w:rPr>
        <w:t>الثالث أنواع التقیّة</w:t>
      </w:r>
      <w:r>
        <w:rPr>
          <w:rtl w:val="true"/>
        </w:rPr>
        <w:t>:</w:t>
      </w:r>
      <w:bookmarkEnd w:id="1829"/>
    </w:p>
    <w:p>
      <w:pPr>
        <w:pStyle w:val="BookText"/>
        <w:rPr/>
      </w:pPr>
      <w:r>
        <w:rPr>
          <w:rFonts w:ascii="IRNazanin" w:hAnsi="IRNazanin" w:eastAsia="IRNazanin"/>
          <w:color w:val="111111"/>
          <w:sz w:val="28"/>
          <w:sz w:val="28"/>
          <w:szCs w:val="28"/>
          <w:rtl w:val="true"/>
          <w:lang w:bidi="fa-IR"/>
        </w:rPr>
        <w:t>أنّ التقیّة قد تکون من فتوی العامّة،و هو الظاهر من إطلاق موافقة العامّة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أخبارهم التی رووها،و هو المصرّح به فی بعض الأخبار </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ذلک محمول علی الغالب،من کون الخبر مستندا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عملهم،و یشیر إلیه قوله علیه السّلام فی المقبولة المتقدّمة </w:t>
      </w:r>
      <w:r>
        <w:rPr>
          <w:rStyle w:val="FootnoteAnchor"/>
          <w:rtl w:val="true"/>
        </w:rPr>
        <w:footnoteReference w:id="1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إلیه أمیل قضاتهم و 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بکونه أشبه بقواعدهم و اصول دینهم و فروعه،کما یدلّ علیه الخبر المتقدّم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عرفت سابقا </w:t>
      </w:r>
      <w:r>
        <w:rPr>
          <w:rStyle w:val="FootnoteAnchor"/>
          <w:rtl w:val="true"/>
        </w:rPr>
        <w:footnoteReference w:id="1766"/>
      </w:r>
      <w:r>
        <w:rPr>
          <w:rFonts w:ascii="Amiri" w:hAnsi="Amiri" w:eastAsia="Amiri" w:cs="Amiri"/>
          <w:color w:val="111111"/>
          <w:sz w:val="28"/>
          <w:sz w:val="28"/>
          <w:szCs w:val="28"/>
          <w:rtl w:val="true"/>
          <w:lang w:bidi="ar-SA"/>
        </w:rPr>
        <w:t xml:space="preserve">قوّة احتمال إرادة </w:t>
      </w:r>
      <w:r>
        <w:rPr>
          <w:rStyle w:val="FootnoteAnchor"/>
          <w:rtl w:val="true"/>
        </w:rPr>
        <w:footnoteReference w:id="1767"/>
      </w:r>
      <w:r>
        <w:rPr>
          <w:rFonts w:ascii="IRNazanin" w:hAnsi="IRNazanin" w:eastAsia="IRNazanin"/>
          <w:color w:val="111111"/>
          <w:sz w:val="28"/>
          <w:sz w:val="28"/>
          <w:szCs w:val="28"/>
          <w:rtl w:val="true"/>
          <w:lang w:bidi="fa-IR"/>
        </w:rPr>
        <w:t>التفرّع علی قواعدهم الفاسدة، و یخرج الخبر حینئذ عن الحجّیة و لو مع عدم المعارض،کما یدلّ علیه عموم الموصول</w:t>
      </w:r>
      <w:r>
        <w:rPr>
          <w:rFonts w:eastAsia="IRNazanin" w:cs="IRNazanin"/>
          <w:color w:val="111111"/>
          <w:sz w:val="28"/>
          <w:szCs w:val="28"/>
          <w:rtl w:val="true"/>
          <w:lang w:bidi="fa-IR"/>
        </w:rPr>
        <w:t xml:space="preserve">. </w:t>
      </w:r>
      <w:bookmarkStart w:id="1830" w:name="pg12985_125390"/>
    </w:p>
    <w:p>
      <w:pPr>
        <w:pStyle w:val="Heading6"/>
        <w:numPr>
          <w:ilvl w:val="5"/>
          <w:numId w:val="1"/>
        </w:numPr>
        <w:rPr/>
      </w:pPr>
      <w:bookmarkStart w:id="1831" w:name="__RefHeading___Toc5768235_3224264995"/>
      <w:bookmarkStart w:id="1832" w:name="_Toc726"/>
      <w:bookmarkEnd w:id="1830"/>
      <w:bookmarkEnd w:id="1831"/>
      <w:r>
        <w:rPr>
          <w:rtl w:val="true"/>
        </w:rPr>
        <w:t>الرابع الملاک فی مرجّحیة التقیّة</w:t>
      </w:r>
      <w:r>
        <w:rPr>
          <w:rtl w:val="true"/>
        </w:rPr>
        <w:t>:</w:t>
      </w:r>
      <w:bookmarkEnd w:id="1832"/>
    </w:p>
    <w:p>
      <w:pPr>
        <w:pStyle w:val="BookText"/>
        <w:rPr/>
      </w:pPr>
      <w:r>
        <w:rPr>
          <w:rFonts w:ascii="IRNazanin" w:hAnsi="IRNazanin" w:eastAsia="IRNazanin"/>
          <w:color w:val="111111"/>
          <w:sz w:val="28"/>
          <w:sz w:val="28"/>
          <w:szCs w:val="28"/>
          <w:rtl w:val="true"/>
          <w:lang w:bidi="fa-IR"/>
        </w:rPr>
        <w:t>أنّ ظاهر الأخبار کون المرجّح موافقة جمیع الموجودین فی زمان الصدور أو معظمهم،علی وجه یصدق الاستغراق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وافق بعضهم بلا مخالفة </w:t>
      </w:r>
      <w:r>
        <w:rPr>
          <w:rStyle w:val="FootnoteAnchor"/>
          <w:rtl w:val="true"/>
        </w:rPr>
        <w:footnoteReference w:id="1768"/>
      </w:r>
      <w:r>
        <w:rPr>
          <w:rFonts w:ascii="IRNazanin" w:hAnsi="IRNazanin" w:eastAsia="IRNazanin"/>
          <w:color w:val="111111"/>
          <w:sz w:val="28"/>
          <w:sz w:val="28"/>
          <w:szCs w:val="28"/>
          <w:rtl w:val="true"/>
          <w:lang w:bidi="fa-IR"/>
        </w:rPr>
        <w:t>الباقین،فالترجیح به مستند إلی الکلّیة المستفادة من الأخبار،من الترجیح بکلّ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یستفاد من قول السائل فی المقبولة </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هما معا موافقان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المرجّح السابق یعمّ ما وافق </w:t>
      </w:r>
      <w:r>
        <w:rPr>
          <w:rStyle w:val="FootnoteAnchor"/>
          <w:rtl w:val="true"/>
        </w:rPr>
        <w:footnoteReference w:id="1770"/>
      </w:r>
      <w:r>
        <w:rPr>
          <w:rFonts w:ascii="IRNazanin" w:hAnsi="IRNazanin" w:eastAsia="IRNazanin"/>
          <w:color w:val="111111"/>
          <w:sz w:val="28"/>
          <w:sz w:val="28"/>
          <w:szCs w:val="28"/>
          <w:rtl w:val="true"/>
          <w:lang w:bidi="fa-IR"/>
        </w:rPr>
        <w:t>البعض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ظهور الفقرة الاولی فی اعتبار الکلّ أقوی من ظهور هذه الفقرة فی کفایة موافقة البعض،فیحمل علی إرادة </w:t>
      </w:r>
      <w:r>
        <w:rPr>
          <w:rStyle w:val="FootnoteAnchor"/>
          <w:rtl w:val="true"/>
        </w:rPr>
        <w:footnoteReference w:id="1771"/>
      </w:r>
      <w:r>
        <w:rPr>
          <w:rFonts w:ascii="IRNazanin" w:hAnsi="IRNazanin" w:eastAsia="IRNazanin"/>
          <w:color w:val="111111"/>
          <w:sz w:val="28"/>
          <w:sz w:val="28"/>
          <w:szCs w:val="28"/>
          <w:rtl w:val="true"/>
          <w:lang w:bidi="fa-IR"/>
        </w:rPr>
        <w:t>صورة عدم وجود هذا المرجّح فی شیء منهما و تساویهما من هذه الجهة،لا صورة وجود هذا المرجّح فی کلیهما و تکافئهما من هذه الجهة</w:t>
      </w:r>
      <w:r>
        <w:rPr>
          <w:rFonts w:eastAsia="IRNazanin" w:cs="IRNazanin"/>
          <w:color w:val="111111"/>
          <w:sz w:val="28"/>
          <w:szCs w:val="28"/>
          <w:rtl w:val="true"/>
          <w:lang w:bidi="fa-IR"/>
        </w:rPr>
        <w:t>.</w:t>
      </w:r>
    </w:p>
    <w:p>
      <w:pPr>
        <w:pStyle w:val="Heading6"/>
        <w:numPr>
          <w:ilvl w:val="5"/>
          <w:numId w:val="1"/>
        </w:numPr>
        <w:rPr/>
      </w:pPr>
      <w:bookmarkStart w:id="1833" w:name="__RefHeading___Toc5768237_3224264995"/>
      <w:bookmarkStart w:id="1834" w:name="_Toc727"/>
      <w:bookmarkEnd w:id="1833"/>
      <w:r>
        <w:rPr>
          <w:rtl w:val="true"/>
        </w:rPr>
        <w:t>لو کان کلّ واحد من الخبرین المتعارضین موافقا لبعض العامّة</w:t>
      </w:r>
      <w:r>
        <w:rPr>
          <w:rtl w:val="true"/>
        </w:rPr>
        <w:t>:</w:t>
      </w:r>
      <w:bookmarkEnd w:id="1834"/>
    </w:p>
    <w:p>
      <w:pPr>
        <w:pStyle w:val="BookText"/>
        <w:rPr/>
      </w:pPr>
      <w:r>
        <w:rPr>
          <w:rFonts w:ascii="IRNazanin" w:hAnsi="IRNazanin" w:eastAsia="IRNazanin"/>
          <w:color w:val="111111"/>
          <w:sz w:val="28"/>
          <w:sz w:val="28"/>
          <w:szCs w:val="28"/>
          <w:rtl w:val="true"/>
          <w:lang w:bidi="fa-IR"/>
        </w:rPr>
        <w:t>و کیف کان،فلو کان کلّ واحد موافقا لبعضهم مخالفا لآخرین منهم،وجب الرجوع إلی ما یرجّح فی النظر ملاحظة التقیّة منه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یستفاد ذلک من أشهریّة فتوی أحد البعضین فی زمان </w:t>
      </w:r>
    </w:p>
    <w:p>
      <w:pPr>
        <w:pStyle w:val="BookText"/>
        <w:rPr/>
      </w:pPr>
      <w:r>
        <w:rPr>
          <w:rFonts w:ascii="IRNazanin" w:hAnsi="IRNazanin" w:eastAsia="IRNazanin"/>
          <w:color w:val="111111"/>
          <w:sz w:val="28"/>
          <w:sz w:val="28"/>
          <w:szCs w:val="28"/>
          <w:rtl w:val="true"/>
          <w:lang w:bidi="fa-IR"/>
        </w:rPr>
        <w:t>الصدور،و یعلم ذلک بمراجعة أهل النقل و التأریخ،فقد حکی عن تواریخهم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عامّة أهل الکوفة کان عملهم علی فتاوی </w:t>
      </w:r>
      <w:r>
        <w:rPr>
          <w:rStyle w:val="FootnoteAnchor"/>
          <w:rtl w:val="true"/>
        </w:rPr>
        <w:footnoteReference w:id="1772"/>
      </w:r>
      <w:r>
        <w:rPr>
          <w:rFonts w:ascii="IRNazanin" w:hAnsi="IRNazanin" w:eastAsia="IRNazanin"/>
          <w:color w:val="111111"/>
          <w:sz w:val="28"/>
          <w:sz w:val="28"/>
          <w:szCs w:val="28"/>
          <w:rtl w:val="true"/>
          <w:lang w:bidi="fa-IR"/>
        </w:rPr>
        <w:t xml:space="preserve">أبی حنیفة و سفیان الثوری و رجل آخر </w:t>
      </w:r>
      <w:r>
        <w:rPr>
          <w:rStyle w:val="FootnoteAnchor"/>
          <w:rtl w:val="true"/>
        </w:rPr>
        <w:footnoteReference w:id="1773"/>
      </w:r>
      <w:r>
        <w:rPr>
          <w:rFonts w:ascii="IRNazanin" w:hAnsi="IRNazanin" w:eastAsia="IRNazanin"/>
          <w:color w:val="111111"/>
          <w:sz w:val="28"/>
          <w:sz w:val="28"/>
          <w:szCs w:val="28"/>
          <w:rtl w:val="true"/>
          <w:lang w:bidi="fa-IR"/>
        </w:rPr>
        <w:t xml:space="preserve">،و أهل مکّة علی فتاوی ابن جریح، و أهل المدینة علی فتاوی مالک و رجل آخر </w:t>
      </w:r>
      <w:r>
        <w:rPr>
          <w:rStyle w:val="FootnoteAnchor"/>
          <w:rtl w:val="true"/>
        </w:rPr>
        <w:footnoteReference w:id="1774"/>
      </w:r>
      <w:r>
        <w:rPr>
          <w:rFonts w:ascii="IRNazanin" w:hAnsi="IRNazanin" w:eastAsia="IRNazanin"/>
          <w:color w:val="111111"/>
          <w:sz w:val="28"/>
          <w:sz w:val="28"/>
          <w:szCs w:val="28"/>
          <w:rtl w:val="true"/>
          <w:lang w:bidi="fa-IR"/>
        </w:rPr>
        <w:t xml:space="preserve">،و أهل البصرة علی فتاوی عثمان </w:t>
      </w:r>
      <w:r>
        <w:rPr>
          <w:rStyle w:val="FootnoteAnchor"/>
          <w:rtl w:val="true"/>
        </w:rPr>
        <w:footnoteReference w:id="1775"/>
      </w:r>
      <w:r>
        <w:rPr>
          <w:rFonts w:ascii="Amiri" w:hAnsi="Amiri" w:eastAsia="Amiri" w:cs="Amiri"/>
          <w:color w:val="111111"/>
          <w:sz w:val="28"/>
          <w:sz w:val="28"/>
          <w:szCs w:val="28"/>
          <w:rtl w:val="true"/>
          <w:lang w:bidi="ar-SA"/>
        </w:rPr>
        <w:t xml:space="preserve">و سوادة </w:t>
      </w:r>
      <w:r>
        <w:rPr>
          <w:rStyle w:val="FootnoteAnchor"/>
          <w:rtl w:val="true"/>
        </w:rPr>
        <w:footnoteReference w:id="1776"/>
      </w:r>
      <w:r>
        <w:rPr>
          <w:rFonts w:ascii="IRNazanin" w:hAnsi="IRNazanin" w:eastAsia="IRNazanin"/>
          <w:color w:val="111111"/>
          <w:sz w:val="28"/>
          <w:sz w:val="28"/>
          <w:szCs w:val="28"/>
          <w:rtl w:val="true"/>
          <w:lang w:bidi="fa-IR"/>
        </w:rPr>
        <w:t xml:space="preserve">،و أهل الشام علی فتاوی الأوزاعیّ و الولید، و أهل مصر علی فتاوی اللیث بن سعد </w:t>
      </w:r>
      <w:r>
        <w:rPr>
          <w:rStyle w:val="FootnoteAnchor"/>
          <w:rtl w:val="true"/>
        </w:rPr>
        <w:footnoteReference w:id="1777"/>
      </w:r>
      <w:r>
        <w:rPr>
          <w:rFonts w:ascii="IRNazanin" w:hAnsi="IRNazanin" w:eastAsia="IRNazanin"/>
          <w:color w:val="111111"/>
          <w:sz w:val="28"/>
          <w:sz w:val="28"/>
          <w:szCs w:val="28"/>
          <w:rtl w:val="true"/>
          <w:lang w:bidi="fa-IR"/>
        </w:rPr>
        <w:t xml:space="preserve">،و أهل خراسان علی فتاوی عبد اللّه بن المبارک الزهریّ </w:t>
      </w:r>
      <w:r>
        <w:rPr>
          <w:rStyle w:val="FootnoteAnchor"/>
          <w:rtl w:val="true"/>
        </w:rPr>
        <w:footnoteReference w:id="1778"/>
      </w:r>
      <w:r>
        <w:rPr>
          <w:rFonts w:ascii="IRNazanin" w:hAnsi="IRNazanin" w:eastAsia="IRNazanin"/>
          <w:color w:val="111111"/>
          <w:sz w:val="28"/>
          <w:sz w:val="28"/>
          <w:szCs w:val="28"/>
          <w:rtl w:val="true"/>
          <w:lang w:bidi="fa-IR"/>
        </w:rPr>
        <w:t xml:space="preserve">،و کان فیهم أهل الفتوی من غیر هؤلاء، کسعید بن المسیّب،و عکرمة،و ربیعة الرأی،و محمّد بن شهاب الزهریّ، إلی أن استقرّ رأیهم بحصر المذاهب فی الأربعة سنة خمس و ستین و ثلاثمائة </w:t>
      </w:r>
      <w:r>
        <w:rPr>
          <w:rStyle w:val="FootnoteAnchor"/>
          <w:rtl w:val="true"/>
        </w:rPr>
        <w:footnoteReference w:id="1779"/>
      </w:r>
      <w:r>
        <w:rPr>
          <w:rFonts w:ascii="IRNazanin" w:hAnsi="IRNazanin" w:eastAsia="IRNazanin"/>
          <w:color w:val="111111"/>
          <w:sz w:val="28"/>
          <w:sz w:val="28"/>
          <w:szCs w:val="28"/>
          <w:rtl w:val="true"/>
          <w:lang w:bidi="fa-IR"/>
        </w:rPr>
        <w:t xml:space="preserve">،کما حکی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1835" w:name="pg12985_125392"/>
    </w:p>
    <w:p>
      <w:pPr>
        <w:pStyle w:val="BookText"/>
        <w:rPr/>
      </w:pPr>
      <w:bookmarkEnd w:id="1835"/>
      <w:r>
        <w:rPr>
          <w:rFonts w:ascii="IRNazanin" w:hAnsi="IRNazanin" w:eastAsia="IRNazanin"/>
          <w:color w:val="111111"/>
          <w:sz w:val="28"/>
          <w:sz w:val="28"/>
          <w:szCs w:val="28"/>
          <w:rtl w:val="true"/>
          <w:lang w:bidi="fa-IR"/>
        </w:rPr>
        <w:t>و قد یستفاد ذلک من الأمارات الخاصّة،مثل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حکی له فتوی ابن أبی لیلی فی بعض مسائل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ابن أبی لیلی فلا أستطیع ردّه</w:t>
      </w:r>
      <w:r>
        <w:rPr>
          <w:rFonts w:eastAsia="IRNazanin" w:cs="IRNazanin"/>
          <w:color w:val="111111"/>
          <w:sz w:val="28"/>
          <w:szCs w:val="28"/>
          <w:rtl w:val="true"/>
          <w:lang w:bidi="fa-IR"/>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یستفاد من ملاحظة أخبارهم المرویّة فی کتبهم؛و لذا انیط الحکم فی بعض الروایات </w:t>
      </w:r>
      <w:r>
        <w:rPr>
          <w:rStyle w:val="FootnoteAnchor"/>
          <w:rtl w:val="true"/>
        </w:rPr>
        <w:footnoteReference w:id="1782"/>
      </w:r>
      <w:r>
        <w:rPr>
          <w:rFonts w:ascii="Amiri" w:hAnsi="Amiri" w:eastAsia="Amiri" w:cs="Amiri"/>
          <w:color w:val="111111"/>
          <w:sz w:val="28"/>
          <w:sz w:val="28"/>
          <w:szCs w:val="28"/>
          <w:rtl w:val="true"/>
          <w:lang w:bidi="ar-SA"/>
        </w:rPr>
        <w:t>بموافقة أخبارهم</w:t>
      </w:r>
      <w:r>
        <w:rPr>
          <w:rFonts w:eastAsia="Amiri" w:cs="Amiri" w:ascii="Amiri" w:hAnsi="Amiri"/>
          <w:color w:val="111111"/>
          <w:sz w:val="28"/>
          <w:szCs w:val="28"/>
          <w:rtl w:val="true"/>
          <w:lang w:bidi="ar-SA"/>
        </w:rPr>
        <w:t>.</w:t>
      </w:r>
    </w:p>
    <w:p>
      <w:pPr>
        <w:pStyle w:val="Heading6"/>
        <w:numPr>
          <w:ilvl w:val="5"/>
          <w:numId w:val="1"/>
        </w:numPr>
        <w:rPr/>
      </w:pPr>
      <w:bookmarkStart w:id="1836" w:name="__RefHeading___Toc5768239_3224264995"/>
      <w:bookmarkStart w:id="1837" w:name="_Toc728"/>
      <w:bookmarkEnd w:id="1836"/>
      <w:r>
        <w:rPr>
          <w:rtl w:val="true"/>
        </w:rPr>
        <w:t>الخامس مرتبة هذا المرجّح</w:t>
      </w:r>
      <w:r>
        <w:rPr>
          <w:rtl w:val="true"/>
        </w:rPr>
        <w:t>:</w:t>
      </w:r>
      <w:bookmarkEnd w:id="1837"/>
    </w:p>
    <w:p>
      <w:pPr>
        <w:pStyle w:val="BookText"/>
        <w:rPr/>
      </w:pPr>
      <w:r>
        <w:rPr>
          <w:rFonts w:ascii="IRNazanin" w:hAnsi="IRNazanin" w:eastAsia="IRNazanin"/>
          <w:color w:val="111111"/>
          <w:sz w:val="28"/>
          <w:sz w:val="28"/>
          <w:szCs w:val="28"/>
          <w:rtl w:val="true"/>
          <w:lang w:bidi="fa-IR"/>
        </w:rPr>
        <w:t>قد عرفت أنّ الرجحان بحسب الدلالة لا یزاحمه الرجحان بحسب الصدور،و کذا لا یزاحمه هذا الرجحان،أی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الرجحان من حیث جهة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الخبر الأقوی دلالة موافقا للعامّة قدّم علی الأضعف المخالف؛لما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الترجیح بقوّة الدلالة من الجمع المقبول الذی هو مقدّم علی الطرح</w:t>
      </w:r>
      <w:r>
        <w:rPr>
          <w:rFonts w:eastAsia="IRNazanin" w:cs="IRNazanin"/>
          <w:color w:val="111111"/>
          <w:sz w:val="28"/>
          <w:szCs w:val="28"/>
          <w:rtl w:val="true"/>
          <w:lang w:bidi="fa-IR"/>
        </w:rPr>
        <w:t>.</w:t>
      </w:r>
    </w:p>
    <w:p>
      <w:pPr>
        <w:pStyle w:val="Heading6"/>
        <w:numPr>
          <w:ilvl w:val="5"/>
          <w:numId w:val="1"/>
        </w:numPr>
        <w:rPr/>
      </w:pPr>
      <w:bookmarkStart w:id="1838" w:name="__RefHeading___Toc5768241_3224264995"/>
      <w:bookmarkStart w:id="1839" w:name="_Toc729"/>
      <w:bookmarkEnd w:id="1838"/>
      <w:r>
        <w:rPr>
          <w:rtl w:val="true"/>
        </w:rPr>
        <w:t>تقدّم المرجّح الصدوری علی الجهتی</w:t>
      </w:r>
      <w:r>
        <w:rPr>
          <w:rtl w:val="true"/>
        </w:rPr>
        <w:t>:</w:t>
      </w:r>
      <w:bookmarkEnd w:id="183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زاحم الترجیح بالصدور الترجیح من حیث جهة الصدور بأن کان الأرجح صدورا موافقا للعامّة،فالظاهر تقدیمه علی غیره و إن </w:t>
      </w:r>
    </w:p>
    <w:p>
      <w:pPr>
        <w:pStyle w:val="BookText"/>
        <w:rPr/>
      </w:pPr>
      <w:r>
        <w:rPr>
          <w:rFonts w:ascii="IRNazanin" w:hAnsi="IRNazanin" w:eastAsia="IRNazanin"/>
          <w:color w:val="111111"/>
          <w:sz w:val="28"/>
          <w:sz w:val="28"/>
          <w:szCs w:val="28"/>
          <w:rtl w:val="true"/>
          <w:lang w:bidi="fa-IR"/>
        </w:rPr>
        <w:t>کان مخالفا للعامّة،بناء علی تعلیل الترجیح بمخالفة العامّة باحتمال التقیّة فی الموافق؛لأنّ هذا الترجیح ملحوظ فی الخبرین بعد فرض صدورهما قطعا کما فی المتواترین،أو تعبّدا کما فی الخبرین،بعد عدم إمکان التعبّد بصدور أحدهما و ترک التعبّد بصدور الآخر،و 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الخبرین الصدور،فإذا تعبّدنا بصدورهما اقتضی ذلک الحکم بصدور الموافق تقیّة،کما یقتضی ذلک الحکم بإرادة خلاف الظاهر فی أضعفهما دلالة،فیکون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للتعبّد بصدورهما مع وجوب حمل أحدهما المعیّن علی التقیّة؛لأنّه إلغاء لأحدهما فی الحقیقة؛و لذا لو تعیّن حمل خبر غیر معارض علی التقیّة علی تقدیر الصدور،لم تشمله أدلّة التعبّد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بصدور الخبرین لم یکن بدّ من حمل الموافق علی التقیّة و إلغائه،و أمّا إذا لم یعلم بصدورهما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الرجوع إلی المرجّحات الصدوریّة،فإن أمکن ترجیح أحدهما و تعیینه </w:t>
      </w:r>
      <w:r>
        <w:rPr>
          <w:rStyle w:val="FootnoteAnchor"/>
          <w:rtl w:val="true"/>
        </w:rPr>
        <w:footnoteReference w:id="1783"/>
      </w:r>
      <w:r>
        <w:rPr>
          <w:rFonts w:ascii="IRNazanin" w:hAnsi="IRNazanin" w:eastAsia="IRNazanin"/>
          <w:color w:val="111111"/>
          <w:sz w:val="28"/>
          <w:sz w:val="28"/>
          <w:szCs w:val="28"/>
          <w:rtl w:val="true"/>
          <w:lang w:bidi="fa-IR"/>
        </w:rPr>
        <w:t>من حیث التعبّد بالصدور دون الآخر تعیّن، و إن قصرت الید عن هذا الترجیح کان عدم احتمال التقیّة فی أحدهما مرجّحا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فمورد هذا المرجّح تساوی الخبرین من حیث الصدور،إمّا علما </w:t>
      </w:r>
    </w:p>
    <w:p>
      <w:pPr>
        <w:pStyle w:val="BookText"/>
        <w:rPr/>
      </w:pPr>
      <w:r>
        <w:rPr>
          <w:rFonts w:ascii="IRNazanin" w:hAnsi="IRNazanin" w:eastAsia="IRNazanin"/>
          <w:color w:val="111111"/>
          <w:sz w:val="28"/>
          <w:sz w:val="28"/>
          <w:szCs w:val="28"/>
          <w:rtl w:val="true"/>
          <w:lang w:bidi="fa-IR"/>
        </w:rPr>
        <w:t>کما فی المتواترین،أو تعبّدا کما فی المتکافئین من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وجب فیه التعبّد بصدور أحدهما المعیّن دون الآخر،فلا وجه لإعمال هذا المرجّح فیه؛لأنّ جهة الصدور متفرّعة علی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الترجیح و الترجیح فی الدلالة المتقدّم علی الترجیح بالسند،أنّ التعبّد بصدور الخبرین علی أن یعمل بظاهر أحدهما و بتأویل الآخر بقرینة ذلک الظاهر ممکن غیر موجب لطرح دلیل أو أصل،بخلاف التعبّد بصدورهما ثمّ حمل أحدهما علی التقیّة الذی هو فی معنی إلغائه و ترک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توجیه الترجیح بالمخالفة باحتمال التقیّة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قلنا بأنّ الوجه فی ذلک کون المخالف أقرب إلی الحقّ و أبعد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علیه جملة من الأخبار </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من المرجّحات المضمونیّة،و سیجیء حالها مع غیرها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1840" w:name="pg12985_125395"/>
    </w:p>
    <w:p>
      <w:pPr>
        <w:pStyle w:val="Heading6"/>
        <w:numPr>
          <w:ilvl w:val="5"/>
          <w:numId w:val="1"/>
        </w:numPr>
        <w:rPr/>
      </w:pPr>
      <w:bookmarkStart w:id="1841" w:name="__RefHeading___Toc5768243_3224264995"/>
      <w:bookmarkStart w:id="1842" w:name="_Toc730"/>
      <w:bookmarkEnd w:id="1840"/>
      <w:bookmarkEnd w:id="1841"/>
      <w:r>
        <w:rPr>
          <w:rtl w:val="true"/>
        </w:rPr>
        <w:t>المرجحات الخارجیة</w:t>
      </w:r>
      <w:bookmarkEnd w:id="1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الخارجیة</w:t>
      </w:r>
      <w:r>
        <w:rPr>
          <w:rFonts w:eastAsia="IRNazanin" w:cs="IRNazanin"/>
          <w:color w:val="111111"/>
          <w:sz w:val="28"/>
          <w:szCs w:val="28"/>
          <w:rtl w:val="true"/>
          <w:lang w:bidi="fa-IR"/>
        </w:rPr>
        <w:t xml:space="preserve">]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المرجّحات الخارجیة و قد أشرنا إلی أنّها علی قسمین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غیر معتبر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بنفسه،بحیث لو لم یکن هناک دلیل کان هو المرجع</w:t>
      </w:r>
      <w:r>
        <w:rPr>
          <w:rFonts w:eastAsia="IRNazanin" w:cs="IRNazanin"/>
          <w:color w:val="111111"/>
          <w:sz w:val="28"/>
          <w:szCs w:val="28"/>
          <w:rtl w:val="true"/>
          <w:lang w:bidi="fa-IR"/>
        </w:rPr>
        <w:t>.</w:t>
      </w:r>
    </w:p>
    <w:p>
      <w:pPr>
        <w:pStyle w:val="Heading6"/>
        <w:numPr>
          <w:ilvl w:val="5"/>
          <w:numId w:val="1"/>
        </w:numPr>
        <w:rPr/>
      </w:pPr>
      <w:bookmarkStart w:id="1843" w:name="__RefHeading___Toc5768245_3224264995"/>
      <w:bookmarkStart w:id="1844" w:name="_Toc731"/>
      <w:bookmarkEnd w:id="1843"/>
      <w:r>
        <w:rPr>
          <w:rtl w:val="true"/>
        </w:rPr>
        <w:t>القسم الأوّل</w:t>
      </w:r>
      <w:bookmarkEnd w:id="1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غیر معتبر فی نفسه</w:t>
      </w:r>
      <w:r>
        <w:rPr>
          <w:rFonts w:eastAsia="IRNazanin" w:cs="IRNazanin"/>
          <w:color w:val="111111"/>
          <w:sz w:val="28"/>
          <w:szCs w:val="28"/>
          <w:rtl w:val="true"/>
          <w:lang w:bidi="fa-IR"/>
        </w:rPr>
        <w:t>:]</w:t>
      </w:r>
    </w:p>
    <w:p>
      <w:pPr>
        <w:pStyle w:val="Heading6"/>
        <w:numPr>
          <w:ilvl w:val="5"/>
          <w:numId w:val="1"/>
        </w:numPr>
        <w:rPr/>
      </w:pPr>
      <w:bookmarkStart w:id="1845" w:name="__RefHeading___Toc5768247_3224264995"/>
      <w:bookmarkStart w:id="1846" w:name="_Toc732"/>
      <w:bookmarkEnd w:id="1845"/>
      <w:r>
        <w:rPr/>
        <w:t>1</w:t>
      </w:r>
      <w:r>
        <w:rPr>
          <w:rtl w:val="true"/>
        </w:rPr>
        <w:t>-</w:t>
      </w:r>
      <w:r>
        <w:rPr>
          <w:rtl w:val="true"/>
        </w:rPr>
        <w:t>شهرة أحد الخبرین</w:t>
      </w:r>
      <w:r>
        <w:rPr>
          <w:rtl w:val="true"/>
        </w:rPr>
        <w:t>:</w:t>
      </w:r>
      <w:bookmarkEnd w:id="1846"/>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حیث الروایة </w:t>
      </w:r>
      <w:r>
        <w:rPr>
          <w:rStyle w:val="FootnoteAnchor"/>
          <w:rtl w:val="true"/>
        </w:rPr>
        <w:footnoteReference w:id="1789"/>
      </w:r>
      <w:r>
        <w:rPr>
          <w:rFonts w:ascii="IRNazanin" w:hAnsi="IRNazanin" w:eastAsia="IRNazanin"/>
          <w:color w:val="111111"/>
          <w:sz w:val="28"/>
          <w:sz w:val="28"/>
          <w:szCs w:val="28"/>
          <w:rtl w:val="true"/>
          <w:lang w:bidi="fa-IR"/>
        </w:rPr>
        <w:t>،بأن اشتهر روایته بین الرواة،بناء علی کشفها عن شهرة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اشتهار </w:t>
      </w:r>
      <w:r>
        <w:rPr>
          <w:rStyle w:val="FootnoteAnchor"/>
          <w:rtl w:val="true"/>
        </w:rPr>
        <w:footnoteReference w:id="1790"/>
      </w:r>
      <w:r>
        <w:rPr>
          <w:rFonts w:ascii="IRNazanin" w:hAnsi="IRNazanin" w:eastAsia="IRNazanin"/>
          <w:color w:val="111111"/>
          <w:sz w:val="28"/>
          <w:sz w:val="28"/>
          <w:szCs w:val="28"/>
          <w:rtl w:val="true"/>
          <w:lang w:bidi="fa-IR"/>
        </w:rPr>
        <w:t>الفتوی به و لو مع العلم بعدم استناد المفتین إلیه</w:t>
      </w:r>
      <w:r>
        <w:rPr>
          <w:rFonts w:eastAsia="IRNazanin" w:cs="IRNazanin"/>
          <w:color w:val="111111"/>
          <w:sz w:val="28"/>
          <w:szCs w:val="28"/>
          <w:rtl w:val="true"/>
          <w:lang w:bidi="fa-IR"/>
        </w:rPr>
        <w:t>.</w:t>
      </w:r>
    </w:p>
    <w:p>
      <w:pPr>
        <w:pStyle w:val="Heading6"/>
        <w:numPr>
          <w:ilvl w:val="5"/>
          <w:numId w:val="1"/>
        </w:numPr>
        <w:rPr/>
      </w:pPr>
      <w:bookmarkStart w:id="1847" w:name="__RefHeading___Toc5768249_3224264995"/>
      <w:bookmarkStart w:id="1848" w:name="_Toc733"/>
      <w:bookmarkEnd w:id="1847"/>
      <w:r>
        <w:rPr/>
        <w:t>2</w:t>
      </w:r>
      <w:r>
        <w:rPr>
          <w:rtl w:val="true"/>
        </w:rPr>
        <w:t>-</w:t>
      </w:r>
      <w:r>
        <w:rPr>
          <w:rtl w:val="true"/>
        </w:rPr>
        <w:t>کون الراوی أفقه</w:t>
      </w:r>
      <w:r>
        <w:rPr>
          <w:rtl w:val="true"/>
        </w:rPr>
        <w:t>:</w:t>
      </w:r>
      <w:bookmarkEnd w:id="184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الراوی له أفقه من راوی الآخر فی جمیع الطبقات أو </w:t>
      </w:r>
      <w:bookmarkStart w:id="1849" w:name="pg12985_125396"/>
    </w:p>
    <w:p>
      <w:pPr>
        <w:pStyle w:val="BookText"/>
        <w:rPr/>
      </w:pPr>
      <w:bookmarkEnd w:id="1849"/>
      <w:r>
        <w:rPr>
          <w:rFonts w:ascii="IRNazanin" w:hAnsi="IRNazanin" w:eastAsia="IRNazanin"/>
          <w:color w:val="111111"/>
          <w:sz w:val="28"/>
          <w:sz w:val="28"/>
          <w:szCs w:val="28"/>
          <w:rtl w:val="true"/>
          <w:lang w:bidi="fa-IR"/>
        </w:rPr>
        <w:t xml:space="preserve">فی بعضها،بناء علی أنّ الظاهر عمل الأفقه به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0" w:name="__RefHeading___Toc5768251_3224264995"/>
      <w:bookmarkStart w:id="1851" w:name="_Toc734"/>
      <w:bookmarkEnd w:id="1850"/>
      <w:r>
        <w:rPr/>
        <w:t>3</w:t>
      </w:r>
      <w:r>
        <w:rPr>
          <w:rtl w:val="true"/>
        </w:rPr>
        <w:t>-</w:t>
      </w:r>
      <w:r>
        <w:rPr>
          <w:rtl w:val="true"/>
        </w:rPr>
        <w:t>مخالفة أحد الخبرین للعامّة</w:t>
      </w:r>
      <w:r>
        <w:rPr>
          <w:rtl w:val="true"/>
        </w:rPr>
        <w:t>:</w:t>
      </w:r>
      <w:bookmarkEnd w:id="1851"/>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أحد الخبرین للعامّة،بناء علی ظاهر الأخبار المستفیضة </w:t>
      </w:r>
      <w:r>
        <w:rPr>
          <w:rStyle w:val="FootnoteAnchor"/>
          <w:rtl w:val="true"/>
        </w:rPr>
        <w:footnoteReference w:id="1792"/>
      </w:r>
      <w:r>
        <w:rPr>
          <w:rFonts w:ascii="IRNazanin" w:hAnsi="IRNazanin" w:eastAsia="IRNazanin"/>
          <w:color w:val="111111"/>
          <w:sz w:val="28"/>
          <w:sz w:val="28"/>
          <w:szCs w:val="28"/>
          <w:rtl w:val="true"/>
          <w:lang w:bidi="fa-IR"/>
        </w:rPr>
        <w:t>الواردة فی وجه الترجیح بها</w:t>
      </w:r>
      <w:r>
        <w:rPr>
          <w:rFonts w:eastAsia="IRNazanin" w:cs="IRNazanin"/>
          <w:color w:val="111111"/>
          <w:sz w:val="28"/>
          <w:szCs w:val="28"/>
          <w:rtl w:val="true"/>
          <w:lang w:bidi="fa-IR"/>
        </w:rPr>
        <w:t>.</w:t>
      </w:r>
    </w:p>
    <w:p>
      <w:pPr>
        <w:pStyle w:val="Heading6"/>
        <w:numPr>
          <w:ilvl w:val="5"/>
          <w:numId w:val="1"/>
        </w:numPr>
        <w:rPr/>
      </w:pPr>
      <w:bookmarkStart w:id="1852" w:name="__RefHeading___Toc5768253_3224264995"/>
      <w:bookmarkStart w:id="1853" w:name="_Toc735"/>
      <w:bookmarkEnd w:id="1852"/>
      <w:r>
        <w:rPr/>
        <w:t>4</w:t>
      </w:r>
      <w:r>
        <w:rPr>
          <w:rtl w:val="true"/>
        </w:rPr>
        <w:t>-</w:t>
      </w:r>
      <w:r>
        <w:rPr>
          <w:rtl w:val="true"/>
        </w:rPr>
        <w:t>کلّ أمارة مستقلّة غیر معتبرة</w:t>
      </w:r>
      <w:r>
        <w:rPr>
          <w:rtl w:val="true"/>
        </w:rPr>
        <w:t>:</w:t>
      </w:r>
      <w:bookmarkEnd w:id="1853"/>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أمارة مستقلّة غیر معتبرة وافقت مضمون أحد الخبرین إذا کان عدم اعتبارها لعدم الدلیل،لا لوجود الدلیل علی العدم، کالقیاس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4" w:name="__RefHeading___Toc5768255_3224264995"/>
      <w:bookmarkStart w:id="1855" w:name="_Toc736"/>
      <w:bookmarkEnd w:id="1854"/>
      <w:r>
        <w:rPr>
          <w:rtl w:val="true"/>
        </w:rPr>
        <w:t>الدلیل علی هذا النحو من المرجّح</w:t>
      </w:r>
      <w:r>
        <w:rPr>
          <w:rtl w:val="true"/>
        </w:rPr>
        <w:t>:</w:t>
      </w:r>
      <w:bookmarkEnd w:id="185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الدلیل علی الترجیح بهذا النحو من المرجّح ما یستفاد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الترجیح بکلّ ما یوجب أقربیّة أحدهما إلی الواقع و إن کان خارجا عن الخبرین،بل یرجع </w:t>
      </w:r>
      <w:r>
        <w:rPr>
          <w:rStyle w:val="FootnoteAnchor"/>
          <w:rtl w:val="true"/>
        </w:rPr>
        <w:footnoteReference w:id="1794"/>
      </w:r>
      <w:r>
        <w:rPr>
          <w:rFonts w:ascii="IRNazanin" w:hAnsi="IRNazanin" w:eastAsia="IRNazanin"/>
          <w:color w:val="111111"/>
          <w:sz w:val="28"/>
          <w:sz w:val="28"/>
          <w:szCs w:val="28"/>
          <w:rtl w:val="true"/>
          <w:lang w:bidi="fa-IR"/>
        </w:rPr>
        <w:t xml:space="preserve">هذا النوع </w:t>
      </w:r>
      <w:r>
        <w:rPr>
          <w:rStyle w:val="FootnoteAnchor"/>
          <w:rtl w:val="true"/>
        </w:rPr>
        <w:footnoteReference w:id="1795"/>
      </w:r>
      <w:r>
        <w:rPr>
          <w:rFonts w:ascii="IRNazanin" w:hAnsi="IRNazanin" w:eastAsia="IRNazanin"/>
          <w:color w:val="111111"/>
          <w:sz w:val="28"/>
          <w:sz w:val="28"/>
          <w:szCs w:val="28"/>
          <w:rtl w:val="true"/>
          <w:lang w:bidi="fa-IR"/>
        </w:rPr>
        <w:t>إلی المرجّح الداخلیّ؛ فإنّ أحد الخبرین إذا طابق أمارة ظنّیّة فلازمه الظنّ بوجود خلل فی الآخر،إمّا من حیث الصدور أو من حیث جهة الصدور،فیدخل الراجح فیما لا ریب فیه و المرجوح فیما فیه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المزیّة الداخلیّة قد تکون موجبة لانتفاء احتمال فی ذیها موجود فی الآخر، کقلّة الوسائط،و مخالفة العامّة بناء </w:t>
      </w:r>
      <w:r>
        <w:rPr>
          <w:rStyle w:val="FootnoteAnchor"/>
          <w:rtl w:val="true"/>
        </w:rPr>
        <w:footnoteReference w:id="1796"/>
      </w:r>
      <w:r>
        <w:rPr>
          <w:rFonts w:ascii="IRNazanin" w:hAnsi="IRNazanin" w:eastAsia="IRNazanin"/>
          <w:color w:val="111111"/>
          <w:sz w:val="28"/>
          <w:sz w:val="28"/>
          <w:szCs w:val="28"/>
          <w:rtl w:val="true"/>
          <w:lang w:bidi="fa-IR"/>
        </w:rPr>
        <w:t xml:space="preserve">علی الوجه السابق </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توجب </w:t>
      </w:r>
    </w:p>
    <w:p>
      <w:pPr>
        <w:pStyle w:val="BookText"/>
        <w:rPr/>
      </w:pPr>
      <w:r>
        <w:rPr>
          <w:rFonts w:ascii="IRNazanin" w:hAnsi="IRNazanin" w:eastAsia="IRNazanin"/>
          <w:color w:val="111111"/>
          <w:sz w:val="28"/>
          <w:sz w:val="28"/>
          <w:szCs w:val="28"/>
          <w:rtl w:val="true"/>
          <w:lang w:bidi="fa-IR"/>
        </w:rPr>
        <w:t xml:space="preserve">بعد الاحتمال الموجود فی ذیها بالنسبة إلی الاحتمال الموجود فی الآخر، کالأعدلیّة و الأوثقیّة </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المرجّح الخارجیّ من هذا القبیل،غایة الأمر عدم العلم تفصیلا بالاحتمال القریب فی أحدهما البعید فی الآخر،بل ذو المزیّة داخل فی الأوثق المنصوص علیه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هنا،یمکن أن یستدلّ علی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بالإجماع المدّعی فی کلام جماعة </w:t>
      </w:r>
      <w:r>
        <w:rPr>
          <w:rStyle w:val="FootnoteAnchor"/>
          <w:rtl w:val="true"/>
        </w:rPr>
        <w:footnoteReference w:id="1799"/>
      </w:r>
      <w:r>
        <w:rPr>
          <w:rFonts w:ascii="IRNazanin" w:hAnsi="IRNazanin" w:eastAsia="IRNazanin"/>
          <w:color w:val="111111"/>
          <w:sz w:val="28"/>
          <w:sz w:val="28"/>
          <w:szCs w:val="28"/>
          <w:rtl w:val="true"/>
          <w:lang w:bidi="fa-IR"/>
        </w:rPr>
        <w:t>علی وجوب العمل بأقوی الدلیلین،بناء علی عدم شموله للمقام؛من حیث إنّ الظاهر من الأقوی أقواهما فی نفسه و من حیث هو،لا مجرّد کون مضمونه أقرب إلی الواقع لموافقة أمارة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الأمارة موجبة لظنّ خلل فی المرجوح مفقود فی الراجح،فیکون الراجح أقوی احتمالا </w:t>
      </w:r>
      <w:r>
        <w:rPr>
          <w:rStyle w:val="FootnoteAnchor"/>
          <w:rtl w:val="true"/>
        </w:rPr>
        <w:footnoteReference w:id="1800"/>
      </w:r>
      <w:r>
        <w:rPr>
          <w:rFonts w:ascii="IRNazanin" w:hAnsi="IRNazanin" w:eastAsia="IRNazanin"/>
          <w:color w:val="111111"/>
          <w:sz w:val="28"/>
          <w:sz w:val="28"/>
          <w:szCs w:val="28"/>
          <w:rtl w:val="true"/>
          <w:lang w:bidi="fa-IR"/>
        </w:rPr>
        <w:t>من حیث نفسه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المتیقّن من النصّ و معاقد الإجماع اعتبار المزیّة الداخلیّة القائمة بنفس الدلیل،و أمّا الحاصلة من الأمارة الخارجیّة التی دلّ الدلیل علی عدم العبرة بها من حیث دخولها فی ما لا یعلم، فلا اعتبار بکشفها عن الخلل فی المرجوح،و لا فرق بینها و بین القیاس فی عدم العبرة بها فی مقام الترجیح کمقام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هذا،مع أنّه لا معنی لکشف الأمارة عن خلل فی المرجوح؛لأنّ الخلل فی الدلیل من حیث </w:t>
      </w:r>
    </w:p>
    <w:p>
      <w:pPr>
        <w:pStyle w:val="BookText"/>
        <w:rPr/>
      </w:pPr>
      <w:r>
        <w:rPr>
          <w:rFonts w:ascii="IRNazanin" w:hAnsi="IRNazanin" w:eastAsia="IRNazanin"/>
          <w:color w:val="111111"/>
          <w:sz w:val="28"/>
          <w:sz w:val="28"/>
          <w:szCs w:val="28"/>
          <w:rtl w:val="true"/>
          <w:lang w:bidi="fa-IR"/>
        </w:rPr>
        <w:t xml:space="preserve">إنّه دلیل قصور فی طریقیّته،و المفروض تساویهما فی جمیع ما له دخل </w:t>
      </w:r>
      <w:r>
        <w:rPr>
          <w:rStyle w:val="FootnoteAnchor"/>
          <w:rtl w:val="true"/>
        </w:rPr>
        <w:footnoteReference w:id="1801"/>
      </w:r>
      <w:r>
        <w:rPr>
          <w:rFonts w:ascii="IRNazanin" w:hAnsi="IRNazanin" w:eastAsia="IRNazanin"/>
          <w:color w:val="111111"/>
          <w:sz w:val="28"/>
          <w:sz w:val="28"/>
          <w:szCs w:val="28"/>
          <w:rtl w:val="true"/>
          <w:lang w:bidi="fa-IR"/>
        </w:rPr>
        <w:t xml:space="preserve">فی الطریقیّة،و مجرّد الظنّ بمخالفة خبر للواقع لا یوجب خللا </w:t>
      </w:r>
      <w:r>
        <w:rPr>
          <w:rStyle w:val="FootnoteAnchor"/>
          <w:rtl w:val="true"/>
        </w:rPr>
        <w:footnoteReference w:id="1802"/>
      </w:r>
      <w:r>
        <w:rPr>
          <w:rFonts w:ascii="IRNazanin" w:hAnsi="IRNazanin" w:eastAsia="IRNazanin"/>
          <w:color w:val="111111"/>
          <w:sz w:val="28"/>
          <w:sz w:val="28"/>
          <w:szCs w:val="28"/>
          <w:rtl w:val="true"/>
          <w:lang w:bidi="fa-IR"/>
        </w:rPr>
        <w:t>فی ذلک؛ لأنّ الطریقیّة لیست منوطة بمطابقة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النصّ،فلا ریب فی عموم التعلیل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المجمع علیه لا ریب فیه</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لما نحن فیه،بل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فیما خالفهم</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 و کذا التعلیل فی روایة الأرجائیّ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امرتم بالأخذ بخلاف ما علیه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فی المرجّح الخارجیّ؛لأنّ مخالفة العامّة نظیر موافقة المشهور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معقد الإجماعات،فالظاهر أنّ المراد </w:t>
      </w:r>
      <w:r>
        <w:rPr>
          <w:rStyle w:val="FootnoteAnchor"/>
          <w:rtl w:val="true"/>
        </w:rPr>
        <w:footnoteReference w:id="180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إلی الواقع </w:t>
      </w:r>
      <w:r>
        <w:rPr>
          <w:rStyle w:val="FootnoteAnchor"/>
          <w:rtl w:val="true"/>
        </w:rPr>
        <w:footnoteReference w:id="1808"/>
      </w:r>
      <w:r>
        <w:rPr>
          <w:rFonts w:ascii="IRNazanin" w:hAnsi="IRNazanin" w:eastAsia="IRNazanin"/>
          <w:color w:val="111111"/>
          <w:sz w:val="28"/>
          <w:sz w:val="28"/>
          <w:szCs w:val="28"/>
          <w:rtl w:val="true"/>
          <w:lang w:bidi="fa-IR"/>
        </w:rPr>
        <w:t>و الأرجح مدلولا،و لو بقرینة ما یظهر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قدیما و حدیثا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إناطة الترجیح بمجرّد الأقربیّة إلی الواقع،کاستدلالهم </w:t>
      </w:r>
      <w:bookmarkStart w:id="1856" w:name="pg12985_125399"/>
    </w:p>
    <w:p>
      <w:pPr>
        <w:pStyle w:val="BookText"/>
        <w:rPr/>
      </w:pPr>
      <w:bookmarkEnd w:id="1856"/>
      <w:r>
        <w:rPr>
          <w:rFonts w:ascii="IRNazanin" w:hAnsi="IRNazanin" w:eastAsia="IRNazanin"/>
          <w:color w:val="111111"/>
          <w:sz w:val="28"/>
          <w:sz w:val="28"/>
          <w:szCs w:val="28"/>
          <w:rtl w:val="true"/>
          <w:lang w:bidi="fa-IR"/>
        </w:rPr>
        <w:t xml:space="preserve">علی الترجیحات بمجرّد الأقربیّة إلی الواقع </w:t>
      </w:r>
      <w:r>
        <w:rPr>
          <w:rStyle w:val="FootnoteAnchor"/>
          <w:rtl w:val="true"/>
        </w:rPr>
        <w:footnoteReference w:id="1810"/>
      </w:r>
      <w:r>
        <w:rPr>
          <w:rFonts w:ascii="IRNazanin" w:hAnsi="IRNazanin" w:eastAsia="IRNazanin"/>
          <w:color w:val="111111"/>
          <w:sz w:val="28"/>
          <w:sz w:val="28"/>
          <w:szCs w:val="28"/>
          <w:rtl w:val="true"/>
          <w:lang w:bidi="fa-IR"/>
        </w:rPr>
        <w:t xml:space="preserve">،مثل ما سیجیء </w:t>
      </w:r>
      <w:r>
        <w:rPr>
          <w:rStyle w:val="FootnoteAnchor"/>
          <w:rtl w:val="true"/>
        </w:rPr>
        <w:footnoteReference w:id="1811"/>
      </w:r>
      <w:r>
        <w:rPr>
          <w:rFonts w:ascii="IRNazanin" w:hAnsi="IRNazanin" w:eastAsia="IRNazanin"/>
          <w:color w:val="111111"/>
          <w:sz w:val="28"/>
          <w:sz w:val="28"/>
          <w:szCs w:val="28"/>
          <w:rtl w:val="true"/>
          <w:lang w:bidi="fa-IR"/>
        </w:rPr>
        <w:t>من کلماتهم فی الترجیح بالقیاس،و مثل الاستدلال علی الترجیح بموافقة الأصل بأنّ الظنّ فی الخبر الموافق له أقوی،و علی الترجیح بمخالفة الأصل بأنّ الغالب تعرّض الشارع لبیان ما یحتاج إلی البیان،و استدلال المحقّق علی ترجیح أحد المتعارضین بعمل أکثر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الکثرة أمارة الرجحان و العمل بالراجح واجب</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،و غیر ذلک ممّا یجده المتتبّع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دعوی حکم العقل بوجوب العمل بالأقرب إلی الواقع فی ما کان حجّیّتهما من حیث الطریقیّة،فتأمّل</w:t>
      </w:r>
      <w:r>
        <w:rPr>
          <w:rFonts w:eastAsia="IRNazanin" w:cs="IRNazanin"/>
          <w:color w:val="111111"/>
          <w:sz w:val="28"/>
          <w:szCs w:val="28"/>
          <w:rtl w:val="true"/>
          <w:lang w:bidi="fa-IR"/>
        </w:rPr>
        <w:t>.</w:t>
      </w:r>
    </w:p>
    <w:p>
      <w:pPr>
        <w:pStyle w:val="Heading6"/>
        <w:numPr>
          <w:ilvl w:val="5"/>
          <w:numId w:val="1"/>
        </w:numPr>
        <w:rPr/>
      </w:pPr>
      <w:bookmarkStart w:id="1857" w:name="__RefHeading___Toc5768257_3224264995"/>
      <w:bookmarkStart w:id="1858" w:name="_Toc737"/>
      <w:bookmarkEnd w:id="1857"/>
      <w:r>
        <w:rPr>
          <w:rtl w:val="true"/>
        </w:rPr>
        <w:t>بقی فی المقام أمران</w:t>
      </w:r>
      <w:r>
        <w:rPr>
          <w:rtl w:val="true"/>
        </w:rPr>
        <w:t>:</w:t>
      </w:r>
      <w:bookmarkEnd w:id="1858"/>
    </w:p>
    <w:p>
      <w:pPr>
        <w:pStyle w:val="Heading6"/>
        <w:numPr>
          <w:ilvl w:val="5"/>
          <w:numId w:val="1"/>
        </w:numPr>
        <w:rPr/>
      </w:pPr>
      <w:bookmarkStart w:id="1859" w:name="__RefHeading___Toc5768259_3224264995"/>
      <w:bookmarkStart w:id="1860" w:name="_Toc738"/>
      <w:bookmarkEnd w:id="1859"/>
      <w:r>
        <w:rPr>
          <w:rtl w:val="true"/>
        </w:rPr>
        <w:t>أحدهما</w:t>
      </w:r>
      <w:r>
        <w:rPr>
          <w:rtl w:val="true"/>
        </w:rPr>
        <w:t xml:space="preserve">: </w:t>
      </w:r>
      <w:r>
        <w:rPr>
          <w:rtl w:val="true"/>
        </w:rPr>
        <w:t>الترجیح بما ورد المنع عن العمل به کالقیاس</w:t>
      </w:r>
      <w:r>
        <w:rPr>
          <w:rtl w:val="true"/>
        </w:rPr>
        <w:t>:</w:t>
      </w:r>
      <w:bookmarkEnd w:id="1860"/>
    </w:p>
    <w:p>
      <w:pPr>
        <w:pStyle w:val="BookText"/>
        <w:rPr/>
      </w:pPr>
      <w:r>
        <w:rPr>
          <w:rFonts w:ascii="IRNazanin" w:hAnsi="IRNazanin" w:eastAsia="IRNazanin"/>
          <w:color w:val="111111"/>
          <w:sz w:val="28"/>
          <w:sz w:val="28"/>
          <w:szCs w:val="28"/>
          <w:rtl w:val="true"/>
          <w:lang w:bidi="fa-IR"/>
        </w:rPr>
        <w:t xml:space="preserve">أنّ الأمارة التی قام الدلیل علی المنع عنها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من المرجّحات أم لا؟ظاهر المعظم العدم،کما یظهر من طریقتهم فی کتبهم الاستدلالیّة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المحقّق فی المعارج عن بعض القول بکون القیاس مرجّحا، حیث </w:t>
      </w:r>
      <w:r>
        <w:rPr>
          <w:rStyle w:val="FootnoteAnchor"/>
          <w:rtl w:val="true"/>
        </w:rPr>
        <w:footnoteReference w:id="1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ذاهب </w:t>
      </w:r>
      <w:r>
        <w:rPr>
          <w:rStyle w:val="FootnoteAnchor"/>
          <w:rtl w:val="true"/>
        </w:rPr>
        <w:footnoteReference w:id="1814"/>
      </w:r>
      <w:r>
        <w:rPr>
          <w:rFonts w:ascii="IRNazanin" w:hAnsi="IRNazanin" w:eastAsia="IRNazanin"/>
          <w:color w:val="111111"/>
          <w:sz w:val="28"/>
          <w:sz w:val="28"/>
          <w:szCs w:val="28"/>
          <w:rtl w:val="true"/>
          <w:lang w:bidi="fa-IR"/>
        </w:rPr>
        <w:t xml:space="preserve">إلی أنّ الخبرین إذا تعارضا و کان القیاس موافقا </w:t>
      </w:r>
    </w:p>
    <w:p>
      <w:pPr>
        <w:pStyle w:val="BookText"/>
        <w:rPr/>
      </w:pPr>
      <w:r>
        <w:rPr>
          <w:rFonts w:ascii="IRNazanin" w:hAnsi="IRNazanin" w:eastAsia="IRNazanin"/>
          <w:color w:val="111111"/>
          <w:sz w:val="28"/>
          <w:sz w:val="28"/>
          <w:szCs w:val="28"/>
          <w:rtl w:val="true"/>
          <w:lang w:bidi="fa-IR"/>
        </w:rPr>
        <w:t>لما تضمّنه أحدهما،کان ذلک وجها یقتضی ترجیح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یحتجّ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فی أحد الخبرین،فلا یمکن العمل بهما و لا طرحهما،فتعیّن العمل بأحدهما،و إذا کان التقدیر تقدیر التعارض، فلا بدّ فی العمل بأحدهما من مرجّح،و القیاس یصلح أن یکون مرجّحا؛ لحصول الظنّ به،فتعیّن العمل بما 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أجمعنا علی أنّ القیاس مطروح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لیس بدلیل،لا بمعنی أنّه لا یکون مرجّحا لأحد الخبرین؛و هذا لأنّ فائدة کونه مرجّحا کونه رافعا للعمل بالخبر المرجوح،فیعود الراجح کالخبر السلیم عن المعارض،فیکون العمل به، لا بذلک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18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إلی ذلک بعض سادة مشایخنا المعاصرین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خلافه؛لأنّ رفع الخبر المرجوح بالقیاس عمل به حقیقة، کرفع العمل بالخبر السلیم عن المعارض به </w:t>
      </w:r>
      <w:r>
        <w:rPr>
          <w:rStyle w:val="FootnoteAnchor"/>
          <w:rtl w:val="true"/>
        </w:rPr>
        <w:footnoteReference w:id="1817"/>
      </w:r>
      <w:r>
        <w:rPr>
          <w:rFonts w:ascii="IRNazanin" w:hAnsi="IRNazanin" w:eastAsia="IRNazanin"/>
          <w:color w:val="111111"/>
          <w:sz w:val="28"/>
          <w:sz w:val="28"/>
          <w:szCs w:val="28"/>
          <w:rtl w:val="true"/>
          <w:lang w:bidi="fa-IR"/>
        </w:rPr>
        <w:t>،و الرجوع معه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فرق بین رفع القیاس لوجوب العمل بالخبر السلیم عن المعارض و جعله کالمعدوم حتّی یرجع إلی الأصل،و بین رفعه لجواز العمل بالخبر المکافئ </w:t>
      </w:r>
      <w:r>
        <w:rPr>
          <w:rStyle w:val="FootnoteAnchor"/>
          <w:rtl w:val="true"/>
        </w:rPr>
        <w:footnoteReference w:id="1818"/>
      </w:r>
      <w:r>
        <w:rPr>
          <w:rFonts w:ascii="IRNazanin" w:hAnsi="IRNazanin" w:eastAsia="IRNazanin"/>
          <w:color w:val="111111"/>
          <w:sz w:val="28"/>
          <w:sz w:val="28"/>
          <w:szCs w:val="28"/>
          <w:rtl w:val="true"/>
          <w:lang w:bidi="fa-IR"/>
        </w:rPr>
        <w:t>لخبر آخر و جعله کالمعدوم حتّی یتعیّن العمل بالخبر الآخر؟</w:t>
      </w:r>
      <w:r>
        <w:rPr>
          <w:rFonts w:eastAsia="IRNazanin" w:cs="IRNazanin"/>
          <w:color w:val="111111"/>
          <w:sz w:val="28"/>
          <w:szCs w:val="28"/>
          <w:rtl w:val="true"/>
          <w:lang w:bidi="fa-IR"/>
        </w:rPr>
        <w:t xml:space="preserve">! </w:t>
      </w:r>
      <w:bookmarkStart w:id="1861" w:name="pg12985_125401"/>
    </w:p>
    <w:p>
      <w:pPr>
        <w:pStyle w:val="BookText"/>
        <w:rPr/>
      </w:pPr>
      <w:bookmarkEnd w:id="1861"/>
      <w:r>
        <w:rPr>
          <w:rFonts w:ascii="IRNazanin" w:hAnsi="IRNazanin" w:eastAsia="IRNazanin"/>
          <w:color w:val="111111"/>
          <w:sz w:val="28"/>
          <w:sz w:val="28"/>
          <w:szCs w:val="28"/>
          <w:rtl w:val="true"/>
          <w:lang w:bidi="fa-IR"/>
        </w:rPr>
        <w:t>ثمّ إنّ الممنوع هو الاعتناء بالقیاس مطلقا؛و لذا استقرّت طریقة أصحابنا علی هجره فی باب الترجیح،و لم نجد منهم موضعا یرجّحونه به،و لو لا ذلک لوجب تدوین شروط القیاس فی الاصول لیرجّح به فی الفروع</w:t>
      </w:r>
      <w:r>
        <w:rPr>
          <w:rFonts w:eastAsia="IRNazanin" w:cs="IRNazanin"/>
          <w:color w:val="111111"/>
          <w:sz w:val="28"/>
          <w:szCs w:val="28"/>
          <w:rtl w:val="true"/>
          <w:lang w:bidi="fa-IR"/>
        </w:rPr>
        <w:t>.</w:t>
      </w:r>
    </w:p>
    <w:p>
      <w:pPr>
        <w:pStyle w:val="Heading6"/>
        <w:numPr>
          <w:ilvl w:val="5"/>
          <w:numId w:val="1"/>
        </w:numPr>
        <w:rPr/>
      </w:pPr>
      <w:bookmarkStart w:id="1862" w:name="__RefHeading___Toc5768261_3224264995"/>
      <w:bookmarkStart w:id="1863" w:name="_Toc739"/>
      <w:bookmarkEnd w:id="1862"/>
      <w:r>
        <w:rPr>
          <w:rtl w:val="true"/>
        </w:rPr>
        <w:t>الثانی</w:t>
      </w:r>
      <w:r>
        <w:rPr>
          <w:rtl w:val="true"/>
        </w:rPr>
        <w:t>:</w:t>
      </w:r>
      <w:r>
        <w:rPr>
          <w:rtl w:val="true"/>
        </w:rPr>
        <w:t>فی مرتبة هذا المرجّح</w:t>
      </w:r>
      <w:bookmarkEnd w:id="1863"/>
    </w:p>
    <w:p>
      <w:pPr>
        <w:pStyle w:val="BookText"/>
        <w:rPr/>
      </w:pPr>
      <w:r>
        <w:rPr>
          <w:rFonts w:ascii="IRNazanin" w:hAnsi="IRNazanin" w:eastAsia="IRNazanin"/>
          <w:color w:val="111111"/>
          <w:sz w:val="28"/>
          <w:sz w:val="28"/>
          <w:szCs w:val="28"/>
          <w:rtl w:val="true"/>
          <w:lang w:bidi="fa-IR"/>
        </w:rPr>
        <w:t>بالنسبة إلی المرجّحات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الرجحان من حیث الدلالة،فقد عرفت غیر مرّة تقدّمه علی جمیع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بلغ المرجّح الخارجیّ إلی حیث یوهن الأرجح دلالة،فهو یسقطه عن الحجّیّة و یخرج الفرض عن تعارض الدلیلین؛و من هنا قد </w:t>
      </w:r>
      <w:r>
        <w:rPr>
          <w:rStyle w:val="FootnoteAnchor"/>
          <w:rtl w:val="true"/>
        </w:rPr>
        <w:footnoteReference w:id="1819"/>
      </w:r>
      <w:r>
        <w:rPr>
          <w:rFonts w:ascii="Amiri" w:hAnsi="Amiri" w:eastAsia="Amiri" w:cs="Amiri"/>
          <w:color w:val="111111"/>
          <w:sz w:val="28"/>
          <w:sz w:val="28"/>
          <w:szCs w:val="28"/>
          <w:rtl w:val="true"/>
          <w:lang w:bidi="ar-SA"/>
        </w:rPr>
        <w:t xml:space="preserve">یقدّم العامّ المشهور أو </w:t>
      </w:r>
      <w:r>
        <w:rPr>
          <w:rStyle w:val="FootnoteAnchor"/>
          <w:rtl w:val="true"/>
        </w:rPr>
        <w:footnoteReference w:id="1820"/>
      </w:r>
      <w:r>
        <w:rPr>
          <w:rFonts w:ascii="IRNazanin" w:hAnsi="IRNazanin" w:eastAsia="IRNazanin"/>
          <w:color w:val="111111"/>
          <w:sz w:val="28"/>
          <w:sz w:val="28"/>
          <w:szCs w:val="28"/>
          <w:rtl w:val="true"/>
          <w:lang w:bidi="fa-IR"/>
        </w:rPr>
        <w:t>المعتضد بالامور الخارجیّة الأخر علی الخاصّ</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الترجیح من حیث السند،فظاهر مقبولة ابن حنظلة </w:t>
      </w:r>
      <w:r>
        <w:rPr>
          <w:rStyle w:val="FootnoteAnchor"/>
          <w:rtl w:val="true"/>
        </w:rPr>
        <w:footnoteReference w:id="1821"/>
      </w:r>
      <w:r>
        <w:rPr>
          <w:rFonts w:ascii="IRNazanin" w:hAnsi="IRNazanin" w:eastAsia="IRNazanin"/>
          <w:color w:val="111111"/>
          <w:sz w:val="28"/>
          <w:sz w:val="28"/>
          <w:szCs w:val="28"/>
          <w:rtl w:val="true"/>
          <w:lang w:bidi="fa-IR"/>
        </w:rPr>
        <w:t>تقدیمه علی المرجّح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الأمر بالعکس؛لأنّ رجحان السند إنّما اعتبر لتحصیل الأقرب إلی الواقع،فإنّ الأعدل أقرب إلی الصدق من غیره،بمعنی أنّه لو فرض العلم بکذب أحد الخبرین کان المظنون صدق الأعدل و کذب العادل،فإذا فرض کون خبر العادل مظنون المطابقة للواقع و خبر الأعدل مظنون المخالفة،فلا وجه لترجیحه بالأعدلیّة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الترجیح بمخالفة العامّة،بناء علی أنّ الوجه فیه هو نفی احتمال التقیّة</w:t>
      </w:r>
      <w:r>
        <w:rPr>
          <w:rFonts w:eastAsia="IRNazanin" w:cs="IRNazanin"/>
          <w:color w:val="111111"/>
          <w:sz w:val="28"/>
          <w:szCs w:val="28"/>
          <w:rtl w:val="true"/>
          <w:lang w:bidi="fa-IR"/>
        </w:rPr>
        <w:t xml:space="preserve">. </w:t>
      </w:r>
      <w:bookmarkStart w:id="1864" w:name="pg12985_125402"/>
    </w:p>
    <w:p>
      <w:pPr>
        <w:pStyle w:val="Heading6"/>
        <w:numPr>
          <w:ilvl w:val="5"/>
          <w:numId w:val="1"/>
        </w:numPr>
        <w:rPr/>
      </w:pPr>
      <w:bookmarkStart w:id="1865" w:name="__RefHeading___Toc5768263_3224264995"/>
      <w:bookmarkStart w:id="1866" w:name="_Toc740"/>
      <w:bookmarkEnd w:id="1864"/>
      <w:bookmarkEnd w:id="1865"/>
      <w:r>
        <w:rPr>
          <w:rtl w:val="true"/>
        </w:rPr>
        <w:t>القسم الثانی</w:t>
      </w:r>
      <w:r>
        <w:rPr>
          <w:rtl w:val="true"/>
        </w:rPr>
        <w:t>:</w:t>
      </w:r>
      <w:r>
        <w:rPr>
          <w:rtl w:val="true"/>
        </w:rPr>
        <w:t>ما یکون معتبرا فی نفسه،و هو علی قسمین</w:t>
      </w:r>
      <w:r>
        <w:rPr>
          <w:rtl w:val="true"/>
        </w:rPr>
        <w:t>:</w:t>
      </w:r>
      <w:bookmarkEnd w:id="1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معتبرا فی نفسه،و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الثانی،و هو ما کان مستقلا بالاعتبار و لو خلا المورد عن الخبرین </w:t>
      </w:r>
      <w:r>
        <w:rPr>
          <w:rStyle w:val="FootnoteAnchor"/>
          <w:rtl w:val="true"/>
        </w:rPr>
        <w:footnoteReference w:id="1823"/>
      </w:r>
      <w:r>
        <w:rPr>
          <w:rFonts w:ascii="IRNazanin" w:hAnsi="IRNazanin" w:eastAsia="IRNazanin"/>
          <w:color w:val="111111"/>
          <w:sz w:val="28"/>
          <w:sz w:val="28"/>
          <w:szCs w:val="28"/>
          <w:rtl w:val="true"/>
          <w:lang w:bidi="fa-IR"/>
        </w:rPr>
        <w:t>،فقد أشرنا إلی أنّه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معاضدا لمضمون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کذلک</w:t>
      </w:r>
      <w:r>
        <w:rPr>
          <w:rFonts w:eastAsia="IRNazanin" w:cs="IRNazanin"/>
          <w:color w:val="111111"/>
          <w:sz w:val="28"/>
          <w:szCs w:val="28"/>
          <w:rtl w:val="true"/>
          <w:lang w:bidi="fa-IR"/>
        </w:rPr>
        <w:t>.</w:t>
      </w:r>
    </w:p>
    <w:p>
      <w:pPr>
        <w:pStyle w:val="Heading6"/>
        <w:numPr>
          <w:ilvl w:val="5"/>
          <w:numId w:val="1"/>
        </w:numPr>
        <w:rPr/>
      </w:pPr>
      <w:bookmarkStart w:id="1867" w:name="__RefHeading___Toc5768265_3224264995"/>
      <w:bookmarkStart w:id="1868" w:name="_Toc741"/>
      <w:bookmarkEnd w:id="1867"/>
      <w:r>
        <w:rPr>
          <w:rtl w:val="true"/>
        </w:rPr>
        <w:t>الترجیح بموافقة الکتاب و السنّة و الدلیل علیه</w:t>
      </w:r>
      <w:bookmarkEnd w:id="1868"/>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السنّة،و الترجیح بموافقتهما ممّا تواتر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المعارج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دلیل مستقلّ،فیکون دلیلا علی صدق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المنافی لا یعمل به لو انفرد عن المعارض،فما ظنّک به معه؟</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الاستدلال علی طرح الخبر المنافی،سواء قلنا بحجّیّته مع معارضته لظاهر الکتاب أم قلنا بعدم حجّیّته،فلا یتوهّم التنافی بین دلیلیه</w:t>
      </w:r>
      <w:r>
        <w:rPr>
          <w:rFonts w:eastAsia="IRNazanin" w:cs="IRNazanin"/>
          <w:color w:val="111111"/>
          <w:sz w:val="28"/>
          <w:szCs w:val="28"/>
          <w:rtl w:val="true"/>
          <w:lang w:bidi="fa-IR"/>
        </w:rPr>
        <w:t xml:space="preserve">. </w:t>
      </w:r>
      <w:bookmarkStart w:id="1869" w:name="pg12985_125403"/>
    </w:p>
    <w:p>
      <w:pPr>
        <w:pStyle w:val="BookText"/>
        <w:rPr/>
      </w:pPr>
      <w:bookmarkEnd w:id="1869"/>
      <w:r>
        <w:rPr>
          <w:rFonts w:ascii="IRNazanin" w:hAnsi="IRNazanin" w:eastAsia="IRNazanin"/>
          <w:color w:val="111111"/>
          <w:sz w:val="28"/>
          <w:sz w:val="28"/>
          <w:szCs w:val="28"/>
          <w:rtl w:val="true"/>
          <w:lang w:bidi="fa-IR"/>
        </w:rPr>
        <w:t xml:space="preserve">ثمّ إنّ توضیح الأمر فی هذا المقام یحتاج إلی تفصیل أقسام ظاهر الکتاب و </w:t>
      </w:r>
      <w:r>
        <w:rPr>
          <w:rStyle w:val="FootnoteAnchor"/>
          <w:rtl w:val="true"/>
        </w:rPr>
        <w:footnoteReference w:id="1825"/>
      </w:r>
      <w:r>
        <w:rPr>
          <w:rFonts w:ascii="IRNazanin" w:hAnsi="IRNazanin" w:eastAsia="IRNazanin"/>
          <w:color w:val="111111"/>
          <w:sz w:val="28"/>
          <w:sz w:val="28"/>
          <w:szCs w:val="28"/>
          <w:rtl w:val="true"/>
          <w:lang w:bidi="fa-IR"/>
        </w:rPr>
        <w:t>السنّة المطابق لأحد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870" w:name="__RefHeading___Toc5768267_3224264995"/>
      <w:bookmarkStart w:id="1871" w:name="_Toc742"/>
      <w:bookmarkEnd w:id="1870"/>
      <w:r>
        <w:rPr>
          <w:rtl w:val="true"/>
        </w:rPr>
        <w:t>صور مخالفة ظاهر الکتاب</w:t>
      </w:r>
      <w:r>
        <w:rPr>
          <w:rtl w:val="true"/>
        </w:rPr>
        <w:t>:</w:t>
      </w:r>
      <w:bookmarkEnd w:id="1871"/>
    </w:p>
    <w:p>
      <w:pPr>
        <w:pStyle w:val="BookText"/>
        <w:rPr/>
      </w:pPr>
      <w:r>
        <w:rPr>
          <w:rFonts w:ascii="IRNazanin" w:hAnsi="IRNazanin" w:eastAsia="IRNazanin"/>
          <w:color w:val="111111"/>
          <w:sz w:val="28"/>
          <w:sz w:val="28"/>
          <w:szCs w:val="28"/>
          <w:rtl w:val="true"/>
          <w:lang w:bidi="fa-IR"/>
        </w:rPr>
        <w:t>إنّ ظاهر الکتاب إذا لوحظ مع الخبر المخالف فلا یخلو عن صور ثلاث</w:t>
      </w:r>
      <w:r>
        <w:rPr>
          <w:rFonts w:eastAsia="IRNazanin" w:cs="IRNazanin"/>
          <w:color w:val="111111"/>
          <w:sz w:val="28"/>
          <w:szCs w:val="28"/>
          <w:rtl w:val="true"/>
          <w:lang w:bidi="fa-IR"/>
        </w:rPr>
        <w:t>:</w:t>
      </w:r>
    </w:p>
    <w:p>
      <w:pPr>
        <w:pStyle w:val="Heading6"/>
        <w:numPr>
          <w:ilvl w:val="5"/>
          <w:numId w:val="1"/>
        </w:numPr>
        <w:rPr/>
      </w:pPr>
      <w:bookmarkStart w:id="1872" w:name="__RefHeading___Toc5768269_3224264995"/>
      <w:bookmarkStart w:id="1873" w:name="_Toc743"/>
      <w:bookmarkEnd w:id="1872"/>
      <w:r>
        <w:rPr>
          <w:rtl w:val="true"/>
        </w:rPr>
        <w:t>الصورة الاولی</w:t>
      </w:r>
      <w:bookmarkEnd w:id="187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وجه لو خلا الخبر المخالف له عن معارضة المطابق له کان مقدّما علیه؛لکونه نصّا بالنسبة إلیه؛لکونه اخصّ منه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تخصیص الکتاب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فالمانع عن التخصیص حینئذ ابتلاؤه </w:t>
      </w:r>
      <w:r>
        <w:rPr>
          <w:rStyle w:val="FootnoteAnchor"/>
          <w:rtl w:val="true"/>
        </w:rPr>
        <w:footnoteReference w:id="1826"/>
      </w:r>
      <w:r>
        <w:rPr>
          <w:rFonts w:ascii="IRNazanin" w:hAnsi="IRNazanin" w:eastAsia="IRNazanin"/>
          <w:color w:val="111111"/>
          <w:sz w:val="28"/>
          <w:sz w:val="28"/>
          <w:szCs w:val="28"/>
          <w:rtl w:val="true"/>
          <w:lang w:bidi="fa-IR"/>
        </w:rPr>
        <w:t>بمعارضة مثله،کما إذا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الکتاب عموم یدلّ علی وجوب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فی هذا المقام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یلاحظ أوّلا جمیع ما یمکن أن یرجّح به الخبر المخالف للکتاب علی المطابق له،فإن وجد شیء منها رجّح المخالف به و خصّص به الکتاب؛لأنّ المفروض انحصار المانع عن تخصیصه به فی ابتلائه بمزاحمة الخبر المطابق للکتاب؛لأنّه مع الکتاب من قبیل النصّ و الظاهر،و قد عرفت أنّ العمل بالنصّ لیس من باب الترجیح،بل من باب العمل بالدلیل و القرینة فی مقابلة أصالة الحقیقة،حتّی لو قلنا بکونها من باب الظهور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عولجت المزاحمة بالترجیح صار المخالف کالسلیم عن المعارض،فیصرف ظاهر الکتاب بقرینة الخبر السلیم</w:t>
      </w:r>
      <w:r>
        <w:rPr>
          <w:rFonts w:eastAsia="IRNazanin" w:cs="IRNazanin"/>
          <w:color w:val="111111"/>
          <w:sz w:val="28"/>
          <w:szCs w:val="28"/>
          <w:rtl w:val="true"/>
          <w:lang w:bidi="fa-IR"/>
        </w:rPr>
        <w:t xml:space="preserve">. </w:t>
      </w:r>
      <w:bookmarkStart w:id="1874" w:name="pg12985_125404"/>
    </w:p>
    <w:p>
      <w:pPr>
        <w:pStyle w:val="BookText"/>
        <w:rPr/>
      </w:pPr>
      <w:bookmarkEnd w:id="1874"/>
      <w:r>
        <w:rPr>
          <w:rFonts w:ascii="IRNazanin" w:hAnsi="IRNazanin" w:eastAsia="IRNazanin"/>
          <w:color w:val="111111"/>
          <w:sz w:val="28"/>
          <w:sz w:val="28"/>
          <w:szCs w:val="28"/>
          <w:rtl w:val="true"/>
          <w:lang w:bidi="fa-IR"/>
        </w:rPr>
        <w:t>و لو لم یکن هناک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حکمنا فی الخبرین المتکافئین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لأنّه الأصل فی المتعارضین،و إمّا لورود الأخبار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التخییر،و أنّ له أن یأخذ بالمطابق و أن یأخذ بالمخالف،فیخصّص به عموم الکتاب؛لما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موافقة أحد الخبرین للأصل لا یوجب رفع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بالتساقط أو التوقّف،کان المرجع هو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الترجیح بظاهر الکتاب لا یتحقّق بمقتضی القاعدة </w:t>
      </w:r>
      <w:r>
        <w:rPr>
          <w:rStyle w:val="FootnoteAnchor"/>
          <w:rtl w:val="true"/>
        </w:rPr>
        <w:footnoteReference w:id="1827"/>
      </w:r>
      <w:r>
        <w:rPr>
          <w:rFonts w:ascii="IRNazanin" w:hAnsi="IRNazanin" w:eastAsia="IRNazanin"/>
          <w:color w:val="111111"/>
          <w:sz w:val="28"/>
          <w:sz w:val="28"/>
          <w:szCs w:val="28"/>
          <w:rtl w:val="true"/>
          <w:lang w:bidi="fa-IR"/>
        </w:rPr>
        <w:t>فی شیء من فروض هذه الصورة</w:t>
      </w:r>
      <w:r>
        <w:rPr>
          <w:rFonts w:eastAsia="IRNazanin" w:cs="IRNazanin"/>
          <w:color w:val="111111"/>
          <w:sz w:val="28"/>
          <w:szCs w:val="28"/>
          <w:rtl w:val="true"/>
          <w:lang w:bidi="fa-IR"/>
        </w:rPr>
        <w:t>.</w:t>
      </w:r>
    </w:p>
    <w:p>
      <w:pPr>
        <w:pStyle w:val="Heading6"/>
        <w:numPr>
          <w:ilvl w:val="5"/>
          <w:numId w:val="1"/>
        </w:numPr>
        <w:rPr/>
      </w:pPr>
      <w:bookmarkStart w:id="1875" w:name="__RefHeading___Toc5768271_3224264995"/>
      <w:bookmarkStart w:id="1876" w:name="_Toc744"/>
      <w:bookmarkEnd w:id="1875"/>
      <w:r>
        <w:rPr>
          <w:rtl w:val="true"/>
        </w:rPr>
        <w:t>الصورة الثانیة</w:t>
      </w:r>
      <w:bookmarkEnd w:id="187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علی وجه لو خلا الخبر المخالف له عن معارضه لکان مطروحا؛لمخالفته الکتاب </w:t>
      </w:r>
      <w:r>
        <w:rPr>
          <w:rStyle w:val="FootnoteAnchor"/>
          <w:rtl w:val="true"/>
        </w:rPr>
        <w:footnoteReference w:id="1828"/>
      </w:r>
      <w:r>
        <w:rPr>
          <w:rFonts w:ascii="IRNazanin" w:hAnsi="IRNazanin" w:eastAsia="IRNazanin"/>
          <w:color w:val="111111"/>
          <w:sz w:val="28"/>
          <w:sz w:val="28"/>
          <w:szCs w:val="28"/>
          <w:rtl w:val="true"/>
          <w:lang w:bidi="fa-IR"/>
        </w:rPr>
        <w:t>،کما إذا تباین مضمونهما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ظاهر الکتاب فی المثال المتقدّم وجوب إکرام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فی هذه الصورة خروج الخبر المخالف عن الحجّیّة رأسا؛ لتواتر الأخبار ببطلان الخبر المخالف للکتاب و السنّة </w:t>
      </w:r>
      <w:r>
        <w:rPr>
          <w:rStyle w:val="FootnoteAnchor"/>
          <w:rtl w:val="true"/>
        </w:rPr>
        <w:footnoteReference w:id="1829"/>
      </w:r>
      <w:r>
        <w:rPr>
          <w:rFonts w:ascii="IRNazanin" w:hAnsi="IRNazanin" w:eastAsia="IRNazanin"/>
          <w:color w:val="111111"/>
          <w:sz w:val="28"/>
          <w:sz w:val="28"/>
          <w:szCs w:val="28"/>
          <w:rtl w:val="true"/>
          <w:lang w:bidi="fa-IR"/>
        </w:rPr>
        <w:t>،و المتیقّن من المخالفة هذا الفرد،فیخرج الفرض عن تعارض الخبرین،فلا مورد للترجیح فی هذه الصورة أیضا؛لأنّ المراد به تقدیم أحد الخبرین لمزیّة فیه،لا لما یسقط الآخر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عدیمة المورد فیما بأیدینا من الأخبار المتعارضة</w:t>
      </w:r>
      <w:r>
        <w:rPr>
          <w:rFonts w:eastAsia="IRNazanin" w:cs="IRNazanin"/>
          <w:color w:val="111111"/>
          <w:sz w:val="28"/>
          <w:szCs w:val="28"/>
          <w:rtl w:val="true"/>
          <w:lang w:bidi="fa-IR"/>
        </w:rPr>
        <w:t>.</w:t>
      </w:r>
    </w:p>
    <w:p>
      <w:pPr>
        <w:pStyle w:val="Heading6"/>
        <w:numPr>
          <w:ilvl w:val="5"/>
          <w:numId w:val="1"/>
        </w:numPr>
        <w:rPr/>
      </w:pPr>
      <w:bookmarkStart w:id="1877" w:name="__RefHeading___Toc5768273_3224264995"/>
      <w:bookmarkStart w:id="1878" w:name="_Toc745"/>
      <w:bookmarkEnd w:id="1877"/>
      <w:r>
        <w:rPr>
          <w:rtl w:val="true"/>
        </w:rPr>
        <w:t>الصورة الثالث</w:t>
      </w:r>
      <w:bookmarkEnd w:id="187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علی وجه لو خلا المخالف له عن المعارض </w:t>
      </w:r>
      <w:bookmarkStart w:id="1879" w:name="pg12985_125405"/>
    </w:p>
    <w:p>
      <w:pPr>
        <w:pStyle w:val="BookText"/>
        <w:rPr/>
      </w:pPr>
      <w:bookmarkEnd w:id="1879"/>
      <w:r>
        <w:rPr>
          <w:rFonts w:ascii="IRNazanin" w:hAnsi="IRNazanin" w:eastAsia="IRNazanin"/>
          <w:color w:val="111111"/>
          <w:sz w:val="28"/>
          <w:sz w:val="28"/>
          <w:szCs w:val="28"/>
          <w:rtl w:val="true"/>
          <w:lang w:bidi="fa-IR"/>
        </w:rPr>
        <w:t>لخالف الکتاب،لکن لا علی وجه التباین الکلّیّ،بل یمکن الجمع بینهما بصرف أحدهما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حینئذ،فإن قلنا بسقوط الخبر المخالف بهذه المخالفة عن الحجّیّة کان حکمها حکم الصورة الثانیة،و إلاّ کان الکتاب مع الخبر المطابق بمنزلة دلیل واحد عارض الخبر المخالف،و الترجیح حینئذ بالتعاضد و قطعیّة سند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فالترجیح بموافقة الکتاب منحصر فی هذه الصورة الأخیرة</w:t>
      </w:r>
      <w:r>
        <w:rPr>
          <w:rFonts w:eastAsia="IRNazanin" w:cs="IRNazanin"/>
          <w:color w:val="111111"/>
          <w:sz w:val="28"/>
          <w:szCs w:val="28"/>
          <w:rtl w:val="true"/>
          <w:lang w:bidi="fa-IR"/>
        </w:rPr>
        <w:t>.</w:t>
      </w:r>
    </w:p>
    <w:p>
      <w:pPr>
        <w:pStyle w:val="Heading6"/>
        <w:numPr>
          <w:ilvl w:val="5"/>
          <w:numId w:val="1"/>
        </w:numPr>
        <w:rPr/>
      </w:pPr>
      <w:bookmarkStart w:id="1880" w:name="__RefHeading___Toc5768275_3224264995"/>
      <w:bookmarkStart w:id="1881" w:name="_Toc746"/>
      <w:bookmarkEnd w:id="1880"/>
      <w:r>
        <w:rPr>
          <w:rtl w:val="true"/>
        </w:rPr>
        <w:t>مرتبة هذا المرجّح</w:t>
      </w:r>
      <w:r>
        <w:rPr>
          <w:rtl w:val="true"/>
        </w:rPr>
        <w:t>:</w:t>
      </w:r>
      <w:bookmarkEnd w:id="1881"/>
    </w:p>
    <w:p>
      <w:pPr>
        <w:pStyle w:val="BookText"/>
        <w:rPr/>
      </w:pPr>
      <w:r>
        <w:rPr>
          <w:rFonts w:ascii="IRNazanin" w:hAnsi="IRNazanin" w:eastAsia="IRNazanin"/>
          <w:color w:val="111111"/>
          <w:sz w:val="28"/>
          <w:sz w:val="28"/>
          <w:szCs w:val="28"/>
          <w:rtl w:val="true"/>
          <w:lang w:bidi="fa-IR"/>
        </w:rPr>
        <w:t>لکن هذا الترجیح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الترجیح بالسند؛لأنّ أعدلیّة الراوی فی الخبر المخالف لا تقاوم قطعیّة سند الکتاب الموافق للخبر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الترجیح بمخالفة العامّة؛لأنّ التقیّة غیر متصوّرة فی الکتاب الموافق للخبر الموافق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المرجّحات الخارجیّة؛لأنّ الأمارة المستقلّة المطابقة للخبر الغیر المعتبرة لا تقاوم الکتاب المقطوع الاعتبار،و لو فرضنا الأمارة المذکورة مسقطة لدلالة الخبر و الکتاب المخالفین لها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القول بتقیید اعتبار الظواهر بصورة عدم قیام الظنّ الشخصیّ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المورد عن فرض التعارض</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ما ذکرناه هو الداعی للشیخ قدّس سرّه فی تقدیم الترجیح بهذا المرجّح علی جمیع ما سواه من المرجّحات،و ذکر الترجیح بها بعد فقد هذا المرجّح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882" w:name="pg12985_125406"/>
    </w:p>
    <w:p>
      <w:pPr>
        <w:pStyle w:val="Heading6"/>
        <w:numPr>
          <w:ilvl w:val="5"/>
          <w:numId w:val="1"/>
        </w:numPr>
        <w:rPr/>
      </w:pPr>
      <w:bookmarkStart w:id="1883" w:name="__RefHeading___Toc5768277_3224264995"/>
      <w:bookmarkStart w:id="1884" w:name="_Toc747"/>
      <w:bookmarkEnd w:id="1882"/>
      <w:bookmarkEnd w:id="1883"/>
      <w:r>
        <w:rPr>
          <w:rtl w:val="true"/>
        </w:rPr>
        <w:t>الاشکال فی مقبوله ابن حنظلة</w:t>
      </w:r>
      <w:bookmarkEnd w:id="1884"/>
    </w:p>
    <w:p>
      <w:pPr>
        <w:pStyle w:val="BookText"/>
        <w:rPr/>
      </w:pPr>
      <w:r>
        <w:rPr>
          <w:rFonts w:ascii="IRNazanin" w:hAnsi="IRNazanin" w:eastAsia="IRNazanin"/>
          <w:color w:val="111111"/>
          <w:sz w:val="28"/>
          <w:sz w:val="28"/>
          <w:szCs w:val="28"/>
          <w:rtl w:val="true"/>
          <w:lang w:bidi="fa-IR"/>
        </w:rPr>
        <w:t xml:space="preserve">إذا عرفت ما ذکرنا،علمت توجّه </w:t>
      </w:r>
      <w:r>
        <w:rPr>
          <w:rStyle w:val="FootnoteAnchor"/>
          <w:rtl w:val="true"/>
        </w:rPr>
        <w:footnoteReference w:id="1831"/>
      </w:r>
      <w:r>
        <w:rPr>
          <w:rFonts w:ascii="IRNazanin" w:hAnsi="IRNazanin" w:eastAsia="IRNazanin"/>
          <w:color w:val="111111"/>
          <w:sz w:val="28"/>
          <w:sz w:val="28"/>
          <w:szCs w:val="28"/>
          <w:rtl w:val="true"/>
          <w:lang w:bidi="fa-IR"/>
        </w:rPr>
        <w:t xml:space="preserve">الإشکال فیما دلّ من الأخبار العلاجیّة علی تقدیم بعض المرجّحات علی موافقة الکتاب کمقبولة ابن حنظلة </w:t>
      </w:r>
      <w:r>
        <w:rPr>
          <w:rStyle w:val="FootnoteAnchor"/>
          <w:rtl w:val="true"/>
        </w:rPr>
        <w:footnoteReference w:id="1832"/>
      </w:r>
      <w:r>
        <w:rPr>
          <w:rFonts w:ascii="IRNazanin" w:hAnsi="IRNazanin" w:eastAsia="IRNazanin"/>
          <w:color w:val="111111"/>
          <w:sz w:val="28"/>
          <w:sz w:val="28"/>
          <w:szCs w:val="28"/>
          <w:rtl w:val="true"/>
          <w:lang w:bidi="fa-IR"/>
        </w:rPr>
        <w:t>،بل و فی غیرها ممّا اطلق فیها الترجیح بموافقة الکتاب و السنّة؛من حیث إنّ الصورة الثالثة قلیلة الوجود فی الأخبار المتعارضة، و الصورة الثانیة أقلّ وجودا بل معدومة،فلا یتوهّم حمل تلک الأخبار علیها و إن لم تکن من باب ترجیح أحد المتعارضین؛لسقوط المخالف عن الحجّیّة مع قطع النظر عن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التزام دخول الصورة الاولی فی الأخبار التی اطلق فیها الترجیح بموافقة الکتاب،فلا یقلّ موردها،و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الترجیح بین الخبرین المخصّص أحدهما لظاهر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بقرینة لزوم قلّة المورد بل عدمه،و بقرینة بعض الروایات الدالّة علی ردّ بعض ما ورد فی الجبر و التفویض بمخالفة الکتاب </w:t>
      </w:r>
      <w:r>
        <w:rPr>
          <w:rStyle w:val="FootnoteAnchor"/>
          <w:rtl w:val="true"/>
        </w:rPr>
        <w:footnoteReference w:id="1833"/>
      </w:r>
      <w:r>
        <w:rPr>
          <w:rFonts w:ascii="IRNazanin" w:hAnsi="IRNazanin" w:eastAsia="IRNazanin"/>
          <w:color w:val="111111"/>
          <w:sz w:val="28"/>
          <w:sz w:val="28"/>
          <w:szCs w:val="28"/>
          <w:rtl w:val="true"/>
          <w:lang w:bidi="fa-IR"/>
        </w:rPr>
        <w:t>مع کونه ظاهرا فی نفیهما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المعتضد بظاهر الکتاب لا یعارضه الخبر الآخر و إن کان لو انفرد رفع الید به عن ظاهر الکتاب</w:t>
      </w:r>
      <w:r>
        <w:rPr>
          <w:rFonts w:eastAsia="IRNazanin" w:cs="IRNazanin"/>
          <w:color w:val="111111"/>
          <w:sz w:val="28"/>
          <w:szCs w:val="28"/>
          <w:rtl w:val="true"/>
          <w:lang w:bidi="fa-IR"/>
        </w:rPr>
        <w:t>.</w:t>
      </w:r>
    </w:p>
    <w:p>
      <w:pPr>
        <w:pStyle w:val="Heading6"/>
        <w:numPr>
          <w:ilvl w:val="5"/>
          <w:numId w:val="1"/>
        </w:numPr>
        <w:rPr/>
      </w:pPr>
      <w:bookmarkStart w:id="1885" w:name="__RefHeading___Toc5768279_3224264995"/>
      <w:bookmarkStart w:id="1886" w:name="_Toc748"/>
      <w:bookmarkEnd w:id="1885"/>
      <w:r>
        <w:rPr>
          <w:rtl w:val="true"/>
        </w:rPr>
        <w:t>الجواب عن الاشکال</w:t>
      </w:r>
      <w:bookmarkEnd w:id="188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المختصّ بالمقبولة من حیث تقدیم بعض المرجّحات علی موافقة الکتاب،فیندفع بما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الترجیح بصفات الراوی فیها من حیث کونه حاکما،و أوّل المرجّحات الخبریّة فیها هی شهرة إحدی الروایتین و شذوذ الاخری،و لا بعد فی تقدیمها علی موافقة الکتاب</w:t>
      </w:r>
      <w:r>
        <w:rPr>
          <w:rFonts w:eastAsia="IRNazanin" w:cs="IRNazanin"/>
          <w:color w:val="111111"/>
          <w:sz w:val="28"/>
          <w:szCs w:val="28"/>
          <w:rtl w:val="true"/>
          <w:lang w:bidi="fa-IR"/>
        </w:rPr>
        <w:t xml:space="preserve">. </w:t>
      </w:r>
      <w:bookmarkStart w:id="1887" w:name="pg12985_125407"/>
    </w:p>
    <w:p>
      <w:pPr>
        <w:pStyle w:val="BookText"/>
        <w:rPr/>
      </w:pPr>
      <w:bookmarkEnd w:id="1887"/>
      <w:r>
        <w:rPr>
          <w:rFonts w:ascii="IRNazanin" w:hAnsi="IRNazanin" w:eastAsia="IRNazanin"/>
          <w:color w:val="111111"/>
          <w:sz w:val="28"/>
          <w:sz w:val="28"/>
          <w:szCs w:val="28"/>
          <w:rtl w:val="true"/>
          <w:lang w:bidi="fa-IR"/>
        </w:rPr>
        <w:t>ثمّ إنّ الدلیل المستقلّ المعاضد لأحد الخبرین حکمه حکم الکتاب و السنّة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الصورتین الأخیرتین،فالخبر المخالف له یعارض مجموع الخبر الآخر و الدلیل المطابق له،و الترجیح هنا بالتعاضد لا غیر</w:t>
      </w:r>
      <w:r>
        <w:rPr>
          <w:rFonts w:eastAsia="IRNazanin" w:cs="IRNazanin"/>
          <w:color w:val="111111"/>
          <w:sz w:val="28"/>
          <w:szCs w:val="28"/>
          <w:rtl w:val="true"/>
          <w:lang w:bidi="fa-IR"/>
        </w:rPr>
        <w:t>.</w:t>
      </w:r>
    </w:p>
    <w:p>
      <w:pPr>
        <w:pStyle w:val="Heading6"/>
        <w:numPr>
          <w:ilvl w:val="5"/>
          <w:numId w:val="1"/>
        </w:numPr>
        <w:rPr/>
      </w:pPr>
      <w:bookmarkStart w:id="1888" w:name="__RefHeading___Toc5768281_3224264995"/>
      <w:bookmarkStart w:id="1889" w:name="_Toc749"/>
      <w:bookmarkEnd w:id="1888"/>
      <w:r>
        <w:rPr>
          <w:rtl w:val="true"/>
        </w:rPr>
        <w:t>الثانی</w:t>
      </w:r>
      <w:r>
        <w:rPr>
          <w:rtl w:val="true"/>
        </w:rPr>
        <w:t>:-</w:t>
      </w:r>
      <w:r>
        <w:rPr>
          <w:rtl w:val="true"/>
        </w:rPr>
        <w:t>ما لا یکون معاضدا لأحد الخبرین</w:t>
      </w:r>
      <w:bookmarkEnd w:id="1889"/>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یکون معاضدا لأحد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عدّة امور</w:t>
      </w:r>
      <w:r>
        <w:rPr>
          <w:rFonts w:eastAsia="IRNazanin" w:cs="IRNazanin"/>
          <w:color w:val="111111"/>
          <w:sz w:val="28"/>
          <w:szCs w:val="28"/>
          <w:rtl w:val="true"/>
          <w:lang w:bidi="fa-IR"/>
        </w:rPr>
        <w:t>:</w:t>
      </w:r>
    </w:p>
    <w:p>
      <w:pPr>
        <w:pStyle w:val="Heading6"/>
        <w:numPr>
          <w:ilvl w:val="5"/>
          <w:numId w:val="1"/>
        </w:numPr>
        <w:rPr/>
      </w:pPr>
      <w:bookmarkStart w:id="1890" w:name="__RefHeading___Toc5768283_3224264995"/>
      <w:bookmarkStart w:id="1891" w:name="_Toc750"/>
      <w:bookmarkEnd w:id="1890"/>
      <w:r>
        <w:rPr>
          <w:rtl w:val="true"/>
        </w:rPr>
        <w:t>الترجیح بموافقة الأصل</w:t>
      </w:r>
      <w:r>
        <w:rPr>
          <w:rtl w:val="true"/>
        </w:rPr>
        <w:t>:</w:t>
      </w:r>
      <w:bookmarkEnd w:id="189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الأصل،بناء علی کون مضمونه حکم اللّه الظاهریّ؛إذ لو بنی علی إفادته الظنّ بحکم اللّه الواقعیّ کان 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الاصول الثلاثة،أعنی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البراءة،و الاحتیاط، و الاستصحاب</w:t>
      </w:r>
      <w:r>
        <w:rPr>
          <w:rFonts w:eastAsia="IRNazanin" w:cs="IRNazanin"/>
          <w:color w:val="111111"/>
          <w:sz w:val="28"/>
          <w:szCs w:val="28"/>
          <w:rtl w:val="true"/>
          <w:lang w:bidi="fa-IR"/>
        </w:rPr>
        <w:t>.</w:t>
      </w:r>
    </w:p>
    <w:p>
      <w:pPr>
        <w:pStyle w:val="Heading6"/>
        <w:numPr>
          <w:ilvl w:val="5"/>
          <w:numId w:val="1"/>
        </w:numPr>
        <w:rPr/>
      </w:pPr>
      <w:bookmarkStart w:id="1892" w:name="__RefHeading___Toc5768285_3224264995"/>
      <w:bookmarkStart w:id="1893" w:name="_Toc751"/>
      <w:bookmarkEnd w:id="1892"/>
      <w:r>
        <w:rPr>
          <w:rtl w:val="true"/>
        </w:rPr>
        <w:t>الإشکال فی الترجیح بالاصول</w:t>
      </w:r>
      <w:r>
        <w:rPr>
          <w:rtl w:val="true"/>
        </w:rPr>
        <w:t>:</w:t>
      </w:r>
      <w:bookmarkEnd w:id="1893"/>
    </w:p>
    <w:p>
      <w:pPr>
        <w:pStyle w:val="BookText"/>
        <w:rPr/>
      </w:pPr>
      <w:r>
        <w:rPr>
          <w:rFonts w:ascii="IRNazanin" w:hAnsi="IRNazanin" w:eastAsia="IRNazanin"/>
          <w:color w:val="111111"/>
          <w:sz w:val="28"/>
          <w:sz w:val="28"/>
          <w:szCs w:val="28"/>
          <w:rtl w:val="true"/>
          <w:lang w:bidi="fa-IR"/>
        </w:rPr>
        <w:t>لکن یشکل الترجیح بها؛من حیث إنّ مورد الاصول ما إذا فقد الدلیل الاجتهادیّ المطابق أو المخالف،فلا مورد لها إلاّ بعد فرض تساقط المتعارضین لأجل التکافؤ،و المفروض أنّ الأخبار المستفیضة دلّت علی التخییر مع فقد المرجّح،فلا مورد للأصل فی تعارض الخبرین رأسا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التزام عدم الترجیح بها،و أنّ الفقهاء إنّما رجّحوا بأصالة البراءة و الاستصحاب فی الکتب الاستدلالیّة؛من حیث بنائهم علی حصول الظنّ النوعیّ بمطابقة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الاحتیاط،فلم یعلم منهم الاعتماد علیه،لا فی مقام الاستناد </w:t>
      </w:r>
      <w:r>
        <w:rPr>
          <w:rStyle w:val="FootnoteAnchor"/>
          <w:rtl w:val="true"/>
        </w:rPr>
        <w:footnoteReference w:id="1834"/>
      </w:r>
      <w:r>
        <w:rPr>
          <w:rFonts w:ascii="IRNazanin" w:hAnsi="IRNazanin" w:eastAsia="IRNazanin"/>
          <w:color w:val="111111"/>
          <w:sz w:val="28"/>
          <w:sz w:val="28"/>
          <w:szCs w:val="28"/>
          <w:rtl w:val="true"/>
          <w:lang w:bidi="fa-IR"/>
        </w:rPr>
        <w:t xml:space="preserve">،و لا فی مقام الترجیح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یتوهّم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التخییر مع تکافؤ الخبرین معارض بما دلّ علی الاصول الثلاثة،فإنّ مورد الاستصحاب عدم الیقین بخلاف الحالة السابقة،و هو حاصل مع تکافؤ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دلّ علی التخییر حاکم علی الأصل؛فإنّ مؤدّاه جواز العمل بالخبر المخالف للحالة السابقة و الالتزام بارتفاعها،فکما أنّ ما دلّ علی تعیین </w:t>
      </w:r>
      <w:r>
        <w:rPr>
          <w:rStyle w:val="FootnoteAnchor"/>
          <w:rtl w:val="true"/>
        </w:rPr>
        <w:footnoteReference w:id="1837"/>
      </w:r>
      <w:r>
        <w:rPr>
          <w:rFonts w:ascii="IRNazanin" w:hAnsi="IRNazanin" w:eastAsia="IRNazanin"/>
          <w:color w:val="111111"/>
          <w:sz w:val="28"/>
          <w:sz w:val="28"/>
          <w:szCs w:val="28"/>
          <w:rtl w:val="true"/>
          <w:lang w:bidi="fa-IR"/>
        </w:rPr>
        <w:t>العمل بالخبر المخالف للحالة السابقة مع سلامته عن المعارض حاکم علی دلیل الاستصحاب،کذلک یکون الدلیل الدالّ علی جواز العمل بالخبر المخالف للحالة السابقة المکافئ لمعارضه حاکما علیه من غیر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التعارض المتوهّم کان أخبار التخییر أولی بالترجیح و إن کانت النسبة عموما من وجه؛لأنّها أقلّ موردا،فتعیّن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التخصیص فی أخبار التخییر یوجب إخراج کثیر من مواردها بل أکثرها،بخلاف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بعض أخبار التخییر ورد فی مورد جریان الاصول،مثل</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مکاتبة عبد اللّه بن محمّد الواردة فی فعل رکعتی الفجر فی المحمل </w:t>
      </w:r>
      <w:r>
        <w:rPr>
          <w:rStyle w:val="FootnoteAnchor"/>
          <w:rtl w:val="true"/>
        </w:rPr>
        <w:footnoteReference w:id="1838"/>
      </w:r>
      <w:r>
        <w:rPr>
          <w:rFonts w:ascii="IRNazanin" w:hAnsi="IRNazanin" w:eastAsia="IRNazanin"/>
          <w:color w:val="111111"/>
          <w:sz w:val="28"/>
          <w:sz w:val="28"/>
          <w:szCs w:val="28"/>
          <w:rtl w:val="true"/>
          <w:lang w:bidi="fa-IR"/>
        </w:rPr>
        <w:t>،و مکاتبة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التکبیر فی کلّ انتقال </w:t>
      </w:r>
      <w:r>
        <w:rPr>
          <w:rStyle w:val="FootnoteAnchor"/>
          <w:rtl w:val="true"/>
        </w:rPr>
        <w:footnoteReference w:id="1839"/>
      </w:r>
      <w:bookmarkStart w:id="1894" w:name="pg12985_125409"/>
    </w:p>
    <w:p>
      <w:pPr>
        <w:pStyle w:val="BookText"/>
        <w:rPr/>
      </w:pPr>
      <w:bookmarkEnd w:id="1894"/>
      <w:r>
        <w:rPr>
          <w:rFonts w:ascii="IRNazanin" w:hAnsi="IRNazanin" w:eastAsia="IRNazanin"/>
          <w:color w:val="111111"/>
          <w:sz w:val="28"/>
          <w:sz w:val="28"/>
          <w:szCs w:val="28"/>
          <w:rtl w:val="true"/>
          <w:lang w:bidi="fa-IR"/>
        </w:rPr>
        <w:t xml:space="preserve">من حال إلی حال من أحوال الصلاة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5" w:name="__RefHeading___Toc5768287_3224264995"/>
      <w:bookmarkStart w:id="1896" w:name="_Toc752"/>
      <w:bookmarkEnd w:id="1895"/>
      <w:r>
        <w:rPr>
          <w:rtl w:val="true"/>
        </w:rPr>
        <w:t>ما استدلّ به علی تقدیم الموافق للأصل و مناقشته</w:t>
      </w:r>
      <w:r>
        <w:rPr>
          <w:rtl w:val="true"/>
        </w:rPr>
        <w:t>:</w:t>
      </w:r>
      <w:bookmarkEnd w:id="1896"/>
    </w:p>
    <w:p>
      <w:pPr>
        <w:pStyle w:val="BookText"/>
        <w:rPr/>
      </w:pPr>
      <w:r>
        <w:rPr>
          <w:rFonts w:ascii="IRNazanin" w:hAnsi="IRNazanin" w:eastAsia="IRNazanin"/>
          <w:color w:val="111111"/>
          <w:sz w:val="28"/>
          <w:sz w:val="28"/>
          <w:szCs w:val="28"/>
          <w:rtl w:val="true"/>
          <w:lang w:bidi="fa-IR"/>
        </w:rPr>
        <w:t xml:space="preserve">و ممّا ذکرنا ظهر فساد ما ذکره بعض من عاصرناه </w:t>
      </w:r>
      <w:r>
        <w:rPr>
          <w:rStyle w:val="FootnoteAnchor"/>
          <w:rtl w:val="true"/>
        </w:rPr>
        <w:footnoteReference w:id="1841"/>
      </w:r>
      <w:r>
        <w:rPr>
          <w:rFonts w:ascii="IRNazanin" w:hAnsi="IRNazanin" w:eastAsia="IRNazanin"/>
          <w:color w:val="111111"/>
          <w:sz w:val="28"/>
          <w:sz w:val="28"/>
          <w:szCs w:val="28"/>
          <w:rtl w:val="true"/>
          <w:lang w:bidi="fa-IR"/>
        </w:rPr>
        <w:t>فی تقدیم الموافق للأصل علی المخالف،من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العمل بالموافق موجب للتخصیص فیما دلّ علی حجّیة المخالف، و العمل بالمخالف مستلزم للتخصیص فیما دلّ علی حجّیة الموافق و تخصیص آخر فیما دلّ علی حجّیة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الخبر الموافق یفید ظنّا بالحکم الواقعیّ،و العمل بالأصل یفید الظنّ بالحکم الظاهریّ،فیتقوّی به الخبر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الخبرین یتعارضان و یتساقطان،فیبقی الأصل سلیما عن المعارض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7" w:name="__RefHeading___Toc5768289_3224264995"/>
      <w:bookmarkStart w:id="1898" w:name="_Toc753"/>
      <w:bookmarkEnd w:id="1897"/>
      <w:r>
        <w:rPr>
          <w:rtl w:val="true"/>
        </w:rPr>
        <w:t>تعارض المقرّر و الناقل</w:t>
      </w:r>
      <w:r>
        <w:rPr>
          <w:rtl w:val="true"/>
        </w:rPr>
        <w:t>:</w:t>
      </w:r>
      <w:bookmarkEnd w:id="1898"/>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أنّهم اختلفوا فی تقدیم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الناقل،و هو الخبر المخالف له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الأکثر من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w:t>
      </w:r>
      <w:r>
        <w:rPr>
          <w:rStyle w:val="FootnoteAnchor"/>
          <w:rtl w:val="true"/>
        </w:rPr>
        <w:footnoteReference w:id="1843"/>
      </w:r>
      <w:r>
        <w:rPr>
          <w:rFonts w:ascii="Amiri" w:hAnsi="Amiri" w:eastAsia="Amiri" w:cs="Amiri"/>
          <w:color w:val="111111"/>
          <w:sz w:val="28"/>
          <w:sz w:val="28"/>
          <w:szCs w:val="28"/>
          <w:rtl w:val="true"/>
          <w:lang w:bidi="ar-SA"/>
        </w:rPr>
        <w:t xml:space="preserve">قدّس سرّه و غیره </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تقدیم </w:t>
      </w:r>
      <w:bookmarkStart w:id="1899" w:name="pg12985_125410"/>
    </w:p>
    <w:p>
      <w:pPr>
        <w:pStyle w:val="BookText"/>
        <w:rPr/>
      </w:pPr>
      <w:bookmarkEnd w:id="1899"/>
      <w:r>
        <w:rPr>
          <w:rFonts w:ascii="IRNazanin" w:hAnsi="IRNazanin" w:eastAsia="IRNazanin"/>
          <w:color w:val="111111"/>
          <w:sz w:val="28"/>
          <w:sz w:val="28"/>
          <w:szCs w:val="28"/>
          <w:rtl w:val="true"/>
          <w:lang w:bidi="fa-IR"/>
        </w:rPr>
        <w:t xml:space="preserve">الناقل،بل حکی هذا القول عن جمهور الاصولیّین </w:t>
      </w:r>
      <w:r>
        <w:rPr>
          <w:rStyle w:val="FootnoteAnchor"/>
          <w:rtl w:val="true"/>
        </w:rPr>
        <w:footnoteReference w:id="1845"/>
      </w:r>
      <w:r>
        <w:rPr>
          <w:rFonts w:ascii="IRNazanin" w:hAnsi="IRNazanin" w:eastAsia="IRNazanin"/>
          <w:color w:val="111111"/>
          <w:sz w:val="28"/>
          <w:sz w:val="28"/>
          <w:szCs w:val="28"/>
          <w:rtl w:val="true"/>
          <w:lang w:bidi="fa-IR"/>
        </w:rPr>
        <w:t>،معلّلین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الغالب فیما یصدر من الشارع الحکم بما یحتاج إلی البیان و لا یستغنی عنه بحکم العقل،مع أنّ الذی عثرنا علیه فی الکتب الاستدلالیّة الفرعیّة الترجیح بالاعتضاد بالأصل،لکن لا یحضرنی الآن مورد لما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المتعارضین الموافق أحدهما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التتبّع</w:t>
      </w:r>
      <w:r>
        <w:rPr>
          <w:rFonts w:eastAsia="IRNazanin" w:cs="IRNazanin"/>
          <w:color w:val="111111"/>
          <w:sz w:val="28"/>
          <w:szCs w:val="28"/>
          <w:rtl w:val="true"/>
          <w:lang w:bidi="fa-IR"/>
        </w:rPr>
        <w:t>.</w:t>
      </w:r>
    </w:p>
    <w:p>
      <w:pPr>
        <w:pStyle w:val="Heading6"/>
        <w:numPr>
          <w:ilvl w:val="5"/>
          <w:numId w:val="1"/>
        </w:numPr>
        <w:rPr/>
      </w:pPr>
      <w:bookmarkStart w:id="1900" w:name="__RefHeading___Toc5768291_3224264995"/>
      <w:bookmarkStart w:id="1901" w:name="_Toc754"/>
      <w:bookmarkEnd w:id="1900"/>
      <w:r>
        <w:rPr>
          <w:rtl w:val="true"/>
        </w:rPr>
        <w:t>تعارض المبیح و الحاظر</w:t>
      </w:r>
      <w:r>
        <w:rPr>
          <w:rtl w:val="true"/>
        </w:rPr>
        <w:t>:</w:t>
      </w:r>
      <w:bookmarkEnd w:id="1901"/>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أحد الخبرین متضمّنا للإباحة و الآخر مفیدا للحظر،فإنّ المشهور تقدیم الحاظر علی المبیح </w:t>
      </w:r>
      <w:r>
        <w:rPr>
          <w:rStyle w:val="FootnoteAnchor"/>
          <w:rtl w:val="true"/>
        </w:rPr>
        <w:footnoteReference w:id="1846"/>
      </w:r>
      <w:r>
        <w:rPr>
          <w:rFonts w:ascii="IRNazanin" w:hAnsi="IRNazanin" w:eastAsia="IRNazanin"/>
          <w:color w:val="111111"/>
          <w:sz w:val="28"/>
          <w:sz w:val="28"/>
          <w:szCs w:val="28"/>
          <w:rtl w:val="true"/>
          <w:lang w:bidi="fa-IR"/>
        </w:rPr>
        <w:t xml:space="preserve">،بل یظهر من المحکیّ عن بعضهم عدم الخلاف فیه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فی وجهه ما لا یبلغ حدّ الوجوب،ککونه متیقّنا فی العمل؛استنادا إلی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 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تمّ هذا الترجیح لزم الحکم بأصالة الحرمة عند دوران الأمر بینها و بین الإباحة؛لأنّ وجود الخبرین لا مدخل له فی هذا الترجیح؛فإنّه من مرجّحات أحد الاحتمالین،مع أنّ المشهور تقدیم </w:t>
      </w:r>
      <w:bookmarkStart w:id="1902" w:name="pg12985_125411"/>
    </w:p>
    <w:p>
      <w:pPr>
        <w:pStyle w:val="BookText"/>
        <w:rPr/>
      </w:pPr>
      <w:bookmarkEnd w:id="1902"/>
      <w:r>
        <w:rPr>
          <w:rFonts w:ascii="IRNazanin" w:hAnsi="IRNazanin" w:eastAsia="IRNazanin"/>
          <w:color w:val="111111"/>
          <w:sz w:val="28"/>
          <w:sz w:val="28"/>
          <w:szCs w:val="28"/>
          <w:rtl w:val="true"/>
          <w:lang w:bidi="fa-IR"/>
        </w:rPr>
        <w:t>الإباحة علی الحظر</w:t>
      </w:r>
      <w:r>
        <w:rPr>
          <w:rFonts w:eastAsia="IRNazanin" w:cs="IRNazanin"/>
          <w:color w:val="111111"/>
          <w:sz w:val="28"/>
          <w:szCs w:val="28"/>
          <w:rtl w:val="true"/>
          <w:lang w:bidi="fa-IR"/>
        </w:rPr>
        <w:t>.</w:t>
      </w:r>
    </w:p>
    <w:p>
      <w:pPr>
        <w:pStyle w:val="Heading6"/>
        <w:numPr>
          <w:ilvl w:val="5"/>
          <w:numId w:val="1"/>
        </w:numPr>
        <w:rPr/>
      </w:pPr>
      <w:bookmarkStart w:id="1903" w:name="__RefHeading___Toc5768293_3224264995"/>
      <w:bookmarkStart w:id="1904" w:name="_Toc755"/>
      <w:bookmarkEnd w:id="1903"/>
      <w:r>
        <w:rPr>
          <w:rtl w:val="true"/>
        </w:rPr>
        <w:t>ابتناء المسألة علی أصالة الحظر أو الإباحة</w:t>
      </w:r>
      <w:r>
        <w:rPr>
          <w:rtl w:val="true"/>
        </w:rPr>
        <w:t>:</w:t>
      </w:r>
      <w:bookmarkEnd w:id="1904"/>
    </w:p>
    <w:p>
      <w:pPr>
        <w:pStyle w:val="BookText"/>
        <w:rPr/>
      </w:pPr>
      <w:r>
        <w:rPr>
          <w:rFonts w:ascii="IRNazanin" w:hAnsi="IRNazanin" w:eastAsia="IRNazanin"/>
          <w:color w:val="111111"/>
          <w:sz w:val="28"/>
          <w:sz w:val="28"/>
          <w:szCs w:val="28"/>
          <w:rtl w:val="true"/>
          <w:lang w:bidi="fa-IR"/>
        </w:rPr>
        <w:t>فالمتّجه ما ذکره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المسألة علی أنّ الأصل فی الأشیاء الإباحة أو الحظر أو التوقّف،حیث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ترجیح أحد الخبرین علی الآخر من حیث إنّ أحدهما یتضمّن الحظر و الآخر الإباحة،و الأخذ بما یقتضی الحظر </w:t>
      </w:r>
      <w:r>
        <w:rPr>
          <w:rStyle w:val="FootnoteAnchor"/>
          <w:rtl w:val="true"/>
        </w:rPr>
        <w:footnoteReference w:id="1850"/>
      </w:r>
      <w:r>
        <w:rPr>
          <w:rFonts w:ascii="IRNazanin" w:hAnsi="IRNazanin" w:eastAsia="IRNazanin"/>
          <w:color w:val="111111"/>
          <w:sz w:val="28"/>
          <w:sz w:val="28"/>
          <w:szCs w:val="28"/>
          <w:rtl w:val="true"/>
          <w:lang w:bidi="fa-IR"/>
        </w:rPr>
        <w:t xml:space="preserve">أو الإباحة، فلا یمکن الاعتماد علیه علی ما نذهب إلیه من الوقف؛لأنّ الحظر و الإباحة جمیعا عندنا مستفادان من الشرع،و لا ترجیح بذلک،و ینبغی لنا التوقّف فیهما جمیعا،أو یکون الإنسان مخیّرا فی العمل بأیّهما شاء </w:t>
      </w:r>
      <w:r>
        <w:rPr>
          <w:rStyle w:val="FootnoteAnchor"/>
          <w:rtl w:val="true"/>
        </w:rPr>
        <w:footnoteReference w:id="18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1905" w:name="__RefHeading___Toc5768295_3224264995"/>
      <w:bookmarkStart w:id="1906" w:name="_Toc756"/>
      <w:bookmarkEnd w:id="1905"/>
      <w:r>
        <w:rPr>
          <w:rtl w:val="true"/>
        </w:rPr>
        <w:t>الاستدلال لترجیح الحظر</w:t>
      </w:r>
      <w:r>
        <w:rPr>
          <w:rtl w:val="true"/>
        </w:rPr>
        <w:t>:</w:t>
      </w:r>
      <w:bookmarkEnd w:id="1906"/>
    </w:p>
    <w:p>
      <w:pPr>
        <w:pStyle w:val="BookText"/>
        <w:rPr/>
      </w:pPr>
      <w:r>
        <w:rPr>
          <w:rFonts w:ascii="IRNazanin" w:hAnsi="IRNazanin" w:eastAsia="IRNazanin"/>
          <w:color w:val="111111"/>
          <w:sz w:val="28"/>
          <w:sz w:val="28"/>
          <w:szCs w:val="28"/>
          <w:rtl w:val="true"/>
          <w:lang w:bidi="fa-IR"/>
        </w:rPr>
        <w:t xml:space="preserve">و یمکن الاستدلال لترجیح الحظر بما دلّ </w:t>
      </w:r>
      <w:r>
        <w:rPr>
          <w:rStyle w:val="FootnoteAnchor"/>
          <w:rtl w:val="true"/>
        </w:rPr>
        <w:footnoteReference w:id="1852"/>
      </w:r>
      <w:r>
        <w:rPr>
          <w:rFonts w:ascii="IRNazanin" w:hAnsi="IRNazanin" w:eastAsia="IRNazanin"/>
          <w:color w:val="111111"/>
          <w:sz w:val="28"/>
          <w:sz w:val="28"/>
          <w:szCs w:val="28"/>
          <w:rtl w:val="true"/>
          <w:lang w:bidi="fa-IR"/>
        </w:rPr>
        <w:t xml:space="preserve">علی وجوب الأخذ بما فیه </w:t>
      </w:r>
      <w:r>
        <w:rPr>
          <w:rStyle w:val="FootnoteAnchor"/>
          <w:rtl w:val="true"/>
        </w:rPr>
        <w:footnoteReference w:id="1853"/>
      </w:r>
      <w:r>
        <w:rPr>
          <w:rFonts w:ascii="IRNazanin" w:hAnsi="IRNazanin" w:eastAsia="IRNazanin"/>
          <w:color w:val="111111"/>
          <w:sz w:val="28"/>
          <w:sz w:val="28"/>
          <w:szCs w:val="28"/>
          <w:rtl w:val="true"/>
          <w:lang w:bidi="fa-IR"/>
        </w:rPr>
        <w:t xml:space="preserve">الاحتیاط من الخبرین،و إرجاع ما ذکروه من الدلیل إلی ذلک، فالاحتیاط و إن لم یجب الأخذ به فی الاحتمالین المجرّدین عن الخبر،إلاّ أنّه یجب الترجیح به عند تعارض الخبرین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7" w:name="__RefHeading___Toc5768297_3224264995"/>
      <w:bookmarkStart w:id="1908" w:name="_Toc757"/>
      <w:bookmarkEnd w:id="1907"/>
      <w:r>
        <w:rPr>
          <w:rtl w:val="true"/>
        </w:rPr>
        <w:t>رجوع الی کلام الشیخ الطوسی</w:t>
      </w:r>
      <w:bookmarkEnd w:id="190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الشیخ قدّس سرّه إنّما یتمّ لو أراد الترجیح بما یقتضیه الأصل، لا بما ورد التعبّد به من الأخذ بالأحوط من </w:t>
      </w:r>
      <w:r>
        <w:rPr>
          <w:rStyle w:val="FootnoteAnchor"/>
          <w:rtl w:val="true"/>
        </w:rPr>
        <w:footnoteReference w:id="1855"/>
      </w:r>
      <w:r>
        <w:rPr>
          <w:rFonts w:ascii="IRNazanin" w:hAnsi="IRNazanin" w:eastAsia="IRNazanin"/>
          <w:color w:val="111111"/>
          <w:sz w:val="28"/>
          <w:sz w:val="28"/>
          <w:szCs w:val="28"/>
          <w:rtl w:val="true"/>
          <w:lang w:bidi="fa-IR"/>
        </w:rPr>
        <w:t xml:space="preserve">الخبرین،مع أنّ ما </w:t>
      </w:r>
      <w:bookmarkStart w:id="1909" w:name="pg12985_125412"/>
    </w:p>
    <w:p>
      <w:pPr>
        <w:pStyle w:val="BookText"/>
        <w:rPr/>
      </w:pPr>
      <w:bookmarkEnd w:id="1909"/>
      <w:r>
        <w:rPr>
          <w:rFonts w:ascii="IRNazanin" w:hAnsi="IRNazanin" w:eastAsia="IRNazanin"/>
          <w:color w:val="111111"/>
          <w:sz w:val="28"/>
          <w:sz w:val="28"/>
          <w:szCs w:val="28"/>
          <w:rtl w:val="true"/>
          <w:lang w:bidi="fa-IR"/>
        </w:rPr>
        <w:t>ذکره من استفادة الحظر أو الإباحة من الشرع لا ینافی ترجیح أحد الخبرین بما دلّ من الشرع علی أصالة الإباحة،مثل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،أو علی أصالة الحظر،مثل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،مع أنّ مقتضی التوقّف علی ما اختاره لمّا کان وجوب الکفّ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هو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بناء علی التوقّف العمل بما یقتضیه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ورود أخبار التخییر علی ما یقتضیه التوقّف من الحظر </w:t>
      </w:r>
      <w:r>
        <w:rPr>
          <w:rStyle w:val="FootnoteAnchor"/>
          <w:rtl w:val="true"/>
        </w:rPr>
        <w:footnoteReference w:id="1858"/>
      </w:r>
      <w:r>
        <w:rPr>
          <w:rFonts w:ascii="IRNazanin" w:hAnsi="IRNazanin" w:eastAsia="IRNazanin"/>
          <w:color w:val="111111"/>
          <w:sz w:val="28"/>
          <w:sz w:val="28"/>
          <w:szCs w:val="28"/>
          <w:rtl w:val="true"/>
          <w:lang w:bidi="fa-IR"/>
        </w:rPr>
        <w:t>جری مثله علی القول بأصالة الحظر</w:t>
      </w:r>
      <w:r>
        <w:rPr>
          <w:rFonts w:eastAsia="IRNazanin" w:cs="IRNazanin"/>
          <w:color w:val="111111"/>
          <w:sz w:val="28"/>
          <w:szCs w:val="28"/>
          <w:rtl w:val="true"/>
          <w:lang w:bidi="fa-IR"/>
        </w:rPr>
        <w:t>.</w:t>
      </w:r>
    </w:p>
    <w:p>
      <w:pPr>
        <w:pStyle w:val="Heading6"/>
        <w:numPr>
          <w:ilvl w:val="5"/>
          <w:numId w:val="1"/>
        </w:numPr>
        <w:rPr/>
      </w:pPr>
      <w:bookmarkStart w:id="1910" w:name="__RefHeading___Toc5768299_3224264995"/>
      <w:bookmarkStart w:id="1911" w:name="_Toc758"/>
      <w:bookmarkEnd w:id="1910"/>
      <w:r>
        <w:rPr>
          <w:rtl w:val="true"/>
        </w:rPr>
        <w:t>الإشکال فی الفرق بین مسألتی الناقل و المقرّر،و الحاظر و المبیح</w:t>
      </w:r>
      <w:bookmarkEnd w:id="1911"/>
    </w:p>
    <w:p>
      <w:pPr>
        <w:pStyle w:val="BookText"/>
        <w:rPr/>
      </w:pPr>
      <w:r>
        <w:rPr>
          <w:rFonts w:ascii="IRNazanin" w:hAnsi="IRNazanin" w:eastAsia="IRNazanin"/>
          <w:color w:val="111111"/>
          <w:sz w:val="28"/>
          <w:sz w:val="28"/>
          <w:szCs w:val="28"/>
          <w:rtl w:val="true"/>
          <w:lang w:bidi="fa-IR"/>
        </w:rPr>
        <w:t>ثم إنّه یشکل الفرق بین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الخلاف فی تقدیم </w:t>
      </w:r>
      <w:r>
        <w:rPr>
          <w:rStyle w:val="FootnoteAnchor"/>
          <w:rtl w:val="true"/>
        </w:rPr>
        <w:footnoteReference w:id="1859"/>
      </w:r>
      <w:r>
        <w:rPr>
          <w:rFonts w:ascii="IRNazanin" w:hAnsi="IRNazanin" w:eastAsia="IRNazanin"/>
          <w:color w:val="111111"/>
          <w:sz w:val="28"/>
          <w:sz w:val="28"/>
          <w:szCs w:val="28"/>
          <w:rtl w:val="true"/>
          <w:lang w:bidi="fa-IR"/>
        </w:rPr>
        <w:t>المقرّر علی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حکی عن الأکثر تقدیم </w:t>
      </w:r>
      <w:r>
        <w:rPr>
          <w:rStyle w:val="FootnoteAnchor"/>
          <w:rtl w:val="true"/>
        </w:rPr>
        <w:footnoteReference w:id="1860"/>
      </w:r>
      <w:r>
        <w:rPr>
          <w:rFonts w:ascii="IRNazanin" w:hAnsi="IRNazanin" w:eastAsia="IRNazanin"/>
          <w:color w:val="111111"/>
          <w:sz w:val="28"/>
          <w:sz w:val="28"/>
          <w:szCs w:val="28"/>
          <w:rtl w:val="true"/>
          <w:lang w:bidi="fa-IR"/>
        </w:rPr>
        <w:t xml:space="preserve">الناقل </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w:t>
      </w:r>
      <w:r>
        <w:rPr>
          <w:rStyle w:val="FootnoteAnchor"/>
          <w:rtl w:val="true"/>
        </w:rPr>
        <w:footnoteReference w:id="1862"/>
      </w:r>
      <w:r>
        <w:rPr>
          <w:rFonts w:ascii="IRNazanin" w:hAnsi="IRNazanin" w:eastAsia="IRNazanin"/>
          <w:color w:val="111111"/>
          <w:sz w:val="28"/>
          <w:sz w:val="28"/>
          <w:szCs w:val="28"/>
          <w:rtl w:val="true"/>
          <w:lang w:bidi="fa-IR"/>
        </w:rPr>
        <w:t xml:space="preserve">عدم ظهور الخلاف فی تقدیم </w:t>
      </w:r>
      <w:r>
        <w:rPr>
          <w:rStyle w:val="FootnoteAnchor"/>
          <w:rtl w:val="true"/>
        </w:rPr>
        <w:footnoteReference w:id="1863"/>
      </w:r>
      <w:r>
        <w:rPr>
          <w:rFonts w:ascii="IRNazanin" w:hAnsi="IRNazanin" w:eastAsia="IRNazanin"/>
          <w:color w:val="111111"/>
          <w:sz w:val="28"/>
          <w:sz w:val="28"/>
          <w:szCs w:val="28"/>
          <w:rtl w:val="true"/>
          <w:lang w:bidi="fa-IR"/>
        </w:rPr>
        <w:t>الحاظر علی المبیح</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الفرق بتخصیص المسألة الاولی بدوران الأمر بین الوجوب </w:t>
      </w:r>
      <w:bookmarkStart w:id="1912" w:name="pg12985_125413"/>
    </w:p>
    <w:p>
      <w:pPr>
        <w:pStyle w:val="BookText"/>
        <w:rPr/>
      </w:pPr>
      <w:bookmarkEnd w:id="1912"/>
      <w:r>
        <w:rPr>
          <w:rFonts w:ascii="IRNazanin" w:hAnsi="IRNazanin" w:eastAsia="IRNazanin"/>
          <w:color w:val="111111"/>
          <w:sz w:val="28"/>
          <w:sz w:val="28"/>
          <w:szCs w:val="28"/>
          <w:rtl w:val="true"/>
          <w:lang w:bidi="fa-IR"/>
        </w:rPr>
        <w:t xml:space="preserve">و عدمه؛و لذا رجّح بعضهم </w:t>
      </w:r>
      <w:r>
        <w:rPr>
          <w:rStyle w:val="FootnoteAnchor"/>
          <w:rtl w:val="true"/>
        </w:rPr>
        <w:footnoteReference w:id="1864"/>
      </w:r>
      <w:r>
        <w:rPr>
          <w:rFonts w:ascii="IRNazanin" w:hAnsi="IRNazanin" w:eastAsia="IRNazanin"/>
          <w:color w:val="111111"/>
          <w:sz w:val="28"/>
          <w:sz w:val="28"/>
          <w:szCs w:val="28"/>
          <w:rtl w:val="true"/>
          <w:lang w:bidi="fa-IR"/>
        </w:rPr>
        <w:t>الوجوب علی الإباحة و الندب لأجل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بعض أدلّة تقدیم الحظر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کلامهم فیها،و عدم ظهور التخصیص فی کلماتهم؛و لذا اختار بعض سادة مشایخنا المعاصرین </w:t>
      </w:r>
      <w:r>
        <w:rPr>
          <w:rStyle w:val="FootnoteAnchor"/>
          <w:rtl w:val="true"/>
        </w:rPr>
        <w:footnoteReference w:id="1865"/>
      </w:r>
      <w:r>
        <w:rPr>
          <w:rFonts w:ascii="IRNazanin" w:hAnsi="IRNazanin" w:eastAsia="IRNazanin"/>
          <w:color w:val="111111"/>
          <w:sz w:val="28"/>
          <w:sz w:val="28"/>
          <w:szCs w:val="28"/>
          <w:rtl w:val="true"/>
          <w:lang w:bidi="fa-IR"/>
        </w:rPr>
        <w:t xml:space="preserve">تقدیم الإباحة علی الحظر؛لرجوعه إلی تقدیم المقرّر علی الناقل الذی اختاره فی تلک المسألة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هذا،مع أنّ الاتفاق علی تقدیم الحظر غیر ثابت و إن ادّعاه بعضهم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ذهاب الأکثر،و قد ذهبوا إلی تقدیم الناقل أیضا فی المسألة الاولی،بل حکی عن بعضهم </w:t>
      </w:r>
      <w:r>
        <w:rPr>
          <w:rStyle w:val="FootnoteAnchor"/>
          <w:rtl w:val="true"/>
        </w:rPr>
        <w:footnoteReference w:id="1868"/>
      </w:r>
      <w:r>
        <w:rPr>
          <w:rFonts w:ascii="IRNazanin" w:hAnsi="IRNazanin" w:eastAsia="IRNazanin"/>
          <w:color w:val="111111"/>
          <w:sz w:val="28"/>
          <w:sz w:val="28"/>
          <w:szCs w:val="28"/>
          <w:rtl w:val="true"/>
          <w:lang w:bidi="fa-IR"/>
        </w:rPr>
        <w:t>تفریع تقدیم الحاظر علی تقدیم الناقل</w:t>
      </w:r>
      <w:r>
        <w:rPr>
          <w:rFonts w:eastAsia="IRNazanin" w:cs="IRNazanin"/>
          <w:color w:val="111111"/>
          <w:sz w:val="28"/>
          <w:szCs w:val="28"/>
          <w:rtl w:val="true"/>
          <w:lang w:bidi="fa-IR"/>
        </w:rPr>
        <w:t>.</w:t>
      </w:r>
    </w:p>
    <w:p>
      <w:pPr>
        <w:pStyle w:val="Heading6"/>
        <w:numPr>
          <w:ilvl w:val="5"/>
          <w:numId w:val="1"/>
        </w:numPr>
        <w:rPr/>
      </w:pPr>
      <w:bookmarkStart w:id="1913" w:name="__RefHeading___Toc5768301_3224264995"/>
      <w:bookmarkStart w:id="1914" w:name="_Toc759"/>
      <w:bookmarkEnd w:id="1913"/>
      <w:r>
        <w:rPr>
          <w:rtl w:val="true"/>
        </w:rPr>
        <w:t>لو تعارض دلیل الحرمة و دلیل الوجوب</w:t>
      </w:r>
      <w:r>
        <w:rPr>
          <w:rtl w:val="true"/>
        </w:rPr>
        <w:t>:</w:t>
      </w:r>
      <w:bookmarkEnd w:id="191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هذه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دلیل الحرمة علی دلیل الوجوب عند تعارضهما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استدلّوا علیه بما ذکرناه مفصّلا فی مسائل أصالة البراءة عند تعارض احتمالی الوجوب و التحریم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1915" w:name="pg12985_125414"/>
    </w:p>
    <w:p>
      <w:pPr>
        <w:pStyle w:val="Heading6"/>
        <w:numPr>
          <w:ilvl w:val="5"/>
          <w:numId w:val="1"/>
        </w:numPr>
        <w:rPr/>
      </w:pPr>
      <w:bookmarkStart w:id="1916" w:name="__RefHeading___Toc5768303_3224264995"/>
      <w:bookmarkStart w:id="1917" w:name="_Toc760"/>
      <w:bookmarkEnd w:id="1915"/>
      <w:bookmarkEnd w:id="1916"/>
      <w:r>
        <w:rPr>
          <w:rtl w:val="true"/>
        </w:rPr>
        <w:t>الحقّ هو التخییر فی هذا المورد</w:t>
      </w:r>
      <w:r>
        <w:rPr>
          <w:rtl w:val="true"/>
        </w:rPr>
        <w:t>:</w:t>
      </w:r>
      <w:bookmarkEnd w:id="1917"/>
    </w:p>
    <w:p>
      <w:pPr>
        <w:pStyle w:val="BookText"/>
        <w:rPr/>
      </w:pPr>
      <w:r>
        <w:rPr>
          <w:rFonts w:ascii="IRNazanin" w:hAnsi="IRNazanin" w:eastAsia="IRNazanin"/>
          <w:color w:val="111111"/>
          <w:sz w:val="28"/>
          <w:sz w:val="28"/>
          <w:szCs w:val="28"/>
          <w:rtl w:val="true"/>
          <w:lang w:bidi="fa-IR"/>
        </w:rPr>
        <w:t>و الحقّ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التخییر،و إن لم نقل به فی الاحتمالین؛لأنّ المستفاد من الروایات الواردة فی تعارض الأخبار علی وجه لا یرتاب فیه هو لزوم التخییر مع تکافؤ الخبرین و تساویهما من جمیع الوجوه التی لها مدخل فی رجحان أحد الخبرین،خصوصا مع عدم التمکّن من الرجوع إلی الإمام علیه السّلام الذی یحمل علیه أخبار التوقّف و الإرجاء،بل لو بنینا علی طرح أخبار التخییر فی هذا المقام أیضا بعد الترجیح بموافقة الأصل لم یبق لها مورد یصلح لحمل الأخبار الکثیرة الدالّة علی التخییر علیه، کما لا یخفی علی المتأمّل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الحکم بالتخییر إذا تساوی الخبران من حیث القوّة و لم یرجح أحدهما بما یوجب أقربیّته إلی الواقع،و لا یلتفت إلی المرجّحات </w:t>
      </w:r>
      <w:r>
        <w:rPr>
          <w:rStyle w:val="FootnoteAnchor"/>
          <w:rtl w:val="true"/>
        </w:rPr>
        <w:footnoteReference w:id="1870"/>
      </w:r>
      <w:r>
        <w:rPr>
          <w:rFonts w:ascii="IRNazanin" w:hAnsi="IRNazanin" w:eastAsia="IRNazanin"/>
          <w:color w:val="111111"/>
          <w:sz w:val="28"/>
          <w:sz w:val="28"/>
          <w:szCs w:val="28"/>
          <w:rtl w:val="true"/>
          <w:lang w:bidi="fa-IR"/>
        </w:rPr>
        <w:t>الثلاث الأخیرة الراجعة إلی ترجیح مضمون أحد الخبرین مع قطع النظر عن کونه مدلولا له؛لحکومة أخبار التخییر علی جمیعها، و إن قلنا بها فی تکافؤ الاحتمالین</w:t>
      </w:r>
      <w:r>
        <w:rPr>
          <w:rFonts w:eastAsia="IRNazanin" w:cs="IRNazanin"/>
          <w:color w:val="111111"/>
          <w:sz w:val="28"/>
          <w:szCs w:val="28"/>
          <w:rtl w:val="true"/>
          <w:lang w:bidi="fa-IR"/>
        </w:rPr>
        <w:t>.</w:t>
      </w:r>
    </w:p>
    <w:p>
      <w:pPr>
        <w:pStyle w:val="Heading6"/>
        <w:numPr>
          <w:ilvl w:val="5"/>
          <w:numId w:val="1"/>
        </w:numPr>
        <w:rPr/>
      </w:pPr>
      <w:bookmarkStart w:id="1918" w:name="__RefHeading___Toc5768305_3224264995"/>
      <w:bookmarkStart w:id="1919" w:name="_Toc761"/>
      <w:bookmarkEnd w:id="1918"/>
      <w:r>
        <w:rPr>
          <w:rtl w:val="true"/>
        </w:rPr>
        <w:t>تعارض غیر الخبرین من الأدلّة الظنّیة</w:t>
      </w:r>
      <w:r>
        <w:rPr>
          <w:rtl w:val="true"/>
        </w:rPr>
        <w:t>:</w:t>
      </w:r>
      <w:bookmarkEnd w:id="1919"/>
    </w:p>
    <w:p>
      <w:pPr>
        <w:pStyle w:val="BookText"/>
        <w:rPr/>
      </w:pPr>
      <w:r>
        <w:rPr>
          <w:rFonts w:ascii="IRNazanin" w:hAnsi="IRNazanin" w:eastAsia="IRNazanin"/>
          <w:color w:val="111111"/>
          <w:sz w:val="28"/>
          <w:sz w:val="28"/>
          <w:szCs w:val="28"/>
          <w:rtl w:val="true"/>
          <w:lang w:bidi="fa-IR"/>
        </w:rPr>
        <w:t xml:space="preserve">نعم،یجب الرجوع إلیها فی تعارض غیر الخبرین </w:t>
      </w:r>
      <w:r>
        <w:rPr>
          <w:rStyle w:val="FootnoteAnchor"/>
          <w:rtl w:val="true"/>
        </w:rPr>
        <w:footnoteReference w:id="1871"/>
      </w:r>
      <w:r>
        <w:rPr>
          <w:rFonts w:ascii="IRNazanin" w:hAnsi="IRNazanin" w:eastAsia="IRNazanin"/>
          <w:color w:val="111111"/>
          <w:sz w:val="28"/>
          <w:sz w:val="28"/>
          <w:szCs w:val="28"/>
          <w:rtl w:val="true"/>
          <w:lang w:bidi="fa-IR"/>
        </w:rPr>
        <w:t>من الأدلّة الظنّیّة إذا قلنا بحجّیّتها من حیث الطریقیّة المستلزمة للتوقّف عند التعارض،لکن لیس هذا من الترجیح فی شیء</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قیل </w:t>
      </w:r>
      <w:r>
        <w:rPr>
          <w:rStyle w:val="FootnoteAnchor"/>
          <w:rtl w:val="true"/>
        </w:rPr>
        <w:footnoteReference w:id="1872"/>
      </w:r>
      <w:r>
        <w:rPr>
          <w:rFonts w:ascii="IRNazanin" w:hAnsi="IRNazanin" w:eastAsia="IRNazanin"/>
          <w:color w:val="111111"/>
          <w:sz w:val="28"/>
          <w:sz w:val="28"/>
          <w:szCs w:val="28"/>
          <w:rtl w:val="true"/>
          <w:lang w:bidi="fa-IR"/>
        </w:rPr>
        <w:t xml:space="preserve">بالتخییر فی تعارضها من باب تنقیح المناط کان </w:t>
      </w:r>
    </w:p>
    <w:p>
      <w:pPr>
        <w:pStyle w:val="BookText"/>
        <w:rPr/>
      </w:pPr>
      <w:r>
        <w:rPr>
          <w:rFonts w:ascii="IRNazanin" w:hAnsi="IRNazanin" w:eastAsia="IRNazanin"/>
          <w:color w:val="111111"/>
          <w:sz w:val="28"/>
          <w:sz w:val="28"/>
          <w:szCs w:val="28"/>
          <w:rtl w:val="true"/>
          <w:lang w:bidi="fa-IR"/>
        </w:rPr>
        <w:t xml:space="preserve">حکمها </w:t>
      </w:r>
      <w:r>
        <w:rPr>
          <w:rStyle w:val="FootnoteAnchor"/>
          <w:rtl w:val="true"/>
        </w:rPr>
        <w:footnoteReference w:id="1873"/>
      </w:r>
      <w:r>
        <w:rPr>
          <w:rFonts w:ascii="IRNazanin" w:hAnsi="IRNazanin" w:eastAsia="IRNazanin"/>
          <w:color w:val="111111"/>
          <w:sz w:val="28"/>
          <w:sz w:val="28"/>
          <w:szCs w:val="28"/>
          <w:rtl w:val="true"/>
          <w:lang w:bidi="fa-IR"/>
        </w:rPr>
        <w:t>حکم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فیه تأمّل،کما فی إجراء التراجیح المتقدّمة فی تعارض الأخبار،و إن کان الظاهر من بعضهم </w:t>
      </w:r>
      <w:r>
        <w:rPr>
          <w:rStyle w:val="FootnoteAnchor"/>
          <w:rtl w:val="true"/>
        </w:rPr>
        <w:footnoteReference w:id="1874"/>
      </w:r>
      <w:r>
        <w:rPr>
          <w:rFonts w:ascii="IRNazanin" w:hAnsi="IRNazanin" w:eastAsia="IRNazanin"/>
          <w:color w:val="111111"/>
          <w:sz w:val="28"/>
          <w:sz w:val="28"/>
          <w:szCs w:val="28"/>
          <w:rtl w:val="true"/>
          <w:lang w:bidi="fa-IR"/>
        </w:rPr>
        <w:t>عدم التأمّل فی جریان جمیع أحکام الخبرین من الترجیح فیها بأقسام المرجّحات مستظهرا عدم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ثبت الإجماع علی ذلک أو أجرینا ذلک فی الإجماع المنقول من حیث إنّه خبر فیشمله حکمه فهو </w:t>
      </w:r>
      <w:r>
        <w:rPr>
          <w:rStyle w:val="FootnoteAnchor"/>
          <w:rtl w:val="true"/>
        </w:rPr>
        <w:footnoteReference w:id="1875"/>
      </w:r>
      <w:r>
        <w:rPr>
          <w:rFonts w:ascii="Amiri" w:hAnsi="Amiri" w:eastAsia="Amiri" w:cs="Amiri"/>
          <w:color w:val="111111"/>
          <w:sz w:val="28"/>
          <w:sz w:val="28"/>
          <w:szCs w:val="28"/>
          <w:rtl w:val="true"/>
          <w:lang w:bidi="ar-SA"/>
        </w:rPr>
        <w:t>،و إلاّ ففیه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التکلّم فی ذلک قلیل الفائدة؛لأنّ الطرق الظنّیّة غیر الخبر لیس فیها ما یصحّ للفقیه دعوی حجّیّته من حیث إنّه ظنّ مخصوص، سوی الإجماع المنقول بخبر الواحد،فإن قیل بحجّیّتها فإنّما هی من باب مطلق الظنّ،و لا ریب أنّ المرجع </w:t>
      </w:r>
      <w:r>
        <w:rPr>
          <w:rStyle w:val="FootnoteAnchor"/>
          <w:rtl w:val="true"/>
        </w:rPr>
        <w:footnoteReference w:id="1876"/>
      </w:r>
      <w:r>
        <w:rPr>
          <w:rFonts w:ascii="IRNazanin" w:hAnsi="IRNazanin" w:eastAsia="IRNazanin"/>
          <w:color w:val="111111"/>
          <w:sz w:val="28"/>
          <w:sz w:val="28"/>
          <w:szCs w:val="28"/>
          <w:rtl w:val="true"/>
          <w:lang w:bidi="fa-IR"/>
        </w:rPr>
        <w:t xml:space="preserve">فی تعارض الأمارات المعتبرة علی هذا الوجه إلی </w:t>
      </w:r>
      <w:r>
        <w:rPr>
          <w:rStyle w:val="FootnoteAnchor"/>
          <w:rtl w:val="true"/>
        </w:rPr>
        <w:footnoteReference w:id="1877"/>
      </w:r>
      <w:r>
        <w:rPr>
          <w:rFonts w:ascii="IRNazanin" w:hAnsi="IRNazanin" w:eastAsia="IRNazanin"/>
          <w:color w:val="111111"/>
          <w:sz w:val="28"/>
          <w:sz w:val="28"/>
          <w:szCs w:val="28"/>
          <w:rtl w:val="true"/>
          <w:lang w:bidi="fa-IR"/>
        </w:rPr>
        <w:t>تساقط المتعارضین إن ارتفع الظنّ من کلیهما،أو سقوط أحدهما عن الحجّیّة و بقاء الآخر بلا معارض إن ارتفع الظنّ عنه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الإجماع المنقول،فالترجیح بحسب الدلالة من حیث الظهور أو النصوصیّة جار فیه لا محالة،و أمّا الترجیح من حیث الصدور أو جهة الصدور </w:t>
      </w:r>
      <w:r>
        <w:rPr>
          <w:rStyle w:val="FootnoteAnchor"/>
          <w:rtl w:val="true"/>
        </w:rPr>
        <w:footnoteReference w:id="1878"/>
      </w:r>
      <w:r>
        <w:rPr>
          <w:rFonts w:ascii="IRNazanin" w:hAnsi="IRNazanin" w:eastAsia="IRNazanin"/>
          <w:color w:val="111111"/>
          <w:sz w:val="28"/>
          <w:sz w:val="28"/>
          <w:szCs w:val="28"/>
          <w:rtl w:val="true"/>
          <w:lang w:bidi="fa-IR"/>
        </w:rPr>
        <w:t>،فالظاهر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بخروجه عن الخبر عرفا، </w:t>
      </w:r>
    </w:p>
    <w:p>
      <w:pPr>
        <w:pStyle w:val="BookText"/>
        <w:rPr/>
      </w:pPr>
      <w:r>
        <w:rPr>
          <w:rFonts w:ascii="IRNazanin" w:hAnsi="IRNazanin" w:eastAsia="IRNazanin"/>
          <w:color w:val="111111"/>
          <w:sz w:val="28"/>
          <w:sz w:val="28"/>
          <w:szCs w:val="28"/>
          <w:rtl w:val="true"/>
          <w:lang w:bidi="fa-IR"/>
        </w:rPr>
        <w:t>فلا یشمله أخبار علاج تعارض الأخبار و إن شمله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الرشد فی خلافهم</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فإنّ خصوص المورد لا یخصّصه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إجراء جمیع التراجیح المقرّرة فی الخبرین فی الإجماعین المنقولین،بل غیرهما من الأمارات التی یفرض حجّیّتها من باب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حال الخبر </w:t>
      </w:r>
      <w:r>
        <w:rPr>
          <w:rStyle w:val="FootnoteAnchor"/>
          <w:rtl w:val="true"/>
        </w:rPr>
        <w:footnoteReference w:id="1881"/>
      </w:r>
      <w:r>
        <w:rPr>
          <w:rFonts w:ascii="IRNazanin" w:hAnsi="IRNazanin" w:eastAsia="IRNazanin"/>
          <w:color w:val="111111"/>
          <w:sz w:val="28"/>
          <w:sz w:val="28"/>
          <w:szCs w:val="28"/>
          <w:rtl w:val="true"/>
          <w:lang w:bidi="fa-IR"/>
        </w:rPr>
        <w:t>مع الإجماع المنقول أو غیره من الظنون الخاصّة لو وجد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ما تیسّر لنا من تحریر ما استفدناه بالفهم القاصر من الأخبار و کلمات علمائنا الأبرار فی باب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 اللّه ما نرجو التوفیق له من الحسنات علی ما مضی من السیّئات،بجاه محمّد و آله سادة السادات،علیهم أفضل الصلوات و أکمل التحیّات،و علی أعدائهم أشدّ اللعنات </w:t>
      </w:r>
      <w:r>
        <w:rPr>
          <w:rStyle w:val="FootnoteAnchor"/>
          <w:rtl w:val="true"/>
        </w:rPr>
        <w:footnoteReference w:id="1882"/>
      </w:r>
      <w:r>
        <w:rPr>
          <w:rFonts w:ascii="IRNazanin" w:hAnsi="IRNazanin" w:eastAsia="IRNazanin"/>
          <w:color w:val="111111"/>
          <w:sz w:val="28"/>
          <w:sz w:val="28"/>
          <w:szCs w:val="28"/>
          <w:rtl w:val="true"/>
          <w:lang w:bidi="fa-IR"/>
        </w:rPr>
        <w:t>و أسوأ العقوبات،آمین آمین آمین،یا ربّ العالمین</w:t>
      </w:r>
      <w:r>
        <w:rPr>
          <w:rFonts w:eastAsia="IRNazanin" w:cs="IRNazanin"/>
          <w:color w:val="111111"/>
          <w:sz w:val="28"/>
          <w:szCs w:val="28"/>
          <w:rtl w:val="true"/>
          <w:lang w:bidi="fa-IR"/>
        </w:rPr>
        <w:t xml:space="preserve">. </w:t>
      </w:r>
      <w:bookmarkStart w:id="1920" w:name="pg12985_125417"/>
    </w:p>
    <w:p>
      <w:pPr>
        <w:pStyle w:val="Heading2"/>
        <w:numPr>
          <w:ilvl w:val="1"/>
          <w:numId w:val="1"/>
        </w:numPr>
        <w:rPr/>
      </w:pPr>
      <w:bookmarkStart w:id="1921" w:name="__RefHeading___Toc5768307_3224264995"/>
      <w:bookmarkStart w:id="1922" w:name="_Toc762"/>
      <w:bookmarkEnd w:id="1920"/>
      <w:bookmarkEnd w:id="1921"/>
      <w:r>
        <w:rPr>
          <w:rtl w:val="true"/>
        </w:rPr>
        <w:t>فهرس المحتوی</w:t>
      </w:r>
      <w:bookmarkEnd w:id="1922"/>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5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المقامین المذکورین فی مبحث البراءة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التعریف بلفظه فی کتب اللغة،ففی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إلی الصحبة و لازمه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لازم شیئا فقد استصحبه، و استصحبت الکتاب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صحبتی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الصحاح و 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کذا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حکم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للمحقّق القمّی فی 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فی شرح زبدة الاصول للفاضل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 العقلی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فی 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،و السیّد ابن زهرة فی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العلاّمة فی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الشیطان یأتی أحدکم فینفخ بین ألیتیه،فیقول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أحدثت أحدثت،فلا ینصرفنّ حتّی یسمع صوتا أو یجد ریحا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 فی المجامیع الحدیثیة من الخاصّة و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ما یقرب منه فی عوالی اللآلی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انظر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نقض الیقین إلاّ بالیقین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بنقض الیقین بالیقین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القوانین،نعم ذکر ذلک فی حاشیته،انظر القوانین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،الحاشیة المبدوّة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العلم هو ما یبحث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الضرر و الحرج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إجراءه فی مورده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المقلّد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 فی فوائده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لأدنی متتبّع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الأصحّ،و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الاستصحاب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 ما کان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السبزواری فی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لسبق الأمر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مجراه الشکّ الحادث بعد الفراغ لا الموجود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یجری الاستصحاب؛لأنّ الاستصحاب قبل دخوله فی العمل لم ینعقد؛لعدم الشکّ الفعلی و إن کان غیر عالم بالحال،و بعد الفراغ غیر معتبر؛لورود قاعدة الصحّة علیه،فافهم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کوجود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 شیء أو رطوبة 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طهارته أو رطوبته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طهارته أو رطوبة ثوب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الشهید الأوّل فی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الفاضل الجواد فی غایة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شریف العلماء المازندرانی،انظر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شرح مختصر الاصول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،و نقل المصنّف قدّس سرّه عبارة الشرح فی حاشیته علی استصحاب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الآتیة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لا یخفی زیادة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أحد الموضعین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من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العضدی فی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لاعتضادها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البیّنة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اللبیب؛للعمیدی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التخصیص و التقیید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التفتازانی،و قد تقدّم کلامه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الفصول المهمّة فی اصول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ما ذکره من النظر فی کلام المحقّق القمی،المتقدّم فی الصفحة السابقة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فی الصفحة السابقة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لکن لم نقف علی هذه الحاشیة فی الموضع المذکور فیما عندنا من نسخة مشارق الشموس،انظر 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عنوان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عنوان الموضوع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المحقّق القمّی،انظر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مزیلا لتلک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سببا مزیلا لنقض 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ما فیه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حکاه عنه الفاضل التونی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ورد هذا المضمون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شارح الدروس،المحقّق الخوانساری،انظر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 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فوقها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 بین الکلّی التکلیفی الغیر التابع للحکم الوضعی و غیره،فلا یعتبر فی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کلامه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کلامه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سائر الأقوال،انظر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للفاضل الدربندی،فنّ الاستصحاب،الصفحة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ادّعی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الأقوال ترتقی إلی نیّف و خمسین،انظر وسیلة الوسائل فی شرح الرسائل للسیّد محمّد باقر الیزدی، الصفحة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مباحث الاستصحاب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الطوسی فی العدّة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،و انظر التذکرة باصول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،و لیس فیه 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 من غیر السبیلین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حکی تمثیله بذلک فی نهایة الوصول،کما سیأتی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الطهارة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جنبه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،الباب الأوّل من أبواب نواقض الوضوء،الحدیث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محکیّ عن العلاّمة المجلسی،انظر الحاشیة علی استصحاب القوانین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الإیراد نقله بعض الفضلاء فی رسالته المعمولة فی الاستصحاب عن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اللام للاستغراق کان لاستغراق الأفراد و کان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إلی جملة منها مع أجوبتها الفاضل الدربندی فی خزائن الاصول، فنّ الاستصحاب،الورقة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و إحدی روایات الوسائل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الأول،و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الابواب،الحدیث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الأوّل،و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الحدیث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التخیّل من شریف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الإعادة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بموجب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شریف العلماء أیضا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،و 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علیها،و المناسب إثباتها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فی روایتی الوسائل و التهذیب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مستند الشیعة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12:334</w:t>
      </w:r>
      <w:r>
        <w:rPr>
          <w:rFonts w:ascii="IRNazanin" w:hAnsi="IRNazanin" w:eastAsia="IRNazanin"/>
          <w:b w:val="false"/>
          <w:b w:val="false"/>
          <w:bCs w:val="false"/>
          <w:i w:val="false"/>
          <w:i w:val="false"/>
          <w:iCs w:val="false"/>
          <w:color w:val="333333"/>
          <w:sz w:val="20"/>
          <w:sz w:val="20"/>
          <w:szCs w:val="20"/>
          <w:rtl w:val="true"/>
        </w:rPr>
        <w:t xml:space="preserve">،و أشار إلیه المحقّق فی المعتبر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العلاّمة فی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الحرّ العاملی فی الوسائل،ذیل موثّقة إسحاق بن عمّار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اسحاق بن عمّار الآتیة فی الصفحة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 عن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صلّی رکعتین و شکّ فی الثالثة،قال یبنی علی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من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لظواهر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الدعوی من صاحب الفصول أیضا فی کلامه المشار إلیه فی الصفحة السابقة،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عثرنا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الدربندی فی خزائن الاصول،فنّ الاستصحاب،الورقة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المصادر الحدیثیّة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فابن علی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بالأکثر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العاملی فی الوسائل ذیل الروایة،و الفاضل النراقی فی مستند الشیعة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ینتفع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استظهر 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لإفادة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العدالة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الإنصاف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 سیّما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الشکّ لا ینقض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الیقین لا ینقض بالشکّ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فی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القاعدة التی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فی الحاشیة علی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الصحاح الثلاثة لزرارة و موثّقة عمّار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روایتا الخصال و مکاتبة القاسانی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جامع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تفطّن للزوم هذا الاستعمال صاحب القوانین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یعلم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موثّقة عمّار المتقدّمة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ظاهرة فی إرادة القاعدة کما عرفت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نواقض الطهارة،و الأقرب إلیه رفع ما له مقتضی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رفع الهیئة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رفع الأمر الثابت کما فی نواقض الطهارة و الأقرب إلیه دفع الأمر الغیر الثابت و منع مقتضیه و هو المسمّی بالمانع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البناء علی عدمه بعد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،ضمن صحیحة زرارة الثالثة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،ضمن صحیحة زرارة الثالثة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،ضمن مکاتبة القاسانی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 فی ظهوره فی اعتبار الاستصحاب،کقوله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شککت فابن علی الیقین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التقدیرین الأوّلین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کذا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إخراجه للمدّعی عن عنوان الاستصحاب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القمّی فی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،و الوحید البهبهانی فی 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المحقّق الکاظمی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صاحب القوانین تبعا للسیّد الشارح للوافیة،کما سیشیر إلیه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بقاء المستصحب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یتشارک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یظهر ضعف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السیّد شارح الوافیة المتقدّم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التأمّل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 اللفظ للثانی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یجد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یجد الماء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 الأوّل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أغلب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للظنّ بطهارة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لطهارة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الإحکام للآمدی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،و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اعتضدت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ما حکاه فی القوانین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ما نقله الحاجبی و العضدی فی 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ما ذکره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 التفتازانی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النجفیّة للمحدّث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التونی و الوحید البهبهانی و شریف العلماء و المحقّق القمّی و صاحب الفصول و غیرهم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 و شریف العلماء،انظر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فی بعض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شرح مختصر الاصول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 التفتازانی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أشرنا فیما مضی إلی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یفترقان فیغنی أحدهما 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یفترق أحدهما 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 ما أثبتناه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،ضمن صحیحة زرارة الاولی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،ضمن صحیحة زرارة الثانیة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استصحابها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لاستصحابها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انتظر لبقیّة الکلام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لکن لم نعثر علی تلک الحاشیة فیما بأیدینا من شرح الدروس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راجع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المشتبهة علی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الاستصحاب التعلیقی،الصفحة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فالموضوع مشکوک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مشکوکة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فی ما مرّ و نزید توضیحه فیما سیجیء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تصریحه بذلک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الأعضاء،الحدیث الأوّل، و راجع لتفصیل الروایات،البحار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الاحتمالین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اتّحاد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إجراء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التأمّل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فحجّة عدم حجّیته فی الحکم الکلّی هی حجّة القول الخامس المتقدّمة فی الصفحة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حجّة عدم حجّیته فی الامور الخارجیّة هو ما نقله فی بیان الدلیل الرابع فی الصفحة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الأخبار لا یظهر شمولها للامور الخارجیّة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ذکره فی الوافیة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کلام طویل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ورد بدلها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ذکره فی الوافیة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الشیخ البهائی فی 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السید بحر العلوم فی فوائده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کذا یظهر من القوانین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عبارته،و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،مضافا إلی شارحی الزبدة و الوافیة کما اشیر إلیهما،و غیرهم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فی شرح زبدة الاصول؛للفاضل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الکلباسی فی إشارات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الکاظمی المعروف بالسیّد الأعرجی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العادة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إلی مناقشة کلام الفاضل التونی قدّس سرّه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للمحقّق الکاظمی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الإیراد للمحقّق القمّی فی 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للسیّد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التخصیص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المخصّص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 حکم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فی الاستصحاب المختلف فیه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عرفت فیما مرّ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أن یقال بعدم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الاستصحاب فی الامور الخارجیة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بقاؤه علی هذا الوجه من التقیید لا یوجب تحقّق القید و إحرازه،و الشکّ فی القید یوجب الشکّ فی المقیّد،فلا یجری الاستصحاب فیه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بإبقائه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یورد علیه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 ما عرفت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فالمرجع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فیها البراءة أو وجوب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فی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الکاظمی فی 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لجریانه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الظاهر من کلامه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شیئا من الأقسام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شککنا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بقائها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راجع القواعد و الفوائد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أمران اعتباریّان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هذا استصحابا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ببقاء الموضوع فی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هنا استصحاب لهذا التحریم،فإنّ التحقیق عدم جریان الاستصحاب فی الأحکام التی تستصحب موضوعاتها؛إذ مع استصحابها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یبقی الشکّ فی وجودها؛فإنّ حقیقة حکم الشارع باستصحاب النجاسة هو حکمه بوجوب الاجتناب،و بدونه لا وجه لاستصحاب الأحکام؛لعدم إحراز الموضوع علی وجه القطع،کما ستعرف اشتراطه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الحالتین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التفتازانی فی حاشیة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السیّد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،مضافا إلی العلاّمة فی النهایة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بعد أسطر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ستعرف فی کلام الشهید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السبیلین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المستصفی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لا عند الوجود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النهایة و 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و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المستصفی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الصوم،الحدیث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المستصفی،و فی النهایة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المستصفی،و لکن فی النسخ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العدم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تنکرون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،مع تفاوت یسیر عمّا حکاه فی النهایة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الغزالی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منعه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الفرق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 المقتضی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أصالة عدم التخصیص فهی من الاصول اللفظیّة المتّفق علیها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العموم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المثالین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بتنقیح المناط فیه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القمی فی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الذخیرة و القوانین،و لکن فی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الذخیرة و القوانین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کذا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الخلوة،الحدیث الأوّل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الصفحة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ذکرت فما وجه المنع؟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الحاشیة فی الموضع المذکور فیما عندنا من نسخة مشارق الشموس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یتمسّک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النظر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نظیره أدلّة حلّ الأشیاء الواردة فی الشبهة الموضوعیّة کما فی روایة مسعدة بن صدقة الواردة فی الثوب المشتبه بالحرام و المملوک المشتبه بالحرّ و الزوجة المشتبهة بالرضیعة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للاستصحاب لا بدّ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فالمنکر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فی نسختنا من شرح الوافیة أیضا،انظر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بأیدینا من نسخة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 المذکور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المحقّق الخوانساری المتقدّم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ارتفاع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الخوانساری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أنّ شیئا من المقدّمتین لا اقتضاء فیه لوجوب الإمساک فی زمان الشکّ لو خلّی و طبعه حتّی یکون الشکّ من قبیل المانع عنه،مع أنّ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الشیء،و هی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صحیحة زرارة الاولی المتقدّمة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صحیحة زرارة الثالثة المتقدّمة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الثوب و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،الباب الأول من أبواب الوضوء،الحدیث الأول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ردّ روایتی ابن المغیرة و 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المشهور باعتبار أنّ من جملة أفراد الإطلاق فی هذا القسم هو الشکّ فی المقتضی،و المصنّف لا یقول بحجیّة الاستصحاب فیه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یستلزم بقاء الکلّی ذلک الفرد فی الواقع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حاشیة التنکابنی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 یجب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محکوم بالانتفاء بحکم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لعدم استعداده و إمّا لوجود الرافع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کاندفاع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کتوهّم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الاختلاف فی تحقیق هذا البعض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الحیوان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تشخّصه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نحو</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شیئا من الأعراض لا یبقی زمانین،انظر أنوار الملکوت فی شرح الیاقوت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 الثانی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،لکن فی جمیع المصادر الحدیثیّة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أدلّة نجاسة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حکم بنجاستها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المقارن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 بمحلّ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یستدلّون فی کتاب الصوم باستصحاب اللیل و النهار،انظر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یتصوّر فیه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بتعمیم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طبیعتها لقذف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طبیعة الرحم لقذف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الإشکال و جوابه فی ذیل القول السابع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مناهج الأحکام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الاستصحابات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فاستصحاب حال الشرع فیها،أی استصحاب وجودها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انتقاض العدم بالوجود المقیّد لا یستلزم انتقاضه بالمطلق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 هذه النسخ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یثبت إلاّ الآثار الشرعیّة المجعولة القابلة للجعل الظاهریّ،و تعبّد الشارع بالحکم العقلی یخرجه عن کونه حکما عقلیّا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إحراز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لثبوتها سابقا و لو بواسطة الحکم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کتبت علی هذه الزیادة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العقلی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المحقّق القمّی،انظر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إمکان جریان الاستصحاب فی الحکم العقلی،انظر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التنبیه علیه فی الصفحة اللاحقة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لا یقضی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الاستدلال فی مبحث البراءة و الاشتغال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صاحب المناهل تبعا لوالده،کما سیأتی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فالحرمة ثابتة علی تقدیر الغلیان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الطباطبائی،الملقّب بالمجاهد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علی الطباطبائی،صاحب الریاض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ببحر العلوم،انظر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موضوع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الأطعمة و الأشربة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المناقشتان من صاحب المناهل،انظر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نتمسّک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فرض انقراض جمیع أهل الشریعة السابقة عند تجدّد اللاحقة نادر،بل غیر واقع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الشریعة اللاحقة لا تحدث عند انقراض أهل الشریعة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المتغیّرة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السابقة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من صاحب الفصول أیضا،انظر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کذا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أصالة عدم النسخ فی غیرها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الطهارة للمصنّف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علی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وجبت علینا وجب فیها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شرطیّا فی کلّ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المهور،و غیرهما من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تنزیل الشارع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سیأتی التصریح به فی کلمات صاحب الفصول و کاشف الغطاء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فی الجملة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الأمر العادی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ذلک أنّ استصحاب الشیء لو اقتضی لازمه الغیر الشرعی عارضه أصالة عدم ذلک اللازم،فیتساقطان فی مورد التعارض،توضیح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فرضنا ثبوت موت زید باستصحاب حیاة عمرو،عارضه أصالة حیاة زید،فیتساقطان بالنسبة إلی موت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نعم،یبقی أصالة حیاة عمرو بالنسبة إلی غیر موت زید سلیما عن المعارض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کذا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الملاقاة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قواعد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إیضاح الفوائد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42:416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اللّفافة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الفتاوی،انظر الذکری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لم نعثر علیه فی کتب المحقّق 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بالعبادة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یترتّب علیه أحکام آخریّة رمضان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المتمسّک هو صاحب الفصول،لکن لیس فی کلامه ذکر الإجماع،انظر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تعارض الاستصحابین،الصفحة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توهّمه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 و شیخه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توهّموا جریان أصالة العدم فی المعلوم أیضا،و جعلوا المورد من المتعارضین،کما فی مجهولی التأریخ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بارفروش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 الهندی فی کشف اللثام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منظومته فی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یکن یعلم کلّ منهما مشتبها علیه ما تقدّما فهو علی الأظهر مثل المحدث إلاّ إذا عیّن وقت الحدث</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25:269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بحر العلوم،و لکن لم نعثر علیه فی المصابیح</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تعارض الاستصحابین،الصفحة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صیغة الأمر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،و تذکرة الفقهاء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الصفحة السابقة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الاستدلال فی مبحث البراءة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بها غیر واحد تبعا للشیخ،کما تقدّم فی مبحث البراءة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الآیة من 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 عملیّا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باقر القزوینی علی ما نقله الآشتیانی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بحر الفوائد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السیّد حسین القزوینی،و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السیّد محسن الکاظمی، و فی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رسالة لبعض تلامذة العلاّمة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المناظرة جرت بین السیّد بحر العلوم و بین عالم یهودی حین سافر إلی زیارة أبی عبد اللّه الحسین علیه السّلام فی بلدة ذی الکفل،و کانت محل تجمّع الیهود آنذاک، کما أنّه یحتمل تعدّد الواقعة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القمی فی 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علیه السّلام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 الجاثلیق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استقراءها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اکتفاء الشارع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 غیرهم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الألفیّة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عدم معذوریّة الجاهل فی مبحث البراءة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یلتزم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 نبیّهم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الریاض علی ما نقله المصنّف فی خیارات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انظر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استصحاب حرمة العصیر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 جعل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أنّ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مستند الشیعة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شریف العلماء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مسامحة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حیث إنّ بناء العرف علی الظاهر علی عدم إجراء الاستصحاب فی فاقد معظم الأجزاء،و علی إلحاق فاقد الشرط لفاقد الجزء فی هذا الحکم،أمکن جعله کاشفا عن عدم استقامة التوجیه الأوّل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أنّه لو لا المسامحة العرفیّة فی المستصحب و موضوعه لم یتمّ شیء من الوجهین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الوجه الثالث،فهو مبنیّ علی الأصل المثبت،و ستعرف بطلانه،فتعیّن الوجه الثانی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الیهما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اللفظ للأوّل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4:1594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جیّدا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من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المتحقّقة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 قدّس سرّه،انظر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فالتغیّر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من غیر جهة الرافع 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العرف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التدقیق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معنی لصدق ارتفاع الأوّل و بقاء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الزیادة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بالأجزاء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انظر المنتهی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الهندی،و تبعه جماعة،کما سیأتی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للنجاسة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بتقریر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إشکال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المعالم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،فی مسألة مطهّریة النار لما أحالته رمادا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،و استشکل فی الحکم 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المتنجّسات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2:1098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المأکول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الصفحة السابقة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تتقدم حکایة ذلک عن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نعم،نسبه إلی أکثر أهل العلم فی المنتهی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،و الفاضل الدربندی فی خزائن الاصول، الورقة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،من فنّ الاستصحاب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کشریف العلماء و السیّد المجاهد،و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کالفاضل الدربندی و کذا المحقّق السبزواری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الإبقاءین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بعد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بعد یقین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الوضوء،ضمن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منهما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المراد الشکّ فی نفس ما تیقّن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ترتیب آثار عدالة زید فیه، فالمضیّ علی عدالة زید و ترتیب آثاره،یکون تارة بالحکم بعدالته فی الزمان اللاحق،و اخری بالحکم بعدالته فی ذلک الزمان المتیقّن،و هذان لا یجتمعان فی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أردت توضیح الحال،فافرض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علی یقین من عدالة زید یوم الجمعة فشک فیها فلیمض علی یقینه السابق،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کان علی یقین من شیء و شک فی ذلک الشیء فلیمض علی یقینه بذلک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اعتبر الیقین السابق متعلّقا بعدالة زید من دون تقییدها بیوم الجمعة،فالشک اللاحق فیها بهذا الاعتبار شکّ فی بقائها،و إن اعتبر متعلّقا بعدالة زید مقیّدة بیوم الجمعة،فالشکّ فیها بهذه الملاحظة شکّ فی حدوثها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تقدّم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یخلو عن دقّة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شریف العلماء فی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کذا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شیء خارج عن موضوع دلیل منزلة ذلک الموضوع فی ترتیب أحکامه علیه،أو داخل فی موضوعه منزلة الخارج منه فی عدم ترتیب أحکامه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بعد ذلک زیادة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اجتمع کلا الاعتبارین فی حکومة الأدلّة الغیر العملیّة علی الاستصحاب،مثلا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 الشارع</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الاحتمال المطابق للبیّنة بمنزلة الیقین الذی ینتقض به الیقین السابق،و جعل أیضا الاحتمال المخالف للبیّنة کالمعدوم،فکأنّه لا شکّ حتّی یرجع فیه إلی الاستصحاب،فکأنّه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یحکم علی هذا الشکّ بحکمه المقرّر فی قاعدة الاستصحاب،و افرضه کالعدم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عدم الیقین الظاهری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بمؤدّاها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أمکن توجیهه بما یرجع إلی ما ذکرنا،و أمّا ما أورده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 المتأخّرین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لورود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یعرف له وجه ورود و لذلک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مظنون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نظیره فی الأمارات الاجتهادیة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إلحاق الشیء بالأعمّ الأغلب إنّما یکون غالبا إذا لم تکن أمارة فی موردها علی الخلاف،لکنّها أیضا واردة علی الاستصحاب،کما یعرف بالوجدان عند المتتبّع فی الشرعیّات و العرفیّات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کالبیّنة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مصادیق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من إیضاح وجهه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دعواها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الصلاة،الحدیث الأوّل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محمد بن مسلم،الوسائل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شکّک بشیء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منقول بالمعنی،انظر الوسائل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هو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صحیحتی زرارة و محمد بن مسلم المرویّتین فی 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استعمال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کتبهما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نعم،حکاه المحقّق الثانی فی جامع المقاصد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فوائد الشهید الأوّل،و لعلّ المراد به حواشیه علی القواعد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،بل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 مخالف فی وجوب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کصاحبی الذخیرة و الجواهر،انظر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الظاهر أنّ المراد بروایة أبی بصیر هی روایة إسماعیل بن جابر،حیث رواها فی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بإسناده عن أبی بصیر عن أبی عبد اللّه علیه السّلام،و لکنّها لیست موجودة بهذا السند فی التهذیب،و انظر الجواهر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صاحب الریاض فی الریاض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،و لکنّه صرّح بذلک فی الغسل دون التیمّم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لم نعثر علی ذلک فی ما بأیدینا من کتب الشهید الأوّل قدّس سرّه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هو الشهید الثانی فی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کصاحب المدارک و کاشف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أیضا،انظر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و لو لمشروط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الصلاة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توضّأ</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 علیها عند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،باب الاهتمام بامور المسلمین،الحدیث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محملا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و قال لم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لک قولا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،ضمن الحدیث الأوّل،المعروف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الأربعمائة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8:611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تظهر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11:137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58:320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لا یسلم منها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مبحث البراءة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انظر روایات نفی الحرج،و روایات التوسعة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الاستدلال بموثّقة مسعدة بن صدقة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لک حلال حتّی تعلم أنّه حرام بعینه فتدعه من قبل نفسک،مثل الثوب یکون علیک قد اشتریته و هو سرقة،أو مملوک عندک و هو حرّ قد باع نفسه،أو خدع فبیع،أو قهر فبیع،أو امرأة تحتک و هی اختک أو رضیعتک،و الاشیاء کلّها علی هذا حتّی یستبین لک غیر ذلک،أو تقوم به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الحکم بالحلیّة عند الشک فی الحرمة فی هذه الأشیاء لا یجمعها إلاّ أصالة الحلّ فی تصرفات النّاس و عدم وجوب الاجتناب عنها إلاّ مع العلم أو قیام البیّنة؛و ذلک لأنّ حلّ الثوب الذی اشتراه مع أصالة عدم تملکه له المقتضیة لحرمة التصرف فیه لا وجه له إلاّ اصالة الصحة فی تصرف البائع المقتضیة للملک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فالحکم بالحلّ و عدم الحرمة لیس من جهة مجرد الشک فی حلّ لبس الثوب و حرمته نظیر المشتبه بین الخلّ و الخمر،و إلاّ لکان الأصل فیه التحریم نظیر المشتبه بین زوجته و الاجنبیّة،بل من حیث الاشتباه و الشک فی معاملة الثوب،و ترددها بین الصحیحة المملّکة و غیرها،فموضوع هذا الحکم الظاهری هی المعاملة الواقعة علی الثوب،و إلاّ فلبس الثوب حلال من حیث کونه تصرفا فی ملکه بعد الحکم الظاهری بکون المعاملة مملّکة لا من حیث الشک فی کونه حلالا و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 العبد المشتری،و کذا الحکم بحلّ المرأة المشتبهة بالأخت و الرضیعة لیس من حیث مجرد التردد بین الحلال و الحرام و إلاّ لکان الأصل عدم تحقق الزوجیّة بینهما،بل من حیث الشک فی العقد الواقع و أنّه کان صحیحا أم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ظاهر الروایة بقرینة الأمثلة إرادة ما یعمّ الحکم بالحلّ من حیث التصرف الموجب لرفع الحرمة الثابتة بأصالة فساد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الحکم بحلّ التصرف فی الثوب و العبد من جهة الید و فی الامرأة من حیث أصالة عدم النسب و الرضاع،فلا یدلّ علی أصالة الحلّ فی التصرف من حیث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الروایة الحکم بثبوت الحلّ ظاهرا من جهة مجرّد التردد بین الجائز و الممنوع،لا من حیث قیام أمارة علی الملک و عدم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الروایة کما یشمل ما اذا شک فی حلّ اکل خبز للشک فی صحة شرائه الرافع لحرمة أکله قبل الشراء،أو شک فی حلّ الصلاة فی الثوب المتنجس الذی غسله الغیر للشک فی صحّة غسله،کذلک یشمل حل وطی امرأة ترددت بین الزوجة و الأجنبیة و حلّ التصرف فی أمة ترددت بین أمته و أمة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بنی علی حکومة اصالة عدم الزوجیة و الملکیة علی مفاد هذه الروایة فی هذین المثالین فلیبن علی أصالة عدمهما فی مورد الروایة،فلا بدّ أن یکون منشأ الحکم بالحلّ فی الروایة أمارة حاکمة علی أصالة العدم،و هی الید فی الثوب و العبد،و أصالة عدم النسب و الرضاع فی المرأة، لا مجرد الشک فی حلّ المعاملة الواقعة علیها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واضح بین مورد الحکم بالحلّ فی المثالین و مورده فی أمثلة الروایة و سائر التصرفات المرددة بین الجائز و المحظور؛فإنّ الشک فی المحل فی المثالین مسبوق بالحرمة المتیقنة سابقا فیستصحب،کما هو شأن تعارض أصل الإباحة مع استصحاب الحرمة،بخلاف الشک فی حلّ المعاملة الواقعة علی الثوب و العبد و المرأة؛فإنّه غیر مسبوق بالحرمة،فالحکم بالروایة بجوازه و نفی الحظر عنه یرفع حرمة التصرف فیها المتیقنة سابقا قبل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أصالة الحرمة فی مثالی المعترض حاکم علی مؤدی الروایة، و الأمر فی موارد الروایة علی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یقتضیه النظر عاجلا إلی أن یقع التأمّل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فیما یلی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بعض الموارد فیما یلی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قدّس سرّه،انظر القوانین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جامع الشتات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کالشهیدین قدّس سرّهما فی الدروس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الاستدلال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الأهلیّة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العلاّمة،انظر قواعد الأحکام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الثانی،انظر جامع المقاصد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عن القطب،کما فی مفتاح الکرامة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،و لم نقف علیه فی کتب الشهید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أبقی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أراد به حرّا معیّنا کزید و عبدا معیّنا کسعید،فإن کان الدعوی علی مجرّد تملیک أحدهما،بأن قال أحدهما لمولی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ملّکتنی عبدک،و قال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ملّکتک زیدا الحرّ،فلا إشکال فی کون القول قول منکر تملیک العبد؛لأنّ صاحبه یدّعی تملیک عبده،فیحلف علی عدمه،و أمّا هو فلا یدّعی علی صاحبه شیئا؛لأنّ دعوی تملیک الحرّ لا یتضمّن مطالبة المدّعی بشیء،و إن أراد به التداعی فی کون أحد العوضین للآخر المملوک حرّا أو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،و لکن لم نعثر علیه فی ما بأیدینا من کتب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نعم،حکاه صاحب الجواهر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الحواشی المنسوبة للشهید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الکلام فیه إن شاء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صاحب الجواهر،کما سیأتی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أصالتی صحّتی الإذن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 أصالة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یکونان من أصالة صحة الإذن و</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أثبتناه؛إذ لم یتمسّک فی الجواهر بأصالة صحّة الإذن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25:267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لبعض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تقدّم،راجع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لحقیقة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یجب علیه مراعاة الأجزاء و الشروط المعتبرة فی المباشر؛و لهذا الاعتبار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 فی المباشر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فی فعل الوکیل و الأجیر الذی لا یعتبر فیه قصد النیابة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استیجار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علی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یجری قاعدة الشکّ فی الشیء بعد التجاوز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الأصل إن کان من الظواهر المعتبرة فهو کالید دلیل اجتهادی لا یقاومه الاستصحاب،و إن کان أصلا تعبّدیّا فهو حاکم علی أصالة الفساد؛لأنّ مرجعها إلی استصحاب عدم تحقّق الأثر عقیب الفعل المشکوک فی تأثیره فإذا ثبت التأثیر شرعا بهذا الأصل فیترک العدم السابق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فی باب البیع بالرجوع إلی أصالة الصحّة فی مسألة الاختلاف فی البیع بالحرّ أو العبد،انظر قواعد الأحکام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بالتوقّف فی مسألة ما لو ادّعی الصغر أو الجنون،انظر نفس المصدر،و بتقدّم أصالة عدم البلوغ علی أصالة الصحّة فی باب الضمان،کما 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بتعارضهما و الرجوع إلی أصالة البراءة فی بعض کلماته،علی ما حکی عنه القطب،کما تقدّم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الثانی،حیث حکم بأصالة الصحّة فی باب البیع فی مسألتی الاختلاف فی البیع بالحرّ أو العبد،و ما لو ادّعی الصغر أو الجنون،کما تقدّم فی الصفحة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بالتفصیل بین استکمال الأرکان و عدمه فی بابی الضمان و الإجارة، کما 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بالتوقّف فی باب الإقرار فی مسألة الاختلاف فی البلوغ،انظر جامع المقاصد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ارید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عدم البلوغ یوجب الفساد لا من حیث الحکم شرعا بصدور العقد من غیر بالغ،بل من حیث الحکم بعدم صدور عقد من بالغ،فإنّ بقاء الآثار السابقة للعوضین مستند إلی عدم السبب الشرعی، فالحمل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ارید بالصحّة فی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جعلناه من الاصول التعبدیّة،فإن استفدنا من ادلتها إثبات مجرّد صفة الصحّة للفعل المشکوک،فهی معارضة لأصالة الفساد؛لأنّها تحقّق عدم ترتب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الشک فی الفساد لمّا کان مسبّبا دائما عن الشک فی تحقق سبب الصحة،أو أمر خارجیّ له دخل فیها،کان أصالة عدم السبب أو عدم ذلک الأمر حاکمة علی أصالة الصحة؛لأنّها مزیلة للشکّ فی مجراها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ملاحظة أصالتی الصحّة و الفساد،إلاّ أنّ دلیل أصالة الصحة لمّا کان أخصّ من دلیل أصالة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اللازم من العمل بعموم الاستصحاب مع الشکّ فی الفساد إلغاء دلیل اصالة الصحة رأسا تعیّن تخصیص عموم الاستصحاب بدلیل أصالة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استفدنا من أدلّتها إثبات الفعل الموصوف بالصحة،بأن جعلناها من الاصول الموضوعیة و من مشخّصات الفعل المشکوک فی وقوعه علی وجه یحکم علیه بالصحة،فهی بالنسبة إلی أصالة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الشک من جهة الشک فی تحقق سبب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حاکمة مزیلة،کما إذا شککنا فی کون العقد الواقع عربیا أو فارسیا أو بصیغة الماضی أو العقد الواقع علی النقدین من دون تقابض بیعا حتّی یفسد أو صلحا حتّی یصح؛فإنّ المقتضی للحکم بعدم تحقق الأثر و هو أصالة عدم تحقق سبب الصحّة و هو العقد العربی بصیغة الماضی أو الصلح،و الشک فی ذلک کلّه مسبّب عن الشک فی کون السبب الواقع سببا أو لا؟،فإذا حکم الشارع بکونه سببا فقد ارتفع الشک فی تحقّق الأثر و تحقّق سببه،و أصالة عدم تحقّق سببه و أصالة عدم تحقّق السبب لا یقتضی عدم کون هذا العقد سببا و لا کونه واقعا علی وجه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الشک فی شرط من شروط صحة العمل کبلوغ العاقد و رؤیة المبیع و نحو ذلک،فقد یتوهم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حکومة أصالة عدم الشرط علی أصالة الحمل علی الصحیح؛لأنّ الشک فی کون الواقع هو الفرد الصحیح مسبّب عن الشک فی تحقق الشرط،فإذا احرز عدمه بالأصل ترتب علیه کون الفعل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أصالة عدم البلوغ لا یثبت کون الواقع هو الفرد الفاسد،حتّی یتبیّن مجری أصالة الصحة أعنی الشک فی کون الواقع هو الفرد الصحیح أو الفاسد،و إنّما یثبت کون الواقع فاسدا،و هذا لیس مجری أصالة الصحة،و إنّما هو الأثر المترتب علی حکم الشارع فی مجراها،لوجوب حمل الفعل المشکوک علی فرده الصحیح،فکلّ منهما أصل موضوعی مجراه الموضوع الخارجی،و هو بلوغ العاقد أو عدمه،و المترتّب علی الأوّل کون العقد فاسدا،و المترتب علی الثانی کون العقد صحیحا،فیتعارضان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الموضوع الخارجی الثانی و إن کان الشک فیه مسبّبا عن الشک فی الموضوع الأوّل،إلاّ أنّ خلافه لیس ممّا یترتّب بنفسه علی إجراء الأصل فی الأوّل نظیر نجاسة الثوب المغسول بالماء المستصحب الطهارة المترتب خلافها علی استصحاب طهارة الماء،إلاّ أنّ إجراء الأصل فی السبب لا یبیّن مجری الأصل الثانی؛لأنّه من الموضوعات الخارجیة الغیر المترتبة بأنفسها علی استصحاب أسبابها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فی السبب إنّما یقدّم علی الأصل الخارجی فی المسبب إذا کان المسبّب بنفسه من مجعولات الشارع،کنجاسة الثوب المغسول بالماء المستصحب الطهارة؛فإنّ استعمال طهارة الماء مبیّن لعدم نجاسة الثوب المستصحبة فی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نعم،لو قلنا بالأصل المثبت کانت أصالة عدم البلوغ مبیّنة لکون العقد هو الفرد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المقام أصلان موضوعان رتّب الشارع علیهما أثرین متنافیین و هما کون العقد الواقع صحیحا فاسدا،و ستعرف أنّ مقتضی القاعدة فی تعارض الأصلین التعبّدیین التساقط،فاللازم فی المقام الرجوع إلی أصالة عدم ترتب الأثر،فحینئذ یختص أصالة الصحة بما إذا کان الشک فی تحقق أصل السبب من جهة دوران الفعل الواقع بین السبب و غیره،کما تقدم إلاّ أن یثبت إجماع مرکب بین الشک فی نفس السبب و الشک فی الشرط،أو یقال تخصیص القاعدة بما عدا الشک فی الشروط یوجب قلّة فائدتها،أو یقال إنّ المثبت مقدم 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کان،فدفع التنافی بین الاصلین و إثبات حکومة أحدهما علی الآخر فی غایة 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شکّ فی بلوغ البائع فالشکّ فی کون الواقع البیع الصحیح بمعنی کونه بحیث یترتّب علیه الأثر شک فی کون البیع صادرا من بالغ أو غیره،هذا مرجعه إلی الشک فی بلوغ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فالشک فی کون البیع الصادر من شخص صادرا من بالغ الذی هو مجری أصالة الصحة،و الشک فی بلوغ الشخص الصادر منه العقد الذی هو مجری الاستصحاب،مرجعهما إلی أمر واحد،و لیس الأوّل مسبّبا عن الثانی؛فإنّ الشک فی المقیّد باعتبار القید شک فی 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فمقتضی الاستصحاب ترتّب أحکام العقد الصادر من غیر بالغ،و مقتضی هذا الأصل ترتّب حکم الصادر من بالغ،فکما أنّ الأصل معیّن ظاهری للموضوع و طریق جعلی إلیه،فکذلک استصحاب عدم البلوغ طریق ظاهری للموضوع؛فإنّ أحکام العقد الصادر من غیر البالغ لا یترتّب عند الشک فی البلوغ إلاّ بواسطة ثبوت موضوعها بحکم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نعم،لو قیل بتقدیم المثبت علی النافی عند تعارض الأصلین تعیّن ترجیح أصالة الصحة لکنّه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أصالة عدم البلوغ توجب الفساد لا من حیث الحکم شرعا بصدور العقد من غیر بالغ،بل من حیث الحکم بعدم صدور عقد من بالغ؛فإنّ بقاء الآثار السابقة مستند إلی عدم السبب الشرعی لا إلی عدم السببیة شرعا فیما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نعم،لمّا کان المفروض انحصار الواقع فیما حکم شرعا بعدم سببیّة تحقق البقاء،فعدم سببیّة هذا العقد للأثر الذی هو مقتضی الاستصحاب لا یترتب علیه عدم الأثر،و إنّما یترتب علی عدم وقوع السبب المقارن لهذا العقد،فلا أثر لأصالة عدم البلوغ المقتضیة لعدم سببیة العقد المذکور حتی یعارض أصالة الصحّة المقتضیة لسببیّته،و أصالة الصحة تثبت تحقق العقد الصادر من بالغ،و لا معارضة فی الظاهر بین عدم سببیة هذا العقد الذی هو مقتضی الاستصحاب، و بین وقوع العقد الصادر عن بالغ الذی یقتضیه أصالة الصحة؛لأنّ وجود السبب ظاهرا لا یعارضه عدم سببیة شیء و إن امتنع اجتماعهما فی الواقع من حیث إنّ الصادر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یدفع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مقتضی أصالة الصحّة لیس وقوع فعل صحیح فی الواقع،بل یقتضی کون الواقع هو الفرد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فرض نفی السببیة عن هذا الواقع بحکم الاستصحاب حصل التنافی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الاستصحاب لا یقتضی نفی السببیة؛لأنّ السببیة لیست من المجعولات بل یثبت بقاء الآثار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أصالة الصحة لا تثبت وقوع السبب و إنّما تثبت حدوث آثار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کان،فدفع التنافی بین الأصلین و إثبات حکومة أحدهما علی الآخر فی غایة الإشکال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 فی إظهار الطلب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یجری فیها الاصول الثلاثة،أعنی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و الاحتیاط و الاستصحاب،فلو دار المائع بین الخلّ و الخمر،لم یکن موردا للقرعة؛لجریان أصالة البراءة و الإباحة،و کذا الشبهة المحصورة؛لجریان دلیل الاحتیاط،إلاّ إذا تعسّر الاحتیاط،کما هو محمل روایة القرعة الواردة فی قطیع غنم علم بحرمة نعجة فیها،و کذا لو دار الأمر بین الطهارة و الحدث حتّی مع اشتباه المتأخّر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الاستصحاب وارد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الحاشیة مکتوبا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فیرفع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علیک قد اشتریته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قهر فبیع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خدع فبیع قهرا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إباحة العقد علی الثوب و المملوک و المرأة المستفادة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لَکُمْ مٰا وَرٰاءَ ذٰلِکُمْ مطابقة لمقتضی الأصل،فالمراد إباحة هذه الأعیان من حیث إباحة تملّکها بالعقد،و یقابله المحرّمات بهذا الاعتبار کالمحارم،و هذا الأصل حاکم علی أصل له عدم تأثر العقد،فافهم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 من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،إلاّ أنّه مثّل بالعامّ و الخاصّ المطلقین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الحاشیة مکتوبا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شیء منها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بالدلیل لا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بنجاسة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بالنجاسة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 بأنّ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 لشمول العامّ للشکّ السببیّ موجود؛لوجود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 القضیّة نقضا للیقین لغیر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الشکّ المسبّب لا یصلح للمنع؛لأنّ وجود المقتضی لدخوله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کونه نقضا للیقین لغیر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موقوف علی عدم ثبوت حکم النقض للشکّ السببی،و المقتضی للأوّل موجود و المانع عنه موقوف علی عدم ثبوت الحکم الأوّل،و المفروض أنّه لا مانع سوی ما ذکر؛فیثبت المقتضی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حکم العقل بهذا لم یکن وجه لتقدیم الدلیل علی الأصل، فدفع توهّم التعارض بین دلیلیهما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العامّ إذا توقّف فردیّة شیء له علی عدم ثبوت حکمه لبعض أفراده المعلوم الفردیّة،لم یصلح للدخول تحت العامّ؛لأنّ الشیء إذا توقّف منعه علی عدم ثبوت المقتضی للمقتضی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یصلح أن یکون مانعا عنه للزوم الدور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التساقط،کما سیأتی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الفصول،راجع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قدّس سرّه،فی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،کما سیأتی فی الصفحة اللاحقة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 الطهارة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حکاه عنه فی مفتاح الکرامة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الدین فی الإیضاح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تقدّم الاستصحاب فی الشکّ السببیّ،راجع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الثانی فی جامع المقاصد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بتذکیته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کالتسمیة،لما ورد من النهی عن الأکل ممّا لم یذکر اسم اللّه علیه فی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بعض کتبه کما تقدّم،و المحقق الثانی فی جامع المقاصد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 السید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کفخر الدین و المحقق الثانی و غیرهما،کما تقدّم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 أو نقلی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فی 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فی واحد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الماء النجس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لا،فالأوّلان یحکم فیهما بالتساقط،و الثالث یحکم فیه بالجمع،کما إذا شکّ فی تعیین السابق موتا من زید و عمرو الحیّین،أو شکّ فی تعیین الباقی من النجاسة و الطهارة فی الماء النجس المتمّم کرّا بطاهر،أو شکّ فی تعیین النجس من أحد الإنائین المعلوم طروّ النجاسة علی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 فی هذا هو التساقط و فرض الأصلین کأن لم یکونا،سواء کان مع أحدهما مرجّح أم لا،فلیس فی تعارض الاستصحابین الترجیح و لا التخییر بعد فقد المرجّح،بل الحکم من أوّل الأمر طرحهما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هذا کلّه إذا لم یمکن الجمع بینهما،بأن یکون الجمع مستلزما لمخالفة تکلیف معلوم،أمّا إذا لم یکن کذلک وجب الجمع بکلیهما،إن ترتّب علی کلّ من المستصحبین أثر شرعی،و إلاّ اختصّ العمل بما له الأثر؛لأنّ مرجع الاستصحاب إلی ترتیب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صور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یحکم فیه بالتساقط،و هو کلّ مقام یمکن فیه الجمع للعلم بوجود تکلیف ینافیه،أو قام علی عدم الجمع دلیل عقلیّ،کما فی اشتباه المتقدّم و المتأخّر،أو نقلی کما فی الماء المتمّم کرّا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فی النهایة فی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اللاحقة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سیأتی تفصیله فی مبحث التعادل و التراجیح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اعتبارهما من باب التعبّد لا من باب الطریقیّة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الضدّین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مباحث التعادل و التراجیح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 شرعا أو عقلا العمل بکلیهما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المنع تعبّدا عن الجمع بینهما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آنفا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المستصحبین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الصورتین الاولیین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 کما أثبتنا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 کما أثبتنا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الترجیح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الشیء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المتاع للبیع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أظهرته لذوی الرغبة لیشتروه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یحصّله المجتهد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کالحکم بحلیّة العصیر مثلا من حیث إنّه مجهول الحکم، و موضوع الحکم الواقعی الفعل من حیث هو،فإذا لم یطلع علیه المجتهد کان موضوع الحکم فی الاصول باقیا علی حاله،فیعمل علی طبقه،و إذا اطّلع المجتهد علی دلیل یکشف عن الحکم الواقعی فإن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الدلیل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العنبی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مسوقا لبیان حاله،متفرّعا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عموما و لا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القرینة المعاندة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القرینة الصارفة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تخصیص فی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ففیما نحن فیه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فإطلاق المتعارضین علیهما مسامحة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الواجب عرفا و شرعا العمل بالعموم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أصالة الحقیقة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البهبهانی،و کذا المحقّق القمی الذی قال بحجّیة الأمارات من جهة دلیل الانسداد،انظر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،بل ادّعی علیها الإجماع فی عوالی اللآلی کما سیأتی بعد سطور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صاحبی الفصول و المناهج</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أبی جمهور،کما سیأتی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یظهر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من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الاستدلال به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فعله الشیخ قدّس سرّه فی الاستبصار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علاجهما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مخالفا للأصل و ترکا للتعبّد بما یجب التعبّد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حتّی یتعبّد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تعبّد بسنده لیس مخالفا للأصل و ترکا للتعبّد بما یجب التعبّد به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الموارد المشابهة الآتیة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یزاحم دلالته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یزاحمه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دلالته فواضح؛إذ لا یبقی مع طرح السند مراعاة للظاهر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حاکم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الآمر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هذا هو مراده من النصّ الذی أشار إلیه فی الصفحة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الدلیل علی خلافه من الإجماع و النصّ</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أمثلته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فمثاله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رأیت أسدا 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حاشیة من المصنّف ذکرت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نعم،بعد إحراز الترجیح العرفی للأظهر یصیر کالنصّ و یعامل معه معاملة الحاکم؛لأنّه یمکن أن یصیر قرینة للظاهر،و لا یصلح الظاهر أن یکون قرینة له،بل لو ارید التصرّف فیه احتاج إلی قرینة من الخارج،و الأصل عدمها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قبل سطور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تعبّدنا بصدور الأظهر یصیر قرینة صارفة للظاهر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 قاعدة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 هذا هو الأقوی 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حکمه حکم القسم الأوّل إذ</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حاصل الأمر بالتعبّد بهما ترک الجمع بینهما و الأخذ بالأصل المطابق لأحدهما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القول به فی مخالفی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أظهر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روایة السکونی الآتیة بعد سطور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مخالفتهما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الصلح،الحدیث الأوّل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درهمین و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دینارین و دینار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القرعة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العناوین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الکلام فی عدم تقدّم الجمع علی الترجیح،و أمّا علی التخییر فلا بدّ من الکلام فی مقامین؛لأنّا ذکرنا أنّ المتعارضین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المتعارضین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کذا بعض العامّة کما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استدلّ به السید المجاهد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مدّعی الاختصاص محتاجا إلی المخصّص و المقیّد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علیه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دلیل علیه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المتشخّصات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الموارد المشابهة الآتیة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الإنصاف أنّ ما ذکر مغالطة،أمّا دعوی اختصاص الإجماع بغیر المتعارضین؛ فلأنّه إنّ ارید أنّ وجوب العمل بکلّ منهما له مانع غیر وجوب العمل بالآخر، فهذا خلاف الفرض؛لأنّ المفروض باعتراف الطرفین أنّ المانع عن العمل هو وجود المعارض الواجب العمل 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ارید أنّ وجوب العمل بکل منهما مانع عن وجوب العمل بالآخر،ففیه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فرق بین الدلیل العام علی وجوب العمل بالمتعارضین،و بین قیام الإجماع علیه،فلا معنی لدعوی أنّ المتیقن منه کذا؛ إذ لیس هنا أمر زائد علی وجوب العمل بکلّ خبر لو لا معارضة حتّی یشکّ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یری من اختصاص حجّیة بعض الأمارات و اشتراطها بفقد الأمارة الفلانیة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کاشتراط حجیّة الخبر بعدم کون الشهرة علی خلافه،فیکون لعدم الشهرة مدخلا فی أصل الحجیّة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من قبیل ما نحن فیه؛إذ فرق بیّن بین اشتراط وجوب العمل بأمارة بعدم وجود الأمارة المخالفة فیکون غیر حجّة مع وجودها،و بین اشتراطه بعدم وجوب العمل بها فیکون وجوب العمل بکلّ منهما مانعا عن وجوب العمل بالاخری؛لاستحالة إیجاب العمل بالمتقابلین،فحجیّة کلّ منهما بالذات ثابتة،لکن وجوب العمل بهما بالفعل غیر ممکن؛لمعارضته بوجوب مخالفها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هذا المعنی لا یتفاوت بکون الدلیل عامّا لفظیّا أو إجماعا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المجاهد فی مفاتیح الاصول،کما 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شموله للواحد المعیّن؛لأنّ دخول أحدهما علی البدل و خروج الآخر غیر ممکن، کما تقدّم وجهه فی بیان الشبهة،و إنّما هو حکم عقلیّ یحکم به العقل بعد ملاحظة وجوب کلّ منهما فی حدّ نفسه،بحیث لو أمکن الجمع بینهما وجب کلاهما؛لبقاء المصلحة فی کلّ منهما،غایة الأمر أنّه یفوته إحدی المصلحتین و یدرک الاخری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الامتثال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بأمرین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فی القسم الثانی بالعموم اللفظی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أنّه 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بأزید من الإمکان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یتوهّم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توهّم،بل من جهة 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عدم المانع العقلی و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لغلبة إیصاله 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الطریقیّة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فیتساقطان من حیث وجوب العمل،کما أنّ التخییر مرجعه إلی التساقط من حیث وجوب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تقتضیه القاعدة فی مقتضی وجوب العمل بالأخبار من حیث الطریقیّة،و مقتضاه الرجوع إلی الاصول العملیّة إن لم یرجّح بالأصل الخبر المطابق 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 لم نحکم بالتساقط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بتوهّم أنّه لو لا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الإناطة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جماعة،منهم 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یتصدّی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السیّد المجاهد أیضا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السیّد المجاهد عن العلاّمة فی النهایة و التهذیب،و کذا عن السیّد العمیدی فی المنیة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المحقّقین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منیة اللبیب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لخصمین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حکاه عنه السید المجاهد فی مفاتیح الاصول،و لفظ الحدیث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یقضی أحد فی أمر بقضاءین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15041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جار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فواتح الرحموت المطبوع ذیل المستصفی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الترجیح الآتیة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المتعادلین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الرجوع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علی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 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إمکان الأخذ بأحدهما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استناد الالتزام إلی إلزام 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أمرا تعبّدیا فلا التزام بالعمل بالراجح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مبحث الظنّ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احتمال الحرمة أو العکس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حکاه عنه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حکاه عنهما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مفاد کلام السیّد الصدر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عرفت من عدم جواز الحمل علی الاستحباب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الکلینی و الصدوق و الشیخ قدّس اللّه أسرارهم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یقبله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الکافی،و 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روایتهما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حکمنا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الرسول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ارتکب المحرّمات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 و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وافقهما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فأرجئه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المتعارضة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المتعارضین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العلماء</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الحدیثان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مرویّان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الأخیر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الرسالة،و هی رسالة صنّفها فی بیان أحوال أحادیث أصحابنا و إثبات صحّتها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فتسأله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الحدیث فی الکافی،بل رواه الصدوق قدّس سرّه بسنده عن أبی حیّون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فی عیون أخبار الرضا علیه السّلام شیء منهما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الأخبار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التکلّم فی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توجد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بأحادیثنا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الآخر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اعرضوها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عن بعض مشایخه فی الحدائق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قطعیّا من جمیع الجهات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جاءکم عنّا من حدیثین مختلفین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جاءک الحدیثان المختلفان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جهة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جزئی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یظهر من مذاهبهم فی الاصول و طریقتهم فی الفروع،کما استظهر بعض مشایخنا المعاصرین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متحاذیا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أمکن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لکونهما سواء فی صفات الراوی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الحدائق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الأظهر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أشرنا سابقا إلی أنّ الخبرین المتعارضین من هذا القبیل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تقدیم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یدخل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آبیا،مثل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قریبا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المجلسی فی البحار </w:t>
      </w:r>
      <w:r>
        <w:rPr>
          <w:rFonts w:eastAsia="IRNazanin" w:cs="IRNazanin"/>
          <w:b w:val="false"/>
          <w:bCs w:val="false"/>
          <w:i w:val="false"/>
          <w:iCs w:val="false"/>
          <w:color w:val="333333"/>
          <w:sz w:val="20"/>
          <w:szCs w:val="20"/>
        </w:rPr>
        <w:t>88:204</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احتمله فی الریاض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البهبهانی،کما سیأتی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کتعارض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منطوق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الماء المطلق،الحدیث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 المخاطبین بالعامّ تکلیفهم ظاهرا العمل بالعموم المراد به الخصوص واقعا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اختفاء</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سلطان العلماء قدّس سرّه فی حاشیته علی المعالم فی مباحث المطلق و المقیّد، انظر معالم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،الحاشیة المبدوّة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الدلیلین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راجحة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المصنّف،و هی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الکلام فی التقیید بالمنفصل،و لا نسلّم کونه أغلب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دلالة ألفاظ العموم أقوی من دلالة المطلق و لو قلنا إنّها بالوضع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لغلبة شیوعه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هذا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 کما یقدّم علی ظهور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المخصّصین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علی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تبعه صاحب الریاض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الثانی فی جامع المقاصد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أوضحه صاحب المسالک کما سیأتی،و تبعهما السیّد العاملی فی مفتاح الکرامة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27:184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زرارة فی الحسن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العاریة مضمونة؟فقال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ما استعرته فتوی فلا یلزمک تواه،إلاّ الذهب و الفضّة فإنّهما یلزمان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روایة ابن مسکان فی الصحیح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 العاریة إلاّ أن یکون قد اشترط فیها ضمان،إلاّ الدنانیر فإنّها مضمونة و إن لم یشترط فیها ضمانا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حسنة عبد الملک 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صاحب العاریة ضمان إلاّ أن یشترط صاحبها،إلاّ الدراهم فإنّها مضمونة،اشترط صاحبها أو لم یشترط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الثانی،کما تقدّم فی الصفحة السابقة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الدین فی الإیضاح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تنقلب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کونه منقولا باللفظ</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المرجّح لا باعتبار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أحفظ</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الکرخی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حکاه عن بعض الحنفیّة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انظر الإحکام للآمدی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الخبرین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،و السید المجاهد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الشیخ الجرجانی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اشتبه علیه روایة أبان بروایة عمّار،و هی روایة اختبار الدم عند اشتباهه بالقرحة بخروجه من الجانب الأیمن فیکون حیضا أو بالعکس، فرواه فی الکافی بالأوّل و فی التهذیب بالثانی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،باب معرفة دم الحیض و العذرة و القرحة،الحدیث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،باب الحیض و الاستحاضة و النفاس،الحدیث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کون أحدهما منقولا باللفظ و الآخر منقولا بالمعنی، و یحتمل أن یکون المسموع من الإمام لفظا مغایرا لهذا اللفظ المنقول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مقصوده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الظنّ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زرارة،المتقدّمتین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علیه الامّة إلی غیره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ما یقرب منه فی کنز العمّال </w:t>
      </w:r>
      <w:r>
        <w:rPr>
          <w:rFonts w:eastAsia="IRNazanin" w:cs="IRNazanin"/>
          <w:b w:val="false"/>
          <w:bCs w:val="false"/>
          <w:i w:val="false"/>
          <w:iCs w:val="false"/>
          <w:color w:val="333333"/>
          <w:sz w:val="20"/>
          <w:szCs w:val="20"/>
        </w:rPr>
        <w:t>7:532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42883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ینافی</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العلاجیّة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المحدّث الجزائری فی زهر الربیع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أبعدیّة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جمع فی الاستبصار بین الأخبار المتعارضة تبرّعا و إن لم یعتمد علیه حتّی یعمل به،و غرضه بیان إمکان الجمع بین الأخبار المتعارضة،حتّی لا یشنّع علی الشیعة،کما صرّح به فی أوّل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راجع الاستبصار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الحدیث منقول بالمعنی</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الحدیث وارد فی مطلق النوافل،و لعلّ مراد المصنّف حدیث آخر لم نقف علیه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فی الوسائل 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 المؤمن علی المؤمن حرام؟قال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سفلیه،فقال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حیث تذهب، إنّما هو إذاعة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فی الوسائل أیضا 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یبغض البیت اللّحم و اللّحم السمین،قال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لنحبّ اللّحم،و ما تخلو بیوتنا منه،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حیث تذهب،إنّما البیت اللّحم الذی تؤکل فیه لحوم الناس بالغیبة، و أمّا اللّحم السمین فهو المتبختر المتکبّر المختال فی مشیه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 أن حدیثهم صعب مستصعب،و أنّ کلامهم ذو وجوه کثیرة،و فضل التدبّر فی أخبارهم علیهم السّلام و التسلیم لهم،و النهی عن ردّ أخبارهم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الحدیثین الرابع و السابع المتقدّمین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مخالفة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الخطط المقریزیّة و الفوائد المدنیّة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الماجشون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الخطط و الفوائد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الخطط و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البتّی</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الخطط و الفوائد و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بن عبد اللّه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الخطط و شرح الوافیة،و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الخطط و الفوائد و شرح الوافیة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الفوائد و الخطط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ستمائة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أصله من کتاب المواعظ و الاعتبار بذکر الخطط و الآثار،المعروف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المقریزیة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حکی عنه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حکاه أیضا فی القوانین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،و راجع بهذا الصدد رسالة تأریخ حصر الاجتهاد للعلاّمة الطهرانی قدّس سرّه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الحدیثین الرابع و السابع المتقدّمین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 و روایة علی بن أسباط التی تقدّمت فی 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اشتهار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 و روایة علی بن أسباط التی تقدّمت فی 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المرجّح</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الوجه الرابع المتقدّم فی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الأوثقیّة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الأفقهیّة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غایة البادئ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العلماء قدیما و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بعد سطور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یرید به ابن الجنید قدّس سرّه،فإنّ العمل بالقیاس منسوب إلیه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للتکافؤ</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ابتلاء الخاصّ</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لمخالفته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مقام الاستناد،لا فی مقام الترجیح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قدّس سرّه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الجرجانی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مفاتیح الاصول عن الفاضل الجواد،راجع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مرفوعة زرارة المتقدّمة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فیه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وافق الاحتیاط</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الخبرین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بالأحوط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بأحوط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شارح المختصر کما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،و راجع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الجواد قدّس سرّه،کما تقدّم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یلتفت إلی المرجّحات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مصبّ للمرجّحات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الخبرین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جهة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وردت ضمن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3.jpeg"/><Relationship Id="rId575" Type="http://schemas.openxmlformats.org/officeDocument/2006/relationships/image" Target="media/image3.jpeg"/><Relationship Id="rId576" Type="http://schemas.openxmlformats.org/officeDocument/2006/relationships/footer" Target="footer569.xml"/><Relationship Id="rId577" Type="http://schemas.openxmlformats.org/officeDocument/2006/relationships/image" Target="media/image4.jpeg"/><Relationship Id="rId578" Type="http://schemas.openxmlformats.org/officeDocument/2006/relationships/image" Target="media/image4.jpeg"/><Relationship Id="rId579" Type="http://schemas.openxmlformats.org/officeDocument/2006/relationships/footer" Target="footer570.xml"/><Relationship Id="rId580" Type="http://schemas.openxmlformats.org/officeDocument/2006/relationships/image" Target="media/image5.jpeg"/><Relationship Id="rId581" Type="http://schemas.openxmlformats.org/officeDocument/2006/relationships/image" Target="media/image5.jpeg"/><Relationship Id="rId582" Type="http://schemas.openxmlformats.org/officeDocument/2006/relationships/footer" Target="footer571.xml"/><Relationship Id="rId583" Type="http://schemas.openxmlformats.org/officeDocument/2006/relationships/image" Target="media/image6.jpeg"/><Relationship Id="rId584" Type="http://schemas.openxmlformats.org/officeDocument/2006/relationships/image" Target="media/image6.jpeg"/><Relationship Id="rId585" Type="http://schemas.openxmlformats.org/officeDocument/2006/relationships/footer" Target="footer572.xml"/><Relationship Id="rId586" Type="http://schemas.openxmlformats.org/officeDocument/2006/relationships/image" Target="media/image7.jpeg"/><Relationship Id="rId587" Type="http://schemas.openxmlformats.org/officeDocument/2006/relationships/image" Target="media/image7.jpeg"/><Relationship Id="rId588" Type="http://schemas.openxmlformats.org/officeDocument/2006/relationships/footer" Target="footer573.xml"/><Relationship Id="rId589" Type="http://schemas.openxmlformats.org/officeDocument/2006/relationships/image" Target="media/image8.jpeg"/><Relationship Id="rId590" Type="http://schemas.openxmlformats.org/officeDocument/2006/relationships/image" Target="media/image8.jpeg"/><Relationship Id="rId591" Type="http://schemas.openxmlformats.org/officeDocument/2006/relationships/footer" Target="footer574.xml"/><Relationship Id="rId592" Type="http://schemas.openxmlformats.org/officeDocument/2006/relationships/image" Target="media/image9.jpeg"/><Relationship Id="rId593" Type="http://schemas.openxmlformats.org/officeDocument/2006/relationships/image" Target="media/image9.jpeg"/><Relationship Id="rId594" Type="http://schemas.openxmlformats.org/officeDocument/2006/relationships/footer" Target="footer575.xml"/><Relationship Id="rId595" Type="http://schemas.openxmlformats.org/officeDocument/2006/relationships/image" Target="media/image10.jpeg"/><Relationship Id="rId596" Type="http://schemas.openxmlformats.org/officeDocument/2006/relationships/image" Target="media/image10.jpeg"/><Relationship Id="rId597" Type="http://schemas.openxmlformats.org/officeDocument/2006/relationships/footer" Target="footer576.xml"/><Relationship Id="rId598" Type="http://schemas.openxmlformats.org/officeDocument/2006/relationships/image" Target="media/image11.jpeg"/><Relationship Id="rId599" Type="http://schemas.openxmlformats.org/officeDocument/2006/relationships/image" Target="media/image11.jpeg"/><Relationship Id="rId600" Type="http://schemas.openxmlformats.org/officeDocument/2006/relationships/footer" Target="footer577.xml"/><Relationship Id="rId601" Type="http://schemas.openxmlformats.org/officeDocument/2006/relationships/image" Target="media/image12.jpeg"/><Relationship Id="rId602" Type="http://schemas.openxmlformats.org/officeDocument/2006/relationships/image" Target="media/image12.jpeg"/><Relationship Id="rId603" Type="http://schemas.openxmlformats.org/officeDocument/2006/relationships/footer" Target="footer578.xml"/><Relationship Id="rId604" Type="http://schemas.openxmlformats.org/officeDocument/2006/relationships/image" Target="media/image13.jpeg"/><Relationship Id="rId605" Type="http://schemas.openxmlformats.org/officeDocument/2006/relationships/image" Target="media/image13.jpeg"/><Relationship Id="rId606" Type="http://schemas.openxmlformats.org/officeDocument/2006/relationships/footer" Target="footer579.xml"/><Relationship Id="rId607" Type="http://schemas.openxmlformats.org/officeDocument/2006/relationships/image" Target="media/image14.jpeg"/><Relationship Id="rId608" Type="http://schemas.openxmlformats.org/officeDocument/2006/relationships/image" Target="media/image14.jpeg"/><Relationship Id="rId609" Type="http://schemas.openxmlformats.org/officeDocument/2006/relationships/footer" Target="footer580.xml"/><Relationship Id="rId610" Type="http://schemas.openxmlformats.org/officeDocument/2006/relationships/image" Target="media/image15.jpeg"/><Relationship Id="rId611" Type="http://schemas.openxmlformats.org/officeDocument/2006/relationships/image" Target="media/image15.jpeg"/><Relationship Id="rId612" Type="http://schemas.openxmlformats.org/officeDocument/2006/relationships/footer" Target="footer581.xml"/><Relationship Id="rId613" Type="http://schemas.openxmlformats.org/officeDocument/2006/relationships/image" Target="media/image16.jpeg"/><Relationship Id="rId614" Type="http://schemas.openxmlformats.org/officeDocument/2006/relationships/image" Target="media/image16.jpeg"/><Relationship Id="rId615" Type="http://schemas.openxmlformats.org/officeDocument/2006/relationships/footer" Target="footer582.xml"/><Relationship Id="rId616" Type="http://schemas.openxmlformats.org/officeDocument/2006/relationships/image" Target="media/image17.jpeg"/><Relationship Id="rId617" Type="http://schemas.openxmlformats.org/officeDocument/2006/relationships/image" Target="media/image17.jpeg"/><Relationship Id="rId618" Type="http://schemas.openxmlformats.org/officeDocument/2006/relationships/footer" Target="footer583.xml"/><Relationship Id="rId619" Type="http://schemas.openxmlformats.org/officeDocument/2006/relationships/image" Target="media/image18.jpeg"/><Relationship Id="rId620" Type="http://schemas.openxmlformats.org/officeDocument/2006/relationships/image" Target="media/image18.jpeg"/><Relationship Id="rId621" Type="http://schemas.openxmlformats.org/officeDocument/2006/relationships/footer" Target="footer584.xml"/><Relationship Id="rId622" Type="http://schemas.openxmlformats.org/officeDocument/2006/relationships/image" Target="media/image19.jpeg"/><Relationship Id="rId623" Type="http://schemas.openxmlformats.org/officeDocument/2006/relationships/image" Target="media/image19.jpeg"/><Relationship Id="rId624" Type="http://schemas.openxmlformats.org/officeDocument/2006/relationships/footer" Target="footer585.xml"/><Relationship Id="rId625" Type="http://schemas.openxmlformats.org/officeDocument/2006/relationships/image" Target="media/image20.jpeg"/><Relationship Id="rId626" Type="http://schemas.openxmlformats.org/officeDocument/2006/relationships/image" Target="media/image20.jpeg"/><Relationship Id="rId627" Type="http://schemas.openxmlformats.org/officeDocument/2006/relationships/footer" Target="footer586.xml"/><Relationship Id="rId628" Type="http://schemas.openxmlformats.org/officeDocument/2006/relationships/image" Target="media/image21.jpeg"/><Relationship Id="rId629" Type="http://schemas.openxmlformats.org/officeDocument/2006/relationships/image" Target="media/image21.jpeg"/><Relationship Id="rId630" Type="http://schemas.openxmlformats.org/officeDocument/2006/relationships/footer" Target="footer587.xml"/><Relationship Id="rId631" Type="http://schemas.openxmlformats.org/officeDocument/2006/relationships/image" Target="media/image22.jpeg"/><Relationship Id="rId632" Type="http://schemas.openxmlformats.org/officeDocument/2006/relationships/image" Target="media/image22.jpeg"/><Relationship Id="rId633" Type="http://schemas.openxmlformats.org/officeDocument/2006/relationships/footer" Target="footer588.xml"/><Relationship Id="rId634" Type="http://schemas.openxmlformats.org/officeDocument/2006/relationships/image" Target="media/image23.jpeg"/><Relationship Id="rId635" Type="http://schemas.openxmlformats.org/officeDocument/2006/relationships/image" Target="media/image23.jpeg"/><Relationship Id="rId636" Type="http://schemas.openxmlformats.org/officeDocument/2006/relationships/footer" Target="footer589.xml"/><Relationship Id="rId637" Type="http://schemas.openxmlformats.org/officeDocument/2006/relationships/image" Target="media/image24.jpeg"/><Relationship Id="rId638" Type="http://schemas.openxmlformats.org/officeDocument/2006/relationships/image" Target="media/image24.jpeg"/><Relationship Id="rId639" Type="http://schemas.openxmlformats.org/officeDocument/2006/relationships/footer" Target="footer590.xml"/><Relationship Id="rId640" Type="http://schemas.openxmlformats.org/officeDocument/2006/relationships/image" Target="media/image25.jpeg"/><Relationship Id="rId641" Type="http://schemas.openxmlformats.org/officeDocument/2006/relationships/image" Target="media/image25.jpeg"/><Relationship Id="rId642" Type="http://schemas.openxmlformats.org/officeDocument/2006/relationships/footer" Target="footer591.xml"/><Relationship Id="rId643" Type="http://schemas.openxmlformats.org/officeDocument/2006/relationships/image" Target="media/image26.jpeg"/><Relationship Id="rId644" Type="http://schemas.openxmlformats.org/officeDocument/2006/relationships/image" Target="media/image26.jpeg"/><Relationship Id="rId645" Type="http://schemas.openxmlformats.org/officeDocument/2006/relationships/footer" Target="footer592.xml"/><Relationship Id="rId646" Type="http://schemas.openxmlformats.org/officeDocument/2006/relationships/image" Target="media/image27.jpeg"/><Relationship Id="rId647" Type="http://schemas.openxmlformats.org/officeDocument/2006/relationships/image" Target="media/image27.jpeg"/><Relationship Id="rId648" Type="http://schemas.openxmlformats.org/officeDocument/2006/relationships/footer" Target="footer593.xml"/><Relationship Id="rId649" Type="http://schemas.openxmlformats.org/officeDocument/2006/relationships/image" Target="media/image28.jpeg"/><Relationship Id="rId650" Type="http://schemas.openxmlformats.org/officeDocument/2006/relationships/image" Target="media/image28.jpeg"/><Relationship Id="rId651" Type="http://schemas.openxmlformats.org/officeDocument/2006/relationships/footer" Target="footer594.xml"/><Relationship Id="rId652" Type="http://schemas.openxmlformats.org/officeDocument/2006/relationships/image" Target="media/image29.jpeg"/><Relationship Id="rId653" Type="http://schemas.openxmlformats.org/officeDocument/2006/relationships/image" Target="media/image29.jpeg"/><Relationship Id="rId654" Type="http://schemas.openxmlformats.org/officeDocument/2006/relationships/footer" Target="footer595.xml"/><Relationship Id="rId655" Type="http://schemas.openxmlformats.org/officeDocument/2006/relationships/image" Target="media/image30.jpeg"/><Relationship Id="rId656" Type="http://schemas.openxmlformats.org/officeDocument/2006/relationships/image" Target="media/image30.jpeg"/><Relationship Id="rId657" Type="http://schemas.openxmlformats.org/officeDocument/2006/relationships/footer" Target="footer596.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597.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18880</Words>
  <Characters>89018</Characters>
  <CharactersWithSpaces>107163</CharactersWithSpaces>
  <Paragraphs>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2026-08-23T23:43:20Z</dcterms:created>
  <dc:creator>ghaemiyeh.com</dc:creator>
  <dc:description/>
  <dc:language>en-US</dc:language>
  <cp:lastModifiedBy/>
  <dcterms:modified xsi:type="dcterms:W3CDTF">2026-08-24T03:13:43Z</dcterms:modified>
  <cp:revision>1</cp:revision>
  <dc:subject/>
  <dc:title>فرائد الاصول جلد 3</dc:title>
</cp:coreProperties>
</file>

<file path=docProps/custom.xml><?xml version="1.0" encoding="utf-8"?>
<Properties xmlns="http://schemas.openxmlformats.org/officeDocument/2006/custom-properties" xmlns:vt="http://schemas.openxmlformats.org/officeDocument/2006/docPropsVTypes"/>
</file>