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5672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5673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56732_73709187">
            <w:r>
              <w:rPr>
                <w:webHidden/>
                <w:rStyle w:val="IndexLink"/>
                <w:rtl w:val="true"/>
              </w:rPr>
              <w:t>حرمة الزيادة على الأربع في العقد الدائم</w:t>
            </w:r>
            <w:r>
              <w:rPr>
                <w:rStyle w:val="IndexLink"/>
                <w:rtl w:val="true"/>
              </w:rPr>
              <w:tab/>
            </w:r>
            <w:r>
              <w:rPr>
                <w:rStyle w:val="IndexLink"/>
              </w:rPr>
              <w:t>12</w:t>
            </w:r>
          </w:hyperlink>
        </w:p>
        <w:p>
          <w:pPr>
            <w:pStyle w:val="Contents2"/>
            <w:tabs>
              <w:tab w:val="clear" w:pos="8743"/>
              <w:tab w:val="right" w:pos="9026" w:leader="dot"/>
            </w:tabs>
            <w:rPr/>
          </w:pPr>
          <w:hyperlink w:anchor="__RefHeading___Toc11056734_73709187">
            <w:r>
              <w:rPr>
                <w:webHidden/>
                <w:rStyle w:val="IndexLink"/>
                <w:rtl w:val="true"/>
              </w:rPr>
              <w:t>تزويج الخامسة بعد طلاق الرابعة</w:t>
            </w:r>
            <w:r>
              <w:rPr>
                <w:rStyle w:val="IndexLink"/>
                <w:rtl w:val="true"/>
              </w:rPr>
              <w:tab/>
            </w:r>
            <w:r>
              <w:rPr>
                <w:rStyle w:val="IndexLink"/>
              </w:rPr>
              <w:t>15</w:t>
            </w:r>
          </w:hyperlink>
        </w:p>
        <w:p>
          <w:pPr>
            <w:pStyle w:val="Contents2"/>
            <w:tabs>
              <w:tab w:val="clear" w:pos="8743"/>
              <w:tab w:val="right" w:pos="9026" w:leader="dot"/>
            </w:tabs>
            <w:rPr/>
          </w:pPr>
          <w:hyperlink w:anchor="__RefHeading___Toc11056736_73709187">
            <w:r>
              <w:rPr>
                <w:webHidden/>
                <w:rStyle w:val="IndexLink"/>
                <w:rtl w:val="true"/>
              </w:rPr>
              <w:t>تزويج ذات البعل يوجب الحرمة الأبديّة</w:t>
            </w:r>
            <w:r>
              <w:rPr>
                <w:rStyle w:val="IndexLink"/>
                <w:rtl w:val="true"/>
              </w:rPr>
              <w:tab/>
            </w:r>
            <w:r>
              <w:rPr>
                <w:rStyle w:val="IndexLink"/>
              </w:rPr>
              <w:t>21</w:t>
            </w:r>
          </w:hyperlink>
        </w:p>
        <w:p>
          <w:pPr>
            <w:pStyle w:val="Contents2"/>
            <w:tabs>
              <w:tab w:val="clear" w:pos="8743"/>
              <w:tab w:val="right" w:pos="9026" w:leader="dot"/>
            </w:tabs>
            <w:rPr/>
          </w:pPr>
          <w:hyperlink w:anchor="__RefHeading___Toc11056738_73709187">
            <w:r>
              <w:rPr>
                <w:webHidden/>
                <w:rStyle w:val="IndexLink"/>
                <w:rtl w:val="true"/>
              </w:rPr>
              <w:t>تزويج المعتدّة توجبُ الحرمة الأبديّة</w:t>
            </w:r>
            <w:r>
              <w:rPr>
                <w:rStyle w:val="IndexLink"/>
                <w:rtl w:val="true"/>
              </w:rPr>
              <w:tab/>
            </w:r>
            <w:r>
              <w:rPr>
                <w:rStyle w:val="IndexLink"/>
              </w:rPr>
              <w:t>26</w:t>
            </w:r>
          </w:hyperlink>
        </w:p>
        <w:p>
          <w:pPr>
            <w:pStyle w:val="Contents2"/>
            <w:tabs>
              <w:tab w:val="clear" w:pos="8743"/>
              <w:tab w:val="right" w:pos="9026" w:leader="dot"/>
            </w:tabs>
            <w:rPr/>
          </w:pPr>
          <w:hyperlink w:anchor="__RefHeading___Toc11056740_73709187">
            <w:r>
              <w:rPr>
                <w:webHidden/>
                <w:rStyle w:val="IndexLink"/>
                <w:rtl w:val="true"/>
              </w:rPr>
              <w:t>المدارُ على علم أحدهما</w:t>
            </w:r>
            <w:r>
              <w:rPr>
                <w:rStyle w:val="IndexLink"/>
                <w:rtl w:val="true"/>
              </w:rPr>
              <w:tab/>
            </w:r>
            <w:r>
              <w:rPr>
                <w:rStyle w:val="IndexLink"/>
              </w:rPr>
              <w:t>31</w:t>
            </w:r>
          </w:hyperlink>
        </w:p>
        <w:p>
          <w:pPr>
            <w:pStyle w:val="Contents2"/>
            <w:tabs>
              <w:tab w:val="clear" w:pos="8743"/>
              <w:tab w:val="right" w:pos="9026" w:leader="dot"/>
            </w:tabs>
            <w:rPr/>
          </w:pPr>
          <w:hyperlink w:anchor="__RefHeading___Toc11056742_73709187">
            <w:r>
              <w:rPr>
                <w:webHidden/>
                <w:rStyle w:val="IndexLink"/>
                <w:rtl w:val="true"/>
              </w:rPr>
              <w:t>الدخول بعد العِدّة موجبٌ للحرمة الأبديّة</w:t>
            </w:r>
            <w:r>
              <w:rPr>
                <w:rStyle w:val="IndexLink"/>
                <w:rtl w:val="true"/>
              </w:rPr>
              <w:tab/>
            </w:r>
            <w:r>
              <w:rPr>
                <w:rStyle w:val="IndexLink"/>
              </w:rPr>
              <w:t>34</w:t>
            </w:r>
          </w:hyperlink>
        </w:p>
        <w:p>
          <w:pPr>
            <w:pStyle w:val="Contents2"/>
            <w:tabs>
              <w:tab w:val="clear" w:pos="8743"/>
              <w:tab w:val="right" w:pos="9026" w:leader="dot"/>
            </w:tabs>
            <w:rPr/>
          </w:pPr>
          <w:hyperlink w:anchor="__RefHeading___Toc11056744_73709187">
            <w:r>
              <w:rPr>
                <w:webHidden/>
                <w:rStyle w:val="IndexLink"/>
                <w:rtl w:val="true"/>
              </w:rPr>
              <w:t>حكم تزويج من شكّ في أنّها في العِدّة</w:t>
            </w:r>
            <w:r>
              <w:rPr>
                <w:rStyle w:val="IndexLink"/>
                <w:rtl w:val="true"/>
              </w:rPr>
              <w:tab/>
            </w:r>
            <w:r>
              <w:rPr>
                <w:rStyle w:val="IndexLink"/>
              </w:rPr>
              <w:t>35</w:t>
            </w:r>
          </w:hyperlink>
        </w:p>
        <w:p>
          <w:pPr>
            <w:pStyle w:val="Contents2"/>
            <w:tabs>
              <w:tab w:val="clear" w:pos="8743"/>
              <w:tab w:val="right" w:pos="9026" w:leader="dot"/>
            </w:tabs>
            <w:rPr/>
          </w:pPr>
          <w:hyperlink w:anchor="__RefHeading___Toc11056746_73709187">
            <w:r>
              <w:rPr>
                <w:webHidden/>
                <w:rStyle w:val="IndexLink"/>
                <w:rtl w:val="true"/>
              </w:rPr>
              <w:t>حكم التزويج في العِدّة بالعقد الفاسد</w:t>
            </w:r>
            <w:r>
              <w:rPr>
                <w:rStyle w:val="IndexLink"/>
                <w:rtl w:val="true"/>
              </w:rPr>
              <w:tab/>
            </w:r>
            <w:r>
              <w:rPr>
                <w:rStyle w:val="IndexLink"/>
              </w:rPr>
              <w:t>37</w:t>
            </w:r>
          </w:hyperlink>
        </w:p>
        <w:p>
          <w:pPr>
            <w:pStyle w:val="Contents2"/>
            <w:tabs>
              <w:tab w:val="clear" w:pos="8743"/>
              <w:tab w:val="right" w:pos="9026" w:leader="dot"/>
            </w:tabs>
            <w:rPr/>
          </w:pPr>
          <w:hyperlink w:anchor="__RefHeading___Toc11056748_73709187">
            <w:r>
              <w:rPr>
                <w:webHidden/>
                <w:rStyle w:val="IndexLink"/>
                <w:rtl w:val="true"/>
              </w:rPr>
              <w:t>حكم العقد على امرأةٍ توفّي زوجها قبل عِلمها بوفاته</w:t>
            </w:r>
            <w:r>
              <w:rPr>
                <w:rStyle w:val="IndexLink"/>
                <w:rtl w:val="true"/>
              </w:rPr>
              <w:tab/>
            </w:r>
            <w:r>
              <w:rPr>
                <w:rStyle w:val="IndexLink"/>
              </w:rPr>
              <w:t>39</w:t>
            </w:r>
          </w:hyperlink>
        </w:p>
        <w:p>
          <w:pPr>
            <w:pStyle w:val="Contents2"/>
            <w:tabs>
              <w:tab w:val="clear" w:pos="8743"/>
              <w:tab w:val="right" w:pos="9026" w:leader="dot"/>
            </w:tabs>
            <w:rPr/>
          </w:pPr>
          <w:hyperlink w:anchor="__RefHeading___Toc11056750_73709187">
            <w:r>
              <w:rPr>
                <w:webHidden/>
                <w:rStyle w:val="IndexLink"/>
                <w:rtl w:val="true"/>
              </w:rPr>
              <w:t>حكم ما لو تزوّج المُعتدّة، ودخل بها، ثمّ ولدت ولداً</w:t>
            </w:r>
            <w:r>
              <w:rPr>
                <w:rStyle w:val="IndexLink"/>
                <w:rtl w:val="true"/>
              </w:rPr>
              <w:tab/>
            </w:r>
            <w:r>
              <w:rPr>
                <w:rStyle w:val="IndexLink"/>
              </w:rPr>
              <w:t>43</w:t>
            </w:r>
          </w:hyperlink>
        </w:p>
        <w:p>
          <w:pPr>
            <w:pStyle w:val="Contents2"/>
            <w:tabs>
              <w:tab w:val="clear" w:pos="8743"/>
              <w:tab w:val="right" w:pos="9026" w:leader="dot"/>
            </w:tabs>
            <w:rPr/>
          </w:pPr>
          <w:hyperlink w:anchor="__RefHeading___Toc11056752_73709187">
            <w:r>
              <w:rPr>
                <w:webHidden/>
                <w:rStyle w:val="IndexLink"/>
                <w:rtl w:val="true"/>
              </w:rPr>
              <w:t>ثبوت المَهر المسمّى في وطء الشبهة</w:t>
            </w:r>
            <w:r>
              <w:rPr>
                <w:rStyle w:val="IndexLink"/>
                <w:rtl w:val="true"/>
              </w:rPr>
              <w:tab/>
            </w:r>
            <w:r>
              <w:rPr>
                <w:rStyle w:val="IndexLink"/>
              </w:rPr>
              <w:t>46</w:t>
            </w:r>
          </w:hyperlink>
        </w:p>
        <w:p>
          <w:pPr>
            <w:pStyle w:val="Contents2"/>
            <w:tabs>
              <w:tab w:val="clear" w:pos="8743"/>
              <w:tab w:val="right" w:pos="9026" w:leader="dot"/>
            </w:tabs>
            <w:rPr/>
          </w:pPr>
          <w:hyperlink w:anchor="__RefHeading___Toc11056754_73709187">
            <w:r>
              <w:rPr>
                <w:webHidden/>
                <w:rStyle w:val="IndexLink"/>
                <w:rtl w:val="true"/>
              </w:rPr>
              <w:t>حكم ما لو اجتمعت العِدّتان</w:t>
            </w:r>
            <w:r>
              <w:rPr>
                <w:rStyle w:val="IndexLink"/>
                <w:rtl w:val="true"/>
              </w:rPr>
              <w:tab/>
            </w:r>
            <w:r>
              <w:rPr>
                <w:rStyle w:val="IndexLink"/>
              </w:rPr>
              <w:t>48</w:t>
            </w:r>
          </w:hyperlink>
        </w:p>
        <w:p>
          <w:pPr>
            <w:pStyle w:val="Contents2"/>
            <w:tabs>
              <w:tab w:val="clear" w:pos="8743"/>
              <w:tab w:val="right" w:pos="9026" w:leader="dot"/>
            </w:tabs>
            <w:rPr/>
          </w:pPr>
          <w:hyperlink w:anchor="__RefHeading___Toc11056756_73709187">
            <w:r>
              <w:rPr>
                <w:webHidden/>
                <w:rStyle w:val="IndexLink"/>
                <w:rtl w:val="true"/>
              </w:rPr>
              <w:t>حرمة أُمّ الغلام الموطوء واُخته وبنته</w:t>
            </w:r>
            <w:r>
              <w:rPr>
                <w:rStyle w:val="IndexLink"/>
                <w:rtl w:val="true"/>
              </w:rPr>
              <w:tab/>
            </w:r>
            <w:r>
              <w:rPr>
                <w:rStyle w:val="IndexLink"/>
              </w:rPr>
              <w:t>52</w:t>
            </w:r>
          </w:hyperlink>
        </w:p>
        <w:p>
          <w:pPr>
            <w:pStyle w:val="Contents2"/>
            <w:tabs>
              <w:tab w:val="clear" w:pos="8743"/>
              <w:tab w:val="right" w:pos="9026" w:leader="dot"/>
            </w:tabs>
            <w:rPr/>
          </w:pPr>
          <w:hyperlink w:anchor="__RefHeading___Toc11056758_73709187">
            <w:r>
              <w:rPr>
                <w:webHidden/>
                <w:rStyle w:val="IndexLink"/>
                <w:rtl w:val="true"/>
              </w:rPr>
              <w:t>الإيقاب المتأخّر عن العقد لا يوجبُ الحرمة</w:t>
            </w:r>
            <w:r>
              <w:rPr>
                <w:rStyle w:val="IndexLink"/>
                <w:rtl w:val="true"/>
              </w:rPr>
              <w:tab/>
            </w:r>
            <w:r>
              <w:rPr>
                <w:rStyle w:val="IndexLink"/>
              </w:rPr>
              <w:t>58</w:t>
            </w:r>
          </w:hyperlink>
        </w:p>
        <w:p>
          <w:pPr>
            <w:pStyle w:val="Contents2"/>
            <w:tabs>
              <w:tab w:val="clear" w:pos="8743"/>
              <w:tab w:val="right" w:pos="9026" w:leader="dot"/>
            </w:tabs>
            <w:rPr/>
          </w:pPr>
          <w:hyperlink w:anchor="__RefHeading___Toc11056760_73709187">
            <w:r>
              <w:rPr>
                <w:webHidden/>
                <w:rStyle w:val="IndexLink"/>
                <w:rtl w:val="true"/>
              </w:rPr>
              <w:t>إفضاءُ من لم تَبلُغ تسع سنين يوجبُ الحرمة الأبديّة</w:t>
            </w:r>
            <w:r>
              <w:rPr>
                <w:rStyle w:val="IndexLink"/>
                <w:rtl w:val="true"/>
              </w:rPr>
              <w:tab/>
            </w:r>
            <w:r>
              <w:rPr>
                <w:rStyle w:val="IndexLink"/>
              </w:rPr>
              <w:t>62</w:t>
            </w:r>
          </w:hyperlink>
        </w:p>
        <w:p>
          <w:pPr>
            <w:pStyle w:val="Contents2"/>
            <w:tabs>
              <w:tab w:val="clear" w:pos="8743"/>
              <w:tab w:val="right" w:pos="9026" w:leader="dot"/>
            </w:tabs>
            <w:rPr/>
          </w:pPr>
          <w:hyperlink w:anchor="__RefHeading___Toc11056762_73709187">
            <w:r>
              <w:rPr>
                <w:webHidden/>
                <w:rStyle w:val="IndexLink"/>
                <w:rtl w:val="true"/>
              </w:rPr>
              <w:t>جواز تزويج الزاني مع مَن زنا بها</w:t>
            </w:r>
            <w:r>
              <w:rPr>
                <w:rStyle w:val="IndexLink"/>
                <w:rtl w:val="true"/>
              </w:rPr>
              <w:tab/>
            </w:r>
            <w:r>
              <w:rPr>
                <w:rStyle w:val="IndexLink"/>
              </w:rPr>
              <w:t>75</w:t>
            </w:r>
          </w:hyperlink>
        </w:p>
        <w:p>
          <w:pPr>
            <w:pStyle w:val="Contents2"/>
            <w:tabs>
              <w:tab w:val="clear" w:pos="8743"/>
              <w:tab w:val="right" w:pos="9026" w:leader="dot"/>
            </w:tabs>
            <w:rPr/>
          </w:pPr>
          <w:hyperlink w:anchor="__RefHeading___Toc11056764_73709187">
            <w:r>
              <w:rPr>
                <w:webHidden/>
                <w:rStyle w:val="IndexLink"/>
                <w:rtl w:val="true"/>
              </w:rPr>
              <w:t>حكم تزويج الزانية لغير الزاني</w:t>
            </w:r>
            <w:r>
              <w:rPr>
                <w:rStyle w:val="IndexLink"/>
                <w:rtl w:val="true"/>
              </w:rPr>
              <w:tab/>
            </w:r>
            <w:r>
              <w:rPr>
                <w:rStyle w:val="IndexLink"/>
              </w:rPr>
              <w:t>79</w:t>
            </w:r>
          </w:hyperlink>
        </w:p>
        <w:p>
          <w:pPr>
            <w:pStyle w:val="Contents2"/>
            <w:tabs>
              <w:tab w:val="clear" w:pos="8743"/>
              <w:tab w:val="right" w:pos="9026" w:leader="dot"/>
            </w:tabs>
            <w:rPr/>
          </w:pPr>
          <w:hyperlink w:anchor="__RefHeading___Toc11056766_73709187">
            <w:r>
              <w:rPr>
                <w:webHidden/>
                <w:rStyle w:val="IndexLink"/>
                <w:rtl w:val="true"/>
              </w:rPr>
              <w:t>عدم حرمة الزّوجة على الزّوج بالزّنا</w:t>
            </w:r>
            <w:r>
              <w:rPr>
                <w:rStyle w:val="IndexLink"/>
                <w:rtl w:val="true"/>
              </w:rPr>
              <w:tab/>
            </w:r>
            <w:r>
              <w:rPr>
                <w:rStyle w:val="IndexLink"/>
              </w:rPr>
              <w:t>86</w:t>
            </w:r>
          </w:hyperlink>
        </w:p>
        <w:p>
          <w:pPr>
            <w:pStyle w:val="Contents2"/>
            <w:tabs>
              <w:tab w:val="clear" w:pos="8743"/>
              <w:tab w:val="right" w:pos="9026" w:leader="dot"/>
            </w:tabs>
            <w:rPr/>
          </w:pPr>
          <w:hyperlink w:anchor="__RefHeading___Toc11056768_73709187">
            <w:r>
              <w:rPr>
                <w:webHidden/>
                <w:rStyle w:val="IndexLink"/>
                <w:rtl w:val="true"/>
              </w:rPr>
              <w:t>حكم الزِّنا بذات البعل</w:t>
            </w:r>
            <w:r>
              <w:rPr>
                <w:rStyle w:val="IndexLink"/>
                <w:rtl w:val="true"/>
              </w:rPr>
              <w:tab/>
            </w:r>
            <w:r>
              <w:rPr>
                <w:rStyle w:val="IndexLink"/>
              </w:rPr>
              <w:t>88</w:t>
            </w:r>
          </w:hyperlink>
        </w:p>
        <w:p>
          <w:pPr>
            <w:pStyle w:val="Contents2"/>
            <w:tabs>
              <w:tab w:val="clear" w:pos="8743"/>
              <w:tab w:val="right" w:pos="9026" w:leader="dot"/>
            </w:tabs>
            <w:rPr/>
          </w:pPr>
          <w:hyperlink w:anchor="__RefHeading___Toc11056770_73709187">
            <w:r>
              <w:rPr>
                <w:webHidden/>
                <w:rStyle w:val="IndexLink"/>
                <w:rtl w:val="true"/>
              </w:rPr>
              <w:t>التزويج في الإحرام</w:t>
            </w:r>
            <w:r>
              <w:rPr>
                <w:rStyle w:val="IndexLink"/>
                <w:rtl w:val="true"/>
              </w:rPr>
              <w:tab/>
            </w:r>
            <w:r>
              <w:rPr>
                <w:rStyle w:val="IndexLink"/>
              </w:rPr>
              <w:t>92</w:t>
            </w:r>
          </w:hyperlink>
        </w:p>
        <w:p>
          <w:pPr>
            <w:pStyle w:val="Contents2"/>
            <w:tabs>
              <w:tab w:val="clear" w:pos="8743"/>
              <w:tab w:val="right" w:pos="9026" w:leader="dot"/>
            </w:tabs>
            <w:rPr/>
          </w:pPr>
          <w:hyperlink w:anchor="__RefHeading___Toc11056772_73709187">
            <w:r>
              <w:rPr>
                <w:webHidden/>
                <w:rStyle w:val="IndexLink"/>
                <w:rtl w:val="true"/>
              </w:rPr>
              <w:t>عدم انحصار المتعة في عدد</w:t>
            </w:r>
            <w:r>
              <w:rPr>
                <w:rStyle w:val="IndexLink"/>
                <w:rtl w:val="true"/>
              </w:rPr>
              <w:tab/>
            </w:r>
            <w:r>
              <w:rPr>
                <w:rStyle w:val="IndexLink"/>
              </w:rPr>
              <w:t>93</w:t>
            </w:r>
          </w:hyperlink>
        </w:p>
        <w:p>
          <w:pPr>
            <w:pStyle w:val="Contents2"/>
            <w:tabs>
              <w:tab w:val="clear" w:pos="8743"/>
              <w:tab w:val="right" w:pos="9026" w:leader="dot"/>
            </w:tabs>
            <w:rPr/>
          </w:pPr>
          <w:hyperlink w:anchor="__RefHeading___Toc11056774_73709187">
            <w:r>
              <w:rPr>
                <w:webHidden/>
                <w:rStyle w:val="IndexLink"/>
                <w:rtl w:val="true"/>
              </w:rPr>
              <w:t>حرمة نكاح المطلّقة ثلاثاً على الزّوج إلّابعد التحليل</w:t>
            </w:r>
            <w:r>
              <w:rPr>
                <w:rStyle w:val="IndexLink"/>
                <w:rtl w:val="true"/>
              </w:rPr>
              <w:tab/>
            </w:r>
            <w:r>
              <w:rPr>
                <w:rStyle w:val="IndexLink"/>
              </w:rPr>
              <w:t>96</w:t>
            </w:r>
          </w:hyperlink>
        </w:p>
        <w:p>
          <w:pPr>
            <w:pStyle w:val="Contents2"/>
            <w:tabs>
              <w:tab w:val="clear" w:pos="8743"/>
              <w:tab w:val="right" w:pos="9026" w:leader="dot"/>
            </w:tabs>
            <w:rPr/>
          </w:pPr>
          <w:hyperlink w:anchor="__RefHeading___Toc11056776_73709187">
            <w:r>
              <w:rPr>
                <w:webHidden/>
                <w:rStyle w:val="IndexLink"/>
                <w:rtl w:val="true"/>
              </w:rPr>
              <w:t>حرمة المطلَّقة تسعاً على المُطلِّق</w:t>
            </w:r>
            <w:r>
              <w:rPr>
                <w:rStyle w:val="IndexLink"/>
                <w:rtl w:val="true"/>
              </w:rPr>
              <w:tab/>
            </w:r>
            <w:r>
              <w:rPr>
                <w:rStyle w:val="IndexLink"/>
              </w:rPr>
              <w:t>99</w:t>
            </w:r>
          </w:hyperlink>
        </w:p>
        <w:p>
          <w:pPr>
            <w:pStyle w:val="Contents2"/>
            <w:tabs>
              <w:tab w:val="clear" w:pos="8743"/>
              <w:tab w:val="right" w:pos="9026" w:leader="dot"/>
            </w:tabs>
            <w:rPr/>
          </w:pPr>
          <w:hyperlink w:anchor="__RefHeading___Toc11056778_73709187">
            <w:r>
              <w:rPr>
                <w:webHidden/>
                <w:rStyle w:val="IndexLink"/>
                <w:rtl w:val="true"/>
              </w:rPr>
              <w:t>حكم ما لو عقد ذو الثلاث على اثنتين دفعة</w:t>
            </w:r>
            <w:r>
              <w:rPr>
                <w:rStyle w:val="IndexLink"/>
                <w:rtl w:val="true"/>
              </w:rPr>
              <w:tab/>
            </w:r>
            <w:r>
              <w:rPr>
                <w:rStyle w:val="IndexLink"/>
              </w:rPr>
              <w:t>106</w:t>
            </w:r>
          </w:hyperlink>
        </w:p>
        <w:p>
          <w:pPr>
            <w:pStyle w:val="Contents2"/>
            <w:tabs>
              <w:tab w:val="clear" w:pos="8743"/>
              <w:tab w:val="right" w:pos="9026" w:leader="dot"/>
            </w:tabs>
            <w:rPr/>
          </w:pPr>
          <w:hyperlink w:anchor="__RefHeading___Toc11056780_73709187">
            <w:r>
              <w:rPr>
                <w:webHidden/>
                <w:rStyle w:val="IndexLink"/>
                <w:rtl w:val="true"/>
              </w:rPr>
              <w:t>الرِّضاع من أسباب التحريم</w:t>
            </w:r>
            <w:r>
              <w:rPr>
                <w:rStyle w:val="IndexLink"/>
                <w:rtl w:val="true"/>
              </w:rPr>
              <w:tab/>
            </w:r>
            <w:r>
              <w:rPr>
                <w:rStyle w:val="IndexLink"/>
              </w:rPr>
              <w:t>110</w:t>
            </w:r>
          </w:hyperlink>
        </w:p>
        <w:p>
          <w:pPr>
            <w:pStyle w:val="Contents2"/>
            <w:tabs>
              <w:tab w:val="clear" w:pos="8743"/>
              <w:tab w:val="right" w:pos="9026" w:leader="dot"/>
            </w:tabs>
            <w:rPr/>
          </w:pPr>
          <w:hyperlink w:anchor="__RefHeading___Toc11056782_73709187">
            <w:r>
              <w:rPr>
                <w:webHidden/>
                <w:rStyle w:val="IndexLink"/>
                <w:rtl w:val="true"/>
              </w:rPr>
              <w:t>عموم المنزلة</w:t>
            </w:r>
            <w:r>
              <w:rPr>
                <w:rStyle w:val="IndexLink"/>
                <w:rtl w:val="true"/>
              </w:rPr>
              <w:tab/>
            </w:r>
            <w:r>
              <w:rPr>
                <w:rStyle w:val="IndexLink"/>
              </w:rPr>
              <w:t>113</w:t>
            </w:r>
          </w:hyperlink>
        </w:p>
        <w:p>
          <w:pPr>
            <w:pStyle w:val="Contents2"/>
            <w:tabs>
              <w:tab w:val="clear" w:pos="8743"/>
              <w:tab w:val="right" w:pos="9026" w:leader="dot"/>
            </w:tabs>
            <w:rPr/>
          </w:pPr>
          <w:hyperlink w:anchor="__RefHeading___Toc11056784_73709187">
            <w:r>
              <w:rPr>
                <w:webHidden/>
                <w:rStyle w:val="IndexLink"/>
                <w:rtl w:val="true"/>
              </w:rPr>
              <w:t>القرابة المنضمّة بالمصاهرة</w:t>
            </w:r>
            <w:r>
              <w:rPr>
                <w:rStyle w:val="IndexLink"/>
                <w:rtl w:val="true"/>
              </w:rPr>
              <w:tab/>
            </w:r>
            <w:r>
              <w:rPr>
                <w:rStyle w:val="IndexLink"/>
              </w:rPr>
              <w:t>118</w:t>
            </w:r>
          </w:hyperlink>
        </w:p>
        <w:p>
          <w:pPr>
            <w:pStyle w:val="Contents2"/>
            <w:tabs>
              <w:tab w:val="clear" w:pos="8743"/>
              <w:tab w:val="right" w:pos="9026" w:leader="dot"/>
            </w:tabs>
            <w:rPr/>
          </w:pPr>
          <w:hyperlink w:anchor="__RefHeading___Toc11056786_73709187">
            <w:r>
              <w:rPr>
                <w:webHidden/>
                <w:rStyle w:val="IndexLink"/>
                <w:rtl w:val="true"/>
              </w:rPr>
              <w:t>لو شكّ في دخل شيء في نشر الحرمة</w:t>
            </w:r>
            <w:r>
              <w:rPr>
                <w:rStyle w:val="IndexLink"/>
                <w:rtl w:val="true"/>
              </w:rPr>
              <w:tab/>
            </w:r>
            <w:r>
              <w:rPr>
                <w:rStyle w:val="IndexLink"/>
              </w:rPr>
              <w:t>122</w:t>
            </w:r>
          </w:hyperlink>
        </w:p>
        <w:p>
          <w:pPr>
            <w:pStyle w:val="Contents2"/>
            <w:tabs>
              <w:tab w:val="clear" w:pos="8743"/>
              <w:tab w:val="right" w:pos="9026" w:leader="dot"/>
            </w:tabs>
            <w:rPr/>
          </w:pPr>
          <w:hyperlink w:anchor="__RefHeading___Toc11056788_73709187">
            <w:r>
              <w:rPr>
                <w:webHidden/>
                <w:rStyle w:val="IndexLink"/>
                <w:rtl w:val="true"/>
              </w:rPr>
              <w:t>اعتبار كون اللّبن عن نكاحٍ صحيح</w:t>
            </w:r>
            <w:r>
              <w:rPr>
                <w:rStyle w:val="IndexLink"/>
                <w:rtl w:val="true"/>
              </w:rPr>
              <w:tab/>
            </w:r>
            <w:r>
              <w:rPr>
                <w:rStyle w:val="IndexLink"/>
              </w:rPr>
              <w:t>124</w:t>
            </w:r>
          </w:hyperlink>
        </w:p>
        <w:p>
          <w:pPr>
            <w:pStyle w:val="Contents2"/>
            <w:tabs>
              <w:tab w:val="clear" w:pos="8743"/>
              <w:tab w:val="right" w:pos="9026" w:leader="dot"/>
            </w:tabs>
            <w:rPr/>
          </w:pPr>
          <w:hyperlink w:anchor="__RefHeading___Toc11056790_73709187">
            <w:r>
              <w:rPr>
                <w:webHidden/>
                <w:rStyle w:val="IndexLink"/>
                <w:rtl w:val="true"/>
              </w:rPr>
              <w:t>في اعتبار انفصال الولد وعدمه</w:t>
            </w:r>
            <w:r>
              <w:rPr>
                <w:rStyle w:val="IndexLink"/>
                <w:rtl w:val="true"/>
              </w:rPr>
              <w:tab/>
            </w:r>
            <w:r>
              <w:rPr>
                <w:rStyle w:val="IndexLink"/>
              </w:rPr>
              <w:t>129</w:t>
            </w:r>
          </w:hyperlink>
        </w:p>
        <w:p>
          <w:pPr>
            <w:pStyle w:val="Contents2"/>
            <w:tabs>
              <w:tab w:val="clear" w:pos="8743"/>
              <w:tab w:val="right" w:pos="9026" w:leader="dot"/>
            </w:tabs>
            <w:rPr/>
          </w:pPr>
          <w:hyperlink w:anchor="__RefHeading___Toc11056792_73709187">
            <w:r>
              <w:rPr>
                <w:webHidden/>
                <w:rStyle w:val="IndexLink"/>
                <w:rtl w:val="true"/>
              </w:rPr>
              <w:t>اعتبار بلوغ الرّضاع حَدّاً معيّناً</w:t>
            </w:r>
            <w:r>
              <w:rPr>
                <w:rStyle w:val="IndexLink"/>
                <w:rtl w:val="true"/>
              </w:rPr>
              <w:tab/>
            </w:r>
            <w:r>
              <w:rPr>
                <w:rStyle w:val="IndexLink"/>
              </w:rPr>
              <w:t>134</w:t>
            </w:r>
          </w:hyperlink>
        </w:p>
        <w:p>
          <w:pPr>
            <w:pStyle w:val="Contents2"/>
            <w:tabs>
              <w:tab w:val="clear" w:pos="8743"/>
              <w:tab w:val="right" w:pos="9026" w:leader="dot"/>
            </w:tabs>
            <w:rPr/>
          </w:pPr>
          <w:hyperlink w:anchor="__RefHeading___Toc11056794_73709187">
            <w:r>
              <w:rPr>
                <w:webHidden/>
                <w:rStyle w:val="IndexLink"/>
                <w:rtl w:val="true"/>
              </w:rPr>
              <w:t>تقدير فترة الرِّضاع بالزمان</w:t>
            </w:r>
            <w:r>
              <w:rPr>
                <w:rStyle w:val="IndexLink"/>
                <w:rtl w:val="true"/>
              </w:rPr>
              <w:tab/>
            </w:r>
            <w:r>
              <w:rPr>
                <w:rStyle w:val="IndexLink"/>
              </w:rPr>
              <w:t>136</w:t>
            </w:r>
          </w:hyperlink>
        </w:p>
        <w:p>
          <w:pPr>
            <w:pStyle w:val="Contents2"/>
            <w:tabs>
              <w:tab w:val="clear" w:pos="8743"/>
              <w:tab w:val="right" w:pos="9026" w:leader="dot"/>
            </w:tabs>
            <w:rPr/>
          </w:pPr>
          <w:hyperlink w:anchor="__RefHeading___Toc11056796_73709187">
            <w:r>
              <w:rPr>
                <w:webHidden/>
                <w:rStyle w:val="IndexLink"/>
                <w:rtl w:val="true"/>
              </w:rPr>
              <w:t>تقدير فترة الرِّضاع بالأثر</w:t>
            </w:r>
            <w:r>
              <w:rPr>
                <w:rStyle w:val="IndexLink"/>
                <w:rtl w:val="true"/>
              </w:rPr>
              <w:tab/>
            </w:r>
            <w:r>
              <w:rPr>
                <w:rStyle w:val="IndexLink"/>
              </w:rPr>
              <w:t>145</w:t>
            </w:r>
          </w:hyperlink>
        </w:p>
        <w:p>
          <w:pPr>
            <w:pStyle w:val="Contents2"/>
            <w:tabs>
              <w:tab w:val="clear" w:pos="8743"/>
              <w:tab w:val="right" w:pos="9026" w:leader="dot"/>
            </w:tabs>
            <w:rPr/>
          </w:pPr>
          <w:hyperlink w:anchor="__RefHeading___Toc11056798_73709187">
            <w:r>
              <w:rPr>
                <w:webHidden/>
                <w:rStyle w:val="IndexLink"/>
                <w:rtl w:val="true"/>
              </w:rPr>
              <w:t>التقدير بالعدد</w:t>
            </w:r>
            <w:r>
              <w:rPr>
                <w:rStyle w:val="IndexLink"/>
                <w:rtl w:val="true"/>
              </w:rPr>
              <w:tab/>
            </w:r>
            <w:r>
              <w:rPr>
                <w:rStyle w:val="IndexLink"/>
              </w:rPr>
              <w:t>153</w:t>
            </w:r>
          </w:hyperlink>
        </w:p>
        <w:p>
          <w:pPr>
            <w:pStyle w:val="Contents2"/>
            <w:tabs>
              <w:tab w:val="clear" w:pos="8743"/>
              <w:tab w:val="right" w:pos="9026" w:leader="dot"/>
            </w:tabs>
            <w:rPr/>
          </w:pPr>
          <w:hyperlink w:anchor="__RefHeading___Toc11056800_73709187">
            <w:r>
              <w:rPr>
                <w:webHidden/>
                <w:rStyle w:val="IndexLink"/>
                <w:rtl w:val="true"/>
              </w:rPr>
              <w:t>اعتبار كون شرب اللّبن على وجه الامتصاص من الثدي</w:t>
            </w:r>
            <w:r>
              <w:rPr>
                <w:rStyle w:val="IndexLink"/>
                <w:rtl w:val="true"/>
              </w:rPr>
              <w:tab/>
            </w:r>
            <w:r>
              <w:rPr>
                <w:rStyle w:val="IndexLink"/>
              </w:rPr>
              <w:t>163</w:t>
            </w:r>
          </w:hyperlink>
        </w:p>
        <w:p>
          <w:pPr>
            <w:pStyle w:val="Contents2"/>
            <w:tabs>
              <w:tab w:val="clear" w:pos="8743"/>
              <w:tab w:val="right" w:pos="9026" w:leader="dot"/>
            </w:tabs>
            <w:rPr/>
          </w:pPr>
          <w:hyperlink w:anchor="__RefHeading___Toc11056802_73709187">
            <w:r>
              <w:rPr>
                <w:webHidden/>
                <w:rStyle w:val="IndexLink"/>
                <w:rtl w:val="true"/>
              </w:rPr>
              <w:t>اعتبار توالي الرَّضعات</w:t>
            </w:r>
            <w:r>
              <w:rPr>
                <w:rStyle w:val="IndexLink"/>
                <w:rtl w:val="true"/>
              </w:rPr>
              <w:tab/>
            </w:r>
            <w:r>
              <w:rPr>
                <w:rStyle w:val="IndexLink"/>
              </w:rPr>
              <w:t>168</w:t>
            </w:r>
          </w:hyperlink>
        </w:p>
        <w:p>
          <w:pPr>
            <w:pStyle w:val="Contents2"/>
            <w:tabs>
              <w:tab w:val="clear" w:pos="8743"/>
              <w:tab w:val="right" w:pos="9026" w:leader="dot"/>
            </w:tabs>
            <w:rPr/>
          </w:pPr>
          <w:hyperlink w:anchor="__RefHeading___Toc11056804_73709187">
            <w:r>
              <w:rPr>
                <w:webHidden/>
                <w:rStyle w:val="IndexLink"/>
                <w:rtl w:val="true"/>
              </w:rPr>
              <w:t>اعتبار كون الرّضاع في الحولين</w:t>
            </w:r>
            <w:r>
              <w:rPr>
                <w:rStyle w:val="IndexLink"/>
                <w:rtl w:val="true"/>
              </w:rPr>
              <w:tab/>
            </w:r>
            <w:r>
              <w:rPr>
                <w:rStyle w:val="IndexLink"/>
              </w:rPr>
              <w:t>173</w:t>
            </w:r>
          </w:hyperlink>
        </w:p>
        <w:p>
          <w:pPr>
            <w:pStyle w:val="Contents2"/>
            <w:tabs>
              <w:tab w:val="clear" w:pos="8743"/>
              <w:tab w:val="right" w:pos="9026" w:leader="dot"/>
            </w:tabs>
            <w:rPr/>
          </w:pPr>
          <w:hyperlink w:anchor="__RefHeading___Toc11056806_73709187">
            <w:r>
              <w:rPr>
                <w:webHidden/>
                <w:rStyle w:val="IndexLink"/>
                <w:rtl w:val="true"/>
              </w:rPr>
              <w:t>عدم اعتبار كون الرّضاع قبل فطام ولد المرضعة</w:t>
            </w:r>
            <w:r>
              <w:rPr>
                <w:rStyle w:val="IndexLink"/>
                <w:rtl w:val="true"/>
              </w:rPr>
              <w:tab/>
            </w:r>
            <w:r>
              <w:rPr>
                <w:rStyle w:val="IndexLink"/>
              </w:rPr>
              <w:t>177</w:t>
            </w:r>
          </w:hyperlink>
        </w:p>
        <w:p>
          <w:pPr>
            <w:pStyle w:val="Contents2"/>
            <w:tabs>
              <w:tab w:val="clear" w:pos="8743"/>
              <w:tab w:val="right" w:pos="9026" w:leader="dot"/>
            </w:tabs>
            <w:rPr/>
          </w:pPr>
          <w:hyperlink w:anchor="__RefHeading___Toc11056808_73709187">
            <w:r>
              <w:rPr>
                <w:webHidden/>
                <w:rStyle w:val="IndexLink"/>
                <w:rtl w:val="true"/>
              </w:rPr>
              <w:t>اعتبار اتّحاد الفحل</w:t>
            </w:r>
            <w:r>
              <w:rPr>
                <w:rStyle w:val="IndexLink"/>
                <w:rtl w:val="true"/>
              </w:rPr>
              <w:tab/>
            </w:r>
            <w:r>
              <w:rPr>
                <w:rStyle w:val="IndexLink"/>
              </w:rPr>
              <w:t>182</w:t>
            </w:r>
          </w:hyperlink>
        </w:p>
        <w:p>
          <w:pPr>
            <w:pStyle w:val="Contents2"/>
            <w:tabs>
              <w:tab w:val="clear" w:pos="8743"/>
              <w:tab w:val="right" w:pos="9026" w:leader="dot"/>
            </w:tabs>
            <w:rPr/>
          </w:pPr>
          <w:hyperlink w:anchor="__RefHeading___Toc11056810_73709187">
            <w:r>
              <w:rPr>
                <w:webHidden/>
                <w:rStyle w:val="IndexLink"/>
                <w:rtl w:val="true"/>
              </w:rPr>
              <w:t>لا يعتبر اتّحاد الفحل إذا كان أحد الولدين نَسَبيّاً لها</w:t>
            </w:r>
            <w:r>
              <w:rPr>
                <w:rStyle w:val="IndexLink"/>
                <w:rtl w:val="true"/>
              </w:rPr>
              <w:tab/>
            </w:r>
            <w:r>
              <w:rPr>
                <w:rStyle w:val="IndexLink"/>
              </w:rPr>
              <w:t>188</w:t>
            </w:r>
          </w:hyperlink>
        </w:p>
        <w:p>
          <w:pPr>
            <w:pStyle w:val="Contents2"/>
            <w:tabs>
              <w:tab w:val="clear" w:pos="8743"/>
              <w:tab w:val="right" w:pos="9026" w:leader="dot"/>
            </w:tabs>
            <w:rPr/>
          </w:pPr>
          <w:hyperlink w:anchor="__RefHeading___Toc11056812_73709187">
            <w:r>
              <w:rPr>
                <w:webHidden/>
                <w:rStyle w:val="IndexLink"/>
                <w:rtl w:val="true"/>
              </w:rPr>
              <w:t>عدم اعتبار اتّحاد الفحل في غير الإخوة</w:t>
            </w:r>
            <w:r>
              <w:rPr>
                <w:rStyle w:val="IndexLink"/>
                <w:rtl w:val="true"/>
              </w:rPr>
              <w:tab/>
            </w:r>
            <w:r>
              <w:rPr>
                <w:rStyle w:val="IndexLink"/>
              </w:rPr>
              <w:t>190</w:t>
            </w:r>
          </w:hyperlink>
        </w:p>
        <w:p>
          <w:pPr>
            <w:pStyle w:val="Contents2"/>
            <w:tabs>
              <w:tab w:val="clear" w:pos="8743"/>
              <w:tab w:val="right" w:pos="9026" w:leader="dot"/>
            </w:tabs>
            <w:rPr/>
          </w:pPr>
          <w:hyperlink w:anchor="__RefHeading___Toc11056814_73709187">
            <w:r>
              <w:rPr>
                <w:webHidden/>
                <w:rStyle w:val="IndexLink"/>
                <w:rtl w:val="true"/>
              </w:rPr>
              <w:t>اعتبار حياة المرضعة في نشر الحرمة</w:t>
            </w:r>
            <w:r>
              <w:rPr>
                <w:rStyle w:val="IndexLink"/>
                <w:rtl w:val="true"/>
              </w:rPr>
              <w:tab/>
            </w:r>
            <w:r>
              <w:rPr>
                <w:rStyle w:val="IndexLink"/>
              </w:rPr>
              <w:t>192</w:t>
            </w:r>
          </w:hyperlink>
        </w:p>
        <w:p>
          <w:pPr>
            <w:pStyle w:val="Contents2"/>
            <w:tabs>
              <w:tab w:val="clear" w:pos="8743"/>
              <w:tab w:val="right" w:pos="9026" w:leader="dot"/>
            </w:tabs>
            <w:rPr/>
          </w:pPr>
          <w:hyperlink w:anchor="__RefHeading___Toc11056816_73709187">
            <w:r>
              <w:rPr>
                <w:webHidden/>
                <w:rStyle w:val="IndexLink"/>
                <w:rtl w:val="true"/>
              </w:rPr>
              <w:t>ما يَحرُمُ من الرِّضاع</w:t>
            </w:r>
            <w:r>
              <w:rPr>
                <w:rStyle w:val="IndexLink"/>
                <w:rtl w:val="true"/>
              </w:rPr>
              <w:tab/>
            </w:r>
            <w:r>
              <w:rPr>
                <w:rStyle w:val="IndexLink"/>
              </w:rPr>
              <w:t>196</w:t>
            </w:r>
          </w:hyperlink>
        </w:p>
        <w:p>
          <w:pPr>
            <w:pStyle w:val="Contents2"/>
            <w:tabs>
              <w:tab w:val="clear" w:pos="8743"/>
              <w:tab w:val="right" w:pos="9026" w:leader="dot"/>
            </w:tabs>
            <w:rPr/>
          </w:pPr>
          <w:hyperlink w:anchor="__RefHeading___Toc11056818_73709187">
            <w:r>
              <w:rPr>
                <w:webHidden/>
                <w:rStyle w:val="IndexLink"/>
                <w:rtl w:val="true"/>
              </w:rPr>
              <w:t>حُرمة المنسوب إلى الفَحل</w:t>
            </w:r>
            <w:r>
              <w:rPr>
                <w:rStyle w:val="IndexLink"/>
                <w:rtl w:val="true"/>
              </w:rPr>
              <w:tab/>
            </w:r>
            <w:r>
              <w:rPr>
                <w:rStyle w:val="IndexLink"/>
              </w:rPr>
              <w:t>199</w:t>
            </w:r>
          </w:hyperlink>
        </w:p>
        <w:p>
          <w:pPr>
            <w:pStyle w:val="Contents2"/>
            <w:tabs>
              <w:tab w:val="clear" w:pos="8743"/>
              <w:tab w:val="right" w:pos="9026" w:leader="dot"/>
            </w:tabs>
            <w:rPr/>
          </w:pPr>
          <w:hyperlink w:anchor="__RefHeading___Toc11056820_73709187">
            <w:r>
              <w:rPr>
                <w:webHidden/>
                <w:rStyle w:val="IndexLink"/>
                <w:rtl w:val="true"/>
              </w:rPr>
              <w:t>حرمة نكاح أبي المرتضع في أولاد صاحب اللَّبن</w:t>
            </w:r>
            <w:r>
              <w:rPr>
                <w:rStyle w:val="IndexLink"/>
                <w:rtl w:val="true"/>
              </w:rPr>
              <w:tab/>
            </w:r>
            <w:r>
              <w:rPr>
                <w:rStyle w:val="IndexLink"/>
              </w:rPr>
              <w:t>200</w:t>
            </w:r>
          </w:hyperlink>
        </w:p>
        <w:p>
          <w:pPr>
            <w:pStyle w:val="Contents2"/>
            <w:tabs>
              <w:tab w:val="clear" w:pos="8743"/>
              <w:tab w:val="right" w:pos="9026" w:leader="dot"/>
            </w:tabs>
            <w:rPr/>
          </w:pPr>
          <w:hyperlink w:anchor="__RefHeading___Toc11056822_73709187">
            <w:r>
              <w:rPr>
                <w:webHidden/>
                <w:rStyle w:val="IndexLink"/>
                <w:rtl w:val="true"/>
              </w:rPr>
              <w:t>جواز تزويج أولاد الفحل مع إخوة المرتضع</w:t>
            </w:r>
            <w:r>
              <w:rPr>
                <w:rStyle w:val="IndexLink"/>
                <w:rtl w:val="true"/>
              </w:rPr>
              <w:tab/>
            </w:r>
            <w:r>
              <w:rPr>
                <w:rStyle w:val="IndexLink"/>
              </w:rPr>
              <w:t>203</w:t>
            </w:r>
          </w:hyperlink>
        </w:p>
        <w:p>
          <w:pPr>
            <w:pStyle w:val="Contents2"/>
            <w:tabs>
              <w:tab w:val="clear" w:pos="8743"/>
              <w:tab w:val="right" w:pos="9026" w:leader="dot"/>
            </w:tabs>
            <w:rPr/>
          </w:pPr>
          <w:hyperlink w:anchor="__RefHeading___Toc11056824_73709187">
            <w:r>
              <w:rPr>
                <w:webHidden/>
                <w:rStyle w:val="IndexLink"/>
                <w:rtl w:val="true"/>
              </w:rPr>
              <w:t>عدم حرمة جَدّة المُرتضع وإخوته على الفَحل</w:t>
            </w:r>
            <w:r>
              <w:rPr>
                <w:rStyle w:val="IndexLink"/>
                <w:rtl w:val="true"/>
              </w:rPr>
              <w:tab/>
            </w:r>
            <w:r>
              <w:rPr>
                <w:rStyle w:val="IndexLink"/>
              </w:rPr>
              <w:t>206</w:t>
            </w:r>
          </w:hyperlink>
        </w:p>
        <w:p>
          <w:pPr>
            <w:pStyle w:val="Contents2"/>
            <w:tabs>
              <w:tab w:val="clear" w:pos="8743"/>
              <w:tab w:val="right" w:pos="9026" w:leader="dot"/>
            </w:tabs>
            <w:rPr/>
          </w:pPr>
          <w:hyperlink w:anchor="__RefHeading___Toc11056826_73709187">
            <w:r>
              <w:rPr>
                <w:webHidden/>
                <w:rStyle w:val="IndexLink"/>
                <w:rtl w:val="true"/>
              </w:rPr>
              <w:t>حرمة نكاح أبي المرتضع في أولاد المرضعة</w:t>
            </w:r>
            <w:r>
              <w:rPr>
                <w:rStyle w:val="IndexLink"/>
                <w:rtl w:val="true"/>
              </w:rPr>
              <w:tab/>
            </w:r>
            <w:r>
              <w:rPr>
                <w:rStyle w:val="IndexLink"/>
              </w:rPr>
              <w:t>209</w:t>
            </w:r>
          </w:hyperlink>
        </w:p>
        <w:p>
          <w:pPr>
            <w:pStyle w:val="Contents2"/>
            <w:tabs>
              <w:tab w:val="clear" w:pos="8743"/>
              <w:tab w:val="right" w:pos="9026" w:leader="dot"/>
            </w:tabs>
            <w:rPr/>
          </w:pPr>
          <w:hyperlink w:anchor="__RefHeading___Toc11056828_73709187">
            <w:r>
              <w:rPr>
                <w:webHidden/>
                <w:rStyle w:val="IndexLink"/>
                <w:rtl w:val="true"/>
              </w:rPr>
              <w:t>حكم أُمّ المرتضع على أولاد المرضعة</w:t>
            </w:r>
            <w:r>
              <w:rPr>
                <w:rStyle w:val="IndexLink"/>
                <w:rtl w:val="true"/>
              </w:rPr>
              <w:tab/>
            </w:r>
            <w:r>
              <w:rPr>
                <w:rStyle w:val="IndexLink"/>
              </w:rPr>
              <w:t>211</w:t>
            </w:r>
          </w:hyperlink>
        </w:p>
        <w:p>
          <w:pPr>
            <w:pStyle w:val="Contents2"/>
            <w:tabs>
              <w:tab w:val="clear" w:pos="8743"/>
              <w:tab w:val="right" w:pos="9026" w:leader="dot"/>
            </w:tabs>
            <w:rPr/>
          </w:pPr>
          <w:hyperlink w:anchor="__RefHeading___Toc11056830_73709187">
            <w:r>
              <w:rPr>
                <w:webHidden/>
                <w:rStyle w:val="IndexLink"/>
                <w:rtl w:val="true"/>
              </w:rPr>
              <w:t>الرّضاع اللّاحق موجبٌ للحرمة كالسّابق</w:t>
            </w:r>
            <w:r>
              <w:rPr>
                <w:rStyle w:val="IndexLink"/>
                <w:rtl w:val="true"/>
              </w:rPr>
              <w:tab/>
            </w:r>
            <w:r>
              <w:rPr>
                <w:rStyle w:val="IndexLink"/>
              </w:rPr>
              <w:t>214</w:t>
            </w:r>
          </w:hyperlink>
        </w:p>
        <w:p>
          <w:pPr>
            <w:pStyle w:val="Contents2"/>
            <w:tabs>
              <w:tab w:val="clear" w:pos="8743"/>
              <w:tab w:val="right" w:pos="9026" w:leader="dot"/>
            </w:tabs>
            <w:rPr/>
          </w:pPr>
          <w:hyperlink w:anchor="__RefHeading___Toc11056832_73709187">
            <w:r>
              <w:rPr>
                <w:webHidden/>
                <w:rStyle w:val="IndexLink"/>
                <w:rtl w:val="true"/>
              </w:rPr>
              <w:t>حكم الزوجتين المُرتضعة إحداهما من الاُخرى‌</w:t>
            </w:r>
            <w:r>
              <w:rPr>
                <w:rStyle w:val="IndexLink"/>
                <w:rtl w:val="true"/>
              </w:rPr>
              <w:tab/>
            </w:r>
            <w:r>
              <w:rPr>
                <w:rStyle w:val="IndexLink"/>
              </w:rPr>
              <w:t>215</w:t>
            </w:r>
          </w:hyperlink>
        </w:p>
        <w:p>
          <w:pPr>
            <w:pStyle w:val="Contents2"/>
            <w:tabs>
              <w:tab w:val="clear" w:pos="8743"/>
              <w:tab w:val="right" w:pos="9026" w:leader="dot"/>
            </w:tabs>
            <w:rPr/>
          </w:pPr>
          <w:hyperlink w:anchor="__RefHeading___Toc11056834_73709187">
            <w:r>
              <w:rPr>
                <w:webHidden/>
                <w:rStyle w:val="IndexLink"/>
                <w:rtl w:val="true"/>
              </w:rPr>
              <w:t>إرضاع الزوجتين الكبيرتين الزوجة الصغيرة</w:t>
            </w:r>
            <w:r>
              <w:rPr>
                <w:rStyle w:val="IndexLink"/>
                <w:rtl w:val="true"/>
              </w:rPr>
              <w:tab/>
            </w:r>
            <w:r>
              <w:rPr>
                <w:rStyle w:val="IndexLink"/>
              </w:rPr>
              <w:t>222</w:t>
            </w:r>
          </w:hyperlink>
        </w:p>
        <w:p>
          <w:pPr>
            <w:pStyle w:val="Contents2"/>
            <w:tabs>
              <w:tab w:val="clear" w:pos="8743"/>
              <w:tab w:val="right" w:pos="9026" w:leader="dot"/>
            </w:tabs>
            <w:rPr/>
          </w:pPr>
          <w:hyperlink w:anchor="__RefHeading___Toc11056836_73709187">
            <w:r>
              <w:rPr>
                <w:webHidden/>
                <w:rStyle w:val="IndexLink"/>
                <w:rtl w:val="true"/>
              </w:rPr>
              <w:t>حكم مَهر الصغيرة إذا فسد نكاحها</w:t>
            </w:r>
            <w:r>
              <w:rPr>
                <w:rStyle w:val="IndexLink"/>
                <w:rtl w:val="true"/>
              </w:rPr>
              <w:tab/>
            </w:r>
            <w:r>
              <w:rPr>
                <w:rStyle w:val="IndexLink"/>
              </w:rPr>
              <w:t>224</w:t>
            </w:r>
          </w:hyperlink>
        </w:p>
        <w:p>
          <w:pPr>
            <w:pStyle w:val="Contents2"/>
            <w:tabs>
              <w:tab w:val="clear" w:pos="8743"/>
              <w:tab w:val="right" w:pos="9026" w:leader="dot"/>
            </w:tabs>
            <w:rPr/>
          </w:pPr>
          <w:hyperlink w:anchor="__RefHeading___Toc11056838_73709187">
            <w:r>
              <w:rPr>
                <w:webHidden/>
                <w:rStyle w:val="IndexLink"/>
                <w:rtl w:val="true"/>
              </w:rPr>
              <w:t>اختيار الظئر</w:t>
            </w:r>
            <w:r>
              <w:rPr>
                <w:rStyle w:val="IndexLink"/>
                <w:rtl w:val="true"/>
              </w:rPr>
              <w:tab/>
            </w:r>
            <w:r>
              <w:rPr>
                <w:rStyle w:val="IndexLink"/>
              </w:rPr>
              <w:t>228</w:t>
            </w:r>
          </w:hyperlink>
        </w:p>
        <w:p>
          <w:pPr>
            <w:pStyle w:val="Contents2"/>
            <w:tabs>
              <w:tab w:val="clear" w:pos="8743"/>
              <w:tab w:val="right" w:pos="9026" w:leader="dot"/>
            </w:tabs>
            <w:rPr/>
          </w:pPr>
          <w:hyperlink w:anchor="__RefHeading___Toc11056840_73709187">
            <w:r>
              <w:rPr>
                <w:webHidden/>
                <w:rStyle w:val="IndexLink"/>
                <w:rtl w:val="true"/>
              </w:rPr>
              <w:t>ما يثبت به الرِّضاع</w:t>
            </w:r>
            <w:r>
              <w:rPr>
                <w:rStyle w:val="IndexLink"/>
                <w:rtl w:val="true"/>
              </w:rPr>
              <w:tab/>
            </w:r>
            <w:r>
              <w:rPr>
                <w:rStyle w:val="IndexLink"/>
              </w:rPr>
              <w:t>231</w:t>
            </w:r>
          </w:hyperlink>
        </w:p>
        <w:p>
          <w:pPr>
            <w:pStyle w:val="Contents2"/>
            <w:tabs>
              <w:tab w:val="clear" w:pos="8743"/>
              <w:tab w:val="right" w:pos="9026" w:leader="dot"/>
            </w:tabs>
            <w:rPr/>
          </w:pPr>
          <w:hyperlink w:anchor="__RefHeading___Toc11056842_73709187">
            <w:r>
              <w:rPr>
                <w:webHidden/>
                <w:rStyle w:val="IndexLink"/>
                <w:rtl w:val="true"/>
              </w:rPr>
              <w:t>من أسباب التحريم اللِّعان</w:t>
            </w:r>
            <w:r>
              <w:rPr>
                <w:rStyle w:val="IndexLink"/>
                <w:rtl w:val="true"/>
              </w:rPr>
              <w:tab/>
            </w:r>
            <w:r>
              <w:rPr>
                <w:rStyle w:val="IndexLink"/>
              </w:rPr>
              <w:t>235</w:t>
            </w:r>
          </w:hyperlink>
        </w:p>
        <w:p>
          <w:pPr>
            <w:pStyle w:val="Contents2"/>
            <w:tabs>
              <w:tab w:val="clear" w:pos="8743"/>
              <w:tab w:val="right" w:pos="9026" w:leader="dot"/>
            </w:tabs>
            <w:rPr/>
          </w:pPr>
          <w:hyperlink w:anchor="__RefHeading___Toc11056844_73709187">
            <w:r>
              <w:rPr>
                <w:webHidden/>
                <w:rStyle w:val="IndexLink"/>
                <w:rtl w:val="true"/>
              </w:rPr>
              <w:t>نكاح الكتابيّة</w:t>
            </w:r>
            <w:r>
              <w:rPr>
                <w:rStyle w:val="IndexLink"/>
                <w:rtl w:val="true"/>
              </w:rPr>
              <w:tab/>
            </w:r>
            <w:r>
              <w:rPr>
                <w:rStyle w:val="IndexLink"/>
              </w:rPr>
              <w:t>242</w:t>
            </w:r>
          </w:hyperlink>
        </w:p>
        <w:p>
          <w:pPr>
            <w:pStyle w:val="Contents2"/>
            <w:tabs>
              <w:tab w:val="clear" w:pos="8743"/>
              <w:tab w:val="right" w:pos="9026" w:leader="dot"/>
            </w:tabs>
            <w:rPr/>
          </w:pPr>
          <w:hyperlink w:anchor="__RefHeading___Toc11056846_73709187">
            <w:r>
              <w:rPr>
                <w:webHidden/>
                <w:rStyle w:val="IndexLink"/>
                <w:rtl w:val="true"/>
              </w:rPr>
              <w:t>نكاح المجوسيّة</w:t>
            </w:r>
            <w:r>
              <w:rPr>
                <w:rStyle w:val="IndexLink"/>
                <w:rtl w:val="true"/>
              </w:rPr>
              <w:tab/>
            </w:r>
            <w:r>
              <w:rPr>
                <w:rStyle w:val="IndexLink"/>
              </w:rPr>
              <w:t>260</w:t>
            </w:r>
          </w:hyperlink>
        </w:p>
        <w:p>
          <w:pPr>
            <w:pStyle w:val="Contents2"/>
            <w:tabs>
              <w:tab w:val="clear" w:pos="8743"/>
              <w:tab w:val="right" w:pos="9026" w:leader="dot"/>
            </w:tabs>
            <w:rPr/>
          </w:pPr>
          <w:hyperlink w:anchor="__RefHeading___Toc11056848_73709187">
            <w:r>
              <w:rPr>
                <w:webHidden/>
                <w:rStyle w:val="IndexLink"/>
                <w:rtl w:val="true"/>
              </w:rPr>
              <w:t>نكاح الصابئة</w:t>
            </w:r>
            <w:r>
              <w:rPr>
                <w:rStyle w:val="IndexLink"/>
                <w:rtl w:val="true"/>
              </w:rPr>
              <w:tab/>
            </w:r>
            <w:r>
              <w:rPr>
                <w:rStyle w:val="IndexLink"/>
              </w:rPr>
              <w:t>263</w:t>
            </w:r>
          </w:hyperlink>
        </w:p>
        <w:p>
          <w:pPr>
            <w:pStyle w:val="Contents2"/>
            <w:tabs>
              <w:tab w:val="clear" w:pos="8743"/>
              <w:tab w:val="right" w:pos="9026" w:leader="dot"/>
            </w:tabs>
            <w:rPr/>
          </w:pPr>
          <w:hyperlink w:anchor="__RefHeading___Toc11056850_73709187">
            <w:r>
              <w:rPr>
                <w:webHidden/>
                <w:rStyle w:val="IndexLink"/>
                <w:rtl w:val="true"/>
              </w:rPr>
              <w:t>عدم جواز نكاح المسلمة مع غير المسلم</w:t>
            </w:r>
            <w:r>
              <w:rPr>
                <w:rStyle w:val="IndexLink"/>
                <w:rtl w:val="true"/>
              </w:rPr>
              <w:tab/>
            </w:r>
            <w:r>
              <w:rPr>
                <w:rStyle w:val="IndexLink"/>
              </w:rPr>
              <w:t>266</w:t>
            </w:r>
          </w:hyperlink>
        </w:p>
        <w:p>
          <w:pPr>
            <w:pStyle w:val="Contents2"/>
            <w:tabs>
              <w:tab w:val="clear" w:pos="8743"/>
              <w:tab w:val="right" w:pos="9026" w:leader="dot"/>
            </w:tabs>
            <w:rPr/>
          </w:pPr>
          <w:hyperlink w:anchor="__RefHeading___Toc11056852_73709187">
            <w:r>
              <w:rPr>
                <w:webHidden/>
                <w:rStyle w:val="IndexLink"/>
                <w:rtl w:val="true"/>
              </w:rPr>
              <w:t>حكم ارتداد أحد الزوجين</w:t>
            </w:r>
            <w:r>
              <w:rPr>
                <w:rStyle w:val="IndexLink"/>
                <w:rtl w:val="true"/>
              </w:rPr>
              <w:tab/>
            </w:r>
            <w:r>
              <w:rPr>
                <w:rStyle w:val="IndexLink"/>
              </w:rPr>
              <w:t>268</w:t>
            </w:r>
          </w:hyperlink>
        </w:p>
        <w:p>
          <w:pPr>
            <w:pStyle w:val="Contents2"/>
            <w:tabs>
              <w:tab w:val="clear" w:pos="8743"/>
              <w:tab w:val="right" w:pos="9026" w:leader="dot"/>
            </w:tabs>
            <w:rPr/>
          </w:pPr>
          <w:hyperlink w:anchor="__RefHeading___Toc11056854_73709187">
            <w:r>
              <w:rPr>
                <w:webHidden/>
                <w:rStyle w:val="IndexLink"/>
                <w:rtl w:val="true"/>
              </w:rPr>
              <w:t>حكم ارتداد أحد الزوجين بعد الدخول</w:t>
            </w:r>
            <w:r>
              <w:rPr>
                <w:rStyle w:val="IndexLink"/>
                <w:rtl w:val="true"/>
              </w:rPr>
              <w:tab/>
            </w:r>
            <w:r>
              <w:rPr>
                <w:rStyle w:val="IndexLink"/>
              </w:rPr>
              <w:t>271</w:t>
            </w:r>
          </w:hyperlink>
        </w:p>
        <w:p>
          <w:pPr>
            <w:pStyle w:val="Contents2"/>
            <w:tabs>
              <w:tab w:val="clear" w:pos="8743"/>
              <w:tab w:val="right" w:pos="9026" w:leader="dot"/>
            </w:tabs>
            <w:rPr/>
          </w:pPr>
          <w:hyperlink w:anchor="__RefHeading___Toc11056856_73709187">
            <w:r>
              <w:rPr>
                <w:webHidden/>
                <w:rStyle w:val="IndexLink"/>
                <w:rtl w:val="true"/>
              </w:rPr>
              <w:t>حكم ما لو أسلم زوج الكتابيّة</w:t>
            </w:r>
            <w:r>
              <w:rPr>
                <w:rStyle w:val="IndexLink"/>
                <w:rtl w:val="true"/>
              </w:rPr>
              <w:tab/>
            </w:r>
            <w:r>
              <w:rPr>
                <w:rStyle w:val="IndexLink"/>
              </w:rPr>
              <w:t>274</w:t>
            </w:r>
          </w:hyperlink>
        </w:p>
        <w:p>
          <w:pPr>
            <w:pStyle w:val="Contents2"/>
            <w:tabs>
              <w:tab w:val="clear" w:pos="8743"/>
              <w:tab w:val="right" w:pos="9026" w:leader="dot"/>
            </w:tabs>
            <w:rPr/>
          </w:pPr>
          <w:hyperlink w:anchor="__RefHeading___Toc11056858_73709187">
            <w:r>
              <w:rPr>
                <w:webHidden/>
                <w:rStyle w:val="IndexLink"/>
                <w:rtl w:val="true"/>
              </w:rPr>
              <w:t>حكم ما لو أسلمت زوجة الكتابي</w:t>
            </w:r>
            <w:r>
              <w:rPr>
                <w:rStyle w:val="IndexLink"/>
                <w:rtl w:val="true"/>
              </w:rPr>
              <w:tab/>
            </w:r>
            <w:r>
              <w:rPr>
                <w:rStyle w:val="IndexLink"/>
              </w:rPr>
              <w:t>276</w:t>
            </w:r>
          </w:hyperlink>
        </w:p>
        <w:p>
          <w:pPr>
            <w:pStyle w:val="Contents2"/>
            <w:tabs>
              <w:tab w:val="clear" w:pos="8743"/>
              <w:tab w:val="right" w:pos="9026" w:leader="dot"/>
            </w:tabs>
            <w:rPr/>
          </w:pPr>
          <w:hyperlink w:anchor="__RefHeading___Toc11056860_73709187">
            <w:r>
              <w:rPr>
                <w:webHidden/>
                <w:rStyle w:val="IndexLink"/>
                <w:rtl w:val="true"/>
              </w:rPr>
              <w:t>لو أسلم كافر وله أزيد من أربع منكوحات</w:t>
            </w:r>
            <w:r>
              <w:rPr>
                <w:rStyle w:val="IndexLink"/>
                <w:rtl w:val="true"/>
              </w:rPr>
              <w:tab/>
            </w:r>
            <w:r>
              <w:rPr>
                <w:rStyle w:val="IndexLink"/>
              </w:rPr>
              <w:t>283</w:t>
            </w:r>
          </w:hyperlink>
        </w:p>
        <w:p>
          <w:pPr>
            <w:pStyle w:val="Contents2"/>
            <w:tabs>
              <w:tab w:val="clear" w:pos="8743"/>
              <w:tab w:val="right" w:pos="9026" w:leader="dot"/>
            </w:tabs>
            <w:rPr/>
          </w:pPr>
          <w:hyperlink w:anchor="__RefHeading___Toc11056862_73709187">
            <w:r>
              <w:rPr>
                <w:webHidden/>
                <w:rStyle w:val="IndexLink"/>
                <w:rtl w:val="true"/>
              </w:rPr>
              <w:t>فيما يتحقّق به الاختيار</w:t>
            </w:r>
            <w:r>
              <w:rPr>
                <w:rStyle w:val="IndexLink"/>
                <w:rtl w:val="true"/>
              </w:rPr>
              <w:tab/>
            </w:r>
            <w:r>
              <w:rPr>
                <w:rStyle w:val="IndexLink"/>
              </w:rPr>
              <w:t>286</w:t>
            </w:r>
          </w:hyperlink>
        </w:p>
        <w:p>
          <w:pPr>
            <w:pStyle w:val="Contents2"/>
            <w:tabs>
              <w:tab w:val="clear" w:pos="8743"/>
              <w:tab w:val="right" w:pos="9026" w:leader="dot"/>
            </w:tabs>
            <w:rPr/>
          </w:pPr>
          <w:hyperlink w:anchor="__RefHeading___Toc11056864_73709187">
            <w:r>
              <w:rPr>
                <w:webHidden/>
                <w:rStyle w:val="IndexLink"/>
                <w:rtl w:val="true"/>
              </w:rPr>
              <w:t>إسلام الزّوج عن أكثر من أربع وثنيّات وأسلمن في العِدّة</w:t>
            </w:r>
            <w:r>
              <w:rPr>
                <w:rStyle w:val="IndexLink"/>
                <w:rtl w:val="true"/>
              </w:rPr>
              <w:tab/>
            </w:r>
            <w:r>
              <w:rPr>
                <w:rStyle w:val="IndexLink"/>
              </w:rPr>
              <w:t>290</w:t>
            </w:r>
          </w:hyperlink>
        </w:p>
        <w:p>
          <w:pPr>
            <w:pStyle w:val="Contents2"/>
            <w:tabs>
              <w:tab w:val="clear" w:pos="8743"/>
              <w:tab w:val="right" w:pos="9026" w:leader="dot"/>
            </w:tabs>
            <w:rPr/>
          </w:pPr>
          <w:hyperlink w:anchor="__RefHeading___Toc11056866_73709187">
            <w:r>
              <w:rPr>
                <w:webHidden/>
                <w:rStyle w:val="IndexLink"/>
                <w:rtl w:val="true"/>
              </w:rPr>
              <w:t>إسلام الكافر وإسلام أربع منهنّ معه</w:t>
            </w:r>
            <w:r>
              <w:rPr>
                <w:rStyle w:val="IndexLink"/>
                <w:rtl w:val="true"/>
              </w:rPr>
              <w:tab/>
            </w:r>
            <w:r>
              <w:rPr>
                <w:rStyle w:val="IndexLink"/>
              </w:rPr>
              <w:t>291</w:t>
            </w:r>
          </w:hyperlink>
        </w:p>
        <w:p>
          <w:pPr>
            <w:pStyle w:val="Contents2"/>
            <w:tabs>
              <w:tab w:val="clear" w:pos="8743"/>
              <w:tab w:val="right" w:pos="9026" w:leader="dot"/>
            </w:tabs>
            <w:rPr/>
          </w:pPr>
          <w:hyperlink w:anchor="__RefHeading___Toc11056868_73709187">
            <w:r>
              <w:rPr>
                <w:webHidden/>
                <w:rStyle w:val="IndexLink"/>
                <w:rtl w:val="true"/>
              </w:rPr>
              <w:t>لو أسلم الكافر بعد تزويج الاُمّ وبنتها</w:t>
            </w:r>
            <w:r>
              <w:rPr>
                <w:rStyle w:val="IndexLink"/>
                <w:rtl w:val="true"/>
              </w:rPr>
              <w:tab/>
            </w:r>
            <w:r>
              <w:rPr>
                <w:rStyle w:val="IndexLink"/>
              </w:rPr>
              <w:t>292</w:t>
            </w:r>
          </w:hyperlink>
        </w:p>
        <w:p>
          <w:pPr>
            <w:pStyle w:val="Contents2"/>
            <w:tabs>
              <w:tab w:val="clear" w:pos="8743"/>
              <w:tab w:val="right" w:pos="9026" w:leader="dot"/>
            </w:tabs>
            <w:rPr/>
          </w:pPr>
          <w:hyperlink w:anchor="__RefHeading___Toc11056870_73709187">
            <w:r>
              <w:rPr>
                <w:webHidden/>
                <w:rStyle w:val="IndexLink"/>
                <w:rtl w:val="true"/>
              </w:rPr>
              <w:t>حكم تزويج المؤمنة من المخالف</w:t>
            </w:r>
            <w:r>
              <w:rPr>
                <w:rStyle w:val="IndexLink"/>
                <w:rtl w:val="true"/>
              </w:rPr>
              <w:tab/>
            </w:r>
            <w:r>
              <w:rPr>
                <w:rStyle w:val="IndexLink"/>
              </w:rPr>
              <w:t>298</w:t>
            </w:r>
          </w:hyperlink>
        </w:p>
        <w:p>
          <w:pPr>
            <w:pStyle w:val="Contents2"/>
            <w:tabs>
              <w:tab w:val="clear" w:pos="8743"/>
              <w:tab w:val="right" w:pos="9026" w:leader="dot"/>
            </w:tabs>
            <w:rPr/>
          </w:pPr>
          <w:hyperlink w:anchor="__RefHeading___Toc11056872_73709187">
            <w:r>
              <w:rPr>
                <w:webHidden/>
                <w:rStyle w:val="IndexLink"/>
                <w:rtl w:val="true"/>
              </w:rPr>
              <w:t>لا يصحّ نكاح المؤمنة الناصب ولا العكس</w:t>
            </w:r>
            <w:r>
              <w:rPr>
                <w:rStyle w:val="IndexLink"/>
                <w:rtl w:val="true"/>
              </w:rPr>
              <w:tab/>
            </w:r>
            <w:r>
              <w:rPr>
                <w:rStyle w:val="IndexLink"/>
              </w:rPr>
              <w:t>307</w:t>
            </w:r>
          </w:hyperlink>
        </w:p>
        <w:p>
          <w:pPr>
            <w:pStyle w:val="Contents2"/>
            <w:tabs>
              <w:tab w:val="clear" w:pos="8743"/>
              <w:tab w:val="right" w:pos="9026" w:leader="dot"/>
            </w:tabs>
            <w:rPr/>
          </w:pPr>
          <w:hyperlink w:anchor="__RefHeading___Toc11056874_73709187">
            <w:r>
              <w:rPr>
                <w:webHidden/>
                <w:rStyle w:val="IndexLink"/>
                <w:rtl w:val="true"/>
              </w:rPr>
              <w:t>في اعتبار اليسار في الكفاءة وعدمه</w:t>
            </w:r>
            <w:r>
              <w:rPr>
                <w:rStyle w:val="IndexLink"/>
                <w:rtl w:val="true"/>
              </w:rPr>
              <w:tab/>
            </w:r>
            <w:r>
              <w:rPr>
                <w:rStyle w:val="IndexLink"/>
              </w:rPr>
              <w:t>310</w:t>
            </w:r>
          </w:hyperlink>
        </w:p>
        <w:p>
          <w:pPr>
            <w:pStyle w:val="Contents2"/>
            <w:tabs>
              <w:tab w:val="clear" w:pos="8743"/>
              <w:tab w:val="right" w:pos="9026" w:leader="dot"/>
            </w:tabs>
            <w:rPr/>
          </w:pPr>
          <w:hyperlink w:anchor="__RefHeading___Toc11056876_73709187">
            <w:r>
              <w:rPr>
                <w:webHidden/>
                <w:rStyle w:val="IndexLink"/>
                <w:rtl w:val="true"/>
              </w:rPr>
              <w:t>كراهة تزويج الفاسق</w:t>
            </w:r>
            <w:r>
              <w:rPr>
                <w:rStyle w:val="IndexLink"/>
                <w:rtl w:val="true"/>
              </w:rPr>
              <w:tab/>
            </w:r>
            <w:r>
              <w:rPr>
                <w:rStyle w:val="IndexLink"/>
              </w:rPr>
              <w:t>317</w:t>
            </w:r>
          </w:hyperlink>
        </w:p>
        <w:p>
          <w:pPr>
            <w:pStyle w:val="Contents2"/>
            <w:tabs>
              <w:tab w:val="clear" w:pos="8743"/>
              <w:tab w:val="right" w:pos="9026" w:leader="dot"/>
            </w:tabs>
            <w:rPr/>
          </w:pPr>
          <w:hyperlink w:anchor="__RefHeading___Toc11056878_73709187">
            <w:r>
              <w:rPr>
                <w:webHidden/>
                <w:rStyle w:val="IndexLink"/>
                <w:rtl w:val="true"/>
              </w:rPr>
              <w:t>في نكاح الشِّغار</w:t>
            </w:r>
            <w:r>
              <w:rPr>
                <w:rStyle w:val="IndexLink"/>
                <w:rtl w:val="true"/>
              </w:rPr>
              <w:tab/>
            </w:r>
            <w:r>
              <w:rPr>
                <w:rStyle w:val="IndexLink"/>
              </w:rPr>
              <w:t>320</w:t>
            </w:r>
          </w:hyperlink>
        </w:p>
        <w:p>
          <w:pPr>
            <w:pStyle w:val="Contents2"/>
            <w:tabs>
              <w:tab w:val="clear" w:pos="8743"/>
              <w:tab w:val="right" w:pos="9026" w:leader="dot"/>
            </w:tabs>
            <w:rPr/>
          </w:pPr>
          <w:hyperlink w:anchor="__RefHeading___Toc11056880_73709187">
            <w:r>
              <w:rPr>
                <w:webHidden/>
                <w:rStyle w:val="IndexLink"/>
                <w:rtl w:val="true"/>
              </w:rPr>
              <w:t>جواز تزويج الرّجل بمَن دونه نَسَباً</w:t>
            </w:r>
            <w:r>
              <w:rPr>
                <w:rStyle w:val="IndexLink"/>
                <w:rtl w:val="true"/>
              </w:rPr>
              <w:tab/>
            </w:r>
            <w:r>
              <w:rPr>
                <w:rStyle w:val="IndexLink"/>
              </w:rPr>
              <w:t>326</w:t>
            </w:r>
          </w:hyperlink>
        </w:p>
        <w:p>
          <w:pPr>
            <w:pStyle w:val="Contents2"/>
            <w:tabs>
              <w:tab w:val="clear" w:pos="8743"/>
              <w:tab w:val="right" w:pos="9026" w:leader="dot"/>
            </w:tabs>
            <w:rPr/>
          </w:pPr>
          <w:hyperlink w:anchor="__RefHeading___Toc11056882_73709187">
            <w:r>
              <w:rPr>
                <w:webHidden/>
                <w:rStyle w:val="IndexLink"/>
                <w:rtl w:val="true"/>
              </w:rPr>
              <w:t>حكم إجابة خِطبة المؤمن</w:t>
            </w:r>
            <w:r>
              <w:rPr>
                <w:rStyle w:val="IndexLink"/>
                <w:rtl w:val="true"/>
              </w:rPr>
              <w:tab/>
            </w:r>
            <w:r>
              <w:rPr>
                <w:rStyle w:val="IndexLink"/>
              </w:rPr>
              <w:t>328</w:t>
            </w:r>
          </w:hyperlink>
        </w:p>
        <w:p>
          <w:pPr>
            <w:pStyle w:val="Contents2"/>
            <w:tabs>
              <w:tab w:val="clear" w:pos="8743"/>
              <w:tab w:val="right" w:pos="9026" w:leader="dot"/>
            </w:tabs>
            <w:rPr/>
          </w:pPr>
          <w:hyperlink w:anchor="__RefHeading___Toc11056884_73709187">
            <w:r>
              <w:rPr>
                <w:webHidden/>
                <w:rStyle w:val="IndexLink"/>
                <w:rtl w:val="true"/>
              </w:rPr>
              <w:t>التعريض بالخطبة لذات البعل وذات العِدّة</w:t>
            </w:r>
            <w:r>
              <w:rPr>
                <w:rStyle w:val="IndexLink"/>
                <w:rtl w:val="true"/>
              </w:rPr>
              <w:tab/>
            </w:r>
            <w:r>
              <w:rPr>
                <w:rStyle w:val="IndexLink"/>
              </w:rPr>
              <w:t>330</w:t>
            </w:r>
          </w:hyperlink>
        </w:p>
        <w:p>
          <w:pPr>
            <w:pStyle w:val="Contents2"/>
            <w:tabs>
              <w:tab w:val="clear" w:pos="8743"/>
              <w:tab w:val="right" w:pos="9026" w:leader="dot"/>
            </w:tabs>
            <w:rPr/>
          </w:pPr>
          <w:hyperlink w:anchor="__RefHeading___Toc11056886_73709187">
            <w:r>
              <w:rPr>
                <w:webHidden/>
                <w:rStyle w:val="IndexLink"/>
                <w:rtl w:val="true"/>
              </w:rPr>
              <w:t>(</w:t>
            </w:r>
            <w:r>
              <w:rPr>
                <w:rStyle w:val="IndexLink"/>
                <w:rtl w:val="true"/>
              </w:rPr>
              <w:t>الفصل الرابع في المتعة</w:t>
            </w:r>
            <w:r>
              <w:rPr>
                <w:rStyle w:val="IndexLink"/>
                <w:rtl w:val="true"/>
              </w:rPr>
              <w:t>)</w:t>
              <w:tab/>
            </w:r>
            <w:r>
              <w:rPr>
                <w:rStyle w:val="IndexLink"/>
              </w:rPr>
              <w:t>336</w:t>
            </w:r>
          </w:hyperlink>
        </w:p>
        <w:p>
          <w:pPr>
            <w:pStyle w:val="Contents3"/>
            <w:tabs>
              <w:tab w:val="clear" w:pos="8459"/>
              <w:tab w:val="right" w:pos="9026" w:leader="dot"/>
            </w:tabs>
            <w:rPr/>
          </w:pPr>
          <w:hyperlink w:anchor="__RefHeading___Toc11056888_73709187">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1056890_73709187">
            <w:r>
              <w:rPr>
                <w:webHidden/>
                <w:rStyle w:val="IndexLink"/>
                <w:rtl w:val="true"/>
              </w:rPr>
              <w:t>صيغة عقد الانقطاع</w:t>
            </w:r>
            <w:r>
              <w:rPr>
                <w:rStyle w:val="IndexLink"/>
                <w:rtl w:val="true"/>
              </w:rPr>
              <w:tab/>
            </w:r>
            <w:r>
              <w:rPr>
                <w:rStyle w:val="IndexLink"/>
              </w:rPr>
              <w:t>341</w:t>
            </w:r>
          </w:hyperlink>
        </w:p>
        <w:p>
          <w:pPr>
            <w:pStyle w:val="Contents3"/>
            <w:tabs>
              <w:tab w:val="clear" w:pos="8459"/>
              <w:tab w:val="right" w:pos="9026" w:leader="dot"/>
            </w:tabs>
            <w:rPr/>
          </w:pPr>
          <w:hyperlink w:anchor="__RefHeading___Toc11056892_73709187">
            <w:r>
              <w:rPr>
                <w:webHidden/>
                <w:rStyle w:val="IndexLink"/>
                <w:rtl w:val="true"/>
              </w:rPr>
              <w:t>بيان محلّ المتعة</w:t>
            </w:r>
            <w:r>
              <w:rPr>
                <w:rStyle w:val="IndexLink"/>
                <w:rtl w:val="true"/>
              </w:rPr>
              <w:tab/>
            </w:r>
            <w:r>
              <w:rPr>
                <w:rStyle w:val="IndexLink"/>
              </w:rPr>
              <w:t>344</w:t>
            </w:r>
          </w:hyperlink>
        </w:p>
        <w:p>
          <w:pPr>
            <w:pStyle w:val="Contents3"/>
            <w:tabs>
              <w:tab w:val="clear" w:pos="8459"/>
              <w:tab w:val="right" w:pos="9026" w:leader="dot"/>
            </w:tabs>
            <w:rPr/>
          </w:pPr>
          <w:hyperlink w:anchor="__RefHeading___Toc11056894_73709187">
            <w:r>
              <w:rPr>
                <w:webHidden/>
                <w:rStyle w:val="IndexLink"/>
                <w:rtl w:val="true"/>
              </w:rPr>
              <w:t>اعتبار ذكر المَهر في عقد المتعة</w:t>
            </w:r>
            <w:r>
              <w:rPr>
                <w:rStyle w:val="IndexLink"/>
                <w:rtl w:val="true"/>
              </w:rPr>
              <w:tab/>
            </w:r>
            <w:r>
              <w:rPr>
                <w:rStyle w:val="IndexLink"/>
              </w:rPr>
              <w:t>347</w:t>
            </w:r>
          </w:hyperlink>
        </w:p>
        <w:p>
          <w:pPr>
            <w:pStyle w:val="Contents3"/>
            <w:tabs>
              <w:tab w:val="clear" w:pos="8459"/>
              <w:tab w:val="right" w:pos="9026" w:leader="dot"/>
            </w:tabs>
            <w:rPr/>
          </w:pPr>
          <w:hyperlink w:anchor="__RefHeading___Toc11056896_73709187">
            <w:r>
              <w:rPr>
                <w:webHidden/>
                <w:rStyle w:val="IndexLink"/>
                <w:rtl w:val="true"/>
              </w:rPr>
              <w:t>جعل الحقّ مَهراً</w:t>
            </w:r>
            <w:r>
              <w:rPr>
                <w:rStyle w:val="IndexLink"/>
                <w:rtl w:val="true"/>
              </w:rPr>
              <w:tab/>
            </w:r>
            <w:r>
              <w:rPr>
                <w:rStyle w:val="IndexLink"/>
              </w:rPr>
              <w:t>349</w:t>
            </w:r>
          </w:hyperlink>
        </w:p>
        <w:p>
          <w:pPr>
            <w:pStyle w:val="Contents3"/>
            <w:tabs>
              <w:tab w:val="clear" w:pos="8459"/>
              <w:tab w:val="right" w:pos="9026" w:leader="dot"/>
            </w:tabs>
            <w:rPr/>
          </w:pPr>
          <w:hyperlink w:anchor="__RefHeading___Toc11056898_73709187">
            <w:r>
              <w:rPr>
                <w:webHidden/>
                <w:rStyle w:val="IndexLink"/>
                <w:rtl w:val="true"/>
              </w:rPr>
              <w:t>اعتبار كون المَهر معلوماً</w:t>
            </w:r>
            <w:r>
              <w:rPr>
                <w:rStyle w:val="IndexLink"/>
                <w:rtl w:val="true"/>
              </w:rPr>
              <w:tab/>
            </w:r>
            <w:r>
              <w:rPr>
                <w:rStyle w:val="IndexLink"/>
              </w:rPr>
              <w:t>351</w:t>
            </w:r>
          </w:hyperlink>
        </w:p>
        <w:p>
          <w:pPr>
            <w:pStyle w:val="Contents3"/>
            <w:tabs>
              <w:tab w:val="clear" w:pos="8459"/>
              <w:tab w:val="right" w:pos="9026" w:leader="dot"/>
            </w:tabs>
            <w:rPr/>
          </w:pPr>
          <w:hyperlink w:anchor="__RefHeading___Toc11056900_73709187">
            <w:r>
              <w:rPr>
                <w:webHidden/>
                <w:rStyle w:val="IndexLink"/>
                <w:rtl w:val="true"/>
              </w:rPr>
              <w:t>اعتبار الأجل في عقد المتعة</w:t>
            </w:r>
            <w:r>
              <w:rPr>
                <w:rStyle w:val="IndexLink"/>
                <w:rtl w:val="true"/>
              </w:rPr>
              <w:tab/>
            </w:r>
            <w:r>
              <w:rPr>
                <w:rStyle w:val="IndexLink"/>
              </w:rPr>
              <w:t>353</w:t>
            </w:r>
          </w:hyperlink>
        </w:p>
        <w:p>
          <w:pPr>
            <w:pStyle w:val="Contents3"/>
            <w:tabs>
              <w:tab w:val="clear" w:pos="8459"/>
              <w:tab w:val="right" w:pos="9026" w:leader="dot"/>
            </w:tabs>
            <w:rPr/>
          </w:pPr>
          <w:hyperlink w:anchor="__RefHeading___Toc11056902_73709187">
            <w:r>
              <w:rPr>
                <w:webHidden/>
                <w:rStyle w:val="IndexLink"/>
                <w:rtl w:val="true"/>
              </w:rPr>
              <w:t>عدم اعتبار اتّصال المدّة بالعقد</w:t>
            </w:r>
            <w:r>
              <w:rPr>
                <w:rStyle w:val="IndexLink"/>
                <w:rtl w:val="true"/>
              </w:rPr>
              <w:tab/>
            </w:r>
            <w:r>
              <w:rPr>
                <w:rStyle w:val="IndexLink"/>
              </w:rPr>
              <w:t>357</w:t>
            </w:r>
          </w:hyperlink>
        </w:p>
        <w:p>
          <w:pPr>
            <w:pStyle w:val="Contents3"/>
            <w:tabs>
              <w:tab w:val="clear" w:pos="8459"/>
              <w:tab w:val="right" w:pos="9026" w:leader="dot"/>
            </w:tabs>
            <w:rPr/>
          </w:pPr>
          <w:hyperlink w:anchor="__RefHeading___Toc11056904_73709187">
            <w:r>
              <w:rPr>
                <w:webHidden/>
                <w:rStyle w:val="IndexLink"/>
                <w:rtl w:val="true"/>
              </w:rPr>
              <w:t>حكم الاقتصار على ذكر العدد</w:t>
            </w:r>
            <w:r>
              <w:rPr>
                <w:rStyle w:val="IndexLink"/>
                <w:rtl w:val="true"/>
              </w:rPr>
              <w:tab/>
            </w:r>
            <w:r>
              <w:rPr>
                <w:rStyle w:val="IndexLink"/>
              </w:rPr>
              <w:t>362</w:t>
            </w:r>
          </w:hyperlink>
        </w:p>
        <w:p>
          <w:pPr>
            <w:pStyle w:val="Contents3"/>
            <w:tabs>
              <w:tab w:val="clear" w:pos="8459"/>
              <w:tab w:val="right" w:pos="9026" w:leader="dot"/>
            </w:tabs>
            <w:rPr/>
          </w:pPr>
          <w:hyperlink w:anchor="__RefHeading___Toc11056906_73709187">
            <w:r>
              <w:rPr>
                <w:webHidden/>
                <w:rStyle w:val="IndexLink"/>
                <w:rtl w:val="true"/>
              </w:rPr>
              <w:t>حكم ما لو لم يُذكر الأجل</w:t>
            </w:r>
            <w:r>
              <w:rPr>
                <w:rStyle w:val="IndexLink"/>
                <w:rtl w:val="true"/>
              </w:rPr>
              <w:tab/>
            </w:r>
            <w:r>
              <w:rPr>
                <w:rStyle w:val="IndexLink"/>
              </w:rPr>
              <w:t>367</w:t>
            </w:r>
          </w:hyperlink>
        </w:p>
        <w:p>
          <w:pPr>
            <w:pStyle w:val="Contents3"/>
            <w:tabs>
              <w:tab w:val="clear" w:pos="8459"/>
              <w:tab w:val="right" w:pos="9026" w:leader="dot"/>
            </w:tabs>
            <w:rPr/>
          </w:pPr>
          <w:hyperlink w:anchor="__RefHeading___Toc11056908_73709187">
            <w:r>
              <w:rPr>
                <w:webHidden/>
                <w:rStyle w:val="IndexLink"/>
                <w:rtl w:val="true"/>
              </w:rPr>
              <w:t>بيان حَدّ المَهر</w:t>
            </w:r>
            <w:r>
              <w:rPr>
                <w:rStyle w:val="IndexLink"/>
                <w:rtl w:val="true"/>
              </w:rPr>
              <w:tab/>
            </w:r>
            <w:r>
              <w:rPr>
                <w:rStyle w:val="IndexLink"/>
              </w:rPr>
              <w:t>374</w:t>
            </w:r>
          </w:hyperlink>
        </w:p>
        <w:p>
          <w:pPr>
            <w:pStyle w:val="Contents3"/>
            <w:tabs>
              <w:tab w:val="clear" w:pos="8459"/>
              <w:tab w:val="right" w:pos="9026" w:leader="dot"/>
            </w:tabs>
            <w:rPr/>
          </w:pPr>
          <w:hyperlink w:anchor="__RefHeading___Toc11056910_73709187">
            <w:r>
              <w:rPr>
                <w:webHidden/>
                <w:rStyle w:val="IndexLink"/>
                <w:rtl w:val="true"/>
              </w:rPr>
              <w:t>وجوب دفع المَهر بالعقد</w:t>
            </w:r>
            <w:r>
              <w:rPr>
                <w:rStyle w:val="IndexLink"/>
                <w:rtl w:val="true"/>
              </w:rPr>
              <w:tab/>
            </w:r>
            <w:r>
              <w:rPr>
                <w:rStyle w:val="IndexLink"/>
              </w:rPr>
              <w:t>375</w:t>
            </w:r>
          </w:hyperlink>
        </w:p>
        <w:p>
          <w:pPr>
            <w:pStyle w:val="Contents3"/>
            <w:tabs>
              <w:tab w:val="clear" w:pos="8459"/>
              <w:tab w:val="right" w:pos="9026" w:leader="dot"/>
            </w:tabs>
            <w:rPr/>
          </w:pPr>
          <w:hyperlink w:anchor="__RefHeading___Toc11056912_73709187">
            <w:r>
              <w:rPr>
                <w:webHidden/>
                <w:rStyle w:val="IndexLink"/>
                <w:rtl w:val="true"/>
              </w:rPr>
              <w:t>حكم ما لو وهب الزّوج المدّة</w:t>
            </w:r>
            <w:r>
              <w:rPr>
                <w:rStyle w:val="IndexLink"/>
                <w:rtl w:val="true"/>
              </w:rPr>
              <w:tab/>
            </w:r>
            <w:r>
              <w:rPr>
                <w:rStyle w:val="IndexLink"/>
              </w:rPr>
              <w:t>378</w:t>
            </w:r>
          </w:hyperlink>
        </w:p>
        <w:p>
          <w:pPr>
            <w:pStyle w:val="Contents3"/>
            <w:tabs>
              <w:tab w:val="clear" w:pos="8459"/>
              <w:tab w:val="right" w:pos="9026" w:leader="dot"/>
            </w:tabs>
            <w:rPr/>
          </w:pPr>
          <w:hyperlink w:anchor="__RefHeading___Toc11056914_73709187">
            <w:r>
              <w:rPr>
                <w:webHidden/>
                <w:rStyle w:val="IndexLink"/>
                <w:rtl w:val="true"/>
              </w:rPr>
              <w:t>حكم إخلال المرأة ببعض المدّة</w:t>
            </w:r>
            <w:r>
              <w:rPr>
                <w:rStyle w:val="IndexLink"/>
                <w:rtl w:val="true"/>
              </w:rPr>
              <w:tab/>
            </w:r>
            <w:r>
              <w:rPr>
                <w:rStyle w:val="IndexLink"/>
              </w:rPr>
              <w:t>380</w:t>
            </w:r>
          </w:hyperlink>
        </w:p>
        <w:p>
          <w:pPr>
            <w:pStyle w:val="Contents3"/>
            <w:tabs>
              <w:tab w:val="clear" w:pos="8459"/>
              <w:tab w:val="right" w:pos="9026" w:leader="dot"/>
            </w:tabs>
            <w:rPr/>
          </w:pPr>
          <w:hyperlink w:anchor="__RefHeading___Toc11056916_73709187">
            <w:r>
              <w:rPr>
                <w:webHidden/>
                <w:rStyle w:val="IndexLink"/>
                <w:rtl w:val="true"/>
              </w:rPr>
              <w:t>حكم ما لو ظهر بطلان العقد</w:t>
            </w:r>
            <w:r>
              <w:rPr>
                <w:rStyle w:val="IndexLink"/>
                <w:rtl w:val="true"/>
              </w:rPr>
              <w:tab/>
            </w:r>
            <w:r>
              <w:rPr>
                <w:rStyle w:val="IndexLink"/>
              </w:rPr>
              <w:t>381</w:t>
            </w:r>
          </w:hyperlink>
        </w:p>
        <w:p>
          <w:pPr>
            <w:pStyle w:val="Contents3"/>
            <w:tabs>
              <w:tab w:val="clear" w:pos="8459"/>
              <w:tab w:val="right" w:pos="9026" w:leader="dot"/>
            </w:tabs>
            <w:rPr/>
          </w:pPr>
          <w:hyperlink w:anchor="__RefHeading___Toc11056918_73709187">
            <w:r>
              <w:rPr>
                <w:webHidden/>
                <w:rStyle w:val="IndexLink"/>
                <w:rtl w:val="true"/>
              </w:rPr>
              <w:t>حكم ما لو عزل المتمتِّع عن المتمتَّع بها وحملت</w:t>
            </w:r>
            <w:r>
              <w:rPr>
                <w:rStyle w:val="IndexLink"/>
                <w:rtl w:val="true"/>
              </w:rPr>
              <w:tab/>
            </w:r>
            <w:r>
              <w:rPr>
                <w:rStyle w:val="IndexLink"/>
              </w:rPr>
              <w:t>385</w:t>
            </w:r>
          </w:hyperlink>
        </w:p>
        <w:p>
          <w:pPr>
            <w:pStyle w:val="Contents3"/>
            <w:tabs>
              <w:tab w:val="clear" w:pos="8459"/>
              <w:tab w:val="right" w:pos="9026" w:leader="dot"/>
            </w:tabs>
            <w:rPr/>
          </w:pPr>
          <w:hyperlink w:anchor="__RefHeading___Toc11056920_73709187">
            <w:r>
              <w:rPr>
                <w:webHidden/>
                <w:rStyle w:val="IndexLink"/>
                <w:rtl w:val="true"/>
              </w:rPr>
              <w:t>عدم وقوع الطلاق والظهار واللِّعان بالمتعة</w:t>
            </w:r>
            <w:r>
              <w:rPr>
                <w:rStyle w:val="IndexLink"/>
                <w:rtl w:val="true"/>
              </w:rPr>
              <w:tab/>
            </w:r>
            <w:r>
              <w:rPr>
                <w:rStyle w:val="IndexLink"/>
              </w:rPr>
              <w:t>388</w:t>
            </w:r>
          </w:hyperlink>
        </w:p>
        <w:p>
          <w:pPr>
            <w:pStyle w:val="Contents3"/>
            <w:tabs>
              <w:tab w:val="clear" w:pos="8459"/>
              <w:tab w:val="right" w:pos="9026" w:leader="dot"/>
            </w:tabs>
            <w:rPr/>
          </w:pPr>
          <w:hyperlink w:anchor="__RefHeading___Toc11056922_73709187">
            <w:r>
              <w:rPr>
                <w:webHidden/>
                <w:rStyle w:val="IndexLink"/>
                <w:rtl w:val="true"/>
              </w:rPr>
              <w:t>عدم ثبوت التوارث في المتعة</w:t>
            </w:r>
            <w:r>
              <w:rPr>
                <w:rStyle w:val="IndexLink"/>
                <w:rtl w:val="true"/>
              </w:rPr>
              <w:tab/>
            </w:r>
            <w:r>
              <w:rPr>
                <w:rStyle w:val="IndexLink"/>
              </w:rPr>
              <w:t>391</w:t>
            </w:r>
          </w:hyperlink>
        </w:p>
        <w:p>
          <w:pPr>
            <w:pStyle w:val="Contents3"/>
            <w:tabs>
              <w:tab w:val="clear" w:pos="8459"/>
              <w:tab w:val="right" w:pos="9026" w:leader="dot"/>
            </w:tabs>
            <w:rPr/>
          </w:pPr>
          <w:hyperlink w:anchor="__RefHeading___Toc11056924_73709187">
            <w:r>
              <w:rPr>
                <w:webHidden/>
                <w:rStyle w:val="IndexLink"/>
                <w:rtl w:val="true"/>
              </w:rPr>
              <w:t>عِدّة المُتمتّع بها</w:t>
            </w:r>
            <w:r>
              <w:rPr>
                <w:rStyle w:val="IndexLink"/>
                <w:rtl w:val="true"/>
              </w:rPr>
              <w:tab/>
            </w:r>
            <w:r>
              <w:rPr>
                <w:rStyle w:val="IndexLink"/>
              </w:rPr>
              <w:t>396</w:t>
            </w:r>
          </w:hyperlink>
        </w:p>
        <w:p>
          <w:pPr>
            <w:pStyle w:val="Contents3"/>
            <w:tabs>
              <w:tab w:val="clear" w:pos="8459"/>
              <w:tab w:val="right" w:pos="9026" w:leader="dot"/>
            </w:tabs>
            <w:rPr/>
          </w:pPr>
          <w:hyperlink w:anchor="__RefHeading___Toc11056926_73709187">
            <w:r>
              <w:rPr>
                <w:webHidden/>
                <w:rStyle w:val="IndexLink"/>
                <w:rtl w:val="true"/>
              </w:rPr>
              <w:t>عِدّة المتمتّع بها من الوفاة</w:t>
            </w:r>
            <w:r>
              <w:rPr>
                <w:rStyle w:val="IndexLink"/>
                <w:rtl w:val="true"/>
              </w:rPr>
              <w:tab/>
            </w:r>
            <w:r>
              <w:rPr>
                <w:rStyle w:val="IndexLink"/>
              </w:rPr>
              <w:t>402</w:t>
            </w:r>
          </w:hyperlink>
        </w:p>
        <w:p>
          <w:pPr>
            <w:pStyle w:val="Contents3"/>
            <w:tabs>
              <w:tab w:val="clear" w:pos="8459"/>
              <w:tab w:val="right" w:pos="9026" w:leader="dot"/>
            </w:tabs>
            <w:rPr/>
          </w:pPr>
          <w:hyperlink w:anchor="__RefHeading___Toc11056928_73709187">
            <w:r>
              <w:rPr>
                <w:webHidden/>
                <w:rStyle w:val="IndexLink"/>
                <w:rtl w:val="true"/>
              </w:rPr>
              <w:t>تجديد العقد على المتمتّع بها قبل انقضاء الأجل</w:t>
            </w:r>
            <w:r>
              <w:rPr>
                <w:rStyle w:val="IndexLink"/>
                <w:rtl w:val="true"/>
              </w:rPr>
              <w:tab/>
            </w:r>
            <w:r>
              <w:rPr>
                <w:rStyle w:val="IndexLink"/>
              </w:rPr>
              <w:t>405</w:t>
            </w:r>
          </w:hyperlink>
        </w:p>
        <w:p>
          <w:pPr>
            <w:pStyle w:val="Contents3"/>
            <w:tabs>
              <w:tab w:val="clear" w:pos="8459"/>
              <w:tab w:val="right" w:pos="9026" w:leader="dot"/>
            </w:tabs>
            <w:rPr/>
          </w:pPr>
          <w:hyperlink w:anchor="__RefHeading___Toc11056930_73709187">
            <w:r>
              <w:rPr>
                <w:webHidden/>
                <w:rStyle w:val="IndexLink"/>
                <w:rtl w:val="true"/>
              </w:rPr>
              <w:t>حكم الشرط المذكور قبل العقد</w:t>
            </w:r>
            <w:r>
              <w:rPr>
                <w:rStyle w:val="IndexLink"/>
                <w:rtl w:val="true"/>
              </w:rPr>
              <w:tab/>
            </w:r>
            <w:r>
              <w:rPr>
                <w:rStyle w:val="IndexLink"/>
              </w:rPr>
              <w:t>408</w:t>
            </w:r>
          </w:hyperlink>
        </w:p>
        <w:p>
          <w:pPr>
            <w:pStyle w:val="Contents2"/>
            <w:tabs>
              <w:tab w:val="clear" w:pos="8743"/>
              <w:tab w:val="right" w:pos="9026" w:leader="dot"/>
            </w:tabs>
            <w:rPr/>
          </w:pPr>
          <w:hyperlink w:anchor="__RefHeading___Toc11056932_73709187">
            <w:r>
              <w:rPr>
                <w:webHidden/>
                <w:rStyle w:val="IndexLink"/>
                <w:rtl w:val="true"/>
              </w:rPr>
              <w:t>فهرس الموضوعات</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5_115739"/>
      <w:bookmarkStart w:id="1" w:name="pg11825_115739"/>
      <w:bookmarkEnd w:id="1"/>
    </w:p>
    <w:p>
      <w:pPr>
        <w:pStyle w:val="Heading2"/>
        <w:numPr>
          <w:ilvl w:val="1"/>
          <w:numId w:val="1"/>
        </w:numPr>
        <w:rPr/>
      </w:pPr>
      <w:bookmarkStart w:id="2" w:name="pg11825_115739"/>
      <w:bookmarkStart w:id="3" w:name="__RefHeading___Toc1105672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5673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5_115745"/>
      <w:bookmarkStart w:id="8" w:name="pg11825_115745"/>
      <w:bookmarkEnd w:id="8"/>
    </w:p>
    <w:p>
      <w:pPr>
        <w:pStyle w:val="BookText"/>
        <w:rPr/>
      </w:pPr>
      <w:bookmarkStart w:id="9" w:name="pg11825_115745"/>
      <w:bookmarkEnd w:id="9"/>
      <w:r>
        <w:rPr>
          <w:rFonts w:ascii="Amiri" w:hAnsi="Amiri" w:eastAsia="Amiri" w:cs="Amiri"/>
          <w:color w:val="111111"/>
          <w:sz w:val="28"/>
          <w:sz w:val="28"/>
          <w:szCs w:val="28"/>
          <w:rtl w:val="true"/>
          <w:lang w:bidi="ar-SA"/>
        </w:rPr>
        <w:t>ويحرُم على الحُرّ في الدائم ما زاد على أربع حَرائر</w:t>
      </w:r>
    </w:p>
    <w:p>
      <w:pPr>
        <w:pStyle w:val="Heading2"/>
        <w:numPr>
          <w:ilvl w:val="1"/>
          <w:numId w:val="1"/>
        </w:numPr>
        <w:rPr/>
      </w:pPr>
      <w:bookmarkStart w:id="10" w:name="__RefHeading___Toc11056732_73709187"/>
      <w:bookmarkStart w:id="11" w:name="_Toc3"/>
      <w:bookmarkEnd w:id="10"/>
      <w:r>
        <w:rPr>
          <w:rtl w:val="true"/>
        </w:rPr>
        <w:t>حرمة الزيادة على الأربع في العقد الدائم</w:t>
      </w:r>
      <w:bookmarkEnd w:id="1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الحُرّ في الدائم ما زاد على 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2"/>
      </w:r>
      <w:r>
        <w:rPr>
          <w:rFonts w:ascii="Amiri" w:hAnsi="Amiri" w:eastAsia="Amiri" w:cs="Amiri"/>
          <w:color w:val="111111"/>
          <w:sz w:val="28"/>
          <w:sz w:val="28"/>
          <w:szCs w:val="28"/>
          <w:rtl w:val="true"/>
          <w:lang w:bidi="ar-SA"/>
        </w:rPr>
        <w:t>، بل عن غير واحدٍ</w:t>
      </w:r>
      <w:r>
        <w:rPr>
          <w:rStyle w:val="FootnoteAnchor"/>
          <w:rtl w:val="true"/>
        </w:rPr>
        <w:footnoteReference w:id="3"/>
      </w:r>
      <w:r>
        <w:rPr>
          <w:rFonts w:ascii="Amiri" w:hAnsi="Amiri" w:eastAsia="Amiri" w:cs="Amiri"/>
          <w:color w:val="111111"/>
          <w:sz w:val="28"/>
          <w:sz w:val="28"/>
          <w:szCs w:val="28"/>
          <w:rtl w:val="true"/>
          <w:lang w:bidi="ar-SA"/>
        </w:rPr>
        <w:t>حكاية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 المسلمين، بل ضرورةً من الدِّين، وما عن طائفةٍ من الزيديّة من جواز نكاح تسع لم يثبُت، بل المحكيّ عن مشائخهم البراءة من ذلك</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للمسالك</w:t>
      </w:r>
      <w:r>
        <w:rPr>
          <w:rStyle w:val="FootnoteAnchor"/>
          <w:rtl w:val="true"/>
        </w:rPr>
        <w:footnoteReference w:id="5"/>
      </w:r>
      <w:r>
        <w:rPr>
          <w:rFonts w:ascii="Amiri" w:hAnsi="Amiri" w:eastAsia="Amiri" w:cs="Amiri"/>
          <w:color w:val="111111"/>
          <w:sz w:val="28"/>
          <w:sz w:val="28"/>
          <w:szCs w:val="28"/>
          <w:rtl w:val="true"/>
          <w:lang w:bidi="ar-SA"/>
        </w:rPr>
        <w:t>، وتبعه جماعةٌ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فيها للإباحة، ومقتضى إباحة الأعداد المخصوصة، تحريم ما زاد عليها، إذ لو كان مباحاً لما خُصّ الجواز بها، لمنافاته الامتنان، وقصد التوسيع على العيال، ولأنّ مفهوم إباحة الأربع، حصرُ ما دون الأربع أو ما زاد عليها، والأوّلُ باطلٌ بتجويز الثلاث فيها صريحاً، فيتعيّن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الذي ذُكر وجهاً لدلالة الوصف والعدد على المفهوم، فهو تمسّكٌ بمفهوم العدد، وقد حُقّق في محلّه</w:t>
      </w:r>
      <w:r>
        <w:rPr>
          <w:rStyle w:val="FootnoteAnchor"/>
          <w:rtl w:val="true"/>
        </w:rPr>
        <w:footnoteReference w:id="7"/>
      </w:r>
      <w:r>
        <w:rPr>
          <w:rFonts w:ascii="IRNazanin" w:hAnsi="IRNazanin" w:eastAsia="IRNazanin"/>
          <w:color w:val="111111"/>
          <w:sz w:val="28"/>
          <w:sz w:val="28"/>
          <w:szCs w:val="28"/>
          <w:rtl w:val="true"/>
          <w:lang w:bidi="fa-IR"/>
        </w:rPr>
        <w:t>أنّه لا مفهوم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يورد على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 فيها من الألفاظ ألفاظ معدولة عن أعداد مكرّرة هي اثنتين اثنتين، ثلاثة ثلاثة، أربعة أربعة،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أربعة أربعة، فالآية بظاهرها تدلّ على جواز الأربع والستّ والثمان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العطف بالواو يقتضي الجمع، فمعنى الآية لو اُبقيت على ظاهرها، جواز نكاح الثمانية عشر، كما أفاده المحقّق والشهيد الثانيان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بمنزلة أعداد مكرّرة ذِكْراً، وهو أعمّ من كونه كذلك علي وجه التغاير، ألا تري 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أربعاًأربعاً، وخمساً وخمساً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يُراد به أنّ القوم انقسموا إلى جماعات؛ كلّ واحدة منها مركّبة من أربع أو خمس، وهذا استعمالٌ شائعٌ‌، مع أنّ عن بعض أهل اللّغة</w:t>
      </w:r>
      <w:r>
        <w:rPr>
          <w:rStyle w:val="FootnoteAnchor"/>
          <w:rtl w:val="true"/>
        </w:rPr>
        <w:footnoteReference w:id="9"/>
      </w:r>
      <w:r>
        <w:rPr>
          <w:rFonts w:ascii="Amiri" w:hAnsi="Amiri" w:eastAsia="Amiri" w:cs="Amiri"/>
          <w:color w:val="111111"/>
          <w:sz w:val="28"/>
          <w:sz w:val="28"/>
          <w:szCs w:val="28"/>
          <w:rtl w:val="true"/>
          <w:lang w:bidi="ar-SA"/>
        </w:rPr>
        <w:t xml:space="preserve">أنّها معدولة عن تلك الأعداد المكرّرة لفظاً عن صيغها، ومعنى عن تكرّرها،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العطف بالواو جمع المتعاطفة في الجواز، لا جواز الجمع بينها،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نصب الأعداد إمّا أنه يكون على البدليّة من المفعول على الحال من فاعل طاب، ومعنى الحاليّة فيها مثلها في قولك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فارساً وراجلاً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به المجيء في كلّ حال من الحالين، لا المجيء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ثبوتهما جميعاً، وكذا الحال في الآية، فإنّ المراد جواز النكاح في كلّ حال من الأحوال الثلاث دون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الإذن لكلّ ناكحٍ يريدُ الجمع أن ينكح ما شاء من العدد المذكور، متّفقين فيه ومختلفين، ولو ذكرت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 تجويز الاختلاف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لا يخلو عن النظر، لأنّ الآية تجوّز الأعداد لكلّ واحدٍ من المكلّفين، لا للمجموع من حيث المجموع، فلو اختلفوا لم يفعلوا إلّاما هو الجائز كما لو اتّفقوا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عدم جواز الأربع لواجد الثلاث، وكذا العكس، لاستيفاء العدد، وهذا بخلاف العطف بواو، فإنّه تدلّ الآية حينئذٍ على جواز الثلاث حتّى لواجد الأربع بالنقص، وكذا لواجد الثلاث الأربع بالتكميل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لأصل الحكم بطوائف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تزوّج خمساً بعقدٍ واحد، فإنّه يدلّ على أنّه لابدّ وأن يُخلّي سبيل واحدةٍ ويُمسك الأربع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كان عنده ثلاث نسوة فتزوّج عليهنّ اثنتين في عقدٍ واحد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 w:name="pg11825_115748"/>
    </w:p>
    <w:p>
      <w:pPr>
        <w:pStyle w:val="BookText"/>
        <w:rPr/>
      </w:pPr>
      <w:bookmarkEnd w:id="1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الكافر إذا أسلم، وعنده أكثر من أربع</w:t>
      </w:r>
      <w:r>
        <w:rPr>
          <w:rStyle w:val="FootnoteAnchor"/>
          <w:rtl w:val="true"/>
        </w:rPr>
        <w:footnoteReference w:id="12"/>
      </w:r>
      <w:r>
        <w:rPr>
          <w:rFonts w:ascii="Amiri" w:hAnsi="Amiri" w:eastAsia="Amiri" w:cs="Amiri"/>
          <w:color w:val="111111"/>
          <w:sz w:val="28"/>
          <w:sz w:val="28"/>
          <w:szCs w:val="28"/>
          <w:rtl w:val="true"/>
          <w:lang w:bidi="ar-SA"/>
        </w:rPr>
        <w:t>، الدالّ على أنّه يجبُ عليه أن يفارق ما زاد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كان عنده أربع نسوة، فطلّق واحدة ثم نكح أُخرى‌، كصحيح زرارة ومحمّد 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أربعاً وطلّق إحداهنّ‌، فلا يتزوّج الخامسة حتّى تنقضي عِدّة المرأة التي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ونحوه غيره من النصوص الكثيرة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1056734_73709187"/>
      <w:bookmarkStart w:id="14" w:name="_Toc4"/>
      <w:bookmarkEnd w:id="13"/>
      <w:r>
        <w:rPr>
          <w:rtl w:val="true"/>
        </w:rPr>
        <w:t>تزويج الخامسة بعد طلاق الرابعة</w:t>
      </w:r>
      <w:bookmarkEnd w:id="14"/>
    </w:p>
    <w:p>
      <w:pPr>
        <w:pStyle w:val="BookText"/>
        <w:rPr/>
      </w:pPr>
      <w:r>
        <w:rPr>
          <w:rFonts w:ascii="Amiri" w:hAnsi="Amiri" w:eastAsia="Amiri" w:cs="Amiri"/>
          <w:color w:val="111111"/>
          <w:sz w:val="28"/>
          <w:sz w:val="28"/>
          <w:szCs w:val="28"/>
          <w:rtl w:val="true"/>
          <w:lang w:bidi="ar-SA"/>
        </w:rPr>
        <w:t>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أربع، فطلّق واحدةً منهنّ‌، وأراد نكاح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الطلاق رجعيّاً، لا يجوز له ذلك إلّابعد خروجها عن العِدّة، بلا خلافٍ أجده فيه، بل يمكن تحصيل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المطلّقة رِجعيّاً بحكم الزّوجة نصّاً وفتوىً‌، فيشمله ما دلّ على عدم جواز تزويج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المرأة التي 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علي بن أبي حمزة،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أربع نسوة، فيطلّق إحداهنّ‌، أيتزوّج مكانها أُخرى؟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في رجلٍ كانت تحته أربع نسوة فطلّق واحدةً ثمّ نكح أُخرى قبل أنْ تستكمل المطلّقة العِدّة‌؟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فليُلحقها بأهلها حتّى تستكمل المطلّقة أجلها، الحديث</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الطلاق بائناً، ففي الجواز قبل الخروج عن العِدّة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9"/>
      </w:r>
      <w:r>
        <w:rPr>
          <w:rFonts w:ascii="IRNazanin" w:hAnsi="IRNazanin" w:eastAsia="IRNazanin"/>
          <w:color w:val="111111"/>
          <w:sz w:val="28"/>
          <w:sz w:val="28"/>
          <w:szCs w:val="28"/>
          <w:rtl w:val="true"/>
          <w:lang w:bidi="fa-IR"/>
        </w:rPr>
        <w:t>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الحرمة قبل الانقضاء، ومالَ إليه كاشف اللّثام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المانعة هو الثاني، وقد قيل في وجه عدم 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إطلاقها للمورد، أو تعيّن حملها بالنسبة إليه على الكراهة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من أنّه لابدّ وأن يُرفع اليد عن إطلاقها، لما في النصوص الواردة في الاُخت المفصّلة بين الرِّجعي والبائن من التعليل،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أو اختلعت منه، أو بانت، ألهُ أن يتزوّج باُختها؟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فلم يكن له عليها رجعة، فله أن يخطب اُختها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أبي بصير</w:t>
      </w:r>
      <w:r>
        <w:rPr>
          <w:rStyle w:val="FootnoteAnchor"/>
          <w:rtl w:val="true"/>
        </w:rPr>
        <w:footnoteReference w:id="24"/>
      </w:r>
      <w:r>
        <w:rPr>
          <w:rFonts w:ascii="Amiri" w:hAnsi="Amiri" w:eastAsia="Amiri" w:cs="Amiri"/>
          <w:color w:val="111111"/>
          <w:sz w:val="28"/>
          <w:sz w:val="28"/>
          <w:szCs w:val="28"/>
          <w:rtl w:val="true"/>
          <w:lang w:bidi="ar-SA"/>
        </w:rPr>
        <w:t>، وخبر الكناني، فإنّه عُلّل عدم الجواز وانقطاعها، وعدم مِلْكه</w:t>
      </w:r>
      <w:r>
        <w:rPr>
          <w:rStyle w:val="FootnoteAnchor"/>
          <w:rtl w:val="true"/>
        </w:rPr>
        <w:footnoteReference w:id="25"/>
      </w:r>
      <w:r>
        <w:rPr>
          <w:rFonts w:ascii="Amiri" w:hAnsi="Amiri" w:eastAsia="Amiri" w:cs="Amiri"/>
          <w:color w:val="111111"/>
          <w:sz w:val="28"/>
          <w:sz w:val="28"/>
          <w:szCs w:val="28"/>
          <w:rtl w:val="true"/>
          <w:lang w:bidi="ar-SA"/>
        </w:rPr>
        <w:t>فيتعدّى عن مورده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ذلك علّةً للحكم حتّى يصحّ التعدّي عن موردها، بل بيّن الحكم في ذلك المورد بهذه الجملة، ولعلّ لخصوصيّة المورد دخلاً في الحكم، فلا وجه للتعدّي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أنّه في النصوص ما يتضمّن أنّه لا يجوز له تزويج الخامسة حتّى يعتدّ هو مثل عِدّة المطلّقة</w:t>
      </w:r>
      <w:r>
        <w:rPr>
          <w:rStyle w:val="FootnoteAnchor"/>
          <w:rtl w:val="true"/>
        </w:rPr>
        <w:footnoteReference w:id="26"/>
      </w:r>
      <w:r>
        <w:rPr>
          <w:rFonts w:ascii="Amiri" w:hAnsi="Amiri" w:eastAsia="Amiri" w:cs="Amiri"/>
          <w:color w:val="111111"/>
          <w:sz w:val="28"/>
          <w:sz w:val="28"/>
          <w:szCs w:val="28"/>
          <w:rtl w:val="true"/>
          <w:lang w:bidi="ar-SA"/>
        </w:rPr>
        <w:t>، وما يتضمّن من أنّه إذا ماتت إحدى الأربع لم يجز له أن يتزوّج حتّى يعتدّ أربعة أشهرٍ وعشراً، بل فيه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يعتدّ وإنْ كان متعة</w:t>
      </w:r>
      <w:r>
        <w:rPr>
          <w:rStyle w:val="FootnoteAnchor"/>
          <w:rtl w:val="true"/>
        </w:rPr>
        <w:footnoteReference w:id="27"/>
      </w:r>
      <w:r>
        <w:rPr>
          <w:rFonts w:ascii="Amiri" w:hAnsi="Amiri" w:eastAsia="Amiri" w:cs="Amiri"/>
          <w:color w:val="111111"/>
          <w:sz w:val="28"/>
          <w:sz w:val="28"/>
          <w:szCs w:val="28"/>
          <w:rtl w:val="true"/>
          <w:lang w:bidi="ar-SA"/>
        </w:rPr>
        <w:t>، وهذا يُشعر بكون الحكم على ضربٍ من الكراهة والندب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بذلك ما أفاده المحقّق اليزدي من أنّه يمكن أنْ يكون المراد من العِدّة التي حكم في الأخبار بعدم جواز الخامسة فيها على نحو الإطلاق، هي عِدّة الرّجل لا المطلّقة، فلابدّ حينئذٍ من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صريح النصوص، لاحظ قوله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تنقضي عِدّة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كما يكون الاعتداد في هذه النصوص على وجه الاستحباب، فليكن في نصوص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الاعتداد على وجه الاستحباب في بعض الموارد، لايقتضي مقايسة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اليزدي رحمه الله، من أنّ الظاهر من التعبير بالطلاق على نحو الإطلاق هو الرِّجعي، كما يدلّ عليه جعل الطلاق في مقابل الخُلع والمباراة في حَسن الحلبي المتقدّم، ولا أقلّ من إجماله، وعدم ظهوره في الأعمّ‌، فالمتيقّن من النصوص عِدّة الطلاق الرجعي، وفي عِدّة البائن يرجع إلى عموم دليل الحِلّ بعد عدم كون نكاح الخامسة حينئذٍ جمعاً بين الخمس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ظاهرٌ في العموم، وجعله في مقابل الخُلع والمباراة إنّما هو من جهة أنّ الطلاق ربما يكون مجرّداً، وربما يكون مع بذل المَهر وما شاكل، لا أنّ المرادر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الرِّجعي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موثّق عمّار الآتي نَهى عليه السلام عن تزويج الخامسة في عِدّة طلاق الرابعة، وفي عِدّة موتها، وحيث أنّه في المورد الثاني يكون الحكم ندبيّاً، فكذا في المورد الأوّل،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والاستحباب خارجان عن حريم الموضوع له والمستعمل فيه، كما حُقّق في محلّه</w:t>
      </w:r>
      <w:r>
        <w:rPr>
          <w:rStyle w:val="FootnoteAnchor"/>
          <w:rtl w:val="true"/>
        </w:rPr>
        <w:footnoteReference w:id="29"/>
      </w:r>
      <w:r>
        <w:rPr>
          <w:rFonts w:ascii="Amiri" w:hAnsi="Amiri" w:eastAsia="Amiri" w:cs="Amiri"/>
          <w:color w:val="111111"/>
          <w:sz w:val="28"/>
          <w:sz w:val="28"/>
          <w:szCs w:val="28"/>
          <w:rtl w:val="true"/>
          <w:lang w:bidi="ar-SA"/>
        </w:rPr>
        <w:t>، فليس المقام من موارد وحدة السياق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تزويج الخامسة بعد طلاق الرابعة، إنّما هو من باب حرمة الجمع بين الخمس، فإذا كان الطلاق بائناً 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الوجه فيه بقاء بعض العلائق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مقابل إطلاق النصوص، ليس شيءٌ يتمسّك به لهذا التفصيل سوى تسالم الأصحاب عليه، وكفى به مقيّداً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ماتت الرابعة، فهل يجوز تزويج الخامسة من ساعته، أم يجبُ الصبر إلى أربعة أشهرٍ وعشراً؟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أربع نسوة، فماتت إحداهنّ‌، هل يصلح له أن يتزوّج في عِدّتها أُخرى قبل أنْ تنقضي عِدّة المتوفّاة‌؟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فليتزوّج متى أحبّ‌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رجلٍ يكون له أربع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نسوة، فتموت إحداهنّ‌، فهل يحلّ له أن يتزوّج أُخرى مكانها؟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 عليها عِدّة المطلّقة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يقتضي حمل الموثّق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جمعاً عرفيّاً، إذ لو جمعنا بين قوله عليه السلام في خبر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فليتزوّج متى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تأتي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يراهما أهل العرف متهافتين، ويكو نا من قبيل افعل ولا تفعل، لا من قبيل افعل ولا بأس بتركه، وعليه فيتعيّن الأخذ بالخبر، وطرح الموثّق لكونه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العِدّة لغير الطلاق والموت، كالفسخ بعيبٍ أو نحوه، فلا إشكال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تزويج الخامسة في عِدّة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الفسخ يوجبُ انتفاء الزوجيّة، فلا يكون جمعٌ بين خمس نساء، ونصوص الصبر في العِدّة إنّما هي في الطلاق أو فيه وفي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ذلك في الجواز ما لو كان الطلاق أو الفراق بالفسخ قبل الدخول، فإنّه لا عِدّة هناك، أضف إليه الخبر الذي رواه سنان بن طريف،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كان له ثلاث نسوة، ثم تزوّج امرأة أُخرى‌، فلم يدخل بها، ثمّ أراد أن يعتق أمَةً ويتزوّجها؟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طلّق التي لم يدخل بها، فلا بأس أن يتزوّج أُخرى من يوم ذلك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 w:name="pg11825_115754"/>
    </w:p>
    <w:p>
      <w:pPr>
        <w:pStyle w:val="BookText"/>
        <w:rPr/>
      </w:pPr>
      <w:bookmarkEnd w:id="15"/>
      <w:r>
        <w:rPr>
          <w:rFonts w:ascii="Amiri" w:hAnsi="Amiri" w:eastAsia="Amiri" w:cs="Amiri"/>
          <w:color w:val="111111"/>
          <w:sz w:val="28"/>
          <w:sz w:val="28"/>
          <w:szCs w:val="28"/>
          <w:rtl w:val="true"/>
          <w:lang w:bidi="ar-SA"/>
        </w:rPr>
        <w:t>ويَحرُمُ العقدُ على ذاتِ البعل،</w:t>
      </w:r>
    </w:p>
    <w:p>
      <w:pPr>
        <w:pStyle w:val="Heading2"/>
        <w:numPr>
          <w:ilvl w:val="1"/>
          <w:numId w:val="1"/>
        </w:numPr>
        <w:rPr/>
      </w:pPr>
      <w:bookmarkStart w:id="16" w:name="__RefHeading___Toc11056736_73709187"/>
      <w:bookmarkStart w:id="17" w:name="_Toc5"/>
      <w:bookmarkEnd w:id="16"/>
      <w:r>
        <w:rPr>
          <w:rtl w:val="true"/>
        </w:rPr>
        <w:t>تزويج ذات البعل يوجب الحرمة الأبديّة</w:t>
      </w:r>
      <w:bookmarkEnd w:id="17"/>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العقد على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فلاستلزام تحريم التعريض بالخطبة في العِدّة الرجعيّة كما يأتي، تحريمه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ذوات الأزواج</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تحرم عليه به مؤبّداً أم لا؟ 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الزّوج بأنّها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الزّوج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أو الأربعة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بها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صورة عدم الدخول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جهل 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من غير فرقٍ في ذلك بين علمها وجهلها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صورة العلم والدخول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كلام بينهم في التحريم،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خلاف في التحريم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في صورة العلم وعدم الدخول، والجهل مع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فخلافٌ‌، نُسب الحكم بالحِلّ إلى الأكثر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الحرمة مطلقاً، مع العلم والجهل، مع الدخول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ولها زوج يفرّق بينهما ثمّ لا يتعاودان أبداً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موثّقه الآخر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مع الجهل والدخول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نعى الرّجل إلى أهله أو أخبروها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قد طلّقها فاعتدّت ثمّ تزوّجت، فجاء زوجها الأوّل، فإنّ الأوّل أحقّ بها من هذا الأخير، دخل بها الأوّل أم لم يدخل بها، وليس للآخر أنْ يتزوّجها أبداً، ولها المَهر بما استحلّ من فرجها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فقد زوجها أو نُعي إليها فتزوّجت، ثمّ قدم زوجها بعد ذلك فطلّقها؟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وليس للآخر أن يتزوّجها أبداً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صريحان في صورة الجهل، وظاهران في صورة الدخول، بقرينة الإعتداد من الأخير في أحدهما، واستحقاق المَهر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الحرمة مع العلم دون الجهل، كمرفوع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تزوّج امرأةً وعلم أنّ لها زوجاً، فرّق بينهما، ولم تحلّ له أبداً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التحريم في صورة الجهل، كصحيح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تزوّج امرأةً ولها زوجٌ وهو لا يعلم، فطلّقها الأوّل أو مات عنها، ثمّ علم الأخير أيراجعها؟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يختصّ بصورة الجهل، وأعمٌّ من الدخول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التحريم في صورة الجهل والدخول، كصحيح عبدالرحمن،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ثمّ استبان له بعد ما دخل بها أنّ لها زوجاً غائباً فتركها، ثمّ إنّ الزّوج قدم فطلّقها أو مات عنها، أيتزوّجها بعد هذا الذي كان تزوّجها، ولم يعلم أنّ لها زوجاً؟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جميعُ ما وصل إلينا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فالطائفة الثانية معارضة مع الخامسة، فإنّ الأُولى تدلّ على الحرمة في صورة الجهل والدخول، والثانية تدلّ على عدم الحرمة في تلك الصورة، والجمع العرفي بينهما يقتضي حمل الأُولى على الكراهة، ويقيّد إطلاق الطائفة الأُولى بهما، وهما لا تعارضان الطائفة الرابعة والثالثة، الدالّتين على عدم الحرمة في صورة الجهل مطلقاً، لتوافق مفاد الجميع، وهما أيضاً أخصّان من الأُولى‌، فيقيّد إطلاقها بهما، فتختصّ الأُولى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في صورة العلم، دخل بها أم لم يدخل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بذات البعل، ففي إلحاقه بالمعتدّة إشكالٌ ينشأ من عدم التنصيص، ومن أولويّة التحريم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إطلاق الأخبار عموم التحريم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البناء على الحرمة في صورة الدخول والجهل، إلحاقاً لذات البعل بذات العِدّة، الثابت فيها هذا الحكم، كما سيأتي، بدعوى أنّ الحكمة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احترام الزّوج، ومعلومٌ تحقّق هذه الحكمة في ذات البعل بنحوٍ آكد وأشدّ، فيكون هذا الحكم ثابتاً فيها بالأولويّة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بدعوى شمول إطلاق نصوص ذات العِدّة لذات العِدّة الرجعيّة، بل قد صرّح بها في بعض تلك النصوص، وقد اتّفق النّص والفتوى على أنّ ذات العِدّة الرجعيّة بحكم الزّوجة، فيعلم منه أنّ حكم الزّوجة مثل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كون العلّة في ثبوته هو احترام الزّوج، ولعلّه من الأحكام التعبّديّة للعِدّة، وإنْ كان للعُلقة الزوجيّة دخلٌ فيه في الجملة، لكن لا بنحو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أنّ ذات العِدّة الرجعيّة بحكم الزّوجة، لا على أنّ الزّوجة بحكمها، ولازم ذلك ثبوت أحكام الزّوجة لها لا ثبوت أحكامها للزوجة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11825_115759"/>
    </w:p>
    <w:p>
      <w:pPr>
        <w:pStyle w:val="BookText"/>
        <w:rPr/>
      </w:pPr>
      <w:bookmarkEnd w:id="18"/>
      <w:r>
        <w:rPr>
          <w:rFonts w:ascii="Amiri" w:hAnsi="Amiri" w:eastAsia="Amiri" w:cs="Amiri"/>
          <w:color w:val="111111"/>
          <w:sz w:val="28"/>
          <w:sz w:val="28"/>
          <w:szCs w:val="28"/>
          <w:rtl w:val="true"/>
          <w:lang w:bidi="ar-SA"/>
        </w:rPr>
        <w:t>والمُعتدّة ما دامت كذلك،</w:t>
      </w:r>
    </w:p>
    <w:p>
      <w:pPr>
        <w:pStyle w:val="Heading2"/>
        <w:numPr>
          <w:ilvl w:val="1"/>
          <w:numId w:val="1"/>
        </w:numPr>
        <w:rPr/>
      </w:pPr>
      <w:bookmarkStart w:id="19" w:name="__RefHeading___Toc11056738_73709187"/>
      <w:bookmarkStart w:id="20" w:name="_Toc6"/>
      <w:bookmarkEnd w:id="19"/>
      <w:r>
        <w:rPr>
          <w:rtl w:val="true"/>
        </w:rPr>
        <w:t>تزويج المعتدّة توجبُ الحرمة الأبديّة</w:t>
      </w:r>
      <w:bookmarkEnd w:id="20"/>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العقد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العِدّة بائنة أو رجعيّة، أو عِدّة وفاة أو عِدّة شُبهة، كان العقد دواماً أو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دامت في العِدّة، بلا خلافٍ أجده فيه، بل الإجماع بقسميه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عَزم العُقدة نفس العُقدة، لأنّها المفهوم منه عرفاً، لشيوع التعبير عن تحريم الفعل بالنهيّ عن مقدّماته لقصد المبالغة، وهذا العرف ببابك فهل ترى يشكّ أحدٌ منهم في أنّه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إعزم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تعزم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الأوّل مأمورٌ به والثاني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فإنّه يمكن أنْ يُقال إنّ تحريم العزم نفسه على النكاح مستلزمٌ لتحريم النكاح المعزوم عليه، إذ لو كان جائزاً لكان العزم عليه جائزاً قطعاً، إذ لا حكم للعزم بالنظر إلى ذاته، وإنّما يثبت له الحرمة والجواز بواسطة ما اُضيف إليه من الفعل المعزوم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بلوغ الكتاب أجله، انتهاء العِدّة،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تزوّجها في عِدّتها جاهلاً، بطل العقد، فإنْ دخل حَرُمت أبداً</w:t>
      </w:r>
    </w:p>
    <w:p>
      <w:pPr>
        <w:pStyle w:val="BookText"/>
        <w:rPr/>
      </w:pPr>
      <w:r>
        <w:rPr>
          <w:rFonts w:ascii="Amiri" w:hAnsi="Amiri" w:eastAsia="Amiri" w:cs="Amiri"/>
          <w:color w:val="111111"/>
          <w:sz w:val="28"/>
          <w:sz w:val="28"/>
          <w:szCs w:val="28"/>
          <w:rtl w:val="true"/>
          <w:lang w:bidi="ar-SA"/>
        </w:rPr>
        <w:t>وعليه، فهذه الآية الشريفة تدلّ على حرمة العقد على المُعتدّة، ولكن موردها عِدّة الوفاة، فيُتعدّى عنه بالإجماع وعدم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تزوّجها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كلٍّ من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بالعِدّة أو التحريم، أو بهما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وهو ما صرّح به في بعض النصوص الآتية، لكن لا تحرم عليه ما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حَرُمت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أجده في شيءٍ من ذلك، بل الإجماع بقسميه عليه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أبداً بمجرّد العقد إجماعاً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كون العقد موجباً للحرمة الأبديّة مطلقاً، كخبر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في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تحلّ له أبداً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أنّه لا يوجب الحرمة الأبديّة مطلقاً، كالخبر الذي رواه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تزوّجت قبل أنْ تنقضي عِدّتها؟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وبينه، ويكون خاطباً من الخُطّاب</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يفصّل بين العلم والجهل، ويدلّ على ثبوت الحرمة الأبديّة مع العلم دون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في عِدّتها لم تحلّ له أبداً؟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فإذا كان جاهلاً فارقها ويعتدّ ثمّ يتزوّجها نكاحاً جديداً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بجهالة، أهي ممّن لا تحلّ له أبداً؟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بعدما تنقضي عِدّتها، وقد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ذلك محرّم عليه، أم بجهالته أنّها في عِدّة‌؟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الاُخرى‌، الجهالة بأنّ اللّه تعالى حَرّم ذلك عليه، وذلك بأنّه لا يقدر على الاحتياط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الاُخرى معذورٌ؟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والآخر يجهل‌؟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 ي 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يفصّل بين الدخول وعدمه، ويدلّ على ثبوت الحرمة به وعدم الحرمة بدونه، كمصحّح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الحُبلى يموت زوجها، فتضع وتُزوّج قبل أنْ يمضي لها أربعة أشهر وعشراً؟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ولم تحلّ له أبداً، واعتدّت ما بقي عليها من الأوّل، واستقبلت عِدّة أُخرى من الآخر ثلاثة قروء، وإنْ لم يكن دخل بها فُرِّق بينهما، واعتدّت بما بقي عليها من الأوّل، وهو خاطبٌ من الخطّاب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أو قريبٌ منه موثّق محمّد بن مسلم</w:t>
      </w:r>
      <w:r>
        <w:rPr>
          <w:rStyle w:val="FootnoteAnchor"/>
          <w:rtl w:val="true"/>
        </w:rPr>
        <w:footnoteReference w:id="60"/>
      </w:r>
      <w:r>
        <w:rPr>
          <w:rFonts w:ascii="Amiri" w:hAnsi="Amiri" w:eastAsia="Amiri" w:cs="Amiri"/>
          <w:color w:val="111111"/>
          <w:sz w:val="28"/>
          <w:sz w:val="28"/>
          <w:szCs w:val="28"/>
          <w:rtl w:val="true"/>
          <w:lang w:bidi="ar-SA"/>
        </w:rPr>
        <w:t>، ومصحّح سليمان</w:t>
      </w:r>
      <w:r>
        <w:rPr>
          <w:rStyle w:val="FootnoteAnchor"/>
          <w:rtl w:val="true"/>
        </w:rPr>
        <w:footnoteReference w:id="61"/>
      </w:r>
      <w:r>
        <w:rPr>
          <w:rFonts w:ascii="Amiri" w:hAnsi="Amiri" w:eastAsia="Amiri" w:cs="Amiri"/>
          <w:color w:val="111111"/>
          <w:sz w:val="28"/>
          <w:sz w:val="28"/>
          <w:szCs w:val="28"/>
          <w:rtl w:val="true"/>
          <w:lang w:bidi="ar-SA"/>
        </w:rPr>
        <w:t>، وموثّق أبي بصير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الحرمة مع العلم أو الدخول، وعدمها مع عدمهما، كمصحّح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في عِدّتها، ودخل بها، لم تحِلّ له أبداً، عالماً كان أو جاهلاً، وإنْ لم يدخل بها حَلّت للجاهل ولم تحلّ للآخر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الجمع العرفي بين النصوص، حمل الطوائف الأربع الاُول على الأخيرة، حملاً للمطلق على المقيّد، مع أنّ الجمع العرفي بين الطوائف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 النظر عن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البناء على ما تضمّنه الأخيرة، وهو كفاية الدخول أو العلم في الحرمة، فإنّ الأوليتين مطلقتان، والأخيرتين مقيّدتان،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الطائفتان الأخيرتان فكلٌّ منهما متضمّنة لقضيّتين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مع الدخول، وعدم الحرمة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مع العلم، وعدم الحرمة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التعارض هو القضيّة الأُولى من كلّ منهما مع القضيّة الثانية من الاُخرى‌، إذ لا تعارض بين الأولتين منهما، وكذا بين الأخيرتين كما لا يخفى‌، والنسبة بين المتعارضتين عمومٌ من وجه، فإنّ الأُولى من الثالثة تدلّ على الحرمة مع العلم دخل بها أم لا، والثانية من الرابعة تدلّ على عدم الحرمة مع عدم الدخول؛ كان جاهلاً أو عالماً، وكذا بالنسبة إلى الأُولى من الرابعة مع الثانية من الثالثة، وحيث أنّ المختار في تعارض العامين من وجه، هو الرجوع إلى المرجّحات فيرجع إليها، ويقدّم الأُولى من كلّ منهما على الثانية من الاُخرى للشهرة، فتكون النتيجة حرمتها مع الدخول أو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من كلّ منهما متضمّنة لحكمٍ اقتضائي، وهو اقتضاء الدخول أو العلم للحرمة، والثانية من كلّ منهما متضمّنة لحكم لا اقتضائي، وهو عدم الحرمة لعدم المقتضي، وعند التعارض يقدّم ما له الاقتضاء على ما لا اقتضاء فيه، فتأمّل فإنّ ذلك ليس من مرجّحات باب التعارض، وإنّما هو في باب التزاحم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عقد على المُعتدّة، فمع العلم تحرم عليه، وكذلك مع الدخول، ولو لم يكن علمٌ ولا دخولٌ لا تحرم عليه</w:t>
      </w:r>
      <w:r>
        <w:rPr>
          <w:rFonts w:eastAsia="Amiri" w:cs="Amiri" w:ascii="Amiri" w:hAnsi="Amiri"/>
          <w:color w:val="111111"/>
          <w:sz w:val="28"/>
          <w:szCs w:val="28"/>
          <w:rtl w:val="true"/>
          <w:lang w:bidi="ar-SA"/>
        </w:rPr>
        <w:t xml:space="preserve">. </w:t>
      </w:r>
      <w:bookmarkStart w:id="21" w:name="pg11825_115764"/>
    </w:p>
    <w:p>
      <w:pPr>
        <w:pStyle w:val="Heading2"/>
        <w:numPr>
          <w:ilvl w:val="1"/>
          <w:numId w:val="1"/>
        </w:numPr>
        <w:rPr/>
      </w:pPr>
      <w:bookmarkStart w:id="22" w:name="__RefHeading___Toc11056740_73709187"/>
      <w:bookmarkStart w:id="23" w:name="_Toc7"/>
      <w:bookmarkEnd w:id="21"/>
      <w:bookmarkEnd w:id="22"/>
      <w:r>
        <w:rPr>
          <w:rtl w:val="true"/>
        </w:rPr>
        <w:t>المدارُ على علم أحدهما</w:t>
      </w:r>
      <w:bookmarkEnd w:id="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الموجب للحرمة، هل هو علمُ الزّوج أو الزّوجة، أو علمهما معاً، أو أحدهما؟</w:t>
      </w:r>
    </w:p>
    <w:p>
      <w:pPr>
        <w:pStyle w:val="BookText"/>
        <w:rPr/>
      </w:pPr>
      <w:r>
        <w:rPr>
          <w:rFonts w:ascii="Amiri" w:hAnsi="Amiri" w:eastAsia="Amiri" w:cs="Amiri"/>
          <w:color w:val="111111"/>
          <w:sz w:val="28"/>
          <w:sz w:val="28"/>
          <w:szCs w:val="28"/>
          <w:rtl w:val="true"/>
          <w:lang w:bidi="ar-SA"/>
        </w:rPr>
        <w:t>وجوهٌ‌، أظهرها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كفاية علم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بها مصحّح إسحاق، وصحيح ابن الحجّاج، ومنه يُستفاد الاكتفاء بعلم الزّوجة، لما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والآخر بجهل‌؟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دلّ على الحرمة على العالم خاصّة، إلّاأنّه حيث تكون الزوجيّة من قبيل الإضافات القائمة بين الإثنين كالاُخوّة والبنوّة والاُبوّة، والتقدّم والتأخّر غير القابلة للتبعيض، فالحكم بعدم الصحّة والحرمة من أحد الطرفين مستلزمٌ للحكم بهما من الطرف الآخر، والصحيح لا مفهوم له كي يدلّ على عدم الحرمة على الآخر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 التنبيه على أنّه إذا كان الطرف الآخر عالماً بأنّه كان عالماً، ثبت الحرمة في حقّه أيضاً للتلازم، وإنْ لم يكن عالماً بذلك لم يحرم بالنسبة إليه ظاهراً، كما لو ادّعت المرأة مثلاً بعد تجديد العقد عليها أنّها كانت عالمة بالحكم والموضوع حال العقد، وأنكر الزّوج علمها بذلك، وادّعى أنّهما معاً كانا جاهلين حال العقد الأوّل، فإنّه يحكم بترتيب آثار الصحّة على العقد الثاني </w:t>
      </w:r>
    </w:p>
    <w:p>
      <w:pPr>
        <w:pStyle w:val="BookText"/>
        <w:rPr/>
      </w:pPr>
      <w:r>
        <w:rPr>
          <w:rFonts w:ascii="Amiri" w:hAnsi="Amiri" w:eastAsia="Amiri" w:cs="Amiri"/>
          <w:color w:val="111111"/>
          <w:sz w:val="28"/>
          <w:sz w:val="28"/>
          <w:szCs w:val="28"/>
          <w:rtl w:val="true"/>
          <w:lang w:bidi="ar-SA"/>
        </w:rPr>
        <w:t>بالنسبة إلى الزّوج، وبترتيب آثار الفساد بالنسبة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المستفاد من الصحيح، تعميم الجهل المانع عن الحرمة الأبديّة إلى الجهل بالموضوع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حينئذٍ إشكالٌ على الصحيح،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بالجهالة إنْ كان خصوص الغفلة والجهل المركّب، لما استقام ما فيه من التعليل بأنّه مع الجهل بالحكم لا يقدر على الاحتياط، إذ حينئذٍ لا يقدر على الاحتياط مع الجهل بالموضوع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الجهل البسيط والشكّ‌، فهو يقدرُ على الاحتياط مع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بين الجهالتين، بأنْ يَجعل الجهل بالحكم بمعنى الغفلة، والجهل المركّب والجهل بالموضوع بمعنى الشكّ‌، خلاف الظاهر جدّاً، وإرادة الأعمّ منهما في الموضعين لا تُصحّح التعليل، كما لا يخفى‌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المتعيّن استعماله في كلا الموضعين في المعنى العام الشامل للغفلة والشكّ‌، لكن لمّا كان الغالب في الجهل بالحكم هو الغفلة، إذ قلّما يتّفق مع الالتفات إليه الشكّ فيه، بخلاف الجهل بكونها في العِدّة، فإنّه يتحقّق غالباً مع الالتفات بكثرة أسبابه، إذ المتعارف بحيث قَلّ أن تخلّف التفتيش من حال المرأة التي يريد أن يتزوّجها، ومعه من المستحيل عادةً أن لا يصادف بما يورث التفاته إلى أنّها في العِدّة أم لا، كما لا يخفى‌، خَصّ الإمام عليه السلام الجاهل بالتحريم بالأعذريّة، معلّلاً بكونه غير قادرٍ على الاحتياط، نظراً إلى أنّ‌ </w:t>
      </w:r>
    </w:p>
    <w:p>
      <w:pPr>
        <w:pStyle w:val="BookText"/>
        <w:rPr/>
      </w:pPr>
      <w:r>
        <w:rPr>
          <w:rFonts w:ascii="Amiri" w:hAnsi="Amiri" w:eastAsia="Amiri" w:cs="Amiri"/>
          <w:color w:val="111111"/>
          <w:sz w:val="28"/>
          <w:sz w:val="28"/>
          <w:szCs w:val="28"/>
          <w:rtl w:val="true"/>
          <w:lang w:bidi="ar-SA"/>
        </w:rPr>
        <w:t>الغالب فيه الغفلة، بخلاف الجاهل بالعِدّة من دون التفات منه ممّا يتّفق نادراً في الموضعين، فإذاً لا تفكيك بحسب المعنى بين الموضعين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التفتيش عن حال المرأة توجبُ عدم بقاء الشكّ بحاله غالباً، فالتعرّض لحكم الشكّ في العِدّة تعرّضٌ للفرد النادر، كما عن بعض الأعاظم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المستهجن حمل المطلق على الفرد النادر، وأمّا التعرّض لحكم الفرد النادر فلا 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العلم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6"/>
      </w:r>
      <w:r>
        <w:rPr>
          <w:rFonts w:ascii="Amiri" w:hAnsi="Amiri" w:eastAsia="Amiri" w:cs="Amiri"/>
          <w:color w:val="111111"/>
          <w:sz w:val="28"/>
          <w:sz w:val="28"/>
          <w:szCs w:val="28"/>
          <w:rtl w:val="true"/>
          <w:lang w:bidi="ar-SA"/>
        </w:rPr>
        <w:t>لها بصحيح عليّ بن رئاب،،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امرأةٍ تزوّجت في عِدّتها بجهالة منها بذلك‌؟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عليها شيئاً، ويفرّق بينها وبين الذي تزوّج بها، ولا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قد عرفت أنّ ذلك محرّم عليها، ثمّ تقدّمت على ذلك‌؟</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تزوّجته في عِدّةٍ لزوجها الذي طلّقها عليها الرجعة، فإنّي أرى أنّ عليها الرّجم، فإنْ كانت تزوّجته في عِدّةٍ ليس لزوجها الذي طلّقها عليها فيها الرجعة، فإنّي أرى أنّ عليها حَدّ الزاني، ويفرّق بينها وبين الذي تزوّجها، ولا تحلّ له أبداً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 w:name="pg11825_115767"/>
    </w:p>
    <w:p>
      <w:pPr>
        <w:pStyle w:val="BookText"/>
        <w:rPr/>
      </w:pPr>
      <w:bookmarkEnd w:id="24"/>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وان حكم فيه بالحرمة مع علم الزّوجة، إلّاأنّ المفروض فيه الدخول بها بقرينة التعرّض للرّجم والحَدّ، ولذا حكم بها مع جهلها أيضاً</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1056742_73709187"/>
      <w:bookmarkStart w:id="26" w:name="_Toc8"/>
      <w:bookmarkEnd w:id="25"/>
      <w:r>
        <w:rPr>
          <w:rtl w:val="true"/>
        </w:rPr>
        <w:t>الدخول بعد العِدّة موجبٌ للحرمة الأبديّة</w:t>
      </w:r>
      <w:bookmarkEnd w:id="26"/>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الدخول الموجب للحرمة بين القُبُل والدُّبر كما صرّح به جماعة</w:t>
      </w:r>
      <w:r>
        <w:rPr>
          <w:rStyle w:val="FootnoteAnchor"/>
          <w:rtl w:val="true"/>
        </w:rPr>
        <w:footnoteReference w:id="68"/>
      </w:r>
      <w:r>
        <w:rPr>
          <w:rFonts w:ascii="IRNazanin" w:hAnsi="IRNazanin" w:eastAsia="IRNazanin"/>
          <w:color w:val="111111"/>
          <w:sz w:val="28"/>
          <w:sz w:val="28"/>
          <w:szCs w:val="28"/>
          <w:rtl w:val="true"/>
          <w:lang w:bidi="fa-IR"/>
        </w:rPr>
        <w:t>، لإطلاق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هناك فرقٌ بين الدخول في العِدّة، والدخول بعدها، فيكون الموجب للحرمة الأبديّة هو الأوّل دون الثاني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أم لا فرق بينهما، فالدخول بها بعد العِدّة أيضاً موجبٌ للحرمة، كما ذهب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المنسبق إلى الذهن من النصوص، هو اعتبار الدخول في العِدّة في الحرمة فيما يعتبر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مصحّح الحلبي الأوّل، وموثّق محمّدبن مسلم، وحسن حمران المتقدّمة مختصّة بالدخول في العِدّة، فيقيّد بها إطلاق سائر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المطلق من الأخبار محفوفٌ بما يصلح للقرينة، وهو ذكر الظرف في الكلام، فإنّه إذا ذكر قيدٌ في الكلام مع جُمل متعدّدة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القيدفي أوّل الكلام،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جاءيوم الجمعة، وجاءزيدٌ وأكرمك</w:t>
      </w:r>
      <w:r>
        <w:rPr>
          <w:rFonts w:eastAsia="Amiri" w:cs="Amiri" w:ascii="Amiri" w:hAnsi="Amiri"/>
          <w:color w:val="111111"/>
          <w:sz w:val="28"/>
          <w:szCs w:val="28"/>
          <w:rtl w:val="true"/>
          <w:lang w:bidi="ar-SA"/>
        </w:rPr>
        <w:t xml:space="preserve">). </w:t>
      </w:r>
      <w:bookmarkStart w:id="27" w:name="pg11825_115768"/>
    </w:p>
    <w:p>
      <w:pPr>
        <w:pStyle w:val="BookText"/>
        <w:rPr/>
      </w:pPr>
      <w:bookmarkEnd w:id="27"/>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في يوم الجمعة، وأكرمك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وأكرمك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القيد في جميع هذه الصور مانعاً عن ظهور شيء من هذه الجمل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ذُكر جملتان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التزويج، والدخول، وذُكر بينهما قيدٌ وهو في العِدّة صالحٌ لرجوعه إلى كلتيهما، فيكون مانعاً عن انعقاد الإطلاق، وحينئذٍ فيتعيّن الرجوع إلى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الوجوه يجابُ عن استدلال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 من إطلاق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إلى الدخول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غير صالحة للتقييد، لعدم التنافي في الحكم بينها وبين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الكليّة المذكورة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عنها مجالاً واسعاً سيّما في صورة ذكر القيد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على المقام، لأنّ القيد في المقام مذكور في كلام السائل، والجملة الثانية مذكورة في كلام الإمام عليه السلام،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هو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1056744_73709187"/>
      <w:bookmarkStart w:id="29" w:name="_Toc9"/>
      <w:bookmarkEnd w:id="28"/>
      <w:r>
        <w:rPr>
          <w:rtl w:val="true"/>
        </w:rPr>
        <w:t>حكم تزويج من شكّ في أنّها في العِدّة</w:t>
      </w:r>
      <w:bookmarkEnd w:id="29"/>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أنّها في العِدّة أم 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أخبرت بأنّها في العِدّة أو بعدم العِدّة، أو انقضائها صُدِّقت، لمصحّح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والحيض للنساء، إذا ادَّعتْ صُدِّقت</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دلّ على حجيّة قول ذي اليد على ما في يده، فضلاً عن نفسه، كما عليه سيرة العقلاء والمتشرّعة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تخبر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كونها في العِدّة سابقاً، وشكّ في بقائها، لم يجز تزويجها، للاستصحاب، ولو تزوّجها مع ذلك حرمت عليه أبداً، لما حُقّق في محلّه</w:t>
      </w:r>
      <w:r>
        <w:rPr>
          <w:rStyle w:val="FootnoteAnchor"/>
          <w:rtl w:val="true"/>
        </w:rPr>
        <w:footnoteReference w:id="73"/>
      </w:r>
      <w:r>
        <w:rPr>
          <w:rFonts w:ascii="Amiri" w:hAnsi="Amiri" w:eastAsia="Amiri" w:cs="Amiri"/>
          <w:color w:val="111111"/>
          <w:sz w:val="28"/>
          <w:sz w:val="28"/>
          <w:szCs w:val="28"/>
          <w:rtl w:val="true"/>
          <w:lang w:bidi="ar-SA"/>
        </w:rPr>
        <w:t>من قيام الاستصحاب مقام العلم المأخوذ في الموضوع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ذلك، فإنّ مقتضى الأصل جواز التزويج، وعدم الحرمة الأبديّة لو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إجمالاً بكون إحدى الإمرأتين المعيّنتين في العِدّة، ولم يعلمها بعينها، ولا أخبرت إحداهما بشيء، ولم يكن مورداً للاستصحاب، وَجب عليه ترك تزويجهما، للعلم الإجمالي الموجب لتنجّز المعلوم، فيجب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إحداهما بَطَل، للعلم ببطلان تزويج إحداهما فضلاً عن عدم جريان الاُصول المحرزة للصحّة، فيرجع إلى أصالة الفساد أي أصالة عدم تحقّق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يوجب الحرمة الأبديّة،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لعدم إحراز العقد في العِدّة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علمٌ إجمالي آخر، وهو أنّه إمّا أن يحرم تزويج هذه، أو لا يجوز تزويج الاُخرى‌، وهذا العلم موجبٌ للاحتياط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 w:name="pg11825_115770"/>
    </w:p>
    <w:p>
      <w:pPr>
        <w:pStyle w:val="BookText"/>
        <w:rPr/>
      </w:pPr>
      <w:bookmarkEnd w:id="30"/>
      <w:r>
        <w:rPr>
          <w:rFonts w:ascii="Amiri" w:hAnsi="Amiri" w:eastAsia="Amiri" w:cs="Amiri"/>
          <w:color w:val="111111"/>
          <w:sz w:val="28"/>
          <w:sz w:val="28"/>
          <w:szCs w:val="28"/>
          <w:rtl w:val="true"/>
          <w:lang w:bidi="ar-SA"/>
        </w:rPr>
        <w:t>ولكنّه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طرفي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تزويج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فيه الأصل، للعلم الإجمالي السابق، فيجري في طرفه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تزوّج الاُخرى أيضاً، حصل له علمٌ إجمالي بحرمة إحدى الإمرأتين، فيجبُ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بأنّ هذه الإمرأة المعيّنة في العِدّة، لكن لا يدري أنّها في عِدّة نفسه، ليجوز تزويجها، لأنّها إنّما شُرِّعت للمنع عن التزويج بغير ذي العِدّة احتراماً لذي العِدّة، فلا تمنع من تزويجه، أو في عِدّةٍ لغيره، جاز له تزويجها، لأصالة عدم كونها في عِدّة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أصالة عدم كونها في عِدّة نفسه؛ لعدم 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كثير من الموارد يترتّب الأثر اللّزومي على كونها في عِدّة نفسه، كوجوب النفقة والمسكن، بل وجواز الرجوع في عِدّة الطلاق الرِّجعي وما شاكل، وعليه، فيعلم إجمالاً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توجّه إليه تلك الخطابات، أو ثبت في حقّه حرمة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يترتّب على أصالة عدم كونها في عِدّة الغير جواز التزويج، كذلك يترتّب على أصالة عدم كونها في عِدّة نفسه عدم تلك الأحكام، فيتعارض الأصلان، فلا يجوز تزويجها</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1056746_73709187"/>
      <w:bookmarkStart w:id="32" w:name="_Toc10"/>
      <w:bookmarkEnd w:id="31"/>
      <w:r>
        <w:rPr>
          <w:rtl w:val="true"/>
        </w:rPr>
        <w:t>حكم التزويج في العِدّة بالعقد الفاسد</w:t>
      </w:r>
      <w:bookmarkEnd w:id="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يلحق بالتزويج في العِدّة، وطء المُعتدّة شُبهةً‌، لخروجه عن مورد النصوص، فيشملها ما دلّ على الحِلّ‌، وكذا الزِّنا إلّاإذا كانت العِدّة رجعيّة على 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تزوّجها في العِدّة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الفساد لعدم تماميّة أركانه عند العرف، فكذلك لا يوجبُ‌التحريم، لأنّ الموضوع هو تزويج من في العِدّة، ولا يصدق على مثل هذا عنوان التزويج عند العرف، فلا يشمله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الفساد لفقد قيدٍ من القيود الشرعيّة، كالعربيّة وما شاكل،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من أنّ الموجب للحرمة هو العقد الصحيح الذي لولا المانع، ترتّب عليه أثره</w:t>
      </w:r>
      <w:r>
        <w:rPr>
          <w:rStyle w:val="FootnoteAnchor"/>
          <w:rtl w:val="true"/>
        </w:rPr>
        <w:footnoteReference w:id="74"/>
      </w:r>
      <w:r>
        <w:rPr>
          <w:rFonts w:ascii="Amiri" w:hAnsi="Amiri" w:eastAsia="Amiri" w:cs="Amiri"/>
          <w:color w:val="111111"/>
          <w:sz w:val="28"/>
          <w:sz w:val="28"/>
          <w:szCs w:val="28"/>
          <w:rtl w:val="true"/>
          <w:lang w:bidi="ar-SA"/>
        </w:rPr>
        <w:t>، فلا يكون الفاسد موجباً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قدس سره أخيراً في ذلك الكتاب إلى التفصيل بين علم العاقد بالفساد وعدمه، فعلى الأوّل لا يحرم، وعلى الثاني يوجبُ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وذكره في مبحث عقد المُحْرِم، وهو أنّ الفساد إنْ كان من جهة المَهر كنكاح الشِّغار، أو من جهة اللّفظ كالصيغة الفاقدة لما يعتبر فيها، فلا يوجب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المحلّ‌، كما في العقد عليها وهي مُحْرِمة مثلاً، فيوجبُ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موجباً لها مطلقاً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للحرمة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 w:name="pg11825_115772"/>
    </w:p>
    <w:p>
      <w:pPr>
        <w:pStyle w:val="BookText"/>
        <w:rPr/>
      </w:pPr>
      <w:bookmarkEnd w:id="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دعوى أظهريّة القول الرابع، لأنّ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كون الموضوع مذكوراً في الأسئلة، ومن المعلوم أنّهم كانوا يسألون عن حكم التزويج الصحيح، لولا وقوعه في العِدّة، والجواب لا يكون مطلقاً كي يقال إنّه لا عبرة بخصوص المورد، بل هو جوابٌ عمّا سُئل، ومن جهة أنّ التزويج الواقع في كلام الشارع محمولٌ على ما يراه تزويجاً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التزويج الصحيح، مع قطع النظر عن وقوعه في العِدّة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1056748_73709187"/>
      <w:bookmarkStart w:id="35" w:name="_Toc11"/>
      <w:bookmarkEnd w:id="34"/>
      <w:r>
        <w:rPr>
          <w:rtl w:val="true"/>
        </w:rPr>
        <w:t>حكم العقد على امرأةٍ توفّي زوجها قبل عِلمها بوفاته</w:t>
      </w:r>
      <w:bookmarkEnd w:id="35"/>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بعد وفاة زوجها، وقبل علمها بالوفاة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أصبحت خليّة غير ذات البعل، ولكنّها غير مُعتدّة لأنّ عِدّتها من حين بلوغ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ذلك الحرمة الأبديّة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القول الثاني جماعة،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وكاشف اللّثام</w:t>
      </w:r>
      <w:r>
        <w:rPr>
          <w:rStyle w:val="FootnoteAnchor"/>
          <w:rtl w:val="true"/>
        </w:rPr>
        <w:footnoteReference w:id="7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القول الأوّل فقد 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تزوّجها بعد هذا الزمان في زمان العِدّة، لاقتضى التحريم البتّة، ففيه أولى‌، لأنّه أقرب إلى زمان الزوجيّة، والمناقشة في هذه الأولويّة ممنوعة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دليلٍ على كون التحريم مع التزويج في العِدّة من جهة عُلقة الزوجيّة، واحترام الزّوج، لأنّه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للعِدّة خصوصيّة 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الأدلّة أنّها في المدّة المتخلّلة بين الوفاة، وعلمها بها تكون بحكم الزّوجة المُعتدّة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الأخبار، فاستفادة ذلك منها مشكلة، إلّاأن يرجع إلى ما سنذكره عند بيان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الأصل العملي، وهو الاستصحاب، فهو إنّما يفيد الحكم الظاهري، وقد انكشف خلافه، وأنّ العقد لم يكن على ذات البعل واقعاً، وعليه فلا وجه لتحريمها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زوجة، ولا معتدّة، لعدم الاعتداد عليها قبل العلم بالوفاة، فيرجع فيها إلى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ذات البعل وإنْ لم تشملها، لعدم كونها ذات البعل، ولكن بعض نصوص ذات العِدّة الآتية تشملها، وهو ما تضمّن المنع عن تزويج امرأةٍ قبل أنْ تنقضي عِدّتها، فإنّ مقتضى إطلاقه شمول المنع للتزويج بعد خروجها عن كونها ذات بعل، وصيرورتها معتدّة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الإطلاق، لعدم كونه في مقام البيان من هذه </w:t>
      </w:r>
    </w:p>
    <w:p>
      <w:pPr>
        <w:pStyle w:val="BookText"/>
        <w:rPr/>
      </w:pP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بقبل انقضاء العِدّة في مورد عدم الشروع فيها غير متعارف، فهو ظاهرٌ في التزويج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المنع عن التزويج في العِدّة، وأنّه يوجب الحرمة الأبديّة، إنّما تدلّ على أنّ إيجاد العُلقة الزوجيّة فيها وجعل المرأة زوجة 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المرأة بعدما علمت بالوفاة، يكون بقاء زوجيّتها بإيجادها قبل ذلك، فتصبح حينئذٍ امرأةٌ ذاتُ عِدّة قد تزوّجت، فتشملها النصوص، لعدم الفرق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ظاهرة في الإحداث وإيجاد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التحريم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العقد عليها باطلاً من الأوّل، أو يبطل من حين علمها بالوفاة، أم يصحّ؟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المفهوم من الأدلّة الواردة أنّ ذات العِدّة لا يصحّ تزويجها إلّابعد انقضاء العِدّة، فما دامت العِدّة غير منتهية، فعلاقة الزوجيّة للأوّل باقية، وهي تنافي التزويج للآخر، ذكره بعض الأعاظم من المعاصرين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وبمنافاة صحّته لما عليها من استحقاق الزّوج عليها العِدّة والحِداد الذي هو ترك الزينة في نفس الأمر، لأنّ وجوب العِدّة والحِداد عليها من حين بلوغ خبر الوفاة، إنّما هو لاحترام الزّوج، ومن المعلوم منافاة صحّة العقد عليها مع وجوب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العِدّة والحِداد عليها، لاحترام الزّوج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تمشّي القصد الجدّي منهما إلى الإنشاء الذي لابدّ منه في صحّة كلّ عقدٍ، مع إحراز كونها ذات بعل ولو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منسوبان إلى المحقّق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منعنا كون علّة حرمة التزويج في العِدّة، ومحرّميّته، هي احترام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منعه، ولذلك اختار عدم كونه محرّماًأبديّاً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وجهٌ لذلك إذ أهل العرف لا يفهمون ملاك هذا الحكم ومناطه حينئذٍ، بل هو حكمٌ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يفهمون أنّ المناط هو التمانع عندهم بين الزوجتين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قطع علاقة الزوجيّة للأوّل لا مجال لفرض قيام التمانع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من ما اُفيد، هو قيام التزاحم بين وجوب العِدّة والحِداد، وبين ما يستحقّ عليها الزّوج الثاني، لا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القصد الجِدّي إلى إيجاد الزوجيّة في اعتبارهما، لا إلى تحقّقها عند العقلاء والشارع الأقدس، ومن المعلوم أنّ ذلك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مانعاً من صحّة العقد، وكونها زوجة للثاني، ومع ذلك يجب عليها الاعتداد، فتكون من قبيل الزّوجة المفقود زوجها إذا اطمئنت بموته، ثمّ تزوّجت، ودخل بها الثاني، فإنّه إذا جاء الأوّل تكون هي زوجته، ومع ذلك يجب عليها الإعتداد من الثاني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ظاهر الأساطين كون بطلان العقد في المقام من المسلّمات وكفى به مدركاً، وطريق الاحتياط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6" w:name="pg11825_115776"/>
    </w:p>
    <w:p>
      <w:pPr>
        <w:pStyle w:val="Heading2"/>
        <w:numPr>
          <w:ilvl w:val="1"/>
          <w:numId w:val="1"/>
        </w:numPr>
        <w:rPr/>
      </w:pPr>
      <w:bookmarkStart w:id="37" w:name="__RefHeading___Toc11056750_73709187"/>
      <w:bookmarkStart w:id="38" w:name="_Toc12"/>
      <w:bookmarkEnd w:id="36"/>
      <w:bookmarkEnd w:id="37"/>
      <w:r>
        <w:rPr>
          <w:rtl w:val="true"/>
        </w:rPr>
        <w:t>حكم ما لو تزوّج المُعتدّة، ودخل بها، ثمّ ولدت ولداً</w:t>
      </w:r>
      <w:bookmarkEnd w:id="38"/>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في العِدّة جاهلاً، ووطئها الرّجل فحملت وجاءت بولد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مضى من وطء الثاني أقلّ من ستّة أشهر، ولم يمض من وطء الزّوج الأوّل أقصى مدّة الحمل، لحق الولد بالأوّل قطعاً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لقاعدة الفراش، وانتفائه عن الثاني قطعاً، فلا يعارضها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ولمرسل جميل، عن بعض أصحابه،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تزوّج في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 وإذا جاءت بولدٍ لستّة أشهر أو أكثر فهو للأخير، وإنْ جاءت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مضى من وطء الأوّل أقصى المدّة، ومن وطء الثاني ستّة أشهر أو أزيد إلى ما قبل الأقصى، لحق الولدُ بالثاني بلا إشكال،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وقطعاً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قاعدة الفراش، بناءً على أنّ الفراش ما يقابل العاهر، والواطء شبهة ليس بعاهر، ولا يعارضه فراش الأوّل لانتفائه عنه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مضى من وطء الأوّل أقصى المدّة، ومن وطء الثاني أقلّ من ستّة أشهر، فلا يلحق بواحدٍ منهما، للعلم بانتفائه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مضى من وطء الأوّل ستّة أشهر فما فوق إلى أقصى المدّة، وكذا من وطء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في بعض فروع السبب، أنّه ملحقٌ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وغيرها</w:t>
      </w:r>
      <w:r>
        <w:rPr>
          <w:rStyle w:val="FootnoteAnchor"/>
          <w:rtl w:val="true"/>
        </w:rPr>
        <w:footnoteReference w:id="90"/>
      </w:r>
      <w:r>
        <w:rPr>
          <w:rFonts w:ascii="Amiri" w:hAnsi="Amiri" w:eastAsia="Amiri" w:cs="Amiri"/>
          <w:color w:val="111111"/>
          <w:sz w:val="28"/>
          <w:sz w:val="28"/>
          <w:szCs w:val="28"/>
          <w:rtl w:val="true"/>
          <w:lang w:bidi="ar-SA"/>
        </w:rPr>
        <w:t>أنّه ملحقٌ بالثاني، ونَسَبه الشهيد الثاني رحمه الله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كلّاً منهما وإنْ كان فراشاً، وتتعارض قاعدة الفراش فيهما، إلّاأنّ الترجيح مع تطبيقها على الثاني، لأنّ الثابت أولى من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الفراش لا دخل له في الحكم، وإنّما الميزان هو الفراش حال الانعقاد، ونسبته اليهما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من الاستدلال بمرسل جميل المتقدّم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وظاهرٌ أنّه لا إرسال فيه، فضلاً عن أنّه من أصحاب الإجماع، فلا يضرّ إرساله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تدلّ على ذلك في غير المقام من موارد الوطء بالشبهة، وبعدم الفصل بين الموارد يُحكم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يطأها فيعتقها فاعتدّت ونكحت، فإن وضع لخمسة أشهر فإنّه لمولاها الذي أعتقها، وإنْ وضعت بعدما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عمّن رواه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إذا طلّق امرأته ثمّنكحت، وقداعتدّت ووضعت لخمسة أشهر فهو للأخير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وفخر الإسلام</w:t>
      </w:r>
      <w:r>
        <w:rPr>
          <w:rStyle w:val="FootnoteAnchor"/>
          <w:rtl w:val="true"/>
        </w:rPr>
        <w:footnoteReference w:id="95"/>
      </w:r>
      <w:r>
        <w:rPr>
          <w:rFonts w:ascii="Amiri" w:hAnsi="Amiri" w:eastAsia="Amiri" w:cs="Amiri"/>
          <w:color w:val="111111"/>
          <w:sz w:val="28"/>
          <w:sz w:val="28"/>
          <w:szCs w:val="28"/>
          <w:rtl w:val="true"/>
          <w:lang w:bidi="ar-SA"/>
        </w:rPr>
        <w:t>أنّه يُقرع بينهما، لأنّ كلّاً منهما فراشٌ فتتعارض قاعدة الفراش فيهما، ولا ترجيح لأحدهما على الآخر، فيكون المقام من المشكل، فيرجع فيه إلى القرعة لأنّها لكلّ أمرٍ مُشكل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39" w:name="pg11825_115779"/>
    </w:p>
    <w:p>
      <w:pPr>
        <w:pStyle w:val="BookText"/>
        <w:rPr/>
      </w:pPr>
      <w:bookmarkEnd w:id="39"/>
      <w:r>
        <w:rPr>
          <w:rFonts w:ascii="Amiri" w:hAnsi="Amiri" w:eastAsia="Amiri" w:cs="Amiri"/>
          <w:color w:val="111111"/>
          <w:sz w:val="28"/>
          <w:sz w:val="28"/>
          <w:szCs w:val="28"/>
          <w:rtl w:val="true"/>
          <w:lang w:bidi="ar-SA"/>
        </w:rPr>
        <w:t>والولَدُ له والمَهرُ للمرأة</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1056752_73709187"/>
      <w:bookmarkStart w:id="41" w:name="_Toc13"/>
      <w:bookmarkEnd w:id="40"/>
      <w:r>
        <w:rPr>
          <w:rtl w:val="true"/>
        </w:rPr>
        <w:t>ثبوت المَهر المسمّى في وطء الشبهة</w:t>
      </w:r>
      <w:bookmarkEnd w:id="41"/>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لو تزوّج الرّجل المُعتدّة، ولم يدخل بها، لا مَهر عليه، لفساد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عبداللّه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المطلّقة، قبل أنْ تنقضي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تحلّ له أبداً، ويكون له صداقها بما استحلّ من فرجها، أو نصفه إنْ لم يكن دَخَل بها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فلإعراض الأصحاب عنه، ومعارضته مع النصوص الاُخر،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ثبوت مَهر المِثل في الوطء بالشُّبهة المجرّدة عن التزويج، إذا كانت الموطوءة مشتبهة،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الوطء بالتزويج، ففي ثبوت المُسمّى أو مَهر المثل قولان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المتن،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والمَهر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من العقد هو السبب في ثبوت المَهر لأنّه الوجه في الشبهة، فكان كالصحيح المقتضي ضمان ما وقع عليه التراضي، لأنّه </w:t>
      </w:r>
    </w:p>
    <w:p>
      <w:pPr>
        <w:pStyle w:val="BookText"/>
        <w:rPr/>
      </w:pPr>
      <w:r>
        <w:rPr>
          <w:rFonts w:ascii="Amiri" w:hAnsi="Amiri" w:eastAsia="Amiri" w:cs="Amiri"/>
          <w:color w:val="111111"/>
          <w:sz w:val="28"/>
          <w:sz w:val="28"/>
          <w:szCs w:val="28"/>
          <w:rtl w:val="true"/>
          <w:lang w:bidi="ar-SA"/>
        </w:rPr>
        <w:t>يدفعه أنّ كون العقد سبباً للشبهة، لا يوجبُ ضمان المسمّى، والرّضا به إنّما كان مبنيّاً على العقد، فيفسد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المسمّى إنّما يكون بالعقد، والمفروض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في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وإنْ كان دخل بها فلها المَهر بما استحلّ من فرجها، ويفرّق بينهما، فلا تحلّ له أبداً، وإنْ لم يكن دخل بها، فلا شيء لها من مَهرها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دخل بها فلها المَهر بما استحلّ من فرجها، ويفرّق بينهما، وإنْ لم يكن دخل بها فلا شيء لها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المراد منه جنس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المراد جنس المَهر قطعاً، وإلّا لزم الاكتفاء بأقلّ ما يمكن أنْ يكون مهراً للإطلاق، بل المراد به إمّا المُسمّى أو مَهر المِثل، وظهورها في الأوّل من جهة ذكر التزويج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فيها من التعليل، فلا ينافي ذلك، لأنّه يدلّ على أنّ الموجب لضمان المَهر هو الدخول، ومع عدمه لا شيء عليه، وهذا كما يلائم مع ضمان مهر المثل، يلائم مع ضمان المُسمّى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تكن المرأة عالمة، وإلّا فلا تستحقّ شيئاً إذ لا مَهر لبغيّ‌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 w:name="pg11825_115781"/>
    </w:p>
    <w:p>
      <w:pPr>
        <w:pStyle w:val="BookText"/>
        <w:rPr/>
      </w:pPr>
      <w:bookmarkEnd w:id="42"/>
      <w:r>
        <w:rPr>
          <w:rFonts w:ascii="Amiri" w:hAnsi="Amiri" w:eastAsia="Amiri" w:cs="Amiri"/>
          <w:color w:val="111111"/>
          <w:sz w:val="28"/>
          <w:sz w:val="28"/>
          <w:szCs w:val="28"/>
          <w:rtl w:val="true"/>
          <w:lang w:bidi="ar-SA"/>
        </w:rPr>
        <w:t>وتُتمّ عِدّة الأوّل وتستأنف للثاني</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1056754_73709187"/>
      <w:bookmarkStart w:id="44" w:name="_Toc14"/>
      <w:bookmarkEnd w:id="43"/>
      <w:r>
        <w:rPr>
          <w:rtl w:val="true"/>
        </w:rPr>
        <w:t>حكم ما لو اجتمعت العِدّتان</w:t>
      </w:r>
      <w:bookmarkEnd w:id="44"/>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 في العِدّة ودخل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يكفي في صحّة تزويجها من شخص ثالث أن تعتدّ عِدّة واحدة عن الزّوج الأوّل والثاني‌؟</w:t>
      </w:r>
    </w:p>
    <w:p>
      <w:pPr>
        <w:pStyle w:val="BookText"/>
        <w:rPr/>
      </w:pPr>
      <w:r>
        <w:rPr>
          <w:rFonts w:ascii="Amiri" w:hAnsi="Amiri" w:eastAsia="Amiri" w:cs="Amiri"/>
          <w:color w:val="111111"/>
          <w:sz w:val="28"/>
          <w:sz w:val="28"/>
          <w:szCs w:val="28"/>
          <w:rtl w:val="true"/>
          <w:lang w:bidi="ar-SA"/>
        </w:rPr>
        <w:t xml:space="preserve">أم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عِدّة الأوّل، وتستأنف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w:t>
      </w:r>
      <w:r>
        <w:rPr>
          <w:rStyle w:val="FootnoteAnchor"/>
          <w:rtl w:val="true"/>
        </w:rPr>
        <w:footnoteReference w:id="101"/>
      </w:r>
      <w:r>
        <w:rPr>
          <w:rFonts w:ascii="Amiri" w:hAnsi="Amiri" w:eastAsia="Amiri" w:cs="Amiri"/>
          <w:color w:val="111111"/>
          <w:sz w:val="28"/>
          <w:sz w:val="28"/>
          <w:szCs w:val="28"/>
          <w:rtl w:val="true"/>
          <w:lang w:bidi="ar-SA"/>
        </w:rPr>
        <w:t xml:space="preserve">بين الأصحاب هو الثاني،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دعوى الإجماع عليه،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وابن الجُنيد</w:t>
      </w:r>
      <w:r>
        <w:rPr>
          <w:rStyle w:val="FootnoteAnchor"/>
          <w:rtl w:val="true"/>
        </w:rPr>
        <w:footnoteReference w:id="105"/>
      </w:r>
      <w:r>
        <w:rPr>
          <w:rFonts w:ascii="Amiri" w:hAnsi="Amiri" w:eastAsia="Amiri" w:cs="Amiri"/>
          <w:color w:val="111111"/>
          <w:sz w:val="28"/>
          <w:sz w:val="28"/>
          <w:szCs w:val="28"/>
          <w:rtl w:val="true"/>
          <w:lang w:bidi="ar-SA"/>
        </w:rPr>
        <w:t xml:space="preserve">اختيار الأوّل، واستظهره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التداخل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امرأةٍ تزوّجت قبل أنْ تنقضي عِدّتها؟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أبي العبّاس</w:t>
      </w:r>
      <w:r>
        <w:rPr>
          <w:rStyle w:val="FootnoteAnchor"/>
          <w:rtl w:val="true"/>
        </w:rPr>
        <w:footnoteReference w:id="109"/>
      </w:r>
      <w:r>
        <w:rPr>
          <w:rFonts w:ascii="Amiri" w:hAnsi="Amiri" w:eastAsia="Amiri" w:cs="Amiri"/>
          <w:color w:val="111111"/>
          <w:sz w:val="28"/>
          <w:sz w:val="28"/>
          <w:szCs w:val="28"/>
          <w:rtl w:val="true"/>
          <w:lang w:bidi="ar-SA"/>
        </w:rPr>
        <w:t>، ومرسل جميل</w:t>
      </w:r>
      <w:r>
        <w:rPr>
          <w:rStyle w:val="FootnoteAnchor"/>
          <w:rtl w:val="true"/>
        </w:rPr>
        <w:footnoteReference w:id="110"/>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نُعي إليها زوجها، فاعتدّت وتزوّجت، فجاء زوجها الأوّل، ففارقها وفارقها الآخر، كم تعتدّ للثاني‌؟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وإنّما يستبرئ رحمها بثلاثة قروء، وتحلّ للنّاس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اُناساً قالوا تعتدّ عدّتين من كلّ واحد عِدّة، فأبى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وتحلّ للرّجل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يونس</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الأخيرين في ذات البعل، ودلالتهما على المقام مبنيّة على كون المسألتين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في عِدّتها؟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 دخل بها فرّق بينهما، ولم تحلّ له أبداً، وأتمّت عِدّتها من الأوّل، وعِدّة أُخرى من الآخر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صحيح عليّ بن رئاب، عن عليّ بن بشير النبّال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مات عنها زوجها، فوضعت وتزوّجت قبل تمام الأربعة أشهر وعشرة أيّام‌؟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تزوّجها دخل بها، فرّق بينهما، ولم تحلّ له أبداً، واعتدّت بما بقي عليها من عِدّة الأوّل، واستقبلت عِدّة أُخرى من الآخر ثلاثة قروء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مصحّح الحلبي</w:t>
      </w:r>
      <w:r>
        <w:rPr>
          <w:rStyle w:val="FootnoteAnchor"/>
          <w:rtl w:val="true"/>
        </w:rPr>
        <w:footnoteReference w:id="116"/>
      </w:r>
      <w:r>
        <w:rPr>
          <w:rFonts w:ascii="Amiri" w:hAnsi="Amiri" w:eastAsia="Amiri" w:cs="Amiri"/>
          <w:color w:val="111111"/>
          <w:sz w:val="28"/>
          <w:sz w:val="28"/>
          <w:szCs w:val="28"/>
          <w:rtl w:val="true"/>
          <w:lang w:bidi="ar-SA"/>
        </w:rPr>
        <w:t>، وخبر عليّ بن جعفر عليه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في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118"/>
      </w:r>
      <w:r>
        <w:rPr>
          <w:rFonts w:ascii="Amiri" w:hAnsi="Amiri" w:eastAsia="Amiri" w:cs="Amiri"/>
          <w:color w:val="111111"/>
          <w:sz w:val="28"/>
          <w:sz w:val="28"/>
          <w:szCs w:val="28"/>
          <w:rtl w:val="true"/>
          <w:lang w:bidi="ar-SA"/>
        </w:rPr>
        <w:t>، من حمل نصوص التداخل على عدم دخول الثاني، لعدم صراحتها في الدخول، وصراحة نصوص التعدّد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الدخول لا معنى للاعتداد من الثاني، فالحكم بالاعتداد منه قرينةٌ على أنّ مورد تلك النصوص أيضاً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التداخل على التقيّة، ذكره جماعة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زرارة ومرسل يونس دالّان على أنّتلك النصوص مخالفة للعامّة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التعدّد على التقيّة، بقرينة موثّق زرارة ومرسل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عقدَ عالماً حَرُمت أبداً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0"/>
      </w:r>
      <w:r>
        <w:rPr>
          <w:rFonts w:ascii="Amiri" w:hAnsi="Amiri" w:eastAsia="Amiri" w:cs="Amiri"/>
          <w:color w:val="111111"/>
          <w:sz w:val="28"/>
          <w:sz w:val="28"/>
          <w:szCs w:val="28"/>
          <w:rtl w:val="true"/>
          <w:lang w:bidi="ar-SA"/>
        </w:rPr>
        <w:t xml:space="preserve">، 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ذلك إذا لم يمكن الجمع العرفي، ولم تكن مرجّحاتٌ اُخر لأحد الطرفين التي هي مقدّمة على هذا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نصوص التعدّد، لموافقتها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التداخل على ما حقّقناه في محلّه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الأصل ليست من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نصوص التعدّد على الاستحباب، لأنّه أبرأ للرّحم، وأحفظ للحقوق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 نصوص التداخل، ولم يفتوا به، وهذا يوجبُ سقوطها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يمكن الجمع العرفي بين الطائفتين، فنصوص التداخل ساقطة عن الحجيّة بالإعراض، وإمّا لا يمكن، ويقع التعارض بينهما، فتقدّم نصوص التعدّد للشهرة كما أفاده المحقّق رحمه الله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وجوب التعدّد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ظهر ممّا ذكرناه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ذات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بالعقد</w:t>
      </w:r>
      <w:r>
        <w:rPr>
          <w:rFonts w:eastAsia="Amiri" w:cs="Amiri" w:ascii="Amiri" w:hAnsi="Amiri"/>
          <w:color w:val="111111"/>
          <w:sz w:val="28"/>
          <w:szCs w:val="28"/>
          <w:rtl w:val="true"/>
          <w:lang w:bidi="ar-SA"/>
        </w:rPr>
        <w:t xml:space="preserve">).). </w:t>
      </w:r>
      <w:bookmarkStart w:id="45" w:name="pg11825_115785"/>
    </w:p>
    <w:p>
      <w:pPr>
        <w:pStyle w:val="BookText"/>
        <w:rPr/>
      </w:pPr>
      <w:bookmarkEnd w:id="45"/>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فأوقبه، حَرُمت عليه أُمّ الغلام واُخته وبنته أبداً،</w:t>
      </w:r>
    </w:p>
    <w:p>
      <w:pPr>
        <w:pStyle w:val="Heading2"/>
        <w:numPr>
          <w:ilvl w:val="1"/>
          <w:numId w:val="1"/>
        </w:numPr>
        <w:rPr/>
      </w:pPr>
      <w:bookmarkStart w:id="46" w:name="__RefHeading___Toc11056756_73709187"/>
      <w:bookmarkStart w:id="47" w:name="_Toc15"/>
      <w:bookmarkEnd w:id="46"/>
      <w:r>
        <w:rPr>
          <w:rtl w:val="true"/>
        </w:rPr>
        <w:t>حرمة أُمّ الغلام الموطوء واُخته وبنته</w:t>
      </w:r>
      <w:bookmarkEnd w:id="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البحث عن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فأوقبه، حَرُمت عليه أُمّ الغلام واُخته وبنته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للسيّد، وغيرهم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أعلى درجات الإستفاضة أو التواتر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بعض أصحابه، عن أبي عبداللّه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يعبث بالغلام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واُخته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إبراهيم بن عمر،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لعب بغلامٍ‌، هل تحلّ له 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في الجملة ممّا لا إشكال فيه، 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شاملة لبنات الأولاد وإنْ نزلن، وللجدّات وإنْ عَلون، أم لا بل تختصّ بالبنت بلا واسطة وكذا الاُمّ؟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بالأوّل المصنّف رحمه الله في بعض كتبه</w:t>
      </w:r>
      <w:r>
        <w:rPr>
          <w:rStyle w:val="FootnoteAnchor"/>
          <w:rtl w:val="true"/>
        </w:rPr>
        <w:footnoteReference w:id="134"/>
      </w:r>
      <w:r>
        <w:rPr>
          <w:rFonts w:ascii="Amiri" w:hAnsi="Amiri" w:eastAsia="Amiri" w:cs="Amiri"/>
          <w:color w:val="111111"/>
          <w:sz w:val="28"/>
          <w:sz w:val="28"/>
          <w:szCs w:val="28"/>
          <w:rtl w:val="true"/>
          <w:lang w:bidi="ar-SA"/>
        </w:rPr>
        <w:t>، والحِلّي</w:t>
      </w:r>
      <w:r>
        <w:rPr>
          <w:rStyle w:val="FootnoteAnchor"/>
          <w:rtl w:val="true"/>
        </w:rPr>
        <w:footnoteReference w:id="135"/>
      </w:r>
      <w:r>
        <w:rPr>
          <w:rFonts w:ascii="Amiri" w:hAnsi="Amiri" w:eastAsia="Amiri" w:cs="Amiri"/>
          <w:color w:val="111111"/>
          <w:sz w:val="28"/>
          <w:sz w:val="28"/>
          <w:szCs w:val="28"/>
          <w:rtl w:val="true"/>
          <w:lang w:bidi="ar-SA"/>
        </w:rPr>
        <w:t>، وعن جماعةٍ‌</w:t>
      </w:r>
      <w:r>
        <w:rPr>
          <w:rStyle w:val="FootnoteAnchor"/>
          <w:rtl w:val="true"/>
        </w:rPr>
        <w:footnoteReference w:id="136"/>
      </w:r>
      <w:r>
        <w:rPr>
          <w:rFonts w:ascii="Amiri" w:hAnsi="Amiri" w:eastAsia="Amiri" w:cs="Amiri"/>
          <w:color w:val="111111"/>
          <w:sz w:val="28"/>
          <w:sz w:val="28"/>
          <w:szCs w:val="28"/>
          <w:rtl w:val="true"/>
          <w:lang w:bidi="ar-SA"/>
        </w:rPr>
        <w:t>دعوى الاتّفاق عليه، وتنظّر فيه كاشف اللّثام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وقوّى بعضهم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لصدق الاُمّ على الجَدّة، والبنت على بنتِ البنت وبنتِ الإبن، كما صرّح به بعض اللّغويين</w:t>
      </w:r>
      <w:r>
        <w:rPr>
          <w:rStyle w:val="FootnoteAnchor"/>
          <w:rtl w:val="true"/>
        </w:rPr>
        <w:footnoteReference w:id="138"/>
      </w:r>
      <w:r>
        <w:rPr>
          <w:rFonts w:ascii="Amiri" w:hAnsi="Amiri" w:eastAsia="Amiri" w:cs="Amiri"/>
          <w:color w:val="111111"/>
          <w:sz w:val="28"/>
          <w:sz w:val="28"/>
          <w:szCs w:val="28"/>
          <w:rtl w:val="true"/>
          <w:lang w:bidi="ar-SA"/>
        </w:rPr>
        <w:t>، هذا فضلاً عن أنّ نفس فتوى الفقهاء الذين هم أهل اللّسان بذلك، من دون أنْ يكون هناك نصٌّ خاصّ‌، من أقوى الشواهد على أنّهما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الغلام شُبهةً‌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يشمل هذا الحكم له، نظراً إلى صدق الإيقاب والثقب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من جهة أنّ الظاهر أنّ الموضوع هو اللّواط، وهو عبارة عن العمل القبيح المحرّم كالزِّنا، ولا حرمة مع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وطء الغلام بشبهةٍ نادرٌ جدّاً، فيكون الإطلاق منصرفاً عنه‌؟</w:t>
      </w:r>
    </w:p>
    <w:p>
      <w:pPr>
        <w:pStyle w:val="BookText"/>
        <w:rPr/>
      </w:pPr>
      <w:r>
        <w:rPr>
          <w:rFonts w:ascii="Amiri" w:hAnsi="Amiri" w:eastAsia="Amiri" w:cs="Amiri"/>
          <w:color w:val="111111"/>
          <w:sz w:val="28"/>
          <w:sz w:val="28"/>
          <w:szCs w:val="28"/>
          <w:rtl w:val="true"/>
          <w:lang w:bidi="ar-SA"/>
        </w:rPr>
        <w:t>وجهان، أظهرهما الأوّل، لأنّه لم يؤخذ اللّواط موضوعاً في النصوص، وانصراف المطلق عن الفرد النادر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الحكم ما لو كان الموطوء رجلاً، أم يختصّ بالغلام‌؟</w:t>
      </w:r>
    </w:p>
    <w:p>
      <w:pPr>
        <w:pStyle w:val="BookText"/>
        <w:rPr/>
      </w:pPr>
      <w:r>
        <w:rPr>
          <w:rFonts w:ascii="IRNazanin" w:hAnsi="IRNazanin" w:eastAsia="IRNazanin"/>
          <w:color w:val="111111"/>
          <w:sz w:val="28"/>
          <w:sz w:val="28"/>
          <w:szCs w:val="28"/>
          <w:rtl w:val="true"/>
          <w:lang w:bidi="fa-IR"/>
        </w:rPr>
        <w:t>ذهب إلى الأوّل المصنّف رحمه الله</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والمحقّق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إطباق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41"/>
      </w:r>
      <w:r>
        <w:rPr>
          <w:rFonts w:ascii="Amiri" w:hAnsi="Amiri" w:eastAsia="Amiri" w:cs="Amiri"/>
          <w:color w:val="111111"/>
          <w:sz w:val="28"/>
          <w:sz w:val="28"/>
          <w:szCs w:val="28"/>
          <w:rtl w:val="true"/>
          <w:lang w:bidi="ar-SA"/>
        </w:rPr>
        <w:t>، ومنشأ الإشكال أنّ المأخوذ في النصوص موضوعاً لهذا الحكم، هو الغلام، وهو لا يشمل الشيخ، فثبوت الحكم للرّجل يتوقّف على فهم المثاليّة من الغلام، وأنّ المراد به مطلق الذَكَر، أو القطع بالمساواة، أو الإجماع على عدم الفصل، وشيءٌ من هذه الاُمور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يحتمل رجوع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النَسَب مقابل الرّضاع، ورجوع الإطباق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الواطيءُ صغيراً، فهل تحرم عليه أُمّ الموطوء واُخته وبنته كما عن المحقّق والشهيد الثانيّين</w:t>
      </w:r>
      <w:r>
        <w:rPr>
          <w:rStyle w:val="FootnoteAnchor"/>
          <w:rtl w:val="true"/>
        </w:rPr>
        <w:footnoteReference w:id="142"/>
      </w:r>
      <w:r>
        <w:rPr>
          <w:rFonts w:ascii="Amiri" w:hAnsi="Amiri" w:eastAsia="Amiri" w:cs="Amiri"/>
          <w:color w:val="111111"/>
          <w:sz w:val="28"/>
          <w:sz w:val="28"/>
          <w:szCs w:val="28"/>
          <w:rtl w:val="true"/>
          <w:lang w:bidi="ar-SA"/>
        </w:rPr>
        <w:t xml:space="preserve">،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وغيرها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مختصّة بالرّجل، وهو لا يشمل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فرق في أحكام المصاهرة بين البالغ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بعد البلوغ يصدق عليه أنّه رجلٌ أوقب، وإنْ كان إيقابه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التحريم في النّص خارجٌ مخرج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المأخوذ موضوعاً في مرسل ابن سعدان</w:t>
      </w:r>
      <w:r>
        <w:rPr>
          <w:rStyle w:val="FootnoteAnchor"/>
          <w:rtl w:val="true"/>
        </w:rPr>
        <w:footnoteReference w:id="146"/>
      </w:r>
      <w:r>
        <w:rPr>
          <w:rFonts w:ascii="Amiri" w:hAnsi="Amiri" w:eastAsia="Amiri" w:cs="Amiri"/>
          <w:color w:val="111111"/>
          <w:sz w:val="28"/>
          <w:sz w:val="28"/>
          <w:szCs w:val="28"/>
          <w:rtl w:val="true"/>
          <w:lang w:bidi="ar-SA"/>
        </w:rPr>
        <w:t>الآتي الشاب، وهو يصدق على الصغير القريبُ من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الحكم في المصاهرة، لا يستلزم ثبوته له في اللّواط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العنوانين المأخوذين في الموضوع، هو اعتبار التقارن بينهما،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الأعلم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العرف اعتبار تقارن الوصفين في التقليد، فلا يجوز تقليد شخصٍ كان عادلاً سابقاً وهو في الحال أعلمٌ غير 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فظاهر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أوقب حال كونه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القيد على الغالب، سيّما فيما اُخذ القيد عنواناً وموضوعاً بلا ذكر المقيّد،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 لم يعمل به في مورده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تحرم على الموطوء أُمّ الواطيء وبنته واُخته، 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دعوى الإجماع عليه، ويشهد به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بعضٍ‌</w:t>
      </w:r>
      <w:r>
        <w:rPr>
          <w:rStyle w:val="FootnoteAnchor"/>
          <w:rtl w:val="true"/>
        </w:rPr>
        <w:footnoteReference w:id="149"/>
      </w:r>
      <w:r>
        <w:rPr>
          <w:rFonts w:ascii="Amiri" w:hAnsi="Amiri" w:eastAsia="Amiri" w:cs="Amiri"/>
          <w:color w:val="111111"/>
          <w:sz w:val="28"/>
          <w:sz w:val="28"/>
          <w:szCs w:val="28"/>
          <w:rtl w:val="true"/>
          <w:lang w:bidi="ar-SA"/>
        </w:rPr>
        <w:t>التحريم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الضمير في قوله عليه السلام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رجوعه إلى كلٍّ من الفاعل والمفعول، فتكون الأخبار من هذه الجهة مجملة، مردّدة بين المتباينين، وإجمال المخصّص المردّد بين المتباينين يَسري إلى العام، فلا يصحّ الاستدلال بعمومات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الحِلّ‌، فلتعارضه في طرف الفاعل والمفعول لا يجري، وكذا أصالة الحِلّ والبراءة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المسؤول عن حكمه هو الواطئ، فإنّه المذكور في السؤال ركناً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للجملة، وأمّا الموطوء فهو مذكورٌ في المتعلّقات، فالحكم وهو التحريم يكون منصوباً عليه، وضمير المخاطب بالحكم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لإنكار ظهور الأخبار في رجوع الضمير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الضمير الآخر راجعٌ إلى الموطوء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تعارض الاُصول لا وجه له، فإنّه إنّما تتعارض الاُصول وتتساقط في التكليفين المتوجّهين إلى شخصٍ واحد، وأمّا التكليف الواحد المردّد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الاغتسال على واحدٍ من واجدي المني في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تتعارض ولا تتساقط، بل تجري الجميع، والمقام من قبيل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اللّعِب بالغلام، والاستمتاع به بما دون الإيقاب، لا يوجبان الحرمة، للأصل، وتعليق الحرمة على خصوص 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إدخال بعض الحَشَفة يوجبُ الحرمة،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فيه الاتّفاق في الظاهر عليه</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يوجب الحُرمة، ما لم يدخل تمام الحَشَفة‌؟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55"/>
      </w:r>
      <w:r>
        <w:rPr>
          <w:rFonts w:ascii="Amiri" w:hAnsi="Amiri" w:eastAsia="Amiri" w:cs="Amiri"/>
          <w:color w:val="111111"/>
          <w:sz w:val="28"/>
          <w:sz w:val="28"/>
          <w:szCs w:val="28"/>
          <w:rtl w:val="true"/>
          <w:lang w:bidi="ar-SA"/>
        </w:rPr>
        <w:t>في الحكم، بعد الاعتراف بأنّ مقتضى إطلاق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8" w:name="pg11825_115791"/>
    </w:p>
    <w:p>
      <w:pPr>
        <w:pStyle w:val="BookText"/>
        <w:rPr/>
      </w:pPr>
      <w:bookmarkEnd w:id="48"/>
      <w:r>
        <w:rPr>
          <w:rFonts w:ascii="Amiri" w:hAnsi="Amiri" w:eastAsia="Amiri" w:cs="Amiri"/>
          <w:color w:val="111111"/>
          <w:sz w:val="28"/>
          <w:sz w:val="28"/>
          <w:szCs w:val="28"/>
          <w:rtl w:val="true"/>
          <w:lang w:bidi="ar-SA"/>
        </w:rPr>
        <w:t>ولو سبقَ عقدهنّ لم يَحْرِمنَ‌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في بادي النظر هو الأوّل، لأنّ الإيقاب لغةً إدخال القضيب فيصدق بمسمّاه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توقّفه رحمه الله انسباق ما يحصل به المصاهرة في غير المقام، ممّا عُلّق على الدخول والوطء ونحوهما من الإيقاب، وهو كما ترى‌، لعدم المنشأ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الاستقراء يندفع بأنّه لا يوجب إلّاالظنّ وهو غير مغنٍ عن الحقّ‌، وبالتالي فالأوّل أظهر</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1056758_73709187"/>
      <w:bookmarkStart w:id="50" w:name="_Toc16"/>
      <w:bookmarkEnd w:id="49"/>
      <w:r>
        <w:rPr>
          <w:rtl w:val="true"/>
        </w:rPr>
        <w:t>الإيقاب المتأخّر عن العقد لا يوجبُ الحرمة</w:t>
      </w:r>
      <w:bookmarkEnd w:id="50"/>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سبق عقدهنّ‌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عقد الاُمّ والبنت والاُخت على الإيقاب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156"/>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التحريم، وربما يُستظهر ذلك ممّا ذكره جماعة</w:t>
      </w:r>
      <w:r>
        <w:rPr>
          <w:rStyle w:val="FootnoteAnchor"/>
          <w:rtl w:val="true"/>
        </w:rPr>
        <w:footnoteReference w:id="158"/>
      </w:r>
      <w:r>
        <w:rPr>
          <w:rFonts w:ascii="Amiri" w:hAnsi="Amiri" w:eastAsia="Amiri" w:cs="Amiri"/>
          <w:color w:val="111111"/>
          <w:sz w:val="28"/>
          <w:sz w:val="28"/>
          <w:szCs w:val="28"/>
          <w:rtl w:val="true"/>
          <w:lang w:bidi="ar-SA"/>
        </w:rPr>
        <w:t>من إطلاق التحريم للمذكورات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صحيح ابن أبي عمير، عن بعض أصحابنا،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يأتي أخا امرأته‌؟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وقبه فقد حَرُمت عليه المرأة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إرادة كونها امرأته في الحال دون زمان الإتيان، بعيدٌ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إعراض المشهور عن المرسل يُسقطه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فيعارضه ما دلّ من النصوص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يُحرّم الحلال</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وحيث أنّ النسبة عمومٌ من وجه، بناء على أنّ المراد من الحلال الحلال الفعلي، والمختار في تعارض العامين من وجه الرجوع إلى المرجّحات السنديّة، فتقدّم نصوص عدم التحريم لكونها المشهورة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تقدّم أنّ المراد به أعمٌّ من الفعلي والتقديري، فنصوص التحريم أخصٌّ منها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في مقابل إطلاق النصوص سوى تسالم الأصحاب على عدم الحرمة، وعليه فالمتعيّن هو الاحتياط، إذ كما أنّ مخالفة القوم مشكلة كذلك مخالفة الأدلّة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الإيقاب بعد التزويج، بأن طلّق امرأته، ثمّ أراد معاودة التزويج معها، فعلى القول بعدم محرّميّة الإيقاب المتأخّر، هل يجوز التزويج الثاني أم لا؟</w:t>
      </w:r>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61"/>
      </w:r>
      <w:r>
        <w:rPr>
          <w:rFonts w:ascii="Amiri" w:hAnsi="Amiri" w:eastAsia="Amiri" w:cs="Amiri"/>
          <w:color w:val="111111"/>
          <w:sz w:val="28"/>
          <w:sz w:val="28"/>
          <w:szCs w:val="28"/>
          <w:rtl w:val="true"/>
          <w:lang w:bidi="ar-SA"/>
        </w:rPr>
        <w:t>إلى الجواز، لو كان الطلاق بعد الإيقاب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رسالة الشيخ الأعظم قدس سره</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التحريم، إذا كان الإيقاب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إطلاق النصوص الموجب للحرمة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وإشكاله ظاهرٌ، إذ استصحاب الحِلّ الفعلي لا يجري للحرمة بالطلاق، واستصحاب التعليقي لا يكون جارياً كما حُقّق في محلّه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صورة كون الإيقاب بعد الطلاق، فإنّه لا مانع من استصحاب جواز التزويج تكليفاً ووضعاً، إلّاأنّه لا مورد له مع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عدم محرّميّة الحرام للحلال، على فرض كون المراد به الحلال الفعلي، لا تشمل بعد الطلاق، والإجماع على عدم الحرمة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البناء على التحريم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الوطء عن غير اختيارٍ، أو كان مُكرَهاً عليه، فهل يوجبُ الحرمة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النصوص، ومن أنّ المنساق إلى الذهن من النصوص أنّ الموضوع هو اللّواط، وهو عبارة عن العمل القبيح المحرَّم كالزِّنا، فلا تشمل النصوص الإيقاب غير المحرّم، لعدم الاختيار أو الإكراه، وعموم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الأوّل، لمنع الانسباق، إذ لا منشأ له سوى ندرة وجود الإيقاب غير المحرّم، وهي لا تصلح للانصراف المقيّد للإطلاق، وعموم حديثس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الرفع لا يشمل الأحكام المترتّبة على الموضوعات الخارجيّة، فكما أنّه لا يرفع وجوب الغُسل عليه، كذلك لا يصلح لرفع هذا الحكم، وتمام الكلام في محلّه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جهة هذا العمل الشنيع غير الثلاثة المذكورة بلا خلافٍ‌، فلا بأس بنكاح ولد الواطئ ابنة الموطوء أو اُخته أو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ابنته دلّ خبرٌ ضعيف على الحرمة، وهو مرسل موسى بن سعدان، عن بعض رجاله،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شابّين كانا مصطحبين، فولد لهذا غلامٌ وللآخر جارية، أيتزوّج ابن هذا ابنة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 لِمَ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بوجهه، ثمّ أجابه وهو مستترٌ بذراعه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كان منه دون الإيقاب، فلا بأس أن يتزوّج، وإنْ كان قد أوقب فلا يحلّ له أن يتزوّج</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لإرساله وعدم العمل به لا يُعتمد 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1" w:name="pg11825_115795"/>
    </w:p>
    <w:p>
      <w:pPr>
        <w:pStyle w:val="BookText"/>
        <w:rPr/>
      </w:pPr>
      <w:bookmarkEnd w:id="5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بصبيّةٍ لم تبلغ تسعاً فأفضاها، حَرُمت عليه أبداً</w:t>
      </w:r>
    </w:p>
    <w:p>
      <w:pPr>
        <w:pStyle w:val="Heading2"/>
        <w:numPr>
          <w:ilvl w:val="1"/>
          <w:numId w:val="1"/>
        </w:numPr>
        <w:rPr/>
      </w:pPr>
      <w:bookmarkStart w:id="52" w:name="__RefHeading___Toc11056760_73709187"/>
      <w:bookmarkStart w:id="53" w:name="_Toc17"/>
      <w:bookmarkEnd w:id="52"/>
      <w:r>
        <w:rPr>
          <w:rtl w:val="true"/>
        </w:rPr>
        <w:t>إفضاءُ من لم تَبلُغ تسع سنين يوجبُ الحرمة الأبديّة</w:t>
      </w:r>
      <w:bookmarkEnd w:id="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عليها، والتي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فأفضاها، حَرُمت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محكيّاً صريحاً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وظاهراً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 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إنْ لم يكن محصّلاً، بل لعلّه كذلك</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والحِلّي</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الدخول بها </w:t>
      </w:r>
    </w:p>
    <w:p>
      <w:pPr>
        <w:pStyle w:val="BookText"/>
        <w:rPr/>
      </w:pPr>
      <w:r>
        <w:rPr>
          <w:rFonts w:ascii="Amiri" w:hAnsi="Amiri" w:eastAsia="Amiri" w:cs="Amiri"/>
          <w:color w:val="111111"/>
          <w:sz w:val="28"/>
          <w:sz w:val="28"/>
          <w:szCs w:val="28"/>
          <w:rtl w:val="true"/>
          <w:lang w:bidi="ar-SA"/>
        </w:rPr>
        <w:t>موجبٌ للحرمة الأبديّة، وإنْ لم يُفضها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ونقله بعضهم</w:t>
      </w:r>
      <w:r>
        <w:rPr>
          <w:rStyle w:val="FootnoteAnchor"/>
          <w:rtl w:val="true"/>
        </w:rPr>
        <w:footnoteReference w:id="182"/>
      </w:r>
      <w:r>
        <w:rPr>
          <w:rFonts w:ascii="Amiri" w:hAnsi="Amiri" w:eastAsia="Amiri" w:cs="Amiri"/>
          <w:color w:val="111111"/>
          <w:sz w:val="28"/>
          <w:sz w:val="28"/>
          <w:szCs w:val="28"/>
          <w:rtl w:val="true"/>
          <w:lang w:bidi="ar-SA"/>
        </w:rPr>
        <w:t>عن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وشرحه نوعُ ميلٍ إليه،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الحرمة حتّى مع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لاح من المفيد</w:t>
      </w:r>
      <w:r>
        <w:rPr>
          <w:rStyle w:val="FootnoteAnchor"/>
          <w:rtl w:val="true"/>
        </w:rPr>
        <w:footnoteReference w:id="188"/>
      </w:r>
      <w:r>
        <w:rPr>
          <w:rFonts w:ascii="Amiri" w:hAnsi="Amiri" w:eastAsia="Amiri" w:cs="Amiri"/>
          <w:color w:val="111111"/>
          <w:sz w:val="28"/>
          <w:sz w:val="28"/>
          <w:szCs w:val="28"/>
          <w:rtl w:val="true"/>
          <w:lang w:bidi="ar-SA"/>
        </w:rPr>
        <w:t>، وابن الجُنيد</w:t>
      </w:r>
      <w:r>
        <w:rPr>
          <w:rStyle w:val="FootnoteAnchor"/>
          <w:rtl w:val="true"/>
        </w:rPr>
        <w:footnoteReference w:id="189"/>
      </w:r>
      <w:r>
        <w:rPr>
          <w:rFonts w:ascii="IRNazanin" w:hAnsi="IRNazanin" w:eastAsia="IRNazanin"/>
          <w:color w:val="111111"/>
          <w:sz w:val="28"/>
          <w:sz w:val="28"/>
          <w:szCs w:val="28"/>
          <w:rtl w:val="true"/>
          <w:lang w:bidi="fa-IR"/>
        </w:rPr>
        <w:t>، والصدوق</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مع ذلك كلّه عدم خلوّه عن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وجمعٌ من محشّيها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يعقوب بن يزيد،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ولم تحلّ له أبداً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للإرسال، ولوجود سَهل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الحرمة بالدخول وإنْ لم يفض، والمشهور لم يفتوا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يدلّ‌على انتفاءالزوجيّة بمجرّدالوطء، وتدلّ‌النصوص الصحيحة على بقاء الزوجيّة حتّى في صورة الإفضاء، فضلاً عن عدمه، وستجيء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 ينجبرُ بالعمل، وإطلاقه الشامل لفرض عدم الإفضاء يقيّد بالإجماع على اعتباره، والنصوص الدالّة على بقاء الزوجيّة مع الإفضاء لا يعمل بها،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المرسل كون الدخول محرّماً، وظاهر فتوى المشهور كون الإفضاء محرّماً، فالفتوى أجنبيّة عن المرسل، فلا انجبار، لا أقلّ من عدم إحراز استناد الأصحاب إليه، فلا يكون الانجبار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بعدم التحريم لا يخلو من قوّة، ولكن من جهة إفتاء الأصحاب به لا ينبغي ترك الاحتياط، بل لا يُترك،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بها ولم يفضها، لا تحرم وإنْ كان أحوط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يتحقّق بالبحث في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تَخرُج من حبالته</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الصبيّة المدخول بها المُفضاة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 من حبالته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بالحرمة، 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وغيرها</w:t>
      </w:r>
      <w:r>
        <w:rPr>
          <w:rStyle w:val="FootnoteAnchor"/>
          <w:rtl w:val="true"/>
        </w:rPr>
        <w:footnoteReference w:id="200"/>
      </w:r>
      <w:r>
        <w:rPr>
          <w:rFonts w:ascii="IRNazanin" w:hAnsi="IRNazanin" w:eastAsia="IRNazanin"/>
          <w:color w:val="111111"/>
          <w:sz w:val="28"/>
          <w:sz w:val="28"/>
          <w:szCs w:val="28"/>
          <w:rtl w:val="true"/>
          <w:lang w:bidi="fa-IR"/>
        </w:rPr>
        <w:t>، للأصل والنصوص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حمران،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تزوّج جاريةً بِكْراً لم تُدرك، فلمّا دخل بها افتضّها فأفضاها؟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ولها تسعُ سنين، فلا شيء عليه، وإنْ كانت لم تبلغ تسع سنين، أو كان لها أقلّ من ذلك بقليل حين افتضّها، فإنّه قد أفسدها وعطّلها على الأزواج، فعلى الإمام أن يغرمه ديتها، وإنْ أمسكها ولم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بُريد بن معاوية،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افتضّ جاريةً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فأفضاها؟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إنْ كان دخل بها قبل أنْ تبلغ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أمسكها ولم يطلّقها، فلاشيء عليه، إنْ شاء أمسك، وإنْ شاء طلّق</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تبين منه بغير طلاق</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وأيّده الشهيد الثاني رحمه الله بأنّ التحريم المؤبّد ينافي النكاح، إذ ثمرته حَلّ الاستمتاع، ولأنّه يمنع النكاح سابقاً، فيقطعه لاحقاً، كالرِّضاع واللِّعان والقذف للزوجة الصمَّاء والخَرساء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النكاح لا تنحصر في حَلّ الاستمتاع، بل له آثار اُخر كحليّة النظر إليها، وإلى اُمّها وبنتها، وحُرمة تزويج اُختها وما شاكل، وعلى فرضه فإنّما يوجب عدم جواز النكاح ابتداءً على من يحرم الاستمتاع منه لا بقائه، وأمّا حرمة النكاح بالرِّضاع السابق الموجبُ لانفساخ اللّاحق، فلوجود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لا تخرج عن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الواطئ دية الإفضاء إجماعاً، وهي دية النفس على ما ذكروه في كتاب الديات،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عليه الدّية مطلقاً وإنْ أمسكها ولم يُطلّقها كما هو المشهور بين الأصحاب‌؟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تسقط الدّية عنه لو أمسكها ولم يطلّقها كما عن ابن الجُنيد</w:t>
      </w:r>
      <w:r>
        <w:rPr>
          <w:rStyle w:val="FootnoteAnchor"/>
          <w:rtl w:val="true"/>
        </w:rPr>
        <w:footnoteReference w:id="20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إطلاق النصوص الدالّة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الدّية مع الإفضاء، مثل ما رواه الصدوق بإسناده إلى قضايا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امرأةٍ اُفضيت بالدّية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المتضمّنة للضمان مع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غياث، 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توطأ جارية لأقلّ من عشر سنين، فإنْ فعل فعيبتْ فقد ضَمِن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وطأ امرأته قبل أنْ تبلغ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النصوص وإنْ لم يصرّح بالدية، لكنّها تدلّ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مقتضى صحيح حمران وخبر بريد سقوطها مع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البناء على الثاني، حملاً للمطلق على المقيّد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يجبُ حملهما على سقوطها صلحاً بأنْ تختار المُقام معه بدلاً عن الدّية، فإنّ الدّية قد لزمته بالإفضاء، بدلالة النَّص والفتوى، فلا تسقط مجّاناً من غير عوضٍ‌، لأنّه لو لم يُحمل على الصلح؛ فإمّا أنْ يكون المراد سقوط الدّية بالعزم على الإمساك، أو بنفس الإمساك المستمرّ إلى الموت، بأنْ تسقط الدّية به، أو يبقى الحكم بالسقوط مراعى بالموت، فإنْ أمسكها حتّى مات، تبيّن السقوط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حين الإمساك، أو عدم ثبوت الدّية بالإفضاء، واللّوازم خصوصاً بعضها في غاية البُعد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حمل المطلق على المقيّد، هو عدم ثبوت الدّية بالإفضاء مع الإمساك، لا أنّها تثبت به وتسقط، والنَّص دلّ على أنّه إن أمسكها ولم يُطلّقها حتّى تموت لا دية عليه، ولازم ذلك بقاء الحكم بالسقوط مراعى بالموت، ولا محذور في الالتزام بذلك، وعليه فما أفاده رحمه الله ليس إلّااجتهاداً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الزّوج الواطي قبل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الدّية، نظراً إلى أنّ المقتضي لثبوتها هو الإفضاء، وإنّما منع عن تأثيره الإمساك المستمرّ إلى الموت، والمفروض عدم تحقّقه في الفرض، فيؤثّر المقتضي أثره كما عن المحقّق اليزدي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لتشخيص المقتضي ومعرفته في باب الشرعيّات، لعدم ورود الأدلّة لبيانه، وإنّما هي في مقام بيان الحكم، فلابدّ من ملاحظة المخصّص، وهو إنّما تضمّن أنّه إنْ لم يُطلّقها أو لم يُطلّقها حتّى تموت تسقط الدّية، وهذان العنوانان صادقان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ثبوتها في الفرض، ومع ذلك كلّه، الإفتاء بسقوط الدّية مع الإمساك مشكلٌ‌، لكون أخبار السقوط مهجورة عند الأصحاب، وطريق الاحتياط معلوم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يجب عليه نفقتها ما دامت حيّة وإنْ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طلّقها، بل وإنْ تزوّجت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سقوطها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فهد</w:t>
      </w:r>
      <w:r>
        <w:rPr>
          <w:rStyle w:val="FootnoteAnchor"/>
          <w:rtl w:val="true"/>
        </w:rPr>
        <w:footnoteReference w:id="211"/>
      </w:r>
      <w:r>
        <w:rPr>
          <w:rFonts w:ascii="Amiri" w:hAnsi="Amiri" w:eastAsia="Amiri" w:cs="Amiri"/>
          <w:color w:val="111111"/>
          <w:sz w:val="28"/>
          <w:sz w:val="28"/>
          <w:szCs w:val="28"/>
          <w:rtl w:val="true"/>
          <w:lang w:bidi="ar-SA"/>
        </w:rPr>
        <w:t>، والصِّيمري</w:t>
      </w:r>
      <w:r>
        <w:rPr>
          <w:rStyle w:val="FootnoteAnchor"/>
          <w:rtl w:val="true"/>
        </w:rPr>
        <w:footnoteReference w:id="212"/>
      </w:r>
      <w:r>
        <w:rPr>
          <w:rFonts w:ascii="Amiri" w:hAnsi="Amiri" w:eastAsia="Amiri" w:cs="Amiri"/>
          <w:color w:val="111111"/>
          <w:sz w:val="28"/>
          <w:sz w:val="28"/>
          <w:szCs w:val="28"/>
          <w:rtl w:val="true"/>
          <w:lang w:bidi="ar-SA"/>
        </w:rPr>
        <w:t>، وابن قطّان</w:t>
      </w:r>
      <w:r>
        <w:rPr>
          <w:rStyle w:val="FootnoteAnchor"/>
          <w:rtl w:val="true"/>
        </w:rPr>
        <w:footnoteReference w:id="2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الحكم بما إذا لم تتزوّج بغيره، واختاره الشيخ الأعظم</w:t>
      </w:r>
      <w:r>
        <w:rPr>
          <w:rStyle w:val="FootnoteAnchor"/>
          <w:rtl w:val="true"/>
        </w:rPr>
        <w:footnoteReference w:id="21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جاريةً‌، فوقع بها فأفضاها؟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الاجراء عليها ما دامت حيّة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حمله على الكبيرة، جمعاً بينه وبين خبري حمران وبُريد، المتضمّنين أنّه مع الإمساك لا شيء عليه، بدعوى أنّ عموم الشيء المنفي يشمل النفقة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مختصّان بصورة الإمساك، وفي تلك الصورة لاريب في وجوب النفقة لأنّها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تعرّضه عليه السلام في صدرهما لخصوص الدّية، قرينة على أنّ المراد بالشيء هو الدّية، فليكن ما ذكرناه أوّلاً قرينة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حملهما على ذلك، فلا موجب لحمل الصحيح على خصوص الكبيرة، وعدم التعرّض للدية لا يصلحُ قرينةً على ذلك، لعدم كونه في مقام بيان جميع أحكام المُفضاة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الزوجيّة التي هي علّة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كون العلّة لوجوبها هي الإفضاء لا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الصحيح إلى صورة عدم التزويج، حيث أنّ الغالب عدم رغبة الأزواج فيها بعد الإفضاء، كما تدلّ عليه الرواية القائلة بأنّه قد أفسدها وعطّلها على الأزواج، ولعلّ هذا هو مراد من علّل التقييد بزوال التعطيل على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على الزّوج الثاني نفقتها عيناً، لإطلاق الأدلّة، فيتعارضان، إذ لا تجبُ الإنفاق على واحدة على شخصين، وتترجّح تلك الأدلّة باعتبار نفقتها للقواعد الشرعيّة من كون النفقة في مقابل التمكين</w:t>
      </w:r>
      <w:r>
        <w:rPr>
          <w:rStyle w:val="FootnoteAnchor"/>
          <w:rtl w:val="true"/>
        </w:rPr>
        <w:footnoteReference w:id="220"/>
      </w:r>
      <w:r>
        <w:rPr>
          <w:rFonts w:ascii="Amiri" w:hAnsi="Amiri" w:eastAsia="Amiri" w:cs="Amiri"/>
          <w:color w:val="111111"/>
          <w:sz w:val="28"/>
          <w:sz w:val="28"/>
          <w:szCs w:val="28"/>
          <w:rtl w:val="true"/>
          <w:lang w:bidi="ar-SA"/>
        </w:rPr>
        <w:t>، وإلى ذلك نظر من استدلّ له بأنّها تجب على الثاني، فلا تجب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وما في الخبر من التعليل بالتعطيل إنّما هو لوجوب الدّية، لا وجوب النفقة، ودليل وجوبها خالٍ عن هذا التعليل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النفقة على الأوّل إنّما هو للإفضاء، وعلى الثاني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للزوجيّة، فلا مانع من وجوبها على كلّ منهما، فلا تعارض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وجوب نفقة الزّوجة بمعنى أنّها تستحقّ على الزّوج أن يُشبعها، وقع التعارض بينهما، ولكنّه خلاف التحقيق، بل هي تستحقّ عين النفقة كما سيأتي، مع أنّه إذا دلّ دليلان على وجوب شيءٍ واحد على شخصين، يجمع بينهما بالبناء على كون الوجوب كفائيّاً، أضف إلى ذلك أنّه لو سُلّم التعارض، وعدم إمكان الجمع بينهما، لزم تقديم دليل الوجوب على الأوّل لكونه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الزّوج قبل أنْ تموت المُفضاة، فهل تسقط النفقة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سقوطها بموته كما هو واضح</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نسبته إلى المشهور؟</w:t>
      </w:r>
    </w:p>
    <w:p>
      <w:pPr>
        <w:pStyle w:val="BookText"/>
        <w:rPr/>
      </w:pPr>
      <w:r>
        <w:rPr>
          <w:rFonts w:ascii="Amiri" w:hAnsi="Amiri" w:eastAsia="Amiri" w:cs="Amiri"/>
          <w:color w:val="111111"/>
          <w:sz w:val="28"/>
          <w:sz w:val="28"/>
          <w:szCs w:val="28"/>
          <w:rtl w:val="true"/>
          <w:lang w:bidi="ar-SA"/>
        </w:rPr>
        <w:t>أم لا تسقط، بل تستحقّ من تركته كسائر ديونه، كما اختاره المحقّق اليزدي رحمه الله‌؟</w:t>
      </w:r>
    </w:p>
    <w:p>
      <w:pPr>
        <w:pStyle w:val="BookText"/>
        <w:rPr/>
      </w:pPr>
      <w:r>
        <w:rPr>
          <w:rFonts w:ascii="Amiri" w:hAnsi="Amiri" w:eastAsia="Amiri" w:cs="Amiri"/>
          <w:color w:val="111111"/>
          <w:sz w:val="28"/>
          <w:sz w:val="28"/>
          <w:szCs w:val="28"/>
          <w:rtl w:val="true"/>
          <w:lang w:bidi="ar-SA"/>
        </w:rPr>
        <w:t>وجهان، مبنيّان على أنّه بالإفضاء هل تشتغل ذمّة الزّوج بتمام النفقة مدّة العمر، لتكون كسائر الديون متعلّقة بتركته‌؟ أم يكون اشتغال الذّمة بها تدريجيّاً، كما في النفقة الواجبة بالزوجيّة، فيختصّ بحال الحياة‌؟</w:t>
      </w:r>
    </w:p>
    <w:p>
      <w:pPr>
        <w:pStyle w:val="BookText"/>
        <w:rPr/>
      </w:pPr>
      <w:r>
        <w:rPr>
          <w:rFonts w:ascii="Amiri" w:hAnsi="Amiri" w:eastAsia="Amiri" w:cs="Amiri"/>
          <w:color w:val="111111"/>
          <w:sz w:val="28"/>
          <w:sz w:val="28"/>
          <w:szCs w:val="28"/>
          <w:rtl w:val="true"/>
          <w:lang w:bidi="ar-SA"/>
        </w:rPr>
        <w:t>والظاهر هو الثاني، فإنّ التعبير في الصحيح بالإجراء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الواجب هو ما وجب بالزوجيّة، غاية الأمر بواسطة الإفضاء يستمرّ ذلك وإنْ طلّقها فيلحقه أحكامها، ولذلك ترى أنّ أحداً لم يتوهّم ثبوت أمرين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الزوجيّة تدريجاً، ونفقة الإفضاء دفعةً‌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شكّ في أنّه ليس لها مطالبة النفقة ما دام العمر دفعةً‌، ولا فرق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بين كون وجوب ذلك بمعنى استحقاقها عين النفقة، أو أنّها تستحقّ عليه أن يشبعها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نفقتها لو صارت ناشزة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النَّص وجوبها عليه وإنْ صارت ناشزة، وكونها من قبيل الزوجيّة لا يمنع من ذلك، إذ لا مانع من كون الإفضاء موجباً لاستمرارها حتّى في حال النشوز، فالمتعيّن هو العمل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المُفضاة كبيرة، لم تحرم، ولم تثبت الدّية،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الإنفاق عليها مادامت حيّة أم لا؟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شهرة عظيمة كادت تكون إجماعاً، على اختصاص الصغيرة بذلك</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ظاهر الوجه، لإطلاق صحيح الحلبي، وعدم المقيّد له، ونفي الشيء عليه في صحيح حمران، قد مرّ أنّه مختصٌ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المذكورة لإفضاء الصغيرة المعقود عليها بالدخول غير الدّية، حيث تكون على خلاف القاعدة، فلا تثبت في غير ذلك، فلو زنى بالصغيرة فأفضاها، أو أفضاها بالإصبع، أو وطئها شُبهةً‌، أو كانت المُفضاة كبيرة، لا تثبت شيءٌ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الكبيرة المعقود عليها المُفضاة بالدخول، لا تثبت، لصحيح حمران، وخبر بُريد المتقدّمين، وفي غيرها تثبت لإطلاق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اختلفت كلمات القوم في تفسير الإفضاء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بينهم، وهو جعل مسلكي البول والحيض واحداً، بل يظهر من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سعيد، وهو رفع الحاجز ما بين مدخل الذكر والغائط</w:t>
      </w:r>
      <w:r>
        <w:rPr>
          <w:rStyle w:val="FootnoteAnchor"/>
          <w:rtl w:val="true"/>
        </w:rPr>
        <w:footnoteReference w:id="225"/>
      </w:r>
      <w:r>
        <w:rPr>
          <w:rFonts w:ascii="IRNazanin" w:hAnsi="IRNazanin" w:eastAsia="IRNazanin"/>
          <w:color w:val="111111"/>
          <w:sz w:val="28"/>
          <w:sz w:val="28"/>
          <w:szCs w:val="28"/>
          <w:rtl w:val="true"/>
          <w:lang w:bidi="fa-IR"/>
        </w:rPr>
        <w:t xml:space="preserve">، ولعلّه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وعن بعضهم أنّه أشهر القولين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مسلك البول والغائط واحداً،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ومجمع البحرين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وعن الآبي تفسير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يصير المسلكين واحداً بذلك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مسلكي الحيض والغائط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الأقوال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ثبوت الأحكام في جميع هذه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الفقهاء وأهل اللّغة متّفقٌ على أنّ إفضاء المرأة شيءٌ خاصّ‌، لا أنّ المراد به مطلق الوصل أو التوسعة أو الشقّ أو الخَلط، كي تترتّب أحكامه على كلّ فردٍ من أفراد ذلك، كما هو مبنى كلام العلّامة ومن تابعه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الإفضاء ليس له حقيقة شرعيّة، ومعناه اللّغوي في إفضاء المرأة وغيرها شيءٌ واحد، وما في كلمات اللّغويّين إنّما هو مصاديق ذلك المفهوم العام كما هو ديدنهم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فمقتضى الإطلاق ما أفاده المصنّف رحمه الله، إلّاأنّ الظاهر أنّ من البعيد جدّاً أو الممتنع رفع الحاجز بين مسلك البول والغائط بالوطء، فإنّ مسلك الحيض متوسّطٌ بين المسلكين، فلا يتّحدان إلّاباتّحاد الجميع، أضف إليه أنّ ما بينهما حاجزٌ قويّ عريض لا يرفع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فينحصر الموضوع بجعل مسلكي البول والحيض واحداً، أو جعل مسلكي الحيض والغائط كذلك، ويترتّب على كلّ منهما الأحكام المذكورة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وغيرها</w:t>
      </w:r>
      <w:r>
        <w:rPr>
          <w:rStyle w:val="FootnoteAnchor"/>
          <w:rtl w:val="true"/>
        </w:rPr>
        <w:footnoteReference w:id="235"/>
      </w:r>
      <w:r>
        <w:rPr>
          <w:rFonts w:ascii="Amiri" w:hAnsi="Amiri" w:eastAsia="Amiri" w:cs="Amiri"/>
          <w:color w:val="111111"/>
          <w:sz w:val="28"/>
          <w:sz w:val="28"/>
          <w:szCs w:val="28"/>
          <w:rtl w:val="true"/>
          <w:lang w:bidi="ar-SA"/>
        </w:rPr>
        <w:t>، والظاهر أنّ الشائع هو الأوّل، ولذا خصّه الفقهاء بالذِّكر، واللّه العالم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11825_115808"/>
    </w:p>
    <w:p>
      <w:pPr>
        <w:pStyle w:val="BookText"/>
        <w:rPr/>
      </w:pPr>
      <w:bookmarkEnd w:id="54"/>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بامرأةٍ لم يحرم نكاحها،</w:t>
      </w:r>
    </w:p>
    <w:p>
      <w:pPr>
        <w:pStyle w:val="Heading2"/>
        <w:numPr>
          <w:ilvl w:val="1"/>
          <w:numId w:val="1"/>
        </w:numPr>
        <w:rPr/>
      </w:pPr>
      <w:bookmarkStart w:id="55" w:name="__RefHeading___Toc11056762_73709187"/>
      <w:bookmarkStart w:id="56" w:name="_Toc18"/>
      <w:bookmarkEnd w:id="55"/>
      <w:r>
        <w:rPr>
          <w:rtl w:val="true"/>
        </w:rPr>
        <w:t>جواز تزويج الزاني مع مَن زنا بها</w:t>
      </w:r>
      <w:bookmarkEnd w:id="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عن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تتب، كما 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لعمومات الحِلّ‌،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وعموم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ولجملةٍ من النصوص الخاصّة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عبيداللّه بن علي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فَجَر بامرأةٍ ثمّ بدا له أن يتزوّجها حلالاً،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وآخره نكاح، ومثله مثل النخلة أصاب الرّجل من ثمرها حراماً، ثمّ اشتراها بعدُ فكانت له حلالاً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بامرأةٍ ثمّ بدا له أن يتزوّجها؟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أوّله سفاح وآخره نكاح، أوّله حرام وآخره حلال</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242"/>
      </w:r>
      <w:r>
        <w:rPr>
          <w:rFonts w:ascii="Amiri" w:hAnsi="Amiri" w:eastAsia="Amiri" w:cs="Amiri"/>
          <w:color w:val="111111"/>
          <w:sz w:val="28"/>
          <w:sz w:val="28"/>
          <w:szCs w:val="28"/>
          <w:rtl w:val="true"/>
          <w:lang w:bidi="ar-SA"/>
        </w:rPr>
        <w:t>وجماعة</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إلّامع التوبة، واستدلّوا له بأخبار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بن موسى‌،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يحلّ له أن يتزوّج امرأةً كان يفجر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آنس منها رشداً فنعم، وإلّا فليراودها على الحرام، فإنْ تابعته فهي عليه حرام، وإنْ أبت فليتزوّجها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جرير،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وإنّما يجوز له أن يتزوّجها بعد أن يقف على توبتها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أخصّ من الأُولى فتقيّد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الطائفتين يقتضي تقييد الأُولى بالثانية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أورد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الثانية قاصرة عن ذلك بالشهرة على خلافها، وبموافقتها لابن حنبل وقتادة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الشهرة المُسقِطة للحجيّة على خلافها، بعد إفتاء الشيخين وجماعة بما تضمّنته، ومجرّد الموافقة لمن ذُكر لا تُسقط الخبر عن الحجيّة، فإنّ مخالفة العامّة من مرجّحات إحدى الحجّتين على الاُخرى بعد فقد جملةٍ من المرجّحات، لا من مميّزات الحجّة عن اللّاحجّة، مع أنّ نصوص اشتراط التوبة مرويّة عن الصادقين عليهما السلام وزمانهما متقدّمٌ على زمان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المحقّق اليزدي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الأُولى من جهة تضمّنها لحكمٍ غير إلزامي تكون نصّاً في الإطلاق، إذ بيان الحكم غير الإلزامي في موردٍ بنحو الإطلاق، مع كون بعض الأفراد خارجاً واقعاً عن حكم المطلق، وكونه محكوماً بحكم إلزامي، يلزم منع تفويت المصلحة، أو الالقاء في المفسدة الملزمتين، وهما قبيحان، وصدورهما من الحكيم محالٌ‌، فلا محالة تكون صريحة في الإطلاق، فيقع التعارض بينهما وبين النصوص المقيّدة، وحيث أنّه لا يمكن الجمع العرفي بينهما، فالمرجع إلى المرجّحات، والترجيح مع النصوص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إذا لم يكن هناك مصلحةٌ في تأخير البيان، أو لم تكن مفسدة في التقديم، وحيث أنّ الأحكام الشرعيّة صدرت تدريجاً لمصلحةٍ اقتضت ذلك، أو لمانعٍ في البيان دفعة، فلا مانع من التقييد من الناحية المذكورة، ولا يكون المطلق صريحاً في الإطلاق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بعضٌ في وجه حمل المقيّدة على الحكم غير اللّزومي، بأنّ ذلك ممّا تقتضيه مناسبة الحكم والموضوع، وما في صحيح الحلبي المتقدّم من التمثيل، وما ورد من جواز تزويج الزانية كما سيأتي، فتُحمل المقيّدة على التنزيه مخافة </w:t>
      </w:r>
    </w:p>
    <w:p>
      <w:pPr>
        <w:pStyle w:val="BookText"/>
        <w:rPr/>
      </w:pPr>
      <w:r>
        <w:rPr>
          <w:rFonts w:ascii="Amiri" w:hAnsi="Amiri" w:eastAsia="Amiri" w:cs="Amiri"/>
          <w:color w:val="111111"/>
          <w:sz w:val="28"/>
          <w:sz w:val="28"/>
          <w:szCs w:val="28"/>
          <w:rtl w:val="true"/>
          <w:lang w:bidi="ar-SA"/>
        </w:rPr>
        <w:t>اختلاط المياه، واشتباه الإنسان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كما ترى‌، لا يصلح أن يُعتمد عليه في طرح النصوص، وحملها على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إفتاء المشهور باشتراط التوبة، مع أنّ نصوصها بمرأىً منهم ومَسمع، وحمل المطلق على المقيّد من الواضحات، يوجبُ الوهن في نصوص التوبة، فالمتعيّن العمل بالمطلقات، برغم أنّ الأحوط مراعاة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لزوم العِدّة على الزانية، مع عدم الحمل، ونفى هو البأس عنه، ونَسب اختيار ذلك إلى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المتقدّم، 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جواد الأئمّة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نكح امرأة على زنا، أيحلّ له أن يتزوّجها؟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ونطفة غيره، إذ لا يؤمَن منها أن تكون قد أحدثت مع غيره حَدَثاً كما احدثت معه، ثم يتزوّج بها إنْ أراد، الحديث</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يستبعد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54"/>
      </w:r>
      <w:r>
        <w:rPr>
          <w:rFonts w:ascii="Amiri" w:hAnsi="Amiri" w:eastAsia="Amiri" w:cs="Amiri"/>
          <w:color w:val="111111"/>
          <w:sz w:val="28"/>
          <w:sz w:val="28"/>
          <w:szCs w:val="28"/>
          <w:rtl w:val="true"/>
          <w:lang w:bidi="ar-SA"/>
        </w:rPr>
        <w:t>حمل الخبرين على ضربٍ من الندب،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7" w:name="pg11825_115812"/>
    </w:p>
    <w:p>
      <w:pPr>
        <w:pStyle w:val="BookText"/>
        <w:rPr/>
      </w:pPr>
      <w:bookmarkEnd w:id="57"/>
      <w:r>
        <w:rPr>
          <w:rFonts w:ascii="Amiri" w:hAnsi="Amiri" w:eastAsia="Amiri" w:cs="Amiri"/>
          <w:color w:val="111111"/>
          <w:sz w:val="28"/>
          <w:sz w:val="28"/>
          <w:szCs w:val="28"/>
          <w:rtl w:val="true"/>
          <w:lang w:bidi="ar-SA"/>
        </w:rPr>
        <w:t>ولعلّه من جهة مخالفتهما للمشهور، وما في الثاني من التعليل المناسب للحكم التنزيهي، وارسال الثاني، وهذا ممّا لا بأس به</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1056764_73709187"/>
      <w:bookmarkStart w:id="59" w:name="_Toc19"/>
      <w:bookmarkEnd w:id="58"/>
      <w:r>
        <w:rPr>
          <w:rtl w:val="true"/>
        </w:rPr>
        <w:t>حكم تزويج الزانية لغير الزاني</w:t>
      </w:r>
      <w:bookmarkEnd w:id="59"/>
    </w:p>
    <w:p>
      <w:pPr>
        <w:pStyle w:val="BookText"/>
        <w:rPr/>
      </w:pPr>
      <w:r>
        <w:rPr>
          <w:rFonts w:ascii="Amiri" w:hAnsi="Amiri" w:eastAsia="Amiri" w:cs="Amiri"/>
          <w:color w:val="111111"/>
          <w:sz w:val="28"/>
          <w:sz w:val="28"/>
          <w:szCs w:val="28"/>
          <w:rtl w:val="true"/>
          <w:lang w:bidi="ar-SA"/>
        </w:rPr>
        <w:t>هذا كلّه في تزويج الزّانية للزاني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تزويجها لغيره، فالمشهور بين الأصحاب شهرة عظيمة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255"/>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وقد عرفت نسبة اشتراط التوبة إلى الشيخين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258"/>
      </w:r>
      <w:r>
        <w:rPr>
          <w:rFonts w:ascii="Amiri" w:hAnsi="Amiri" w:eastAsia="Amiri" w:cs="Amiri"/>
          <w:color w:val="111111"/>
          <w:sz w:val="28"/>
          <w:sz w:val="28"/>
          <w:szCs w:val="28"/>
          <w:rtl w:val="true"/>
          <w:lang w:bidi="ar-SA"/>
        </w:rPr>
        <w:t>وتلميذه سلّار</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تزويج المشهورة بالزّنا إلّابعد ظهور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بها للقول بالحرمة مطلقاً، بدعوى ظهورهافي حرمة تزويج </w:t>
      </w:r>
    </w:p>
    <w:p>
      <w:pPr>
        <w:pStyle w:val="BookText"/>
        <w:rPr/>
      </w:pPr>
      <w:r>
        <w:rPr>
          <w:rFonts w:ascii="Amiri" w:hAnsi="Amiri" w:eastAsia="Amiri" w:cs="Amiri"/>
          <w:color w:val="111111"/>
          <w:sz w:val="28"/>
          <w:sz w:val="28"/>
          <w:szCs w:val="28"/>
          <w:rtl w:val="true"/>
          <w:lang w:bidi="ar-SA"/>
        </w:rPr>
        <w:t>الزانية لغير الزاني والمشرك، وحرمة التزويج من الزاني لغير الزانية والمشركة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الاستدلال لاختصّ بالزانية المشهورة بالزّنا، لما سيأتي من النصوص الدالّة على أنّ المراد منها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حُملت الآية على كونها في مقام تشريع التحليل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البناء على أنّه يباح للمسلم الزاني نكاح المشركة، وللمسلمة الزانية نكاح المشرك، وهو معلومُ البطلان، لعدم جوازه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عدم جواز مناكحة الزاني، إلّاإذا كانت الزّوجة زانية، والمعروف من مذهب الأصحاب</w:t>
      </w:r>
      <w:r>
        <w:rPr>
          <w:rStyle w:val="FootnoteAnchor"/>
          <w:rtl w:val="true"/>
        </w:rPr>
        <w:footnoteReference w:id="261"/>
      </w:r>
      <w:r>
        <w:rPr>
          <w:rFonts w:ascii="Amiri" w:hAnsi="Amiri" w:eastAsia="Amiri" w:cs="Amiri"/>
          <w:color w:val="111111"/>
          <w:sz w:val="28"/>
          <w:sz w:val="28"/>
          <w:szCs w:val="28"/>
          <w:rtl w:val="true"/>
          <w:lang w:bidi="ar-SA"/>
        </w:rPr>
        <w:t>جوازها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مناص عن حملها على كونها في مقام الإخبار، ويكون المراد من النكاح الوطء، وعليه فتكون هذه الآية الشريفة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حيث اُريد بها أنّ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الفاسق الخبيث الذي من شأنه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 في نكاح الصالحات من النساء اللّاتي على خلاف صفته، وإنّما يميل إلى خبيثة مِنْ شكله أو مشركة تقرب منه في الخباثة، وكذلك الزانية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المراد بها في صدرها ذلك، لزم أنْ يكون المراد من التحريم في آخرها أنّ المؤمنين يمتنعون عمّا يرتكبه غيرهم من المشركين والفسّاق من الميل إلى الزناة، وعدم المبالاة من نكاحهنّ‌، لعدم المناسبة بين نهي المؤمنين وعدم امتناع الفسّاق عنه حتّى يجمع بينهما بالوصف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بالنكاح في الآية هو الوطء، بقرينة ما تقدّم، فالمعنى هو أنّ الزاني لا يزني إلّابالزانية أو بالمشركة، وكذلك العكس، وأمّا المؤمن فهو ممتنعٌ عن ذلك، لأنّ الزِّنا محرّمٌ‌، وهو لا يرتكب ما 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المسيّب</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يتوقّف على أنّه إذا ورد خاصٌ مقدّم على العام، ودار الأمر بين تخصيص العام ونسخ الخاص، يُبنى على النسخ، وهو خلاف التحقيق، بل التخصيص أولى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جبير</w:t>
      </w:r>
      <w:r>
        <w:rPr>
          <w:rStyle w:val="FootnoteAnchor"/>
          <w:rtl w:val="true"/>
        </w:rPr>
        <w:footnoteReference w:id="265"/>
      </w:r>
      <w:r>
        <w:rPr>
          <w:rFonts w:ascii="Amiri" w:hAnsi="Amiri" w:eastAsia="Amiri" w:cs="Amiri"/>
          <w:color w:val="111111"/>
          <w:sz w:val="28"/>
          <w:sz w:val="28"/>
          <w:szCs w:val="28"/>
          <w:rtl w:val="true"/>
          <w:lang w:bidi="ar-SA"/>
        </w:rPr>
        <w:t>، والضّحاك بن مزاحم</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بالنكاح الوطء، وأنّ المراد بالآية ما رُوي عن ابن عبّاس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جامعها مستحلّاً فهو مشرك، وإلّا فهو زانٍ‌، وكذا الزاني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كونها في مقام التشريع، وأجاب بأنّها تُحمل على الكراهة بقرينة وحدة السياق، للإجماع على عدم حرمة تزويج الزاني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من أنّه لا وجه لحمل النهي على الكراهة بلا قرينة، ووحدة السياق لا تصلح لذلك، لعدم كون الحرمة والكراهة داخلتين في الموضوع له والمستعمل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سُلّم ظهور الآية في الحرمة، لابدّ وأنْ تُحمل على الكراهة، للنصوص الدالّة على الجواز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المرأة الفاجرة يتزوّجها الرّجل المُسلم‌؟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يمنعه، ولكن إذا فعل فليحصّن بابه مخافة الولد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أعجبته امرأةً فسأل عنها، فإذا الثناء عليها في شيء من الفجور؟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يتزوّجها ويحصّنها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في التزويج مطلقاً أو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تزويج المُعلِنة بالزّنا، والتَّمتّع 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 المُعلِنة بالزّنا، ولا يتزوّج الرّجل المُعلن بالزّنا، إلّابعد أن تعرف منهما التوبة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ورجالٌ مشهورون بالزّنا، قد شهروا بالزّنا وعرفوا به، والنّاس اليوم بذلك المنزل، فمن اُقيم عليه حَدّ الزِّنا، أو شَهر منهم بالزّنا، لم ينبغِ لأحدٍ أن يُناكحه حتّى يعرف منه توبة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محمّد بن مسلم، عن أبي جعفر عليه السلام</w:t>
      </w:r>
      <w:r>
        <w:rPr>
          <w:rStyle w:val="FootnoteAnchor"/>
          <w:rtl w:val="true"/>
        </w:rPr>
        <w:footnoteReference w:id="274"/>
      </w:r>
      <w:r>
        <w:rPr>
          <w:rFonts w:ascii="Amiri" w:hAnsi="Amiri" w:eastAsia="Amiri" w:cs="Amiri"/>
          <w:color w:val="111111"/>
          <w:sz w:val="28"/>
          <w:sz w:val="28"/>
          <w:szCs w:val="28"/>
          <w:rtl w:val="true"/>
          <w:lang w:bidi="ar-SA"/>
        </w:rPr>
        <w:t>، وخبر حكم بن حكيم، عن أبي عبداللّه عليه السلام</w:t>
      </w:r>
      <w:r>
        <w:rPr>
          <w:rStyle w:val="FootnoteAnchor"/>
          <w:rtl w:val="true"/>
        </w:rPr>
        <w:footnoteReference w:id="275"/>
      </w:r>
      <w:r>
        <w:rPr>
          <w:rFonts w:ascii="Amiri" w:hAnsi="Amiri" w:eastAsia="Amiri" w:cs="Amiri"/>
          <w:color w:val="111111"/>
          <w:sz w:val="28"/>
          <w:sz w:val="28"/>
          <w:szCs w:val="28"/>
          <w:rtl w:val="true"/>
          <w:lang w:bidi="ar-SA"/>
        </w:rPr>
        <w:t xml:space="preserve">،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الحسناء الفاجرة، هل تُحبُّ للرجل أن يتمتّع منها يوماً أو أكثر؟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منها ولا ينكحها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الفيض،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عارفة،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والكواشف والدّواعي والبغايا وذوات الأزواج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الكواشف‌؟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يكاشفن، وبيوتهنّ معلومة ويؤتين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فالبغايا؟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المعروفات بالزّنا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التمتّع بالمشهورة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بالكوفة امرأة معروفة بالفجور، أيحلّ أن أتزوّجها 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رَفعتْ رايةً أخذها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تزوّجها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أصغى إلى بعض مواليه، فأسرَّ إليه شيئاً، فلقيتُ مولاه،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رفَعت راية ما كان عليه في تزويجها شيء إنّما يخرجها من حرامٍ إلى حلال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ظريف، المتضمّن لتوقيع أبي محمّد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تُحيي سُنّة وتُميت بدعة، فلا بأس، وإيّاك وجارتك المعروفة بالعُهر، وإنْ حَدّثتك نفسك، أنّ آبائي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بالفاجرة، فإنّك تُخرجُها من حرامٍ إلى حلال، فإنّ هذه امرأةٌ معروفة بالهتك، وهي جارة، وأخاف عليك استفاضة الخبر منها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والجمع بين النصوص في بادئ الأمر يقتضي أن يُبنى على جواز نكاح الزانية غير المشهورة بالزّنا، وأمّا المشهورة فالتمتّع بها جائزٌ، ونكاحها بالنكاح الدائم لايجوز قبل التوبة، حملاً لمطلق النصوص على مقيّدها، وظاهرها على نصّها، لأنّ الطائفة الثالثة نصٌّ في الجواز في خصوص المتعة في المشهورة بالزّنا، فنصوص المنع عنها محمولة على الكراهة، ونصوص المنع عن تزويجها مطلقاً، يقيّد إطلاقها بها، والطائفة الثانية تُقيّد الأُولى‌، ولكن 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القول بالفصل بين المتعة والدوام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المشهور بين الأصحاب جواز نكاح المشهورة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نصوص المنع عنها أكثرها ظاهرة في الحكم التنزيهي، للتعبير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الطائفة الثالثة من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تلكم من القرائن، يتعيّن حمل الطائفة الثانية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هناك رواية تدلّ على جواز نكاح المعروفة بالزّنا، لم ننقلها عند ذكر نصوص الباب، وهي ما رواه أحمد بن محمّد بن عيسى في نوادره،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سمع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الفاجرة التي قد عُرف فجورها، أيتزوّجها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ولكن إذا فعل فليحصّن بابه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بينها وبين نصوص المنع عن تزويج المشهورة، يقتضي البناء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 w:name="pg11825_115819"/>
    </w:p>
    <w:p>
      <w:pPr>
        <w:pStyle w:val="BookText"/>
        <w:rPr/>
      </w:pPr>
      <w:bookmarkEnd w:id="60"/>
      <w:r>
        <w:rPr>
          <w:rFonts w:ascii="Amiri" w:hAnsi="Amiri" w:eastAsia="Amiri" w:cs="Amiri"/>
          <w:color w:val="111111"/>
          <w:sz w:val="28"/>
          <w:sz w:val="28"/>
          <w:szCs w:val="28"/>
          <w:rtl w:val="true"/>
          <w:lang w:bidi="ar-SA"/>
        </w:rPr>
        <w:t>الكراهة، فلا إشكال في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تزويج المشهورة بالزّنا إلّابعد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أنّه هل يجب عليها أن تعتدّ أم لا، هو الكلام في الفرع السابق</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1056766_73709187"/>
      <w:bookmarkStart w:id="62" w:name="_Toc20"/>
      <w:bookmarkEnd w:id="61"/>
      <w:r>
        <w:rPr>
          <w:rtl w:val="true"/>
        </w:rPr>
        <w:t>عدم حرمة الزّوجة على الزّوج بالزّنا</w:t>
      </w:r>
      <w:bookmarkEnd w:id="62"/>
    </w:p>
    <w:p>
      <w:pPr>
        <w:pStyle w:val="BookText"/>
        <w:rPr/>
      </w:pPr>
      <w:r>
        <w:rPr>
          <w:rFonts w:ascii="Amiri" w:hAnsi="Amiri" w:eastAsia="Amiri" w:cs="Amiri"/>
          <w:color w:val="111111"/>
          <w:sz w:val="28"/>
          <w:sz w:val="28"/>
          <w:szCs w:val="28"/>
          <w:rtl w:val="true"/>
          <w:lang w:bidi="ar-SA"/>
        </w:rPr>
        <w:t>ولو زنت امرأة الرّجل وهي في حباله، لم تحرُم عليه ولا يجبُ عليه أن يُطلّقها، وإنْ أصرّت، كما هو المشهور</w:t>
      </w:r>
      <w:r>
        <w:rPr>
          <w:rStyle w:val="FootnoteAnchor"/>
          <w:rtl w:val="true"/>
        </w:rPr>
        <w:footnoteReference w:id="282"/>
      </w:r>
      <w:r>
        <w:rPr>
          <w:rFonts w:ascii="Amiri" w:hAnsi="Amiri" w:eastAsia="Amiri" w:cs="Amiri"/>
          <w:color w:val="111111"/>
          <w:sz w:val="28"/>
          <w:sz w:val="28"/>
          <w:szCs w:val="28"/>
          <w:rtl w:val="true"/>
          <w:lang w:bidi="ar-SA"/>
        </w:rPr>
        <w:t xml:space="preserve">شهرة عظيمة،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عبّاد بن صُهيب، عن مولانا جعفر بن محمّد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يمسك الرّجل امرأته إنْ رآها تزني، إذا كانت تزني، وإنْ لم يقم عليها الحَدّ، فليس عليه من إثمها شيء</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إنّ امرأتي لا تدفع يَدُ 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أحبّها،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فامسكها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نصوص</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يونس،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تزوّج امرأةً‌، </w:t>
      </w:r>
    </w:p>
    <w:p>
      <w:pPr>
        <w:pStyle w:val="BookText"/>
        <w:rPr/>
      </w:pPr>
      <w:r>
        <w:rPr>
          <w:rFonts w:ascii="Amiri" w:hAnsi="Amiri" w:eastAsia="Amiri" w:cs="Amiri"/>
          <w:color w:val="111111"/>
          <w:sz w:val="28"/>
          <w:sz w:val="28"/>
          <w:szCs w:val="28"/>
          <w:rtl w:val="true"/>
          <w:lang w:bidi="ar-SA"/>
        </w:rPr>
        <w:t>فلم يدخل بها فزنت‌؟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وتُحدّ الحَدّ، ولا صداق لها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أبي زياد، 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 في المرأة إذا زنت قبل أنْ يدخل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مختصّة بالزّنا قبل الدخول، وحيثُ لم يعمل بها أحدٌ، لأنّ المفيد</w:t>
      </w:r>
      <w:r>
        <w:rPr>
          <w:rStyle w:val="FootnoteAnchor"/>
          <w:rtl w:val="true"/>
        </w:rPr>
        <w:footnoteReference w:id="289"/>
      </w:r>
      <w:r>
        <w:rPr>
          <w:rFonts w:ascii="Amiri" w:hAnsi="Amiri" w:eastAsia="Amiri" w:cs="Amiri"/>
          <w:color w:val="111111"/>
          <w:sz w:val="28"/>
          <w:sz w:val="28"/>
          <w:szCs w:val="28"/>
          <w:rtl w:val="true"/>
          <w:lang w:bidi="ar-SA"/>
        </w:rPr>
        <w:t>والديلمي</w:t>
      </w:r>
      <w:r>
        <w:rPr>
          <w:rStyle w:val="FootnoteAnchor"/>
          <w:rtl w:val="true"/>
        </w:rPr>
        <w:footnoteReference w:id="290"/>
      </w:r>
      <w:r>
        <w:rPr>
          <w:rFonts w:ascii="Amiri" w:hAnsi="Amiri" w:eastAsia="Amiri" w:cs="Amiri"/>
          <w:color w:val="111111"/>
          <w:sz w:val="28"/>
          <w:sz w:val="28"/>
          <w:szCs w:val="28"/>
          <w:rtl w:val="true"/>
          <w:lang w:bidi="ar-SA"/>
        </w:rPr>
        <w:t xml:space="preserve">وإنْ أفتيا بالحرمة، إلّاأنّهما لم يفرّقا بين ما قبل الدخول وما بعده، فلابدّ من طرحها، أو تأويلها بحملها على استحباب الطلاق، أو على مدّة النفي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Style w:val="FootnoteAnchor"/>
          <w:rtl w:val="true"/>
        </w:rPr>
        <w:footnoteReference w:id="292"/>
      </w:r>
      <w:r>
        <w:rPr>
          <w:rFonts w:ascii="Amiri" w:hAnsi="Amiri" w:eastAsia="Amiri" w:cs="Amiri"/>
          <w:color w:val="111111"/>
          <w:sz w:val="28"/>
          <w:sz w:val="28"/>
          <w:szCs w:val="28"/>
          <w:rtl w:val="true"/>
          <w:lang w:bidi="ar-SA"/>
        </w:rPr>
        <w:t>وبفوات فائدة التناسل معه لاختلاط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الآية قد مرَّ عدم دلالتها على الحرمة، واختلاط النَسَب يُرد بأنّ النسب لاحقٌ بالفراش، والزّاني لا نَسَب له ولا حُرمة لمائه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نظير ما ورد في زنا الزّوجة موجودٌ في زنا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3" w:name="pg11825_115821"/>
    </w:p>
    <w:p>
      <w:pPr>
        <w:pStyle w:val="BookText"/>
        <w:rPr/>
      </w:pPr>
      <w:bookmarkEnd w:id="63"/>
      <w:r>
        <w:rPr>
          <w:rFonts w:ascii="Amiri" w:hAnsi="Amiri" w:eastAsia="Amiri" w:cs="Amiri"/>
          <w:color w:val="111111"/>
          <w:sz w:val="28"/>
          <w:sz w:val="28"/>
          <w:szCs w:val="28"/>
          <w:rtl w:val="true"/>
          <w:lang w:bidi="ar-SA"/>
        </w:rPr>
        <w:t>ولو زنى بذاتِ بعلٍ‌، أو في عِدّة رجعيّة، حَرُمتْ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بامرأة فلم يدخل بها فزنا،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ويُحلق رأسه، ويفرّق بينه وبين أهله، ويُنفى سنة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جعفر،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تزوّج المرأة فزنا قبل أنْ يدخل بها، لم تحلّ له لأنّه زانٍ‌، ويفرّق بينهما، ويعطها نصف المَهر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محمولة على الاستحباب، بقرينة ما هو صريحٌ في عدم المنع، كخبر رفاعة بن موسى‌،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قبل أنْ يدخل بأهله، ولو زنى بذات بعلٍ أو في عِدّة رجعيّة حَرُمت أبداً، أيُرجم‌؟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يفرّق بينهما إذا زنا قبل أنْ يدخل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أبيتَ عن كون هذا الجمع عرفيّاً، فالمتعيّن طرح الأُولى لمخالفتها للمشهور</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1056768_73709187"/>
      <w:bookmarkStart w:id="65" w:name="_Toc21"/>
      <w:bookmarkEnd w:id="64"/>
      <w:r>
        <w:rPr>
          <w:rtl w:val="true"/>
        </w:rPr>
        <w:t>حكم الزِّنا بذات البعل</w:t>
      </w:r>
      <w:bookmarkEnd w:id="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زنى بذات بعل، أو في عِدّةٍ رجعيّة، حَرُمت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مشهورٍ كما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أجد فيه خلافاً كما عن جماعةٍ الاعتراف به،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نسبته إلى قطع الأصحاب عدا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عليه في ذات العِدّة،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وفخر</w:t>
      </w:r>
    </w:p>
    <w:p>
      <w:pPr>
        <w:pStyle w:val="BookText"/>
        <w:rPr/>
      </w:pPr>
      <w:r>
        <w:rPr>
          <w:rFonts w:ascii="Amiri" w:hAnsi="Amiri" w:eastAsia="Amiri" w:cs="Amiri"/>
          <w:color w:val="111111"/>
          <w:sz w:val="28"/>
          <w:sz w:val="28"/>
          <w:szCs w:val="28"/>
          <w:rtl w:val="true"/>
          <w:lang w:bidi="ar-SA"/>
        </w:rPr>
        <w:t>المحقّقين</w:t>
      </w:r>
      <w:r>
        <w:rPr>
          <w:rStyle w:val="FootnoteAnchor"/>
          <w:rtl w:val="true"/>
        </w:rPr>
        <w:footnoteReference w:id="299"/>
      </w:r>
      <w:r>
        <w:rPr>
          <w:rFonts w:ascii="Amiri" w:hAnsi="Amiri" w:eastAsia="Amiri" w:cs="Amiri"/>
          <w:color w:val="111111"/>
          <w:sz w:val="28"/>
          <w:sz w:val="28"/>
          <w:szCs w:val="28"/>
          <w:rtl w:val="true"/>
          <w:lang w:bidi="ar-SA"/>
        </w:rPr>
        <w:t>الإجماع عليه مطلقاً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رسالة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ظاهراً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الإجماع عليه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عن غير واحدٍ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إذا كان العقد عالماً بدون الدخول محرّماً، وكذا الدخول مع الجهل، فالزنا أولى‌، ذكره الشهيد الثاني رحمه الله</w:t>
      </w:r>
      <w:r>
        <w:rPr>
          <w:rStyle w:val="FootnoteAnchor"/>
          <w:rtl w:val="true"/>
        </w:rPr>
        <w:footnoteReference w:id="304"/>
      </w:r>
      <w:r>
        <w:rPr>
          <w:rFonts w:ascii="Amiri" w:hAnsi="Amiri" w:eastAsia="Amiri" w:cs="Amiri"/>
          <w:color w:val="111111"/>
          <w:sz w:val="28"/>
          <w:sz w:val="28"/>
          <w:szCs w:val="28"/>
          <w:rtl w:val="true"/>
          <w:lang w:bidi="ar-SA"/>
        </w:rPr>
        <w:t>وتبعه غيره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زَنا بذات بعلٍ‌، مُحصناً كان أو غير مُحصَن،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طلّقها زوجها أو مات عنها، وأراد الذي زنا بها أن يتزوّج بها، لم تحلّ له أبداً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الوجهان يدلّان على حكم المُعتدّة بالعِدّة الرجعيّة، بانضمام ما دلّ على أنّها بمنزلة الزّوجة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من زنا بامرأةٍ لها بعلٌ أو في عِدّة رجعيّة، حَرُمت عليه، ولم تحلّ له أبداً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ممنوعة لعدم إحراز المناط، والرضوي لم يثبت كونه كتابُ روايةٍ‌، والأخير يحتمل أنْ يكون ناظراً إلى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الإجماع، وكفى به مدركاً في مثل هذا الحكم الذي يكون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كونه عالماً حين الزِّنا بأنّها ذاتُ بعلٍ‌، أو في عِدّة رجعيّة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كونها مدخولاً بها من زوجها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إجراء العقد عليها وعدمه، بعد فرض العلم بعدم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أن تكون الزّوجة مشتبهةً‌، أو زانيةً أو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لإطلاق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تحرم لو كان الوطء مشتبهاً وهي زانية، لاختصاص كلامهم بالزّنا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استفادة الحرمة من حكم العقدب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ذات البعل، بناءً على الأولويّة المزبورة، وأنّ حكمها الحرمة أبداً مع علمها دونه بمجرّد العقد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الأولويّة قطعيّة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يكون الزِّنا بذات العِدّة البائنة، وفي عِدّة الوفاة، وعِدّة المتعة، والوطء بالشُّبهة والفسخ موجباً للحرمة الأبديّة، للأصل بعد خروجها عن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لجريان بعض ما تقدّم هنا كالأولويّة الواضحة الدلالة في ذات العِدّة المزبورة، بناءً على ما يأتي من حصول التحريم بالعقد عليها فيها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مرّ ما في الأولويّة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 w:name="pg11825_115825"/>
    </w:p>
    <w:p>
      <w:pPr>
        <w:pStyle w:val="BookText"/>
        <w:rPr/>
      </w:pPr>
      <w:bookmarkEnd w:id="66"/>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المحرم عالماً بالتحريم، حَرُمت أبداً، ولو كان جاهلاً بطل العقد ولم تحرم</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1056770_73709187"/>
      <w:bookmarkStart w:id="68" w:name="_Toc22"/>
      <w:bookmarkEnd w:id="67"/>
      <w:r>
        <w:rPr>
          <w:rtl w:val="true"/>
        </w:rPr>
        <w:t>التزويج في الإحرام</w:t>
      </w:r>
      <w:bookmarkEnd w:id="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المُحْرِمُ عالماً بالتحريم، حَرُمت أبداً، ولو كان جاهلاً بطل العقد ولم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وقد تقدّم الكلام في هذه المسألة في مبحث تروك الحجّ من هذا الشرح</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كتاب الحجّ في ثلاثة أجزاء بمدينة يزد حين أخرجوني من مسقط رأسي ظلماً وعدواناً، وليس ذلك إلّالدفاعي عن الشريعة الإسلاميّة وأحكامها أمام المعادين لهما، فنُفيت إلى هذه المدينة، وبقيتُ فيها مدّة، ثمّ انتقلت إلى قرية في ضواحي طهران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اُخبرت أخيراً أنّ الحكومة تنوي نقلي إلى ناحيةٍ بعيدة، وعلى الجملة إنّي قريبٌ من سنتين لا أزال أُنقل من سجنٍ إلى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69" w:name="pg11825_115826"/>
    </w:p>
    <w:p>
      <w:pPr>
        <w:pStyle w:val="BookText"/>
        <w:rPr/>
      </w:pPr>
      <w:bookmarkEnd w:id="69"/>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المتعة وملك اليمين في عددٍ</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1056772_73709187"/>
      <w:bookmarkStart w:id="71" w:name="_Toc23"/>
      <w:bookmarkEnd w:id="70"/>
      <w:r>
        <w:rPr>
          <w:rtl w:val="true"/>
        </w:rPr>
        <w:t>عدم انحصار المتعة في عدد</w:t>
      </w:r>
      <w:bookmarkEnd w:id="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يجوز في العقد الدائم الزيادة على الأربع، ولكن ذلك مختصٌّ به، دون التمتّع بالنساء،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تنحصر المتعة ومِلْك اليمين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المسلمين في الثاني، وبلا خلافٍ معتدّ به فيه بيننا في المتعة،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المقام هو البحث في المتعة، ويشهد لعدم انحصارها في عددٍ،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من المتعة‌؟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له المتعة، أهي من الأربع‌؟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منهم ألفاً، فإنهنّ مستأجرات</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ذينك من الروايات الكثيرة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فعن القاضي</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إحدى الأربع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ذلك، مناقشاً في أسانيد بعض أخبار الجواز، حاكياً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أنّه اقتصر في الحكم على مجرّد الشهرة، ولم يصرّح بمختاره،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وعذره واضحٌ‌، ودعوى الإجماع في ذلك غير سديد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بدعوى ضرورة المذهب على ذلك، فضلاً عن الإجماع</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مجرّد الشهرة، بل ذكر بعد ذلك دليل 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الأصل، وما رواه زرارة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باقي النصوص، ثمّ ذكر مدرك ابن البرّاج وجواب الشيخ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لنا مجموعة من الأخبار،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عمّار الساباطي في الموثّق،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الأربع</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صحيح البزنطي،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الأربع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من الأربع على الاحتياط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حكى عن أبي جعفر عليه السلام إنّما هي مثل الإماء يتزوّج منهنّ ما شاء؟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الأربع</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بالاحتياط في هذه النصوص، هو الاحتياط من المخالفين لا الاحتياط في الحُكم، إذ لا يتصوّر من الإمام الأمر به بالنسبة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الصحاح تدلّ بأنفسها على أنّ الأمر بجعلها من الأربع إنّما هو لأجل التقيّة والاحتياط من المخالفين، نظراً إلى أنّه لو اطّلع المخالفون عليها، واعترضوا بأنّ هذا إنْ كان نكاحاً فلِمَ جعلتموه زائداً على الأربع، مع دلالة الآيات القرآنيّة على عدم جواز الزائد على الأربع، وإنْ كان من السّفاح فلِمَ ارتكبتموه‌؟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تفيد إجابتهم بأنّ أئمّتنا عليهم السلام قالوا بجواز الزائد على الأربع، ونقيّد به إطلاق الكتاب، وتكون هي حاكمة على الموثّق، وعلى ذلك فالنصوص محمولة على التقيّة، فلا تعارض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ذلك، حيث إنّه لا يمكن الجمع العرفي بين الطائفتين، لعدم كون حمل هذه على الاستحباب منه، يتعيّن الرجوع إلى المرجّحات، وهي تقتضي تقديم الأُولى‌، لأنّها أشهر، وأصحّ سنداً، وأكثر عدداً ومخالفة للعامّة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2" w:name="pg11825_115829"/>
    </w:p>
    <w:p>
      <w:pPr>
        <w:pStyle w:val="BookText"/>
        <w:rPr/>
      </w:pPr>
      <w:bookmarkEnd w:id="72"/>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الحُرّة ثلاثاً، حَرُمت حتّى تنكح زوجاً غيره</w:t>
      </w:r>
    </w:p>
    <w:p>
      <w:pPr>
        <w:pStyle w:val="Heading2"/>
        <w:numPr>
          <w:ilvl w:val="1"/>
          <w:numId w:val="1"/>
        </w:numPr>
        <w:rPr/>
      </w:pPr>
      <w:bookmarkStart w:id="73" w:name="__RefHeading___Toc11056774_73709187"/>
      <w:bookmarkStart w:id="74" w:name="_Toc24"/>
      <w:bookmarkEnd w:id="73"/>
      <w:r>
        <w:rPr>
          <w:rtl w:val="true"/>
        </w:rPr>
        <w:t>حرمة نكاح المطلّقة ثلاثاً على الزّوج إلّابعد التحليل</w:t>
      </w:r>
      <w:bookmarkEnd w:id="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الحُرّة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ينكحها بينهما زوجٌ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أجده في شيء من ذلك،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صريحة في أنّ المرأة المطلّقة تحرُم على زوجها المطلِّق، وأنّ حَلّها له موقوفٌ على أن تنكح زوجاً غيره، وأمّا أنّ الطلاق المُحرِّم هو الطلاق الثالث، فيستفاد من تعقيب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حينئذٍ أنّه إنْ طلّقها بعد المرّتين، أي التطليقتين الأولتين لا تَحلّ لزوجها حتّى تنكح زوجاً غيره، والطلاق الواقع بعدهما ليس إلّاالثالث، إذ غيره لا يقال إنّه بعد المرّتين، بل بعد الثالث وما 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الظاهر أنّ المراد بالطلاق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الرِّجعي، بمعنى أنّ الطلاق الرِّجعي الذي يجوز للزوج الرجوع فيه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تطليقتان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 بائنٌ لا 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الزّوج بعد التطليقتين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يمسك المرأة بالرجوع في العِدّة أو بعقدٍ جديد، وحُسْن المعاشرة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يسرّحها بإحسان بأنْ يُطلّقها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اختار بعد التطليقتين التسريح بالطلاق، فلا تحلّ له، وقد ورد التصريح في كثيرٍ من النصوص بأنّ المراد بالتسريح بإحسان هو التطليقة الثالثة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الآية حرمة التزويج بعد الطلاق الثالث دواماً أو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دالّة على جميع ما ذكرناه</w:t>
      </w:r>
      <w:r>
        <w:rPr>
          <w:rStyle w:val="FootnoteAnchor"/>
          <w:rtl w:val="true"/>
        </w:rPr>
        <w:footnoteReference w:id="329"/>
      </w:r>
      <w:r>
        <w:rPr>
          <w:rFonts w:ascii="Amiri" w:hAnsi="Amiri" w:eastAsia="Amiri" w:cs="Amiri"/>
          <w:color w:val="111111"/>
          <w:sz w:val="28"/>
          <w:sz w:val="28"/>
          <w:szCs w:val="28"/>
          <w:rtl w:val="true"/>
          <w:lang w:bidi="ar-SA"/>
        </w:rPr>
        <w:t>، كما أنّها تدلّ على أنّ المُحلّل يهدم الطلقة والثنتين، كما يهدم الثلاث</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النصوص على اعتبار كون نكاح المُحلّل دواماً، ولا يكفي المتعة</w:t>
      </w:r>
      <w:r>
        <w:rPr>
          <w:rStyle w:val="FootnoteAnchor"/>
          <w:rtl w:val="true"/>
        </w:rPr>
        <w:footnoteReference w:id="331"/>
      </w:r>
      <w:r>
        <w:rPr>
          <w:rFonts w:ascii="Amiri" w:hAnsi="Amiri" w:eastAsia="Amiri" w:cs="Amiri"/>
          <w:color w:val="111111"/>
          <w:sz w:val="28"/>
          <w:sz w:val="28"/>
          <w:szCs w:val="28"/>
          <w:rtl w:val="true"/>
          <w:lang w:bidi="ar-SA"/>
        </w:rPr>
        <w:t>، وتدلّ أيضاً على عدم الفرق بين كون الطلقات طلاق عِدّة أو سُنّة، وما في بعض النصوص من اعتبار كونه للعِدّة شاذٌّ مخالفٌ للنصوص والفتاوى، وتمامق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كانت تحت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طُلّقت الأمَة طلقتين حرُمت حتّى تنكح زوجاً غيره، وإن كانت تحت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ذلك وفي شرائط المحلِّل سيأتي إنْ شاء اللّه تعالى في كتاب الطلاق</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الحكم إنّما هو في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تحت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334"/>
      </w:r>
      <w:r>
        <w:rPr>
          <w:rFonts w:ascii="Amiri" w:hAnsi="Amiri" w:eastAsia="Amiri" w:cs="Amiri"/>
          <w:color w:val="111111"/>
          <w:sz w:val="28"/>
          <w:sz w:val="28"/>
          <w:szCs w:val="28"/>
          <w:rtl w:val="true"/>
          <w:lang w:bidi="ar-SA"/>
        </w:rPr>
        <w:t xml:space="preserve">المتواترة تدلّ على أنّ العبرة بعدد الطلقات الرِّجال دون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طلقتين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حتّى تنكح زوجاً غيره وإنْ كان تحت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للمحكي عن العامّة، فعكسوا القضيّة فجعلوا الاعتبار في عددها بالزوج</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5" w:name="pg11825_115832"/>
    </w:p>
    <w:p>
      <w:pPr>
        <w:pStyle w:val="BookText"/>
        <w:rPr/>
      </w:pPr>
      <w:bookmarkEnd w:id="75"/>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تسعاً للعِدّة، ينكحها بينها رجلان، تحرمُ على المطلق أبداً</w:t>
      </w:r>
    </w:p>
    <w:p>
      <w:pPr>
        <w:pStyle w:val="Heading2"/>
        <w:numPr>
          <w:ilvl w:val="1"/>
          <w:numId w:val="1"/>
        </w:numPr>
        <w:rPr/>
      </w:pPr>
      <w:bookmarkStart w:id="76" w:name="__RefHeading___Toc11056776_73709187"/>
      <w:bookmarkStart w:id="77" w:name="_Toc25"/>
      <w:bookmarkEnd w:id="76"/>
      <w:r>
        <w:rPr>
          <w:rtl w:val="true"/>
        </w:rPr>
        <w:t>حرمة المطلَّقة تسعاً على المُطلِّق</w:t>
      </w:r>
      <w:bookmarkEnd w:id="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تسعاً للعِدّة، ينكحها بينها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طلّقها فراجعها في العِدّة ووطئها، ثمّ طلَّقها ثمّ راجعها ووطئها ثمّ طلّقها، فتزوّجها المُحلّل، ثمّ بعد فراقه تزوّجها فطلقها ثلاثاً بينها رجعتان مع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على المطلّق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طلاق العِدّة، وهو الذي يتعقّبه الرجوع والوطء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صحيح زرارة عن الإمام الباقر عليه السلام الوارد في تفسير طلاق السنة والعِدّة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طلاق العِدّة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الرّجل منكم أن يطلّق امرأته طلاق العِدّة، فلينتظر بها حتّى تحيض، وتخرج من حيضها، ثمّ يُطلّقها تطليقة من غير جماع، وبشهادة شاهدين عدلين، ويراجعها من يومه ذلك إنْ أحبَّ أو بعد ذلك بأيّام قبل أنْ تحيض، ويُشهِد على رجعتها، ويواقعها حتّى تحيض، الحديث</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الطلقات التسع مجازٌ، من باب تسمية الكلّ باسم الجزء، </w:t>
      </w:r>
    </w:p>
    <w:p>
      <w:pPr>
        <w:pStyle w:val="BookText"/>
        <w:rPr/>
      </w:pPr>
      <w:r>
        <w:rPr>
          <w:rFonts w:ascii="Amiri" w:hAnsi="Amiri" w:eastAsia="Amiri" w:cs="Amiri"/>
          <w:color w:val="111111"/>
          <w:sz w:val="28"/>
          <w:sz w:val="28"/>
          <w:szCs w:val="28"/>
          <w:rtl w:val="true"/>
          <w:lang w:bidi="ar-SA"/>
        </w:rPr>
        <w:t xml:space="preserve">لأنّ طلاق العِدّة ليس إلّاستّة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الثالثة من كلّ ثلاثةٍ ليست للعِدّة بل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فالنصوص الدالّة على هذا الحكم مستفيضة أو متواترة 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والكلام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أنْ يكون الطلقات التسع للعِدّة بالمعنى المتقدّم كما نُسب إلى المشهور؟ أم يكفي في التحريم المؤبّد كونها للسُّنة‌؟ أو المركّب من العِدّة والسُنّة‌؟</w:t>
      </w:r>
    </w:p>
    <w:p>
      <w:pPr>
        <w:pStyle w:val="BookText"/>
        <w:rPr/>
      </w:pPr>
      <w:r>
        <w:rPr>
          <w:rFonts w:ascii="Amiri" w:hAnsi="Amiri" w:eastAsia="Amiri" w:cs="Amiri"/>
          <w:color w:val="111111"/>
          <w:sz w:val="28"/>
          <w:sz w:val="28"/>
          <w:szCs w:val="28"/>
          <w:rtl w:val="true"/>
          <w:lang w:bidi="ar-SA"/>
        </w:rPr>
        <w:t>ومنشأ الخلاف اختلاف الأخبار، وهي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الاكتفاء بالسُّني، وعدم اعتبار العِدّي، كموثّق زرارة وداود ابن سرحان، عن أبي عبداللّه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يطلّق الطلاق الذي لا تَحلّ له حتّى تنكح زوجاً غيره ثلاث مرّات، وتزوّج ثلاث مرّات لا تَحلّ له أبداً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الموضوع للحرمة ما لم تنكح زوجاً آخر، والموضوع للحرمة أبداً واحداً، غاية الأمر الأُولى الطلقات الثلاث، والثانية الطلقات التسع، وقد مرّ أنّ الموضوع للحرمة قبل النكاح مطلق الطلقات الثلاث عدّية كانت أم غيرها، ولازم ذلك الاكتفاء بالسُّني في المقام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انحصار الطلقات التسع الموجبة للحرمة الأبديّة بما 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الثلاث الأخيرة للسُنّة، كخبر أبي بصير، عن أبي عبداللّه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يُطلّق ثمّ يُراجع ثمّ يُطلّق ثمّ يُراجع ثمّ يُطلِّق‌؟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 فيزوّجها رجلٌ آخر فيطلّقها على السُنّة، ثمّ ترجع إلى زوجها الأوّل فيطلّقها ثلاث مرّات تنكح زوجاً غيره، فيطلّقها ثلاث مرّات على السُّنة ثمّ تنكح، فتلك التي لا تحلّ له أبداً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اعتبار كون الطلقات للعِدّة، مثل الخبر الذي رواه إبراهيم عن عبدالرحمن، عن موسى بن جعفر، عن أبيه جعفر بن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عليه السلام عمّا حَرّم اللّه عزّ وجلّ من الفروج في القرآن، وعمّا حَرّم رسول اللّه صلى الله عليه و آله في سُنّته‌؟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اللّه عزّ وجلّ‌،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السُّنة فالمواقعة في شهر رمضان،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الرّجل امرأة قد طلّقها للعِدّة تسع تطليقات</w:t>
      </w:r>
      <w:r>
        <w:rPr>
          <w:rStyle w:val="FootnoteAnchor"/>
          <w:rtl w:val="true"/>
        </w:rPr>
        <w:footnoteReference w:id="33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عمل به الأصحاب، 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وفتوى عليّ بن إبراهيم الكاشفة عن وجود النّص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من هذه الطائفة معتبر المُعلّى بن خُنَيس،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ثمّ لم يراجعها حتّى حاضت ثلاث حيض، ثمّ تزوّجها ثمّ طلّقها، فتركها حتّى حاضت ثلاث حيض، ثمّ تزوّجها ثمّ طلّقها من غير أن يراجع، ثمّ تركها حتّى حاضت ثلاث حيض‌؟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أبداً ما لم يراجع ويمسّ‌</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لفظ التأبيد صريحٌ في العموم كما لو طلّقت كذلك ولو تجاوزت التسع، وأنّها لا تحرُم بذلك إلى حصول الأمرين من الرجوع والوقاع، وإطلاقه وإنْ شمل الطلقات الثلاث الاُول الموجبة للحرمة حتّى تنكح زوجاً غيره، ويدلّ على اعتبار كونها للعِدّة، إلّاأنّه يقيّد بما لو حصل المحلّل بعد كلّ ثلاث لما تقدّم، ومقتضاه حينئذٍ حَلّ التزويج له أبداً بعد حصول المحلّل بعد كلّ ثلاثٍ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مطلقاً، كصحيح جميل بن درّاج،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فتزوّجها الأوّل، ثمّ طلّقها فتزوّجت رجلاً، ثمّ طلّقها، فإذا طلّقها على هذا ثلاثاً لم تحلّ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إبراهيم بن عبدالحميد، عن أبي عبداللّه عليه السلام، وأبي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المحمولين على ما لو كان تزويج الغير ليكون محلّلاً، فالمراد بهما الطلقات التسع، وعليه فالظاهر رجوع هذه الطائفة إلى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الطائفة الثالثة أخصّ مطلق من الطائفة الأُولى والرابعة، فيقيّد إطلاقهما بها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والطائفة الثانية غير صريحة في اعتبار كون الطلقات الثلاث الأخيرة للسُّنة بالمعنى الأخصّ‌، بل هي قابلة للحمل على إرادة السُّنة بالمعنى الأعمّ المقابل للبدعة، فلا تصلح لمعارضة الطائفة الثالثة، بل يُحمل ظاهرها على نصّ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فالمتحصّل من النصوص اعتبار كون الطلقات التسع للعِدّة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بينها كما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الطائفة الأُولى‌، بضميمة القطع بأنّ الطلاق الذي لا تحلّ له معه حتّى تنكح، هو مطلق الطلقات الثلاث عدّية كانت أم غيرها، كالصريحة في الإطلاق، فلا تصلح الطائفة الثانية لمعارضتها، لقابليّتها للحمل على السُّنة بالمعنى الأعمّ‌، والنسبة بينها وبين الثالثة وإنْ كانت عموماً مطلقاً، إلّاأنّه يلزم من حمل مطلقهما على المقيّد، حمل المطلق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الرجوع إلى المرجّحات السنديّة، لأنّ الرجوع إليها إنّما هو إذا كان المتعارضان متنافيين بتمام مدلوليهما، فلابدّ من الأخذ بالمتيقّن منهما، وهو كون التسع للعِدّة موجبة للحرمة الأبديّة، والرجوع في غيره إلى مقتضى عموم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حمل السُنّة في الثانية على إرادة السُّنة بالمعنى الأعمّ‌، يمكن حمل إطلاق الأُولى على المقيّد، فلا أولويّة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الأُولى على إرادة الطلقات للعِدّة بقرينة الثالثة، لا يكون مستلزماً لحمل المطلق على الفرد النادر، مع أنّ ورود المطلق لبيان حكم الفرد النادر في أمثال المقام لا محذور فيه، فإنّ الفرد الآخر منه أيضاً نادرٌ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التعارض، عدم الرجوع إلى المرجّحات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السنديّة لا وجه له، لعدم الدليل على اعتبار كون التنافي بين الدليلين في تمام مدلوليهما، ولذا بنينا على الرجوع إليها في تعارض العامّين من 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في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الطائفتين الأخيرتين تتعارضان وتتساقطان، فالمرجع إلى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قبيل النّص والظاهر، فلا تتساقطان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إمكان الجمع بينهما لا تتساقطان، بل المرجع إلى المرجّحات، وأيّتهما قدّمت يقيّد بها إطلاق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المستفاد من النصوص اعتبار امرين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نكاح رجلين خاصّة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الطلقات التسع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طلّقها تسعاً للعِدّة مع التفرّق، كما في الصورة القادمة، لزم عدم الحكم بالحُرمة بعد الطلاق التاسع، وهو خلاف صريح النصوص أو ظاهرها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بعد حمل مطلقها على مقيّدها، وظاهرها على نصّها، واردة في موردٍ خاصّ‌، وهو توالي الطلقات التسع العَدَديّة، والتعدّي يحتاج إلى دليلٍ خاصّ وهو مفقود، وعلى هذا فلو طلّقها خمسة وعشرين مرّة، وكان في كلّ ثلاثة منها واحدة عديّة من أوّل الدور، لايوجب تحريمهاعليه مؤبّداً لانتفاءالشرطين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حينئذٍ لابدّ أن يقع بعد كلّ ثلاثة منها نكاح رجل، فيقع بينها نكاح ثمانية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الشهيد الثاني رحمه الله</w:t>
      </w:r>
      <w:r>
        <w:rPr>
          <w:rStyle w:val="FootnoteAnchor"/>
          <w:rtl w:val="true"/>
        </w:rPr>
        <w:footnoteReference w:id="343"/>
      </w:r>
      <w:r>
        <w:rPr>
          <w:rFonts w:ascii="Amiri" w:hAnsi="Amiri" w:eastAsia="Amiri" w:cs="Amiri"/>
          <w:color w:val="111111"/>
          <w:sz w:val="28"/>
          <w:sz w:val="28"/>
          <w:szCs w:val="28"/>
          <w:rtl w:val="true"/>
          <w:lang w:bidi="ar-SA"/>
        </w:rPr>
        <w:t>من الحكم بالتحريم المؤبّد في هذه الصورة، تمسّكاً بإطلاق ما دلّ على التحريم كذلك بالتسع للعِدّة، الظاهر في كون جميعها للعِدّة حقيقة، خرج منه ما إذا كان الثالثة من كلّ ثلاثة منها سُنيّة بالنّص وبقى الباقي، لا وجه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8" w:name="pg11825_115839"/>
    </w:p>
    <w:p>
      <w:pPr>
        <w:pStyle w:val="BookText"/>
        <w:rPr/>
      </w:pPr>
      <w:bookmarkEnd w:id="78"/>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إحدى الأربع رجعيّاً، لم يَجُز أن ينكح بدلها حتّى تخرج من العِدّة، ويجوز في البائن، ولو عَقَد ذو الثلاث على اثنتين دفعة بَطَلا</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1056778_73709187"/>
      <w:bookmarkStart w:id="80" w:name="_Toc26"/>
      <w:bookmarkEnd w:id="79"/>
      <w:r>
        <w:rPr>
          <w:rtl w:val="true"/>
        </w:rPr>
        <w:t>حكم ما لو عقد ذو الثلاث على اثنتين دفعة</w:t>
      </w:r>
      <w:bookmarkEnd w:id="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إحدى الأربع رجعيّاً، لم يجز أن ينكح بدلها حتّى تخرج من العِدّة، ويجوز في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القول في ذلك في ذيل مسألة حرمة تزويج ما زاد على الأربع، فراجع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عقد ذو الثلاث على اثنتين دفعةً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يتخيّر، وفي الرواية ضعفٌ‌</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مع قطع النظر عن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للبطلان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 صحّة كلّ منهما بطلان الآخر ولا ترجيح، وصحّة أحدهما دون الاخر غير معقولة، والصحّة في إحدى الإمرأتين على جهة الإطلاق الذي مرجعه إلى تخيير الزّوج في تعيينها غير مفادهما، ولو فرض قصد ذلك فهو غيرُ صحيحٍ للإجماع على اعتبار تعيين الزّوجة في عقد النكاح على وجه التشخيص</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يمكن البناء على صحّة أحد العقدين إنْ كان التزويج بعقدين دفعةً‌، كما لو عقد على إحداهما وعَقَد وكيله على الاُخرى‌، وصحّة العقد على إحداهما إنْ عَقَد عليهما بعقدٍ واحد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الزوجيّة ليست من قبيل الأعراض الخارجيّة كي تحتاج في تشخيصها إلى موضوعٍ شخصي خارجي، بل هي من الاُمور الاعتباريّة كالملكيّة، فكما يصحّ اعتبار ملكيّة أحد الشيئين أو الأشياء كما في الوصيّة، واعتبار ملكيّة الكلّي في الذّمة أو في المعيّن كما في الخُمس والزكاة، كذلك يصحّ اعتبار زوجيّة إحدى الإمرأتين لا بعينها، كيف وقد وقع نظيره في الشرع، كما في مَن تزوّج الاُختين بعقدٍ واحد، وكما في من أسلم عن خَمس زوجات وغيرهما، وأدلّ الدليل على إمكان الشيء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الأدلّة، صحّة كلّ واحدٍ من العقدين، وصحّة العقد على كلّ منهما، غاية الأمر دلّ الدليل على عدم جواز تزويج أكثر من أربع، ولذا لا يمكن الحكم بصحتهما معاً، وحيث أنّ الضرورات تتقدّر بقدرها، وأنّ هذا المحذور يرتفع بالبناء على بطلان أحد العقدين، أو العقد على إحداهما، فلا وجه للبناء على بطلانهما، وإلّا لزم التخصيص بلا وجه، وحيث أنّ نسبة الدليل المخصّص إليهما على حَدٍّ سَواء، فلا وجه للبناء على بطلان أحدهما تعييناً، فيتعيّن البناء على بطلان أحدهما بنحو التخيير، وصحّة أحدهما كذلك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نظر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احتجّ لصحّة أحدهما بنحو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بوجود المقتضي وانتفاء المانع، إذ ليس إلّاانضمام العقد على الاُخرى‌، وهو لا يقتضي تحريم المباح، كما لو جمع بين محرّمة عيناً ومحلّلة عيناً في </w:t>
      </w:r>
    </w:p>
    <w:p>
      <w:pPr>
        <w:pStyle w:val="BookText"/>
        <w:rPr/>
      </w:pPr>
      <w:r>
        <w:rPr>
          <w:rFonts w:ascii="Amiri" w:hAnsi="Amiri" w:eastAsia="Amiri" w:cs="Amiri"/>
          <w:color w:val="111111"/>
          <w:sz w:val="28"/>
          <w:sz w:val="28"/>
          <w:szCs w:val="28"/>
          <w:rtl w:val="true"/>
          <w:lang w:bidi="ar-SA"/>
        </w:rPr>
        <w:t>عقد، وكما لو جمع بين المحلّل والمحرّم في البيع، ولا أثر للإطلاق والتعيين، إذ في التعيين تحرم واحدة معيّنة فيبطل العقد عليها، وتحلّ أُخرى معيّنة، وفي الإطلاق تحلّ واحدة مطلقة وتَحرُم أُخرى‌، وقد علمهما معاً، فيدخلان في العقد، إذ لا وجود للكلي إلّا في جزئيّاته</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الشهيد الثاني رحمه الله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واحدة صالحة للصحّة منفردة، ومنهيّ عنها مع الانضمام، ولا أولويّة، وتعلّق العقد بغير معيّنة غير كافٍ في الصحّة، بل لابدّ من تعيينها قبل العقد</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تعيين كلّ منهما، ولا دليل على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البناء على صحّة عقد إحداهما، وكونه مخيّراً في اختيار أيّتهما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نظر المحقّق رحمه الله إلى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عنبسة بن مصعب،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كان له ثلاث نسوة، فتزوّج عليهنّ امرأتين في عقدة، فدخل على واحدة منهما ثمّ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بالمرأة التي بدأ باسمها، وذكرها عند عقدة النكاح، فإنّ نكاحها جائزٌ، ولها الميراث، وعليها العِدّة، وإنْ كان دخل بالمرأة التي سمّيت وذكرت بعد ذكر المرأة الأُولى‌، فإنّ نكاحها باطلٌ‌، ولا ميراث لها، وعليها العِدّة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خمساً في عقدة واحدة‌؟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ترتّب بَطَل الثاني، وكذا الحكم في الاُختين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نظره إلى الأوّل، فهو لا يدلّ على التخيير، وخارجٌ عمّا هو محلّ الكلام، وإنْ كان نظره إلى الثاني، أصبح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لأنّ الخبر صحيح، وهو وإنْ كان في تزويج الخمس في عقدة واحدة، إلّاأنّه يمكن استفادة الحكم منه في المقام بإلغاء الخصوصيّة، وقد تقدّم أنّ الخبر في مورده معمولٌ به، حيث عَمل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351"/>
      </w:r>
      <w:r>
        <w:rPr>
          <w:rFonts w:ascii="IRNazanin" w:hAnsi="IRNazanin" w:eastAsia="IRNazanin"/>
          <w:color w:val="111111"/>
          <w:sz w:val="28"/>
          <w:sz w:val="28"/>
          <w:szCs w:val="28"/>
          <w:rtl w:val="true"/>
          <w:lang w:bidi="fa-IR"/>
        </w:rPr>
        <w:t>وأتباعه</w:t>
      </w:r>
      <w:r>
        <w:rPr>
          <w:rStyle w:val="FootnoteAnchor"/>
          <w:rtl w:val="true"/>
        </w:rPr>
        <w:footnoteReference w:id="352"/>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وغيرهم</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إرادة الإمساك بعقدٍ جديد، خلاف الظاهر، لا وجه للمصير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هو الصحّة، والتخيير في اختيار أيّتهما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في الاُختين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مسألة الجمع بين الاُختين تفصيل القول في شقوق المسألة، فراجع</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1" w:name="pg11825_115843"/>
    </w:p>
    <w:p>
      <w:pPr>
        <w:pStyle w:val="BookText"/>
        <w:rPr/>
      </w:pPr>
      <w:bookmarkEnd w:id="8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ويحرمُ منه ما يَحرمُ بالنَسَب</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1056780_73709187"/>
      <w:bookmarkStart w:id="83" w:name="_Toc27"/>
      <w:bookmarkEnd w:id="82"/>
      <w:r>
        <w:rPr>
          <w:rtl w:val="true"/>
        </w:rPr>
        <w:t>الرِّضاع من أسباب التحريم</w:t>
      </w:r>
      <w:bookmarkEnd w:id="83"/>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سبباً لتحريم النكاح إجماعيٌ‌</w:t>
      </w:r>
      <w:r>
        <w:rPr>
          <w:rStyle w:val="FootnoteAnchor"/>
          <w:rtl w:val="true"/>
        </w:rPr>
        <w:footnoteReference w:id="356"/>
      </w:r>
      <w:r>
        <w:rPr>
          <w:rFonts w:ascii="Amiri" w:hAnsi="Amiri" w:eastAsia="Amiri" w:cs="Amiri"/>
          <w:color w:val="111111"/>
          <w:sz w:val="28"/>
          <w:sz w:val="28"/>
          <w:szCs w:val="28"/>
          <w:rtl w:val="true"/>
          <w:lang w:bidi="ar-SA"/>
        </w:rPr>
        <w:t>، بل هو من ضروريّات المذهب أو الدِّين، والكتاب والسُّنة شاهدان به، وتنقيح القول فيه يتحقّق بالبحث في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يَحرُم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منه ما يَحُرم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المستفيضة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العِجلي،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أخبار داوود بن سَرحان، وأبي الصّباح، والحلبي</w:t>
      </w:r>
      <w:r>
        <w:rPr>
          <w:rStyle w:val="FootnoteAnchor"/>
          <w:rtl w:val="true"/>
        </w:rPr>
        <w:footnoteReference w:id="358"/>
      </w:r>
      <w:r>
        <w:rPr>
          <w:rFonts w:ascii="Amiri" w:hAnsi="Amiri" w:eastAsia="Amiri" w:cs="Amiri"/>
          <w:color w:val="111111"/>
          <w:sz w:val="28"/>
          <w:sz w:val="28"/>
          <w:szCs w:val="28"/>
          <w:rtl w:val="true"/>
          <w:lang w:bidi="ar-SA"/>
        </w:rPr>
        <w:t>،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صحيحه الآخر عنه عليه السلام</w:t>
      </w:r>
      <w:r>
        <w:rPr>
          <w:rStyle w:val="FootnoteAnchor"/>
          <w:rtl w:val="true"/>
        </w:rPr>
        <w:footnoteReference w:id="360"/>
      </w:r>
      <w:r>
        <w:rPr>
          <w:rFonts w:ascii="Amiri" w:hAnsi="Amiri" w:eastAsia="Amiri" w:cs="Amiri"/>
          <w:color w:val="111111"/>
          <w:sz w:val="28"/>
          <w:sz w:val="28"/>
          <w:szCs w:val="28"/>
          <w:rtl w:val="true"/>
          <w:lang w:bidi="ar-SA"/>
        </w:rPr>
        <w:t xml:space="preserve">، إلى‌غير تلكم من النصوص الكثيرة، وملخّص </w:t>
      </w:r>
    </w:p>
    <w:p>
      <w:pPr>
        <w:pStyle w:val="BookText"/>
        <w:rPr/>
      </w:pPr>
      <w:r>
        <w:rPr>
          <w:rFonts w:ascii="Amiri" w:hAnsi="Amiri" w:eastAsia="Amiri" w:cs="Amiri"/>
          <w:color w:val="111111"/>
          <w:sz w:val="28"/>
          <w:sz w:val="28"/>
          <w:szCs w:val="28"/>
          <w:rtl w:val="true"/>
          <w:lang w:bidi="ar-SA"/>
        </w:rPr>
        <w:t>القول في المقام إنّما يكون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النبويّ الذي رواه الفريقان وما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بين علماء الإسلام في حصول نظائر القرابات الحاصلة بالنسبة والقرابة بالرِّضاع أيضاً، ونصّ عليه في الجملة في الكتاب العزيز،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وتظافرت النصوص على إثبات النظائر النَسَبيّة بالرّضاع من الاُمّ والبنت والاُخت والعمّة والخالة وما شاكل، كما لا يخفى على المتتبّع، وعلى ذلك فلا إشكال في حصول القرابات السبع النَسَبيّة الإناثيّة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الاُمّهات، والبنات، والأخوات، وبناتِ الأخ، وبناتِ الاُخت، والعمّات، والخالات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الاُمّ من الرّضاعة، وهي امرأة أرضعتك، أو ولّدت من أرضعتك، أو أرضعت من ولّدتك، أو أرضعت من ولّدك، فلها سبعُ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النسبيّة للاُمّ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الرّضاعيّة للاُمّ الرّضاعيّة بلا واسطة، أو بواسطة إحدى من اُمّهاتها النسبيّة أو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النسبيّة للأب الرّضاعي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الرّضاعيّة للأب الرّضاعي بلا واسطة، أو بواسطة إحدى من اُمّهاته النسبيّة أو الرّضاعيّة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الرّضاعيّة للاُمّ النسبيّة بلا واسطة، أو بواسطة إحدى من اُمّهاتها النسبيّة أو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الرّضاعيّة، للأب النسبي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البنات الرّضاعيّة، وهي كلّ امرأةٍ ارتضعت من لبنك، ولو كان المرتضع رجلاً فهو ابنه الرّضاعي، وبنات الأولاد وهنّ بنات بناته، أو بنات أبنائه بلا واسطة، أو مع 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لكلّ من الابن والبنت قسمين نَسَبيّاً ورضاعيّاً، والبنتيّة لكلّ من الاربعة أيضاً على قسمين النسبيّة والرّضاعيّة، فيحصل لبنات الأولاد أيضاً الشعب الثمان، ولما كان صدق الرّضاعيّة موقوفاً على توسّط الرّضاع، يخرج شعبتان منها، وهما شُعبة البنت النسبيّة للبنت النسبيّة، وشُعبة البنت النسبيّة للأب النسبي، ويبقى السِّت الباقية، نظير ما مرّ في الجَدّات، فبضميمة البنت الرّضاعيّة بلا واسطة تكون مجموعها سبع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الأخوات الرّضاعيّة، وهنّ بنات أبويه أو إحداهما، ولها شعبٌ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الرّضاعيّة للأبوين النسبيّين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والبنات النسبيّة للأبوين الرّضاعيين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والبنات الرّضاعيّة للأبوين الرّضاعيين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المرتضع رجلاً فهو أخوه الرّضاعي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 وهنّ بنات اُخته من النَسَب أو الرّضاع بلا واسطة </w:t>
      </w:r>
      <w:bookmarkStart w:id="84" w:name="pg11825_115846"/>
    </w:p>
    <w:p>
      <w:pPr>
        <w:pStyle w:val="BookText"/>
        <w:rPr/>
      </w:pPr>
      <w:bookmarkEnd w:id="84"/>
      <w:r>
        <w:rPr>
          <w:rFonts w:ascii="Amiri" w:hAnsi="Amiri" w:eastAsia="Amiri" w:cs="Amiri"/>
          <w:color w:val="111111"/>
          <w:sz w:val="28"/>
          <w:sz w:val="28"/>
          <w:szCs w:val="28"/>
          <w:rtl w:val="true"/>
          <w:lang w:bidi="ar-SA"/>
        </w:rPr>
        <w:t>أو بواسطة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الأخ قسمان، والبنت أيضاً قسمان، فيحصل لبنات الأخ أربعُ شُعب، يخرج منها شعبة واحدة هي البنت النسبيّة للأخ النَسبي، ويبقى ثلاث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الاُخت، يعلم شُعبها بالقياس إلى بنات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العمّات، وهنّ أخوات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الأب على قسمين، والأخوات أيضاً كذلك، فيحصل للعمّات أربع شُعب، شعبة واحدة نَسَبيّة، والثلاث الباقية رضاعيّة، ويدخل في هذه القرابة أخوات أبي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الخالات، وهي أخوات اُمّه، ويَعلم أقسامها وشعبها بالقياس إلى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هنّ القرابات الرّضاعيّة من الإناث، ويُعلم بالقياس إليهنّ القرابات الذكوريّة للرجال وللنساء أيضاً</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1056782_73709187"/>
      <w:bookmarkStart w:id="86" w:name="_Toc28"/>
      <w:bookmarkEnd w:id="85"/>
      <w:r>
        <w:rPr>
          <w:rtl w:val="true"/>
        </w:rPr>
        <w:t>عموم المنزلة</w:t>
      </w:r>
      <w:bookmarkEnd w:id="8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تختصّ الحرمة الحاصلة بالرِّضاع، بما إذا تحقّق أحد تلكم العناوين المحرّمة، كما هو المشهور بين الأصحاب‌؟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يعمّ ما إذا حصل عنوانٌ ملازمٌ لعنوان محرّم كأُمّ الأخ من الأبوين الملازمة لكونها اُمّاً، فلو أرضعت امرأةً ابناً، تحرُم هي على أخيه كما ذهب إليه جمعٌ من </w:t>
      </w:r>
    </w:p>
    <w:p>
      <w:pPr>
        <w:pStyle w:val="BookText"/>
        <w:rPr/>
      </w:pPr>
      <w:r>
        <w:rPr>
          <w:rFonts w:ascii="Amiri" w:hAnsi="Amiri" w:eastAsia="Amiri" w:cs="Amiri"/>
          <w:color w:val="111111"/>
          <w:sz w:val="28"/>
          <w:sz w:val="28"/>
          <w:szCs w:val="28"/>
          <w:rtl w:val="true"/>
          <w:lang w:bidi="ar-SA"/>
        </w:rPr>
        <w:t>المتأخّرين كالمحقّق الداماد وغيره</w:t>
      </w:r>
      <w:r>
        <w:rPr>
          <w:rStyle w:val="FootnoteAnchor"/>
          <w:rtl w:val="true"/>
        </w:rPr>
        <w:footnoteReference w:id="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عموم الموصول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عموم المنزلة، وأنّه يحرم من جهة الرّضاع كلّ عنوانٍ يحرُم من جهة النسب، سواءٌ كان اتّصاف ذلك العنوان بالحرمة لذاته أو لملازمته لعنوانٍ محرّم‌؟</w:t>
      </w:r>
    </w:p>
    <w:p>
      <w:pPr>
        <w:pStyle w:val="BookText"/>
        <w:rPr/>
      </w:pPr>
      <w:r>
        <w:rPr>
          <w:rFonts w:ascii="Amiri" w:hAnsi="Amiri" w:eastAsia="Amiri" w:cs="Amiri"/>
          <w:color w:val="111111"/>
          <w:sz w:val="28"/>
          <w:sz w:val="28"/>
          <w:szCs w:val="28"/>
          <w:rtl w:val="true"/>
          <w:lang w:bidi="ar-SA"/>
        </w:rPr>
        <w:t>أم مقتضاه اعتبار اتّحاد العنوان الحاصل بالرّضاع مع أحد العناوين النَسَبيّة المُحرِّمة لذاته، مثلاً الاُمّ محرمة من جهة النَسب، فإذا حصل بالرِّضاع نفس هذا العنوان ثبت التحريم، ولو حصل بالرّضاع ما يلازمه مثل اُمومة أخيه لم تحرم‌؟</w:t>
      </w:r>
    </w:p>
    <w:p>
      <w:pPr>
        <w:pStyle w:val="BookText"/>
        <w:rPr/>
      </w:pPr>
      <w:r>
        <w:rPr>
          <w:rFonts w:ascii="Amiri" w:hAnsi="Amiri" w:eastAsia="Amiri" w:cs="Amiri"/>
          <w:color w:val="111111"/>
          <w:sz w:val="28"/>
          <w:sz w:val="28"/>
          <w:szCs w:val="28"/>
          <w:rtl w:val="true"/>
          <w:lang w:bidi="ar-SA"/>
        </w:rPr>
        <w:t>وجهان، وحيثُ لا إشكال في أنّ المراد من الموصول ليس هو نفس ما يحرم بالنسب، كما هو واضحٌ‌، فيدور الأمر بين أن يراد به خصوص العناوين النَسَبيّة المحرِّمة شرعاً، أو الأعمّ منها ومن العناوين الملازمة لأحد تلكم العناوين، والقول بعمومُ المنزلة يتوقّف على إثبات الثاني، وغاية ما قيل في وجهه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الموصول، أنّ كلّ عنوانٍ محرّم في الأنساب إذا حصل نظيره بسبب الرّضاع، يكون حكمه حكمه، فكما أنّ اُخت الأخ النسبي حرامٌ على الإنسان، كذلك اُخت الأخ الرّضاعي، والتخصيص بخصوص العناوين المحرّمة لذاتها بلا وجه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الملازمة للعناوين المحرّمة بذاتها كاُخت الأخ ليست محرّمة بالنسب، بل هي ملازمة لعنوان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محرّمة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النسبة هو كون الوصف بحال نفسه، فقوله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العنوان المتّصف بالحرمة، وتكون الحرمة وصفاً له وعارضة عليه نفسه، فلا يشمل المحرّم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الملازمة في النسب إنّما تحرُم لأجل ملازمتها للعناوين المحرّمة، وبقيد اتّصافها بها، مثلاً اُخت الأخ إنّما تحرمُ من جهة النسب بعنوان كونها اُختاً له، واُمّ ولد بنت الشخص تحرمُ عليه بعنوان كونها بنتاً له، لا بعنوان كونهما اُخت الأخ، واُمّ ولد بنته، لأنّه لا نَسَب بينهما وبين الشخص من حيث هذين العنوانين، بل النَسَب بينهما وبين أخيه وولد بنته، فالمحرِّم في النسب أُمّ ولد البنت المقيّدة بكونها بنتاً، واُخت الأخ المقيّدة بكونها اُختاً، ومن المعلوم أنّ هذه العناوين المقيّدة لا تحصلُ بسبب الرّضاع حتّى تحرُم من جهته كما تحرم بالنسب، وإنّما الحاصل به نفس العناوين غير المقيّدة، ضرورة أنّ اُخت الأخ الرّضاعيّة لا تصير اُختاً له، ومرضعة ولد بنتِ الشخص لا تُتّصف بالبنتيّة وإنْ اتّصفت باُمّ ولد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بالموصول ليس العناوين، بل الأشخاص الخارجيّة المعنونة بالعناوين المحرّمة، وكما أنّ الشخص الخارجي المعنون بالعنوان المحرّم بالذات إنّما يحرم بذاته، كذلك الشخص الخارجي المعنون بالعنوان الملازم للعنوان المحرّم، مثلاً في النسب تحرُم المرأة الخارجيّة المعنونة بكونها أُمّ ولد بنت الشخص، فإذا حصل نظيرها في الرّضاع كان حكمها حكمها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وإنْ سَلم عن الإيراد الأوّل الوارد على الوجه الأوّل، لكنّه </w:t>
      </w:r>
    </w:p>
    <w:p>
      <w:pPr>
        <w:pStyle w:val="BookText"/>
        <w:rPr/>
      </w:pPr>
      <w:r>
        <w:rPr>
          <w:rFonts w:ascii="Amiri" w:hAnsi="Amiri" w:eastAsia="Amiri" w:cs="Amiri"/>
          <w:color w:val="111111"/>
          <w:sz w:val="28"/>
          <w:sz w:val="28"/>
          <w:szCs w:val="28"/>
          <w:rtl w:val="true"/>
          <w:lang w:bidi="ar-SA"/>
        </w:rPr>
        <w:t>يرد عليه الإيراد الثاني بنحو واضح، فإنّ الشخص الخارجي لا يحرمُ بواسطة تعنونه بعنوانٍ ملازم لعنوان محرّم، بل لتعنونه بعنوان محرّم بذاته، أضف إليه أنّ القضايا الشرعيّة ظاهرة في كونها بنحو القضايا الحقيقيّة لا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قياسين تكون النتيجة في إحداهما صغرى للآخر،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أُمّ ولد البنت بنتٌ‌، وكلّ بنتٍ حرامٌ‌، فينتج أنّ أُمّ ولد البنت محرّمة من جهة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وتُجعل هذه النتيجة صغرى لكبرى أُخرى‌،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يحرمُ من النَسَب يحرمُ من الرّضاع، فيستنتج أنّ أُمّ ولد البنت تحرمُ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منع الكبرى في القياس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ما يحرمُ من النسب لا بذاته بل لملازمته لعنوانٍ محرّم، لا يحرمُ إذا حصل نظيره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العناوين الملازمة للعناوين المحرّمة، إنّما تحرمُ بقيد اتصافها بالعناوين المحرّمة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أرضعت بعض وَلدي، هل يجوزُ لي أن أتزوّج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ولدها صارت بمنزلة ولدك</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عليّ بن مهزيار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اُخت ولد الشخص عليه، وهي ليست من العناوين المحرّمة بذاتها، وإنّما تحرم هي في النسب لكونها بنتاً له أو ربيبة، فيعلم من ذلك حرمة العنوان الملازم لعنوان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انضمّ إلى ذلك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النتيجة أنّه كما تحرمُ إذا تحقّق أحد العناوين المحرّمة بالرّضاع، كذلك تحصلُ الحرمة إذا تحقّق أحد العناوين الملازمة لتلك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علّل الحرمة بالمنزلة، فيدلّ على أنّها علّة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ولد المُرضعة منزلة ولد الشخص، ومقتضى عموم التنزيل، ترتّب جميع آثار الولد لمن هو بمنزلته، فيحرمُ كلّ من كان حراماً عليه أو على أولاده وإخوانه وأخواته لو كان أولاد المرضعة أولاداً له حقيقةً‌، لأنّه كما تحرمُ عليه بناتها لأنّهنّ صِرن بناتاً له، كذلك يحرمن على جميع أولاده، لأنّهنّ أصبحن أخوات لهم، ويَحرُمنَ على إخوانه لأنّهم صاروا أعماماً لهنّ‌،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ما اُفيد أوّلاً في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اُفيد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مفهوم له كي يدلّ على عدم حرمة غير ذلك بالرِّضاع، مع أنّه لو كان دالّاً على ذلك غايته الإطلاق فيقيّد إطلاقه بالخبر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المنزلة لا يثبتُ به علّية مطلق المنزلة، حتّى منزلة غير الولد أيضاً إلّاباستنباط العلّة، وليس هو إلّاالقياس</w:t>
      </w:r>
      <w:r>
        <w:rPr>
          <w:rFonts w:eastAsia="Amiri" w:cs="Amiri" w:ascii="Amiri" w:hAnsi="Amiri"/>
          <w:color w:val="111111"/>
          <w:sz w:val="28"/>
          <w:szCs w:val="28"/>
          <w:rtl w:val="true"/>
          <w:lang w:bidi="ar-SA"/>
        </w:rPr>
        <w:t xml:space="preserve">. </w:t>
      </w:r>
      <w:bookmarkStart w:id="87" w:name="pg11825_115851"/>
    </w:p>
    <w:p>
      <w:pPr>
        <w:pStyle w:val="BookText"/>
        <w:rPr/>
      </w:pPr>
      <w:bookmarkEnd w:id="87"/>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التنزيل ترتيب جميع آثار الولد عليه، وأمّا حرمتها على إخوانه مثلاً فهي ليست من آثار كونها ولداً له، بل من آثار كونها بنتُ أخٍ لهم،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التنزيل في الخبرين ظاهرٌ في كونه بلحاظ التزويج عليه خاصّة، ولا أقلّ من الإجمال فهو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كيفيّة الاستدلال لعموم المنزلة بما دلّ على حرمة نكاح أبي المرتضع في أولاد صاحب اللّبن ولادةً ورضاعاً، وفي أولاد المُرضعة ولادةً‌، والجواب عنه، وسيأتي لهذا زيادة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النبويّ المشهور بين الفريقين وما شابهه من النصوص، أنّ كلّ عنوانٍ محرِّم بذاته في النَسَب إذا حصل نظيره بالرِّضاع يوجبُ الحرمة، وفي غير ذلك لا دليل على الحرمة، والأصل يقتضي الجواز إلّاما خرج بدليل خاصّ‌، وستأتي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عنوانٍ له اسمٌ في الأنساب، وحكمٌ في السُّنة والكتاب بحرمته، إذا حصل بالرّضاع يحكم بحرمته وإلّا فلا، إلّاالموارد الخارجة بالدليل من الطرفين</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1056784_73709187"/>
      <w:bookmarkStart w:id="89" w:name="_Toc29"/>
      <w:bookmarkEnd w:id="88"/>
      <w:r>
        <w:rPr>
          <w:rtl w:val="true"/>
        </w:rPr>
        <w:t>القرابة المنضمّة بالمصاهرة</w:t>
      </w:r>
      <w:bookmarkEnd w:id="8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العناوين المحرِّمة قسمان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تحريمه منتسباً إلى النسب وحده، ويكون النسب كالعلّة التامّة لتحريمه، كالاُمّ والاُخت والبنت وما 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تحريمه مستنداً إلى العنوان المتحصّل من النسب وغيره كالمصاهرة، فيكون النسب كجزء العلّة للتحريم، مثل أُمّ الزّوجة، فإنّ حرمتها مستندة إلى عنوان المصاهرة المتحصّلة من ثبوت الزوجيّة بين الرّجل والمرأة، وثبوت النسب بين المرأة وامرأة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الحرمة بالرِّضاع إنْ كان العنوان الحاصل من قبيل القسم الأوّل، وإنّما الكلام فيما إذا كان من قبيل القسم الثاني، كما في الاُمّ الرّضاعيّة للزوجة الحقيقية واُختها الرّضاعيّة، ولا يخفى أنّه في خصوص أُمّ الزّوجة وردت نصوصٌ وفيها كلامٌ سيأتي</w:t>
      </w:r>
      <w:r>
        <w:rPr>
          <w:rStyle w:val="FootnoteAnchor"/>
          <w:rtl w:val="true"/>
        </w:rPr>
        <w:footnoteReference w:id="365"/>
      </w:r>
      <w:r>
        <w:rPr>
          <w:rFonts w:ascii="Amiri" w:hAnsi="Amiri" w:eastAsia="Amiri" w:cs="Amiri"/>
          <w:color w:val="111111"/>
          <w:sz w:val="28"/>
          <w:sz w:val="28"/>
          <w:szCs w:val="28"/>
          <w:rtl w:val="true"/>
          <w:lang w:bidi="ar-SA"/>
        </w:rPr>
        <w:t>عند تعرض المصنّف رحمه الله له، والمشهور بين الأصحاب سببيّة الرّضاع لنشر الحُرمة في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بتحريم هذا الصنف مصرّحٌ به في كلمات الأصحاب،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اتّفاق الأصحاب عليه، بل صرّح بعضهم</w:t>
      </w:r>
      <w:r>
        <w:rPr>
          <w:rStyle w:val="FootnoteAnchor"/>
          <w:rtl w:val="true"/>
        </w:rPr>
        <w:footnoteReference w:id="367"/>
      </w:r>
      <w:r>
        <w:rPr>
          <w:rFonts w:ascii="Amiri" w:hAnsi="Amiri" w:eastAsia="Amiri" w:cs="Amiri"/>
          <w:color w:val="111111"/>
          <w:sz w:val="28"/>
          <w:sz w:val="28"/>
          <w:szCs w:val="28"/>
          <w:rtl w:val="true"/>
          <w:lang w:bidi="ar-SA"/>
        </w:rPr>
        <w:t>باتّفاق الطائفة عليه، وصرّح آخر</w:t>
      </w:r>
      <w:r>
        <w:rPr>
          <w:rStyle w:val="FootnoteAnchor"/>
          <w:rtl w:val="true"/>
        </w:rPr>
        <w:footnoteReference w:id="368"/>
      </w:r>
      <w:r>
        <w:rPr>
          <w:rFonts w:ascii="Amiri" w:hAnsi="Amiri" w:eastAsia="Amiri" w:cs="Amiri"/>
          <w:color w:val="111111"/>
          <w:sz w:val="28"/>
          <w:sz w:val="28"/>
          <w:szCs w:val="28"/>
          <w:rtl w:val="true"/>
          <w:lang w:bidi="ar-SA"/>
        </w:rPr>
        <w:t xml:space="preserve">بنفي الخلاف،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كلّه فقد اختار هو قدس سره تبعاً للكفاية عدم النشر لولا الإجماع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استناد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أُمّ الزّوجة واُختها على الزّوج إلى النَسَب،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أُمّ الزّوجة واُختها على الزّوج، لأجل النَسَب الذي بينهما وبين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والنصوص الآتية</w:t>
      </w:r>
      <w:r>
        <w:rPr>
          <w:rStyle w:val="FootnoteAnchor"/>
          <w:rtl w:val="true"/>
        </w:rPr>
        <w:footnoteReference w:id="371"/>
      </w:r>
      <w:r>
        <w:rPr>
          <w:rFonts w:ascii="Amiri" w:hAnsi="Amiri" w:eastAsia="Amiri" w:cs="Amiri"/>
          <w:color w:val="111111"/>
          <w:sz w:val="28"/>
          <w:sz w:val="28"/>
          <w:szCs w:val="28"/>
          <w:rtl w:val="true"/>
          <w:lang w:bidi="ar-SA"/>
        </w:rPr>
        <w:t>، الواردة في خصوص أُمّ الزّوجة، بضميمة 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اشتهر بينهم على وجهٍ لم يَشكّ أحدٌ فيه، أنّ المحرِّم من جهة المصاهرة لا يحرمُ من جهة الرّضاع، فلو أرضعت امرأةٌ ولد رجلٍ لا تحرمُ أُمّ المرضعة على الرّجل من حيث أنّها جَدّة ولده لاُمّه الرّضاعيّة، وليس ذلك إلّامن جهة عدم قيام الرّضاع مقام المصاهرة، فلا تصير المرضعة بمنزلة الزّوجة حتّى تصير اُمّها أُمّ الزّوجة، وعليه ففي المقام حيث أنّ تحريم الزّوجة على الزّوج من جهة المصاهرة، فلا تحرم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يحصل في المقام بالرّضاع، هو العنوان النَسَبي، وهي الاُمومة، وأمّا عنوان المصاهرة وهي الزوجيّة، فهي وجدانيّة حقيقيّة، فدليل التنزيل ينزل الاُمّ الرّضاعيّة منزلة الاُمّ النسبيّة، وهذا بخلاف المثال المذكور، فإنّ العنوان النسبي حقيقي، وعنوان المصاهرة تنزيلي، متوقّف على تنزيل مُرضِعة الولد منزلة الزّوجة، وأدلّة التنزيل لا تصلح لذلك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التنزيل ينزّل الاُمّ الرّضاعيّة منزلة الاُمّ النَسبيّة، لقيام الرّضاع مقام النسب في إناطة التحريم به، فتحرم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دليل التنزيل، ترتيب آثار العنوان النسبي على العنوان الرّضاعي، فإذا كان الأثر للعنوان النسبي مع المصاهرة، فلايشمله أدلّة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لا مانع من تنزيل جزء الموضوع إذا كان الجزء الآخر محرزاً بالوجدان أو بتنزيلٍ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المقام إحراز عنوان المصاهرة وجداناً فلا مانع من تنزيل الرّضاع منزلة النسب الذي هو جزء الموضوع، ومقتضى إطلاق الدليل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 هو النسب الحاصل بين المُحرِّم والمحرَّم عليه على حَدّ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نسبٌ‌، أو رضاعٌ‌، أو 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والنسب في المقام بين شخصين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تقييدٌ للمطلق من غير تقييد، بل المراد به هو مطلق النسب الموجب للتحريم، سواءٌ كان بين نفس المحرِّم والمحرَّم عليه، أم بين أحدهما وزوج الآخر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الغلام الموطوء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يصحّ التمسّك بالنبويّ في تحريم مرضعة الغلام الموقب واُخته وبنته الرّضاعيتين على الموقب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في غير المحرّمات النسبيّة السَّبع، ليس من جهة النسب، بل هو مستندٌ إلى المصاهرة، حيث أنّ الشيء يستندُ عرفاً إلى الجزء الأخير من العلّة التامّة، ففي المقام تكون الحرمة مستندة إلى الزوجيّة، فلا يعمّها دليل تنزيل الرّضاع منزلة النسب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التحريم في الكتاب والسُّنة لم يتعلّق بعلاقة المصاهرة التي بينها وبين الزّوج، وإنّما عُلّق على الرابطة النسبيّة التي بينها وبين زوجة الزّوج، وهي الاُمومة </w:t>
      </w:r>
      <w:bookmarkStart w:id="90" w:name="pg11825_115855"/>
    </w:p>
    <w:p>
      <w:pPr>
        <w:pStyle w:val="BookText"/>
        <w:rPr/>
      </w:pPr>
      <w:bookmarkEnd w:id="90"/>
      <w:r>
        <w:rPr>
          <w:rFonts w:ascii="Amiri" w:hAnsi="Amiri" w:eastAsia="Amiri" w:cs="Amiri"/>
          <w:color w:val="111111"/>
          <w:sz w:val="28"/>
          <w:sz w:val="28"/>
          <w:szCs w:val="28"/>
          <w:rtl w:val="true"/>
          <w:lang w:bidi="ar-SA"/>
        </w:rPr>
        <w:t>وما شاكل، فحرمة أُمّ الزّوجة على الزّوج إنّما هي من جهة النسب الحاصل بين المحرم وزوجة المحرِّم عليه، فإذا ورد الدليل على حرمة أُمّ الزّوجة، نقول إنّ التحريم تعلّق بالمرأة المتّصفة بالاُمومة للزوجة، وهي رابطة نسبيّة عُلّق عليها التحريم، فإذا حصل نظيرها بالرّضاع تحصل الحرمة للنبوي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يصدق على أُمّ الرّجل أنّها محرّمة عليه من جهة النَسَب، فكذلك يصدق على اُمّ زوجته أنّها محرّمة عليه من جهة النَسَب، لأنّها حرمت عليه من جهة كونها اُمّاً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فالموضوع في كلّ منهما هي الاُمّ‌، إلّاأنّه في الأوّل أُمّ المحرَّم عليه، وفي الثاني أُمّ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استشكال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والمحقّق النراقي</w:t>
      </w:r>
      <w:r>
        <w:rPr>
          <w:rStyle w:val="FootnoteAnchor"/>
          <w:rtl w:val="true"/>
        </w:rPr>
        <w:footnoteReference w:id="373"/>
      </w:r>
      <w:r>
        <w:rPr>
          <w:rFonts w:ascii="Amiri" w:hAnsi="Amiri" w:eastAsia="Amiri" w:cs="Amiri"/>
          <w:color w:val="111111"/>
          <w:sz w:val="28"/>
          <w:sz w:val="28"/>
          <w:szCs w:val="28"/>
          <w:rtl w:val="true"/>
          <w:lang w:bidi="ar-SA"/>
        </w:rPr>
        <w:t>في نشر الحرمة في هذا القسم من العناوين المحرمة</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1056786_73709187"/>
      <w:bookmarkStart w:id="92" w:name="_Toc30"/>
      <w:bookmarkEnd w:id="91"/>
      <w:r>
        <w:rPr>
          <w:rtl w:val="true"/>
        </w:rPr>
        <w:t>لو شكّ في دخل شيء في نشر الحرمة</w:t>
      </w:r>
      <w:bookmarkEnd w:id="92"/>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انتشار الحرمة بالرّضاع اُموراً بلا خلافٍ فيها في الجملة، وإنْ وقع الخلاف في بعض تلك الاُمور، وقبل التعرّض لها ينبغي تأسيس الأصل، ليكون هو المستند مع عدم الدليل على اعتبار أمرٍ من الاُمور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إليه في صورة الشكّ في دخل شيء في نشر الحرمة مع عدم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دخل شيء من القيود، فكلّ ما دلّ الدليل على اعتباره يقيّد به إطلاق النبويّ‌، وما لم يدلّ عليه دليل يدفع احتمال دخله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إنّمايكون مسوقاًلبيان أنّ‌الرّضاع كالنَسب في السببيّة لنشر الحرمة، وأمّا أنّ السبب منه، فليس بصدد بيانه كي يُؤخذ بإطلاقه كما عن المحقّق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بيان السبب منه، وأنّ الرّضاع بما هو رضاعٌ سببٌ‌، فكلّ ما دلّ على دخله فيه يقيّد إطلاقه به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مضافاًإليظهوره، ولا أقلّمن الشكّ‌، ومقتضى القاعدة هو البناء على كونه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تفسيره وتطبيقه على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العِجلي،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فسِّر لي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صلى الله عليه و آله الحديث</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هذا الصحيح وما شاكله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فمقتضى الأصل اللّفظي، عدم دخل قيدٍ شُكّ في دخله مع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الإطلاق، كان مقتضى الأصل العملي عدم وجود سبب التحريم المانع عن تأثير عقد النكاح حدوثاً وبقاءً بدون ذلك القيد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3" w:name="pg11825_115857"/>
    </w:p>
    <w:p>
      <w:pPr>
        <w:pStyle w:val="BookText"/>
        <w:rPr/>
      </w:pPr>
      <w:bookmarkEnd w:id="93"/>
      <w:r>
        <w:rPr>
          <w:rFonts w:ascii="Amiri" w:hAnsi="Amiri" w:eastAsia="Amiri" w:cs="Amiri"/>
          <w:color w:val="111111"/>
          <w:sz w:val="28"/>
          <w:sz w:val="28"/>
          <w:szCs w:val="28"/>
          <w:rtl w:val="true"/>
          <w:lang w:bidi="ar-SA"/>
        </w:rPr>
        <w:t>إذا كان عن نكاحٍ‌</w:t>
      </w:r>
    </w:p>
    <w:p>
      <w:pPr>
        <w:pStyle w:val="Heading2"/>
        <w:numPr>
          <w:ilvl w:val="1"/>
          <w:numId w:val="1"/>
        </w:numPr>
        <w:rPr/>
      </w:pPr>
      <w:bookmarkStart w:id="94" w:name="__RefHeading___Toc11056788_73709187"/>
      <w:bookmarkStart w:id="95" w:name="_Toc31"/>
      <w:bookmarkEnd w:id="94"/>
      <w:r>
        <w:rPr>
          <w:rtl w:val="true"/>
        </w:rPr>
        <w:t>اعتبار كون اللّبن عن نكاحٍ صحيح</w:t>
      </w:r>
      <w:bookmarkEnd w:id="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الاُمور المذكورة آنفاً، فاعلم أنّ للرّضاع الشرعي الموجب للتحريم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صحيحٍ شرعي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أو متعةٍ أو تحليلٍ أو ملك يمين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عن وطء زناً، لا ينشر الحرمة إجماعاً بقسميه،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وإجماعاً محقّقاً ومحكيّاً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وشرحي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الثاني</w:t>
      </w:r>
      <w:r>
        <w:rPr>
          <w:rStyle w:val="FootnoteAnchor"/>
          <w:rtl w:val="true"/>
        </w:rPr>
        <w:footnoteReference w:id="378"/>
      </w:r>
      <w:r>
        <w:rPr>
          <w:rFonts w:ascii="Amiri" w:hAnsi="Amiri" w:eastAsia="Amiri" w:cs="Amiri"/>
          <w:color w:val="111111"/>
          <w:sz w:val="28"/>
          <w:sz w:val="28"/>
          <w:szCs w:val="28"/>
          <w:rtl w:val="true"/>
          <w:lang w:bidi="ar-SA"/>
        </w:rPr>
        <w:t>والهندي</w:t>
      </w:r>
      <w:r>
        <w:rPr>
          <w:rStyle w:val="FootnoteAnchor"/>
          <w:rtl w:val="true"/>
        </w:rPr>
        <w:footnoteReference w:id="3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 xml:space="preserve">للسيّد،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وشرحه</w:t>
      </w:r>
      <w:r>
        <w:rPr>
          <w:rStyle w:val="FootnoteAnchor"/>
          <w:rtl w:val="true"/>
        </w:rPr>
        <w:footnoteReference w:id="382"/>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وغير ذلك</w:t>
      </w:r>
      <w:r>
        <w:rPr>
          <w:rStyle w:val="FootnoteAnchor"/>
          <w:rtl w:val="true"/>
        </w:rPr>
        <w:footnoteReference w:id="385"/>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لا ينشر لو دَرّ من المرأة من دون نكاحٍ‌، فضلاً عن غيرها من الذكر والبهيمة، 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نكاح الشبهة تردّد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وإنْ كان المشهور</w:t>
      </w:r>
      <w:r>
        <w:rPr>
          <w:rStyle w:val="FootnoteAnchor"/>
          <w:rtl w:val="true"/>
        </w:rPr>
        <w:footnoteReference w:id="389"/>
      </w:r>
      <w:r>
        <w:rPr>
          <w:rFonts w:ascii="Amiri" w:hAnsi="Amiri" w:eastAsia="Amiri" w:cs="Amiri"/>
          <w:color w:val="111111"/>
          <w:sz w:val="28"/>
          <w:sz w:val="28"/>
          <w:szCs w:val="28"/>
          <w:rtl w:val="true"/>
          <w:lang w:bidi="ar-SA"/>
        </w:rPr>
        <w:t>بين الأصحاب شهرة عظيمة، تنزيله على الوطء بالعقد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اللّبن منتجاً عن وطء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الأعظم قدس سره</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النشر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إطلاقات التحريم بالرّضاع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لبن الفحل‌؟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ولبن وَلَدك ولدُ امرأةٍ أُخرى لا 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حَسَنه بإبراهيم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ممنوع، والاستدلال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بما نقله في ذيله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حرام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كتب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 غيره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تفسير لبن الفحل الموجب للحرمة عليه، ولا يدلّ على حصر الرّضاع الموجب لنشر الحرمة بذلك، بل قوله عليه السلام في خبر محمّد بن عُبيدة الهَمْداني،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الرّضاع يُحرّمُ من قِبل الفحل، ولا يُحرّم من قبل الاُمّهات، وإنّما الرّضاع من قبل الاُمّهات، وإنْ كان لبن الفحل أيضاً يُحرّم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ومثله العلويّ‌</w:t>
      </w:r>
      <w:r>
        <w:rPr>
          <w:rStyle w:val="FootnoteAnchor"/>
          <w:rtl w:val="true"/>
        </w:rPr>
        <w:footnoteReference w:id="393"/>
      </w:r>
      <w:r>
        <w:rPr>
          <w:rFonts w:ascii="Amiri" w:hAnsi="Amiri" w:eastAsia="Amiri" w:cs="Amiri"/>
          <w:color w:val="111111"/>
          <w:sz w:val="28"/>
          <w:sz w:val="28"/>
          <w:szCs w:val="28"/>
          <w:rtl w:val="true"/>
          <w:lang w:bidi="ar-SA"/>
        </w:rPr>
        <w:t>يؤكّد عدم المفهوم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كون المرضعة زوجة لصاحب اللّبن، بل يكفي كونها مملوكة أو متعة مع عدم تبادرهما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يلتزم فيهما بالتخصيص للدليل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بُريد العِجلي، عن الإمام الباقر عليه السلام الوارد في تفسير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امرأة أرضعتْ من لبن فحلين، كانا له واحداً بعد واحد، من جاريةٍ أو غلام، فإنّ ذلك رضاعٌ ليس بالرّضاع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وإنّما هو من نسب ناحية الصهر رضاعٌ‌، ولا يُحرّم شيئاً، وليس هو سببُ رضاعٍ من ناحية لبن الفحولة فيحرم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الرّضاع الواحد من لبن فحلين لا يُحرّم، وعلى أنّ العبرة في الاُخوّة بالرّضاع بالاُخوّة من قِبل الأب الرّضاعي، وهو الفحل، ولا عبرة بالاُمّ الرّضاعي، وسيأتي تحقيق الكلام في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بالخبر الذي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الحرام لا يُحرّم الحلال، ومثل ذلك امرأة أرضعت بلبن زوجها، ثمّ أرضعت بلبن 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أرضع من فجور بلبن صبيّة لم يُحرّم من نكاحها، لأنّ اللّبن الحرام لا يُحرّم الحلال</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وهذا الخبر برغم ضعفه، لكنّه منجبرٌ بالعمل، ومعتضدٌ بالإجماع، ومؤيّدٌ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تحقّق النَسَب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دَرّ اللّبن من المرأة من دون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لعدم نشر الحرمة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يونس بن يعقوب،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دَرّ لبنها من غير ولادة، فأرضعت جاريةً وغلاماً من ذلك اللّبن، هل يحرّم بذلك اللّبن ما يحرم من الرّضاع‌؟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دَرَّ لبنها من غير ولادةٍ‌، فأرضعت ذكراناً وإناثاً، أيحرّم من ذلك ما يُحرّم من الرّضاع‌؟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اللّبن عن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المشهور بين الأصحاب الحاقه في النشر بالنكاح وأخويه، لكن جزم الحِلّي</w:t>
      </w:r>
      <w:r>
        <w:rPr>
          <w:rStyle w:val="FootnoteAnchor"/>
          <w:rtl w:val="true"/>
        </w:rPr>
        <w:footnoteReference w:id="399"/>
      </w:r>
      <w:r>
        <w:rPr>
          <w:rFonts w:ascii="Amiri" w:hAnsi="Amiri" w:eastAsia="Amiri" w:cs="Amiri"/>
          <w:color w:val="111111"/>
          <w:sz w:val="28"/>
          <w:sz w:val="28"/>
          <w:szCs w:val="28"/>
          <w:rtl w:val="true"/>
          <w:lang w:bidi="ar-SA"/>
        </w:rPr>
        <w:t xml:space="preserve">الجزم بعدم النشر، وتردّد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فيه، واستحسنه الشيخ الأعظم قدس سره</w:t>
      </w:r>
      <w:r>
        <w:rPr>
          <w:rStyle w:val="FootnoteAnchor"/>
          <w:rtl w:val="true"/>
        </w:rPr>
        <w:footnoteReference w:id="401"/>
      </w:r>
      <w:r>
        <w:rPr>
          <w:rFonts w:ascii="Amiri" w:hAnsi="Amiri" w:eastAsia="Amiri" w:cs="Amiri"/>
          <w:color w:val="111111"/>
          <w:sz w:val="28"/>
          <w:sz w:val="28"/>
          <w:szCs w:val="28"/>
          <w:rtl w:val="true"/>
          <w:lang w:bidi="ar-SA"/>
        </w:rPr>
        <w:t>، إلّاأنّه قوّى أخيراً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على ما ذكرناه في المورد الأوّل، يكون إلحاقه بالنكاح واضحٌ‌، لإطلاق دليل محرّميّة الرّضاع، وما دلّ على خروج المورد الأوّل والثاني مختصٌّ بهما لا يشمل المقام، أضف إلى ذلك كون وطء الشبهة ملحقاً بالنكاح في النسب فإنّه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سلكه الشيخ الأعظم فقد اُشكل عليه الأمر، لأنّ مقتضى صحيح ابن سنان وحَسَنه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الدلالة على عدم النشر بالزّنا كما استدلّ بهما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النشر في وطء الشبهة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ادّعى رحمه الله أنّ دلالة المطلقات على الإطلاق أقوى من دلالة المقيّد على الاختصاص، وأنّه لابدّ من حمل ما فيهما من تخصيص اللّبن بالمرأة على التمثيل بالفرد الغالب، للاتّفاق على النشر بالارتضاع من المملوكة والمحلّلة، فلا مقيّد لإطلاق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6" w:name="pg11825_115862"/>
    </w:p>
    <w:p>
      <w:pPr>
        <w:pStyle w:val="BookText"/>
        <w:rPr/>
      </w:pPr>
      <w:bookmarkEnd w:id="96"/>
      <w:r>
        <w:rPr>
          <w:rFonts w:ascii="Amiri" w:hAnsi="Amiri" w:eastAsia="Amiri" w:cs="Amiri"/>
          <w:color w:val="111111"/>
          <w:sz w:val="28"/>
          <w:sz w:val="28"/>
          <w:szCs w:val="28"/>
          <w:rtl w:val="true"/>
          <w:lang w:bidi="ar-SA"/>
        </w:rPr>
        <w:t>ولكن 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المطلق على حكم فردٍ إنْ كانت بنحو النصوصيّة، يصلح المطلق لمعارضة المقيّد الدالّ على حكم ذلك الفرد، وإلّا فيقدّم المقيّد على المطلق مطلقاً، وضروري أنّ نصوص محرّميّة الرّضاع ليست نصّاً في حصول الحرمة بوطء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النشر بالارتضاع من المملوكة والمحلّلة، بضميمة ما فيهما من النّص، يقيّد الخبرين على فرض ظهورهما في اعتبار كون المرضعة امرأته، ولا يصلح قرينةً لحمل القيد على الغالب، مع أنّه على هذا لايبقى له دليلٌ على عدم النشر بالزّنا سوى الإجماع المعلوم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1056790_73709187"/>
      <w:bookmarkStart w:id="98" w:name="_Toc32"/>
      <w:bookmarkEnd w:id="97"/>
      <w:r>
        <w:rPr>
          <w:rtl w:val="true"/>
        </w:rPr>
        <w:t>في اعتبار انفصال الولد وعدمه</w:t>
      </w:r>
      <w:bookmarkEnd w:id="98"/>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النصوص المتقدّمة، سيّما موثّق يونس، وخبر يعقوب اعتبار حصول اللّبن من الحمل، فلو دَرّ اللّبن عن الخالية عنه وإنْكانت منكوحةً نكاحاً صحيحاً لا ينشر الحرمة، كما هو المشهور شهرة عظيمة،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وعن غيرهما</w:t>
      </w:r>
      <w:r>
        <w:rPr>
          <w:rStyle w:val="FootnoteAnchor"/>
          <w:rtl w:val="true"/>
        </w:rPr>
        <w:footnoteReference w:id="404"/>
      </w:r>
      <w:r>
        <w:rPr>
          <w:rFonts w:ascii="Amiri" w:hAnsi="Amiri" w:eastAsia="Amiri" w:cs="Amiri"/>
          <w:color w:val="111111"/>
          <w:sz w:val="28"/>
          <w:sz w:val="28"/>
          <w:szCs w:val="28"/>
          <w:rtl w:val="true"/>
          <w:lang w:bidi="ar-SA"/>
        </w:rPr>
        <w:t>دعوى الإجماع عليه، إنّما الخلاف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الحمل لا من الوطء، كما لو حَملت المرأة من دخول ماء زوجها السابق إلى فرجها من غير دخول، ثمّ ولدت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تنتشر الحرمة كما هو مقتضى إطلاق الأخبار؟ </w:t>
      </w:r>
    </w:p>
    <w:p>
      <w:pPr>
        <w:pStyle w:val="BookText"/>
        <w:rPr/>
      </w:pPr>
      <w:r>
        <w:rPr>
          <w:rFonts w:ascii="Amiri" w:hAnsi="Amiri" w:eastAsia="Amiri" w:cs="Amiri"/>
          <w:color w:val="111111"/>
          <w:sz w:val="28"/>
          <w:sz w:val="28"/>
          <w:szCs w:val="28"/>
          <w:rtl w:val="true"/>
          <w:lang w:bidi="ar-SA"/>
        </w:rPr>
        <w:t>أم لا تنتشر كما هو ظاهر الأصحاب، حيث اعتبروا الوطء في ترتّب حكم الرّضاع، وصريح المحكي عن ثاني الشهيدين</w:t>
      </w:r>
      <w:r>
        <w:rPr>
          <w:rStyle w:val="FootnoteAnchor"/>
          <w:rtl w:val="true"/>
        </w:rPr>
        <w:footnoteReference w:id="405"/>
      </w:r>
      <w:r>
        <w:rPr>
          <w:rFonts w:ascii="Amiri" w:hAnsi="Amiri" w:eastAsia="Amiri" w:cs="Amiri"/>
          <w:color w:val="111111"/>
          <w:sz w:val="28"/>
          <w:sz w:val="28"/>
          <w:szCs w:val="28"/>
          <w:rtl w:val="true"/>
          <w:lang w:bidi="ar-SA"/>
        </w:rPr>
        <w:t>حيث اعتبر الدخول‌؟</w:t>
      </w:r>
    </w:p>
    <w:p>
      <w:pPr>
        <w:pStyle w:val="BookText"/>
        <w:rPr/>
      </w:pPr>
      <w:r>
        <w:rPr>
          <w:rFonts w:ascii="Amiri" w:hAnsi="Amiri" w:eastAsia="Amiri" w:cs="Amiri"/>
          <w:color w:val="111111"/>
          <w:sz w:val="28"/>
          <w:sz w:val="28"/>
          <w:szCs w:val="28"/>
          <w:rtl w:val="true"/>
          <w:lang w:bidi="ar-SA"/>
        </w:rPr>
        <w:t>وجهان، أظهرهما الأوّل، فالمدار على تكون الولد من مائه على وجهٍ يُنسب إليه الولد الذي يتبعه اللّبن، ولا يبعد أنْ يكون تعبير الأصحاب بالوطء باعتبار الغلبة، لا أنّ المراد اشتراط ذلك على وجهٍ يَخرج به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انفصال الولد،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الثاني</w:t>
      </w:r>
      <w:r>
        <w:rPr>
          <w:rStyle w:val="FootnoteAnchor"/>
          <w:rtl w:val="true"/>
        </w:rPr>
        <w:footnoteReference w:id="4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r>
        <w:rPr>
          <w:rStyle w:val="FootnoteAnchor"/>
          <w:rtl w:val="true"/>
        </w:rPr>
        <w:footnoteReference w:id="414"/>
      </w:r>
      <w:r>
        <w:rPr>
          <w:rFonts w:ascii="Amiri" w:hAnsi="Amiri" w:eastAsia="Amiri" w:cs="Amiri"/>
          <w:color w:val="111111"/>
          <w:sz w:val="28"/>
          <w:sz w:val="28"/>
          <w:szCs w:val="28"/>
          <w:rtl w:val="true"/>
          <w:lang w:bidi="ar-SA"/>
        </w:rPr>
        <w:t>، بل قيل إنّه الأشهر، بل عن الثلاثة الاُول الإجماع عليه‌؟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يكفي الحمل، كماعن موضعٍمن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والمحقّق</w:t>
      </w:r>
      <w:r>
        <w:rPr>
          <w:rStyle w:val="FootnoteAnchor"/>
          <w:rtl w:val="true"/>
        </w:rPr>
        <w:footnoteReference w:id="4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واختاره الشيخ الأعظم</w:t>
      </w:r>
      <w:r>
        <w:rPr>
          <w:rStyle w:val="FootnoteAnchor"/>
          <w:rtl w:val="true"/>
        </w:rPr>
        <w:footnoteReference w:id="42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مقتضى إطلاق النصوص الدالّة على إناطة الحرمة بلبن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المتقدّم</w:t>
      </w:r>
      <w:r>
        <w:rPr>
          <w:rStyle w:val="FootnoteAnchor"/>
          <w:rtl w:val="true"/>
        </w:rPr>
        <w:footnoteReference w:id="421"/>
      </w: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يرضع من امرأةٍ وهو غلام، أيحلّ له أن يتزوّج اُختها لاُمّها من الرّضاعة‌؟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إنْكانت المرأتان رضعتامن امرأةٍواحدةٍ‌، من لبن فحل واحد، فلايحلّ‌</w:t>
      </w:r>
      <w:r>
        <w:rPr>
          <w:rStyle w:val="FootnoteAnchor"/>
          <w:rtl w:val="true"/>
        </w:rPr>
        <w:footnoteReference w:id="422"/>
      </w:r>
      <w:r>
        <w:rPr>
          <w:rFonts w:ascii="Amiri" w:hAnsi="Amiri" w:eastAsia="Amiri" w:cs="Amiri"/>
          <w:color w:val="111111"/>
          <w:sz w:val="28"/>
          <w:sz w:val="28"/>
          <w:szCs w:val="28"/>
          <w:rtl w:val="true"/>
          <w:lang w:bidi="ar-SA"/>
        </w:rPr>
        <w:t xml:space="preserve">، ونحوهما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وكذا مقتضى إطلاق أدلّة محرّميّة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 في 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 من لبنك ولبن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يونس، وخبر يعقوب المتقدّمين، الدالّين على أنّ دَرّ اللّبن من غير ولادةٍ لا يوجب النشر، وهما أخصّان من المطلقات، فتقيّد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عنهما بأنّهما يعارضان مع المطلقات المتقدّمة، حيث أنّها لورودها في مقام التخيير، وبيان الحَدّ، تكون كالنص الصريح في الإطلاق، بل يوجبُ انعقاد الإطلاق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يصدق على الحمل، مع أنّ وجود الولد بالفعل لا يعتبر في إضافة اللّبن إليه، ولذا لو مات الولد فأرضعت اُمّه يوجب ذلك نشر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فيهما أنّ دَرّ اللّبن قبل الولادة لا يوجبُ النشر، بل دَرّ اللّبن من غير ولادة، الظاهر إرادة الدَرّ من غير ولادةٍ رأساً حتّى في المستقبل، بحيث يكون الدّر لا عن حمل، فلا ينهضان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الاكتفاء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دَرّ اللّبن قبل الحَمل، واستمرّ ذلك إلى ما بعد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يكفي ذلك في نشر الحرمة، نظراً إلى صدق كون اللّبن عن الحمل، وأنّ المسبّب يضافُ إلى أقوى السببين‌؟</w:t>
      </w:r>
    </w:p>
    <w:p>
      <w:pPr>
        <w:pStyle w:val="BookText"/>
        <w:rPr/>
      </w:pPr>
      <w:r>
        <w:rPr>
          <w:rFonts w:ascii="Amiri" w:hAnsi="Amiri" w:eastAsia="Amiri" w:cs="Amiri"/>
          <w:color w:val="111111"/>
          <w:sz w:val="28"/>
          <w:sz w:val="28"/>
          <w:szCs w:val="28"/>
          <w:rtl w:val="true"/>
          <w:lang w:bidi="ar-SA"/>
        </w:rPr>
        <w:t>أم لا من جهة أنّه إنّما يصدق كون اللّبن دارّاً بنفسه وعن الحمل، ويكون منتسباً إليهما، ويكون كلّ منهما جزءُ العلّة، لو لم نقل بأنّ الأصل عدم حدوث اللّبن عن الحمل، وأنّه استمرارٌ لما كان قبله، وبه يظهر ما في الوجه الثاني‌؟</w:t>
      </w:r>
    </w:p>
    <w:p>
      <w:pPr>
        <w:pStyle w:val="BookText"/>
        <w:rPr/>
      </w:pPr>
      <w:r>
        <w:rPr>
          <w:rFonts w:ascii="Amiri" w:hAnsi="Amiri" w:eastAsia="Amiri" w:cs="Amiri"/>
          <w:color w:val="111111"/>
          <w:sz w:val="28"/>
          <w:sz w:val="28"/>
          <w:szCs w:val="28"/>
          <w:rtl w:val="true"/>
          <w:lang w:bidi="ar-SA"/>
        </w:rPr>
        <w:t>وجهان،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الموجود بعد السِّقط، هل حُكمه حُكم اللّبن بعدالولادة أم لا؟</w:t>
      </w:r>
    </w:p>
    <w:p>
      <w:pPr>
        <w:pStyle w:val="BookText"/>
        <w:rPr/>
      </w:pPr>
      <w:r>
        <w:rPr>
          <w:rFonts w:ascii="Amiri" w:hAnsi="Amiri" w:eastAsia="Amiri" w:cs="Amiri"/>
          <w:color w:val="111111"/>
          <w:sz w:val="28"/>
          <w:sz w:val="28"/>
          <w:szCs w:val="28"/>
          <w:rtl w:val="true"/>
          <w:lang w:bidi="ar-SA"/>
        </w:rPr>
        <w:t>الظاهر هو الفرق بين كون الساقط تامُّ الخلقة، وقد ولج فيه الرُّوح، وبين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 حيث إنّه يصدق عليه الولد، وعلى وضعه الولادة، فحكمه حكم اللّبن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الثاني، فلا 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تمّت خلقته، ولم يولجه الروح، إشكالٌ‌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بقاء المرأة على الحبالة، فلو طلّقها أو مات عنها وهي </w:t>
      </w:r>
    </w:p>
    <w:p>
      <w:pPr>
        <w:pStyle w:val="BookText"/>
        <w:rPr/>
      </w:pPr>
      <w:r>
        <w:rPr>
          <w:rFonts w:ascii="Amiri" w:hAnsi="Amiri" w:eastAsia="Amiri" w:cs="Amiri"/>
          <w:color w:val="111111"/>
          <w:sz w:val="28"/>
          <w:sz w:val="28"/>
          <w:szCs w:val="28"/>
          <w:rtl w:val="true"/>
          <w:lang w:bidi="ar-SA"/>
        </w:rPr>
        <w:t>حاملٌ منه، فأرضعت من لبنه ولداً تنتشر الحرمة، سواء في العِدّة أم بعدها، طال الزمان أم قصُر، تزوّجت بغيره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 اللّبن من الأوّل إلى بعد التزويج من الثاني والحَمل منه، فهل اللّبن للثاني أو الأوّل، أولهما؟</w:t>
      </w:r>
    </w:p>
    <w:p>
      <w:pPr>
        <w:pStyle w:val="BookText"/>
        <w:rPr/>
      </w:pPr>
      <w:r>
        <w:rPr>
          <w:rFonts w:ascii="Amiri" w:hAnsi="Amiri" w:eastAsia="Amiri" w:cs="Amiri"/>
          <w:color w:val="111111"/>
          <w:sz w:val="28"/>
          <w:sz w:val="28"/>
          <w:szCs w:val="28"/>
          <w:rtl w:val="true"/>
          <w:lang w:bidi="ar-SA"/>
        </w:rPr>
        <w:t>وجوهٌ‌، لا يبعد أظهرية الثاني،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يقدّر بمضيّ أربعين يوماً من الحمل، فيكون اللّبن حينئذٍ للثاني، فينتشر الحرمة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استمرّ إلى زمان الوضع، فما قبل الوضع للأوّل، وما بعده للثاني، لإجماع</w:t>
      </w:r>
      <w:r>
        <w:rPr>
          <w:rStyle w:val="FootnoteAnchor"/>
          <w:rtl w:val="true"/>
        </w:rPr>
        <w:footnoteReference w:id="423"/>
      </w:r>
      <w:r>
        <w:rPr>
          <w:rFonts w:ascii="Amiri" w:hAnsi="Amiri" w:eastAsia="Amiri" w:cs="Amiri"/>
          <w:color w:val="111111"/>
          <w:sz w:val="28"/>
          <w:sz w:val="28"/>
          <w:szCs w:val="28"/>
          <w:rtl w:val="true"/>
          <w:lang w:bidi="ar-SA"/>
        </w:rPr>
        <w:t>أهل العلم كما قيل، وكفى به مستنداً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9" w:name="pg11825_115867"/>
    </w:p>
    <w:p>
      <w:pPr>
        <w:pStyle w:val="Heading2"/>
        <w:numPr>
          <w:ilvl w:val="1"/>
          <w:numId w:val="1"/>
        </w:numPr>
        <w:rPr/>
      </w:pPr>
      <w:bookmarkStart w:id="100" w:name="__RefHeading___Toc11056792_73709187"/>
      <w:bookmarkStart w:id="101" w:name="_Toc33"/>
      <w:bookmarkEnd w:id="99"/>
      <w:bookmarkEnd w:id="100"/>
      <w:r>
        <w:rPr>
          <w:rtl w:val="true"/>
        </w:rPr>
        <w:t>اعتبار بلوغ الرّضاع حَدّاً معيّناً</w:t>
      </w:r>
      <w:bookmarkEnd w:id="101"/>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أي بلوغ الرّضاع حَدّاً معيّناً، فإنّ المشهور بين الأصحاب، بل لا خلاف فيه، أنّه لا يكفي مسمّى الرّضاع ومطلقه في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 ونصوصاً مستفيضة أو متواترة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مجمعٌ عليه بين الطائفة، إجماعاً محقّقاً ومحكيّاً مستفيضاً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 المسألة بعض العامّة، فاكتفى بالمُسمّى، وادّعى أنّ عليه إجماع أهل العلم، ووافقه من أصحابنا ابن الجُنيد</w:t>
      </w:r>
      <w:r>
        <w:rPr>
          <w:rStyle w:val="FootnoteAnchor"/>
          <w:rtl w:val="true"/>
        </w:rPr>
        <w:footnoteReference w:id="426"/>
      </w:r>
      <w:r>
        <w:rPr>
          <w:rFonts w:ascii="Amiri" w:hAnsi="Amiri" w:eastAsia="Amiri" w:cs="Amiri"/>
          <w:color w:val="111111"/>
          <w:sz w:val="28"/>
          <w:sz w:val="28"/>
          <w:szCs w:val="28"/>
          <w:rtl w:val="true"/>
          <w:lang w:bidi="ar-SA"/>
        </w:rPr>
        <w:t xml:space="preserve">، والمصريّ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كفاية المُسمّى نصوص كثيرة يأتي أكثرها في المباحث الآتية عند بيان التقديرات، ولكن بإزائها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يسأله عمّا يحرم من الرّضاع‌؟</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قليله وكثيره، المصَّة الواحدة تحرّم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العلويّان الآخران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بن عليّ‌، عن آبائه،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الأوّل منها ضعيفُ السَّند</w:t>
      </w:r>
      <w:r>
        <w:rPr>
          <w:rStyle w:val="FootnoteAnchor"/>
          <w:rtl w:val="true"/>
        </w:rPr>
        <w:footnoteReference w:id="432"/>
      </w:r>
      <w:r>
        <w:rPr>
          <w:rFonts w:ascii="Amiri" w:hAnsi="Amiri" w:eastAsia="Amiri" w:cs="Amiri"/>
          <w:color w:val="111111"/>
          <w:sz w:val="28"/>
          <w:sz w:val="28"/>
          <w:szCs w:val="28"/>
          <w:rtl w:val="true"/>
          <w:lang w:bidi="ar-SA"/>
        </w:rPr>
        <w:t>، والأوّل مجملٌ إذ المسؤول عنه فيه غير معلوم، ولعلّه تحريم أصل الارتفاع كما بعد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أعرضوا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مع ما هو أكثرُ عدداً، وأصحّ سنداً، وأشهر عملاً وفتوىً ورواية، فلا ينبغي التوقّف في عدم كفاية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أصحابنا قدّروا المقدار الخاصّ الذي اعتبروه بثلاثة تقديرات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والعدد، والزمان، خلافاً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للمحكيّ عن المفيد</w:t>
      </w:r>
      <w:r>
        <w:rPr>
          <w:rStyle w:val="FootnoteAnchor"/>
          <w:rtl w:val="true"/>
        </w:rPr>
        <w:footnoteReference w:id="433"/>
      </w:r>
      <w:r>
        <w:rPr>
          <w:rFonts w:ascii="Amiri" w:hAnsi="Amiri" w:eastAsia="Amiri" w:cs="Amiri"/>
          <w:color w:val="111111"/>
          <w:sz w:val="28"/>
          <w:sz w:val="28"/>
          <w:szCs w:val="28"/>
          <w:rtl w:val="true"/>
          <w:lang w:bidi="ar-SA"/>
        </w:rPr>
        <w:t>، وسلّار</w:t>
      </w:r>
      <w:r>
        <w:rPr>
          <w:rStyle w:val="FootnoteAnchor"/>
          <w:rtl w:val="true"/>
        </w:rPr>
        <w:footnoteReference w:id="434"/>
      </w:r>
      <w:r>
        <w:rPr>
          <w:rFonts w:ascii="Amiri" w:hAnsi="Amiri" w:eastAsia="Amiri" w:cs="Amiri"/>
          <w:color w:val="111111"/>
          <w:sz w:val="28"/>
          <w:sz w:val="28"/>
          <w:szCs w:val="28"/>
          <w:rtl w:val="true"/>
          <w:lang w:bidi="ar-SA"/>
        </w:rPr>
        <w:t>، فخصّا الحكمَ بالعدد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وللصدوق حيث قصره فيما حكى من هدايته</w:t>
      </w:r>
      <w:r>
        <w:rPr>
          <w:rStyle w:val="FootnoteAnchor"/>
          <w:rtl w:val="true"/>
        </w:rPr>
        <w:footnoteReference w:id="435"/>
      </w:r>
      <w:r>
        <w:rPr>
          <w:rFonts w:ascii="IRNazanin" w:hAnsi="IRNazanin" w:eastAsia="IRNazanin"/>
          <w:color w:val="111111"/>
          <w:sz w:val="28"/>
          <w:sz w:val="28"/>
          <w:szCs w:val="28"/>
          <w:rtl w:val="true"/>
          <w:lang w:bidi="fa-IR"/>
        </w:rPr>
        <w:t xml:space="preserve">على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على الأثر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وللمحكيّ عن ابن سعيد</w:t>
      </w:r>
      <w:r>
        <w:rPr>
          <w:rStyle w:val="FootnoteAnchor"/>
          <w:rtl w:val="true"/>
        </w:rPr>
        <w:footnoteReference w:id="437"/>
      </w:r>
      <w:r>
        <w:rPr>
          <w:rFonts w:ascii="Amiri" w:hAnsi="Amiri" w:eastAsia="Amiri" w:cs="Amiri"/>
          <w:color w:val="111111"/>
          <w:sz w:val="28"/>
          <w:sz w:val="28"/>
          <w:szCs w:val="28"/>
          <w:rtl w:val="true"/>
          <w:lang w:bidi="ar-SA"/>
        </w:rPr>
        <w:t>من تخصيص التأثير بما عدا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2" w:name="pg11825_115869"/>
    </w:p>
    <w:p>
      <w:pPr>
        <w:pStyle w:val="BookText"/>
        <w:rPr/>
      </w:pPr>
      <w:bookmarkEnd w:id="102"/>
      <w:r>
        <w:rPr>
          <w:rFonts w:ascii="Amiri" w:hAnsi="Amiri" w:eastAsia="Amiri" w:cs="Amiri"/>
          <w:color w:val="111111"/>
          <w:sz w:val="28"/>
          <w:sz w:val="28"/>
          <w:szCs w:val="28"/>
          <w:rtl w:val="true"/>
          <w:lang w:bidi="ar-SA"/>
        </w:rPr>
        <w:t>يوماً وليلة،</w:t>
      </w:r>
    </w:p>
    <w:p>
      <w:pPr>
        <w:pStyle w:val="Heading2"/>
        <w:numPr>
          <w:ilvl w:val="1"/>
          <w:numId w:val="1"/>
        </w:numPr>
        <w:rPr/>
      </w:pPr>
      <w:bookmarkStart w:id="103" w:name="__RefHeading___Toc11056794_73709187"/>
      <w:bookmarkStart w:id="104" w:name="_Toc34"/>
      <w:bookmarkEnd w:id="103"/>
      <w:r>
        <w:rPr>
          <w:rtl w:val="true"/>
        </w:rPr>
        <w:t>تقدير فترة الرِّضاع بالزمان</w:t>
      </w:r>
      <w:bookmarkEnd w:id="104"/>
    </w:p>
    <w:p>
      <w:pPr>
        <w:pStyle w:val="BookText"/>
        <w:rPr/>
      </w:pPr>
      <w:r>
        <w:rPr>
          <w:rFonts w:ascii="Amiri" w:hAnsi="Amiri" w:eastAsia="Amiri" w:cs="Amiri"/>
          <w:color w:val="111111"/>
          <w:sz w:val="28"/>
          <w:sz w:val="28"/>
          <w:szCs w:val="28"/>
          <w:rtl w:val="true"/>
          <w:lang w:bidi="ar-SA"/>
        </w:rPr>
        <w:t>أمّا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بالزمان، والمعروف بينهم اعتبار كون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وغيرها</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والحَدّ الذي يحرّم به الرّضاع ممّا عليه عمل العصابة، دون كلّ ما روي فإنّه مختلفٌ‌، ما أنبت اللّحم وقوي العظم، </w:t>
      </w:r>
    </w:p>
    <w:p>
      <w:pPr>
        <w:pStyle w:val="BookText"/>
        <w:rPr/>
      </w:pPr>
      <w:r>
        <w:rPr>
          <w:rFonts w:ascii="Amiri" w:hAnsi="Amiri" w:eastAsia="Amiri" w:cs="Amiri"/>
          <w:color w:val="111111"/>
          <w:sz w:val="28"/>
          <w:sz w:val="28"/>
          <w:szCs w:val="28"/>
          <w:rtl w:val="true"/>
          <w:lang w:bidi="ar-SA"/>
        </w:rPr>
        <w:t>وهو رضاع ثلاثة أيّام متوالياتٍ وعشرة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لم يُعرف ولا حُكي عن أحدٍ من عصابة الحقّ العمل بذلك، بل لا يوجد رواية ولو شاذّة توافقه مع كثرة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أفاده فقيه الأُمَّة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أحد المقامات التي تشهد بعدم صحّة نسبة هذا الكتاب، مضافاً إلى ما اشتمل عليه ممّا لا يليق بمنصب الإمامة، وممّا هو مخالفٌ للمتواتر عن الأئمّة، أو ما ثبت بطلانه بإجماع الإماميّة بل الأُمَّة</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المشهور، وهو موثّق زياد بن سوقة،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يوم وليلة، أو خمس عشرة رضعة متواليات من امرأة واحدة من لبن فحلٍ واحد، لم يفصل بينهما رضعة امرأةٍ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امرأةً أرضعت غلاماً أو جاريةً عشر رضعات من لبن فحلٍ واحد، وأرضعتهما امرأةٌ أُخرى من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دلالته بمفهوم الوصف الذي في اعتباره نظر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بما دلّ على حصر الرّضاع المحرّم فيما أنبت اللّحم وشدّ العظم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سنده من يتوقّف فيه سوى عمّار الذي نقل الشيخ رحمه الله</w:t>
      </w:r>
      <w:r>
        <w:rPr>
          <w:rStyle w:val="FootnoteAnchor"/>
          <w:rtl w:val="true"/>
        </w:rPr>
        <w:footnoteReference w:id="450"/>
      </w:r>
      <w:r>
        <w:rPr>
          <w:rFonts w:ascii="Amiri" w:hAnsi="Amiri" w:eastAsia="Amiri" w:cs="Amiri"/>
          <w:color w:val="111111"/>
          <w:sz w:val="28"/>
          <w:sz w:val="28"/>
          <w:szCs w:val="28"/>
          <w:rtl w:val="true"/>
          <w:lang w:bidi="ar-SA"/>
        </w:rPr>
        <w:t>عمل الأصحاب برواياته، ووثّقه الرجاليّون</w:t>
      </w:r>
      <w:r>
        <w:rPr>
          <w:rStyle w:val="FootnoteAnchor"/>
          <w:rtl w:val="true"/>
        </w:rPr>
        <w:footnoteReference w:id="451"/>
      </w:r>
      <w:r>
        <w:rPr>
          <w:rFonts w:ascii="Amiri" w:hAnsi="Amiri" w:eastAsia="Amiri" w:cs="Amiri"/>
          <w:color w:val="111111"/>
          <w:sz w:val="28"/>
          <w:sz w:val="28"/>
          <w:szCs w:val="28"/>
          <w:rtl w:val="true"/>
          <w:lang w:bidi="ar-SA"/>
        </w:rPr>
        <w:t>، مع أنّ في السند ابن محبوب وهو من أصحاب الإجماع، أضف إلى ذلك عمل الأصحاب به، ودلالته على الاكتفاء برضاع يوم وليلة ليست بمفهوم الوصف، لوردوه في مقام التحديد، فلا إشكال في ثبوت المفهوم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ومعارضته بما دلّ على الحصر غير ظاهرة، لفقد العلم بعدم كونه منه، وأمّا لو فرض صورة علمه بذلك فستعرف حكمها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أنّ المدار على الرّضاع خمسة عشر يوماً ولياليهنّ‌،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 الصدوق الذي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ولا يحرّم من الرّضاع خمسة عشر يوماً ولياليهنّ ليس بينهنّ رضاع</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ما دلّ عليه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المُعظم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لا يحرم من الرّضاع إلّارضاع خمسة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ولياليهنّ‌، ليس بينهنّ رضاعٌ‌، وبه كان يفتي شيخنا محمّد بن الحسن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56"/>
      </w:r>
      <w:r>
        <w:rPr>
          <w:rFonts w:ascii="Amiri" w:hAnsi="Amiri" w:eastAsia="Amiri" w:cs="Amiri"/>
          <w:color w:val="111111"/>
          <w:sz w:val="28"/>
          <w:sz w:val="28"/>
          <w:szCs w:val="28"/>
          <w:rtl w:val="true"/>
          <w:lang w:bidi="ar-SA"/>
        </w:rPr>
        <w:t xml:space="preserve">لم يجده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وجد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الإمام الصادق عليه السلام هل لذلك حَدّ؟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إلّارضاع يومٍ وليلة، أو خمس عشرة رضعة متواليات لا يفصل بينهن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التقدير بسنة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العلاء بن رزين،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الرّضاع‌؟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إلّاما ارتضع من ثدي واحدٍ سنة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لا يحرمُ من الرّضاع إلّاما ارتضع من ثدي واحدٍ سنة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الحولين، كخبر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كان حولين كاملين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زرارة وعبيد بن زرارة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رواه الصدوق قدس سره من الطائفة الثانية، فهو وإنْ كان واجداً لشرائط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الحجيّة لنسبته ذلك إلى النبيّ صلى الله عليه و آله جزماً، إلّاأنّه من المحتمل انقطاع الحديث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الباقي فتوى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المرويّ عن النبيّ صلى الله عليه و آله متواتراً الجملة الأُولى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فضعيفٌ للإرسال، وقد مرّ إنكار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عاملٌ بها، ويتعيّن طرحها لذلك، وقد صحّف بعض متأخِّري المتأخّرين</w:t>
      </w:r>
      <w:r>
        <w:rPr>
          <w:rStyle w:val="FootnoteAnchor"/>
          <w:rtl w:val="true"/>
        </w:rPr>
        <w:footnoteReference w:id="462"/>
      </w:r>
      <w:r>
        <w:rPr>
          <w:rFonts w:ascii="Amiri" w:hAnsi="Amiri" w:eastAsia="Amiri" w:cs="Amiri"/>
          <w:color w:val="111111"/>
          <w:sz w:val="28"/>
          <w:sz w:val="28"/>
          <w:szCs w:val="28"/>
          <w:rtl w:val="true"/>
          <w:lang w:bidi="ar-SA"/>
        </w:rPr>
        <w:t xml:space="preserve">ما فيها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والتشديد، أو بالكسر، مع الإضافة إلى ضمير الارتضاع على أنّ المراد الرّضاع في الحولين اللّذين هما سِنّ الرّضاع والسُّنة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مال بعض متأخِّري المتأخّرين إلى مضمونها، لتعدّد رواياتها، واعتضادها بالأصل، والمخالفة لمذهب الجمهور، فقابلة للحمل على إرادة الظرفيّة من الحولين، ولا ينافيه وصف الكاملين، بل يتعيّن ذلك بعد فرض مخالفتها لإجماع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يكون مخالفاً للضرورة من الدِّين، وبُعده عن التقديرين الآخرين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الطوائف معارضة مع الطائفة الأُولى المعمول بها بين الأصحاب، فهي تقدّم عند التعارض، لو لم تكن هذه ساقطة عن الحجيّة بأنفسها بالإعراض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حصول الحرمة هو رضاع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 في هذا التقدير أنّه ينشر الحرمة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عدم انضباط العدد، ويُعلم من ذلك أنّ الشيخ والمصنّف يعتبرون أنّ هذا التحديد لوحظ فيه الوسط،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الشهيد الثاني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العدد تقريباً، فيكون تحقيقاً في تقريبٍ‌، كما هو عادة الشارع في ضبط قوانين الشرع في مقامات عديدة، وتظهر الثمرة لو نقص العدد في اليوم واللّيلة، بأن رضع فيهما الرضيع سبعة أو ثمانية مرّات، فينشر على المشهور، ولا ينشر على ما ذهبا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أظهر، لإطلاق الموثّق والفتوى، سيّما مع معلوميّة اختلاف الأطفال في ذلك اختلافاً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ابتداء الرّضاع في ابتداء اليوم، وانتهائه في آخر اللّيلة أو العكس‌؟</w:t>
      </w:r>
    </w:p>
    <w:p>
      <w:pPr>
        <w:pStyle w:val="BookText"/>
        <w:rPr/>
      </w:pPr>
      <w:r>
        <w:rPr>
          <w:rFonts w:ascii="Amiri" w:hAnsi="Amiri" w:eastAsia="Amiri" w:cs="Amiri"/>
          <w:color w:val="111111"/>
          <w:sz w:val="28"/>
          <w:sz w:val="28"/>
          <w:szCs w:val="28"/>
          <w:rtl w:val="true"/>
          <w:lang w:bidi="ar-SA"/>
        </w:rPr>
        <w:t>أم يكفي الملفّق لو ابتدأ في أثناء أحدهما؟ قولان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وقوع أوّل الرّضاع في أوّل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واستظهر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عدم الاكتفاء بالملفّق،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 واحتمله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هو الثاني، لأنّ الظاهر من التحديد باليوم واللّيلة، إرادة مقدارهما، ألا ترى أنّه يقال لمن سار مقدار اليوم واللّيلة بحسب الزمان، أنّه سار يوماً وليلة، ولذا يُحمل على ذلك في الأزمنة المأخوذة موضوعات للأحكام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كإقامة عشر أيّام، ومسير يومٍ وأكثر أيّام الحيض وأقلّها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نظر الشيخ الأعظم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رضاع يومٍ وليلة عرفاً على رضاع الملفّق</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القيد المأخوذ في الرواية على صورة التلفيق، ويكون غيرها هو المتيقّن منه، فيجبُ الاقتصار عليه في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للاقتصار على المتيقّن مع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رضاع هذا الزمان حال متعارف أوساط الأطفال، أو حال شخص ذلك الرضيع‌؟ وجهان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الثمرة فيما إذا كان الطفل عُرضة ما يحتاج معه إلى الأقلّ ممّا يحتاج إليه الصحيح، أو كان مريضاً يحتاج إلى أزيد ممّا يحتاج إليه الصحيح كغلبة القيء عليه لعارضٍ‌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لإطلاق الرواية وظاهرها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 هذا التقدير من قبيل التحقيق في التقريب الأوّل، يكون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فساده، ومخالفته لظاهر دليل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الطلاق الموثّق، هو الاكتفاء بما هو المتعارف من الرّضاع في اليوم واللّيلة، فلا يعتبر إكمال الرَّضعة في كلّ مرّة، بل يكفي الإكمال بمرّة أُخرى‌، وعليه فلو ارتضع الصَّبي بعض الرضعة، واشتغل بلعبٍ ونحوه حتّى تحقّق الفصل الطويل، ثمّ ارتضع رضعةً كاملة، لم يقدح وكان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الإكمال في كلّ رضعة، بدعوى أنّه المتبادر من رضاع يومٍ وليلة، بل هو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في جميع الأفراد، كما في المثال المذكور، 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تخلّل بين رضعاته يسيرٌ من الطعام، بحيث لا تُغنيه عن شُرب ما اعتاده من اللّبن، هل تكفي تلك الرضعات في نشر الحرمة، كما صرّح به بعض المحقّقين</w:t>
      </w:r>
      <w:r>
        <w:rPr>
          <w:rStyle w:val="FootnoteAnchor"/>
          <w:rtl w:val="true"/>
        </w:rPr>
        <w:footnoteReference w:id="475"/>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فيما اعتاده من يسيرٍ من طعام بحيثُ لا يُغنيه عمّا اعتاد شريه من اللّبن</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صدق رضاع يومٍ وليلة، بدعوى أنّ الظاهر منه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تغذية الطفل في تمام هذه المدّة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رجوعه إلى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هو الرّضاع في تلك المدّة بما هو المتعارف في رضاع الطفل، فلا يقدح اليسير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القيد بقرينة الجمع، هو الرجوع إلى الجملة الثانية كما لا يخفى‌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بها، وأولى من ذلك ما لو شَرب الماء للعطش، وكذا لو أكل أو شرب الدّواء للعلاج</w:t>
      </w:r>
      <w:r>
        <w:rPr>
          <w:rFonts w:eastAsia="Amiri" w:cs="Amiri" w:ascii="Amiri" w:hAnsi="Amiri"/>
          <w:color w:val="111111"/>
          <w:sz w:val="28"/>
          <w:szCs w:val="28"/>
          <w:rtl w:val="true"/>
          <w:lang w:bidi="ar-SA"/>
        </w:rPr>
        <w:t>.</w:t>
      </w:r>
      <w:bookmarkStart w:id="105" w:name="pg11825_115878"/>
    </w:p>
    <w:p>
      <w:pPr>
        <w:pStyle w:val="BookText"/>
        <w:rPr/>
      </w:pPr>
      <w:bookmarkEnd w:id="105"/>
      <w:r>
        <w:rPr>
          <w:rFonts w:ascii="Amiri" w:hAnsi="Amiri" w:eastAsia="Amiri" w:cs="Amiri"/>
          <w:color w:val="111111"/>
          <w:sz w:val="28"/>
          <w:sz w:val="28"/>
          <w:szCs w:val="28"/>
          <w:rtl w:val="true"/>
          <w:lang w:bidi="ar-SA"/>
        </w:rPr>
        <w:t>أو ما أنبتَ اللّحم، وشَدّ العَظم،</w:t>
      </w:r>
    </w:p>
    <w:p>
      <w:pPr>
        <w:pStyle w:val="Heading2"/>
        <w:numPr>
          <w:ilvl w:val="1"/>
          <w:numId w:val="1"/>
        </w:numPr>
        <w:rPr/>
      </w:pPr>
      <w:bookmarkStart w:id="106" w:name="__RefHeading___Toc11056796_73709187"/>
      <w:bookmarkStart w:id="107" w:name="_Toc35"/>
      <w:bookmarkEnd w:id="106"/>
      <w:r>
        <w:rPr>
          <w:rtl w:val="true"/>
        </w:rPr>
        <w:t>تقدير فترة الرِّضاع بالأثر</w:t>
      </w:r>
      <w:bookmarkEnd w:id="107"/>
    </w:p>
    <w:p>
      <w:pPr>
        <w:pStyle w:val="BookText"/>
        <w:rPr/>
      </w:pPr>
      <w:r>
        <w:rPr>
          <w:rFonts w:ascii="Amiri" w:hAnsi="Amiri" w:eastAsia="Amiri" w:cs="Amiri"/>
          <w:color w:val="111111"/>
          <w:sz w:val="28"/>
          <w:sz w:val="28"/>
          <w:szCs w:val="28"/>
          <w:rtl w:val="true"/>
          <w:lang w:bidi="ar-SA"/>
        </w:rPr>
        <w:t>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أنبتَ اللَّحم، وشَدّ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أنّ حصول النشر مع تحقّق هذا الأثر ممّا لا خلاف فيه بين علماء الإسلام،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 قدس سره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واعتباره متّفقٌ عليه، بل صرّح جماعة</w:t>
      </w:r>
      <w:r>
        <w:rPr>
          <w:rStyle w:val="FootnoteAnchor"/>
          <w:rtl w:val="true"/>
        </w:rPr>
        <w:footnoteReference w:id="478"/>
      </w:r>
      <w:r>
        <w:rPr>
          <w:rFonts w:ascii="Amiri" w:hAnsi="Amiri" w:eastAsia="Amiri" w:cs="Amiri"/>
          <w:color w:val="111111"/>
          <w:sz w:val="28"/>
          <w:sz w:val="28"/>
          <w:szCs w:val="28"/>
          <w:rtl w:val="true"/>
          <w:lang w:bidi="ar-SA"/>
        </w:rPr>
        <w:t xml:space="preserve">بالإجماع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علماء الإسلام،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وشَدّ العظم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القندي، عن عبداللّه بن سنان،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والرّضعتان والثلاثة‌؟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إلّاما اشتدّ عليه العظم، ونبت اللّحم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بالتعرّض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التحديد في غير واحدٍ من النصوص بإنبات اللّحم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حمّاد،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أنبتَ اللَّحم والدَّم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 بن زرارة،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الرّضاع، ما أدنى ما يحرم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بالدّم فيهما الغريزي، وهو الذي ينسبُ إليه الإنبات، لا الذي يستحيل إليه الغذاء في الكبد قبل الانتشار منه إلى الأعضاء</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يبعد تلازم التقديرين، ويؤيّده عدم تعرّض الأصحاب لتحقّق الحكم به نفياً وإثباتاً، وعليه، فإنْ علم بنبات اللّحم والدّم، ولم يعلم باشتداد العظم، يُحكم بالنشر، لإطلاق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المحقّق اليزدي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إحراز الاشتداد بذلك الإطلاق، لئلّا يلزم التقييد، إذ مع حفظ الإطلاق، واعتبار الاشتداد في الانتشار، يُستكشف الملازمة بين التقديرين، وإلّا لزم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الإطلاق كأصالة الحقيقة وما شاكل، إنّما يُرجع إليها عند الشكّ في المراد مع إحراز الموضوع لإثبات الحكم، وأمّا مع معلوميّة الحكم، فلا وجه للرجوع إليها لإحراز الموضوع المشكوك فيه، ولو أُحرز عدم الملازمة، فيقيّد إطلاق مفهوم كلّ منهما بمنطوق الآخر، وتكون النتيجة الاكتفاء بكلّ واحدٍ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الأخبار اعتبار الأثرين معاً، كما عن الأكثر، فلا يكفي حينئذٍ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به، بل حكاه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عن جماعةٍ‌، وقوّاه وعلّله بالتلازم، واحتمل التعليل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ولكن رَجّح اعتبار الجمع، وقَطَع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على ما حَكى، ورَدّ القول بالاكتفاء به بالشّذوذ ومخالفة النصوص والفتوى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الكلمات أنّه لا خلاف في أصل الحكم، وهو اعتبار الأثرين معاً، وإنّما الاختلاف في التلازم بين الأثرين، فلو اُحرز أحدهما يُحرز الآخر قهراً، فيثبت الحكم على القول به، وعلى فرض البناء على عدم التلازم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الاستدلال للاكتفاء بأحدهما بالنصوص الدالّة على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بالرّضاع ما أنبتَ اللّحم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الاكتفاء بأحدهما، وإنّما تدلّ على الاكتفاء بإنبات الدّم مع انبات اللّحم عن 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 أنّ هذه العلّامة علامة مستقلّة مقابلة للزمان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 والقاضي</w:t>
      </w:r>
      <w:r>
        <w:rPr>
          <w:rStyle w:val="FootnoteAnchor"/>
          <w:rtl w:val="true"/>
        </w:rPr>
        <w:footnoteReference w:id="492"/>
      </w:r>
      <w:r>
        <w:rPr>
          <w:rFonts w:ascii="Amiri" w:hAnsi="Amiri" w:eastAsia="Amiri" w:cs="Amiri"/>
          <w:color w:val="111111"/>
          <w:sz w:val="28"/>
          <w:sz w:val="28"/>
          <w:szCs w:val="28"/>
          <w:rtl w:val="true"/>
          <w:lang w:bidi="ar-SA"/>
        </w:rPr>
        <w:t>والحلبيّون الثلاثة</w:t>
      </w:r>
      <w:r>
        <w:rPr>
          <w:rStyle w:val="FootnoteAnchor"/>
          <w:rtl w:val="true"/>
        </w:rPr>
        <w:footnoteReference w:id="493"/>
      </w:r>
      <w:r>
        <w:rPr>
          <w:rFonts w:ascii="Amiri" w:hAnsi="Amiri" w:eastAsia="Amiri" w:cs="Amiri"/>
          <w:color w:val="111111"/>
          <w:sz w:val="28"/>
          <w:sz w:val="28"/>
          <w:szCs w:val="28"/>
          <w:rtl w:val="true"/>
          <w:lang w:bidi="ar-SA"/>
        </w:rPr>
        <w:t>، والشهيدان</w:t>
      </w:r>
      <w:r>
        <w:rPr>
          <w:rStyle w:val="FootnoteAnchor"/>
          <w:rtl w:val="true"/>
        </w:rPr>
        <w:footnoteReference w:id="494"/>
      </w:r>
      <w:r>
        <w:rPr>
          <w:rFonts w:ascii="Amiri" w:hAnsi="Amiri" w:eastAsia="Amiri" w:cs="Amiri"/>
          <w:color w:val="111111"/>
          <w:sz w:val="28"/>
          <w:sz w:val="28"/>
          <w:szCs w:val="28"/>
          <w:rtl w:val="true"/>
          <w:lang w:bidi="ar-SA"/>
        </w:rPr>
        <w:t>، والمحقّق والكركي</w:t>
      </w:r>
      <w:r>
        <w:rPr>
          <w:rStyle w:val="FootnoteAnchor"/>
          <w:rtl w:val="true"/>
        </w:rPr>
        <w:footnoteReference w:id="495"/>
      </w:r>
      <w:r>
        <w:rPr>
          <w:rFonts w:ascii="Amiri" w:hAnsi="Amiri" w:eastAsia="Amiri" w:cs="Amiri"/>
          <w:color w:val="111111"/>
          <w:sz w:val="28"/>
          <w:sz w:val="28"/>
          <w:szCs w:val="28"/>
          <w:rtl w:val="true"/>
          <w:lang w:bidi="ar-SA"/>
        </w:rPr>
        <w:t>، وعامّة المتأخّرين</w:t>
      </w:r>
      <w:r>
        <w:rPr>
          <w:rStyle w:val="FootnoteAnchor"/>
          <w:rtl w:val="true"/>
        </w:rPr>
        <w:footnoteReference w:id="496"/>
      </w:r>
      <w:r>
        <w:rPr>
          <w:rFonts w:ascii="Amiri" w:hAnsi="Amiri" w:eastAsia="Amiri" w:cs="Amiri"/>
          <w:color w:val="111111"/>
          <w:sz w:val="28"/>
          <w:sz w:val="28"/>
          <w:szCs w:val="28"/>
          <w:rtl w:val="true"/>
          <w:lang w:bidi="ar-SA"/>
        </w:rPr>
        <w:t>، وهو الأصحّ‌</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الحلبيّين</w:t>
      </w:r>
      <w:r>
        <w:rPr>
          <w:rStyle w:val="FootnoteAnchor"/>
          <w:rtl w:val="true"/>
        </w:rPr>
        <w:footnoteReference w:id="498"/>
      </w:r>
      <w:r>
        <w:rPr>
          <w:rFonts w:ascii="Amiri" w:hAnsi="Amiri" w:eastAsia="Amiri" w:cs="Amiri"/>
          <w:color w:val="111111"/>
          <w:sz w:val="28"/>
          <w:sz w:val="28"/>
          <w:szCs w:val="28"/>
          <w:rtl w:val="true"/>
          <w:lang w:bidi="ar-SA"/>
        </w:rPr>
        <w:t>، والطبرسي</w:t>
      </w:r>
      <w:r>
        <w:rPr>
          <w:rStyle w:val="FootnoteAnchor"/>
          <w:rtl w:val="true"/>
        </w:rPr>
        <w:footnoteReference w:id="499"/>
      </w:r>
      <w:r>
        <w:rPr>
          <w:rFonts w:ascii="Amiri" w:hAnsi="Amiri" w:eastAsia="Amiri" w:cs="Amiri"/>
          <w:color w:val="111111"/>
          <w:sz w:val="28"/>
          <w:sz w:val="28"/>
          <w:szCs w:val="28"/>
          <w:rtl w:val="true"/>
          <w:lang w:bidi="ar-SA"/>
        </w:rPr>
        <w:t>، وظاهر كتابي الشيخ في الأخبار</w:t>
      </w:r>
      <w:r>
        <w:rPr>
          <w:rStyle w:val="FootnoteAnchor"/>
          <w:rtl w:val="true"/>
        </w:rPr>
        <w:footnoteReference w:id="50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ومحتمل المفيد</w:t>
      </w:r>
      <w:r>
        <w:rPr>
          <w:rStyle w:val="FootnoteAnchor"/>
          <w:rtl w:val="true"/>
        </w:rPr>
        <w:footnoteReference w:id="501"/>
      </w:r>
      <w:r>
        <w:rPr>
          <w:rFonts w:ascii="Amiri" w:hAnsi="Amiri" w:eastAsia="Amiri" w:cs="Amiri"/>
          <w:color w:val="111111"/>
          <w:sz w:val="28"/>
          <w:sz w:val="28"/>
          <w:szCs w:val="28"/>
          <w:rtl w:val="true"/>
          <w:lang w:bidi="ar-SA"/>
        </w:rPr>
        <w:t>، وسلّار</w:t>
      </w:r>
      <w:r>
        <w:rPr>
          <w:rStyle w:val="FootnoteAnchor"/>
          <w:rtl w:val="true"/>
        </w:rPr>
        <w:footnoteReference w:id="502"/>
      </w:r>
      <w:r>
        <w:rPr>
          <w:rFonts w:ascii="Amiri" w:hAnsi="Amiri" w:eastAsia="Amiri" w:cs="Amiri"/>
          <w:color w:val="111111"/>
          <w:sz w:val="28"/>
          <w:sz w:val="28"/>
          <w:szCs w:val="28"/>
          <w:rtl w:val="true"/>
          <w:lang w:bidi="ar-SA"/>
        </w:rPr>
        <w:t>، وابن سعيد</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الفائدة في هذه العلّامة، والاستغناء عنها بالزمان والعدد، وقوّاه الشيخ الأعظم رحمه الله</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بالرِّضاع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الدالّة على الحرمة معها، سواءٌ وافق أحدهما أو خالف هو الأوّل، ولكن من جهة أنّ الإطلاع عليه بنحوٍ يظهر للحسّ عند الحاجة إليه لا يمكن إلّالبعض أهل الخبرة، ومع ذلك حَصَر في النصوص الكثيرة الرّضاع المحرّم 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اللّحم وشَدّ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واُشير في بعضها إلى أنّ العدد إنّما يحرّم لكونه محصّلاً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على الثاني، ويشير إليه صحيح عليّ بن رئاب،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خصوص العدد دون الزمان، مع أنّ لازم ذلك ليس حصر علامته فيهما، بحيث لو تحقّق عند أهل الخبرة بل وعند غيرهم بدونهما لا يُحكم بالحرمة، بل لازمه كونهما علامتين له، فيبنى عليه مع وجود أحدهما، وإنْ شكّ فيه، ولم يظهر لاهل الخبرة، وعليه فلا يسقط هذه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إليه أنّ الجمع بين ما في صحيح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اُشير إليه في بعض النصوص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ما دلّ على أنّ العدد بنفسه يوجب التحريم، يمكن بالبناء على أنّ ذلك هي الحكمة لمحرّميّة العدد لا العلّة، بل يتعيّن ذلك بملاحظة ما في 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العدد مقابل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أبي جعفر وأبي عبداللّه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رضع الغلام من نساء شتّى‌، وكان ذلك عدّة، أو نبت لحمه ودمه عليه يحرم عليه بناتهنّ كلهنّ‌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أنّ كلّاً من التقديرات الثلاثة مستقلٌّ في التأثير في الحرمة، سيأتي إنْ شاء اللّه تعالى ما يقتضيه الجمع بين أدلّتها في 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التحريم بالأثر استقلال الرّضاع في حصوله على وجهٍ ينسب إليه، فلو فرض تركّب غذاء الصّبي منه ومن غيره، وكان الإنبات والإشتداد منسوبين إليهما لا يكفي، أم لا يعتبر ذلك‌؟</w:t>
      </w:r>
    </w:p>
    <w:p>
      <w:pPr>
        <w:pStyle w:val="BookText"/>
        <w:rPr/>
      </w:pPr>
      <w:r>
        <w:rPr>
          <w:rFonts w:ascii="Amiri" w:hAnsi="Amiri" w:eastAsia="Amiri" w:cs="Amiri"/>
          <w:color w:val="111111"/>
          <w:sz w:val="28"/>
          <w:sz w:val="28"/>
          <w:szCs w:val="28"/>
          <w:rtl w:val="true"/>
          <w:lang w:bidi="ar-SA"/>
        </w:rPr>
        <w:t>وجهان، أظهرهما الأوّل، لأنّ ذلك هو الظاهر من ما دلّ على أنّ المُحرِّم هو ما أنبتَ اللّحم وشَدّ العظم، فإنّه في صورة التركّب لا يكون ذلك منتسباً إلى الرّضاع، ويشير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المرسل الذي رواه ابن أبي عمير، عن بعض أصحابنا، عن أبي عبداللّه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والدّم، هو الذي يرضع حتّى يتضلّع ويتملّى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وينتهي نفسه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يمتلي بطنه، فإنّ ذلك يُنبت اللّحم والدّم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يدلّان على أنّ الإنبات المجعول موضوعاً للحرمة، هو ما انتسب إلى الرّضاع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بن زياد،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إلّا ما شَدّ العظم، وأنبت اللّحم، فأمّا الرضعة والثنتان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متفرّقات فلا بأس</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يشعر بأنّه في صورة التفرّق لا يكفي، لعدم انتساب شَدّ العظم وإنبات اللّحم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يُصغى إلى ما قيل من إنّ اللّبن والغذاء وإنْ امتزجا في المعدة، إلّاأنّ لكلّ منهما أثراً مستقلّاً، فيصدق على كلّ منهما أنّه أنبتَ لحماً وشَدّ عَظْماً، مع إنّه فاسدٌ في نفسه، لأنّ المعلول إنّما يُنسب إلى مجموع العلّتين لو اشتركا لا إلى كلّ منهما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الأثرين هو حصولهما بنحوٍ يظهر لدى حِسّ أهل الخبرة، فلا يتحقّقان بالمُسمّى‌، كما يشير إليه النصوص الدالّة على أنّهما لا يحصلان بالرّضعة والثنتين والثلاث، وقد تقدّم بعضها، ولو كان مطلق التأثير كافياً، كان ذلك حاصلاً بالرّضعة الواحدة، مع أنّه لزم منه فساد التحديد، لأنّه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يزيد على اعتبار أصل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ظاهر ابن الجُنيد</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بالمُسمّى من أصحابنا</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بما يحصل من الرّضعة الواحدة،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حصول الأثرين فيما لا يكون بيّناً، هو قول أهل الخبرة، كما نصّ عليه جماعة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يعتبر فيه شروط الشهادة من الإيمان والعدالة والعدد، فلا حكم للواحد</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ما عن السيّد الدّاماد</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الاكتفاء بخبر الواحد، وذلك لما حقّقناه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خبر الواحد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الإيمان والعدالة، بل يُكتفى بخبر الثقة، لما حُقّق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الخبر الموثّق في الموضوعات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08" w:name="pg11825_115886"/>
    </w:p>
    <w:p>
      <w:pPr>
        <w:pStyle w:val="Heading2"/>
        <w:numPr>
          <w:ilvl w:val="1"/>
          <w:numId w:val="1"/>
        </w:numPr>
        <w:rPr/>
      </w:pPr>
      <w:bookmarkStart w:id="109" w:name="__RefHeading___Toc11056798_73709187"/>
      <w:bookmarkStart w:id="110" w:name="_Toc36"/>
      <w:bookmarkEnd w:id="108"/>
      <w:bookmarkEnd w:id="109"/>
      <w:r>
        <w:rPr>
          <w:rtl w:val="true"/>
        </w:rPr>
        <w:t>التقدير بالعدد</w:t>
      </w:r>
      <w:bookmarkEnd w:id="110"/>
    </w:p>
    <w:p>
      <w:pPr>
        <w:pStyle w:val="BookText"/>
        <w:rPr/>
      </w:pPr>
      <w:r>
        <w:rPr>
          <w:rFonts w:ascii="Amiri" w:hAnsi="Amiri" w:eastAsia="Amiri" w:cs="Amiri"/>
          <w:color w:val="111111"/>
          <w:sz w:val="28"/>
          <w:sz w:val="28"/>
          <w:szCs w:val="28"/>
          <w:rtl w:val="true"/>
          <w:lang w:bidi="ar-SA"/>
        </w:rPr>
        <w:t>التقدير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واعتباره في التقدير إجماعي، ونقلُ الإجماع عليه مستفيضٌ‌، وقد تقدّم ما نُسب إلى ابن الجُنيد من الاكتفاء برضعة واحدة، وما يمكن أنْ يُستدلّ به والجواب عنه، وإنّما المعركة الكبرى في أنّ العدد المحرّم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ماكان عشررضعات، كماعن العُمّاني</w:t>
      </w:r>
      <w:r>
        <w:rPr>
          <w:rStyle w:val="FootnoteAnchor"/>
          <w:rtl w:val="true"/>
        </w:rPr>
        <w:footnoteReference w:id="516"/>
      </w:r>
      <w:r>
        <w:rPr>
          <w:rFonts w:ascii="Amiri" w:hAnsi="Amiri" w:eastAsia="Amiri" w:cs="Amiri"/>
          <w:color w:val="111111"/>
          <w:sz w:val="28"/>
          <w:sz w:val="28"/>
          <w:szCs w:val="28"/>
          <w:rtl w:val="true"/>
          <w:lang w:bidi="ar-SA"/>
        </w:rPr>
        <w:t>، والمفيد</w:t>
      </w:r>
      <w:r>
        <w:rPr>
          <w:rStyle w:val="FootnoteAnchor"/>
          <w:rtl w:val="true"/>
        </w:rPr>
        <w:footnoteReference w:id="517"/>
      </w:r>
      <w:r>
        <w:rPr>
          <w:rFonts w:ascii="Amiri" w:hAnsi="Amiri" w:eastAsia="Amiri" w:cs="Amiri"/>
          <w:color w:val="111111"/>
          <w:sz w:val="28"/>
          <w:sz w:val="28"/>
          <w:szCs w:val="28"/>
          <w:rtl w:val="true"/>
          <w:lang w:bidi="ar-SA"/>
        </w:rPr>
        <w:t>، والسيّد</w:t>
      </w:r>
      <w:r>
        <w:rPr>
          <w:rStyle w:val="FootnoteAnchor"/>
          <w:rtl w:val="true"/>
        </w:rPr>
        <w:footnoteReference w:id="518"/>
      </w:r>
      <w:r>
        <w:rPr>
          <w:rFonts w:ascii="IRNazanin" w:hAnsi="IRNazanin" w:eastAsia="IRNazanin"/>
          <w:color w:val="111111"/>
          <w:sz w:val="28"/>
          <w:sz w:val="28"/>
          <w:szCs w:val="28"/>
          <w:rtl w:val="true"/>
          <w:lang w:bidi="fa-IR"/>
        </w:rPr>
        <w:t>، والحلبى</w:t>
      </w:r>
      <w:r>
        <w:rPr>
          <w:rStyle w:val="FootnoteAnchor"/>
          <w:rtl w:val="true"/>
        </w:rPr>
        <w:footnoteReference w:id="519"/>
      </w:r>
      <w:r>
        <w:rPr>
          <w:rFonts w:ascii="Amiri" w:hAnsi="Amiri" w:eastAsia="Amiri" w:cs="Amiri"/>
          <w:color w:val="111111"/>
          <w:sz w:val="28"/>
          <w:sz w:val="28"/>
          <w:szCs w:val="28"/>
          <w:rtl w:val="true"/>
          <w:lang w:bidi="ar-SA"/>
        </w:rPr>
        <w:t>، والقاضي</w:t>
      </w:r>
      <w:r>
        <w:rPr>
          <w:rStyle w:val="FootnoteAnchor"/>
          <w:rtl w:val="true"/>
        </w:rPr>
        <w:footnoteReference w:id="520"/>
      </w:r>
      <w:r>
        <w:rPr>
          <w:rFonts w:ascii="Amiri" w:hAnsi="Amiri" w:eastAsia="Amiri" w:cs="Amiri"/>
          <w:color w:val="111111"/>
          <w:sz w:val="28"/>
          <w:sz w:val="28"/>
          <w:szCs w:val="28"/>
          <w:rtl w:val="true"/>
          <w:lang w:bidi="ar-SA"/>
        </w:rPr>
        <w:t>، والديلمي</w:t>
      </w:r>
      <w:r>
        <w:rPr>
          <w:rStyle w:val="FootnoteAnchor"/>
          <w:rtl w:val="true"/>
        </w:rPr>
        <w:footnoteReference w:id="521"/>
      </w:r>
      <w:r>
        <w:rPr>
          <w:rFonts w:ascii="Amiri" w:hAnsi="Amiri" w:eastAsia="Amiri" w:cs="Amiri"/>
          <w:color w:val="111111"/>
          <w:sz w:val="28"/>
          <w:sz w:val="28"/>
          <w:szCs w:val="28"/>
          <w:rtl w:val="true"/>
          <w:lang w:bidi="ar-SA"/>
        </w:rPr>
        <w:t>، والحِلّي في أوّل كتاب النكاح</w:t>
      </w:r>
      <w:r>
        <w:rPr>
          <w:rStyle w:val="FootnoteAnchor"/>
          <w:rtl w:val="true"/>
        </w:rPr>
        <w:footnoteReference w:id="522"/>
      </w:r>
      <w:r>
        <w:rPr>
          <w:rFonts w:ascii="Amiri" w:hAnsi="Amiri" w:eastAsia="Amiri" w:cs="Amiri"/>
          <w:color w:val="111111"/>
          <w:sz w:val="28"/>
          <w:sz w:val="28"/>
          <w:szCs w:val="28"/>
          <w:rtl w:val="true"/>
          <w:lang w:bidi="ar-SA"/>
        </w:rPr>
        <w:t>، وابني زُهرة</w:t>
      </w:r>
      <w:r>
        <w:rPr>
          <w:rStyle w:val="FootnoteAnchor"/>
          <w:rtl w:val="true"/>
        </w:rPr>
        <w:footnoteReference w:id="523"/>
      </w:r>
      <w:r>
        <w:rPr>
          <w:rFonts w:ascii="Amiri" w:hAnsi="Amiri" w:eastAsia="Amiri" w:cs="Amiri"/>
          <w:color w:val="111111"/>
          <w:sz w:val="28"/>
          <w:sz w:val="28"/>
          <w:szCs w:val="28"/>
          <w:rtl w:val="true"/>
          <w:lang w:bidi="ar-SA"/>
        </w:rPr>
        <w:t>وحَمزة</w:t>
      </w:r>
      <w:r>
        <w:rPr>
          <w:rStyle w:val="FootnoteAnchor"/>
          <w:rtl w:val="true"/>
        </w:rPr>
        <w:footnoteReference w:id="52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 والشهيدفي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والسيّدالدّاماد</w:t>
      </w:r>
      <w:r>
        <w:rPr>
          <w:rStyle w:val="FootnoteAnchor"/>
          <w:rtl w:val="true"/>
        </w:rPr>
        <w:footnoteReference w:id="528"/>
      </w:r>
      <w:r>
        <w:rPr>
          <w:rFonts w:ascii="IRNazanin" w:hAnsi="IRNazanin" w:eastAsia="IRNazanin"/>
          <w:color w:val="111111"/>
          <w:sz w:val="28"/>
          <w:sz w:val="28"/>
          <w:szCs w:val="28"/>
          <w:rtl w:val="true"/>
          <w:lang w:bidi="fa-IR"/>
        </w:rPr>
        <w:t>، وابن فهد</w:t>
      </w:r>
      <w:r>
        <w:rPr>
          <w:rStyle w:val="FootnoteAnchor"/>
          <w:rtl w:val="true"/>
        </w:rPr>
        <w:footnoteReference w:id="529"/>
      </w:r>
      <w:r>
        <w:rPr>
          <w:rFonts w:ascii="Amiri" w:hAnsi="Amiri" w:eastAsia="Amiri" w:cs="Amiri"/>
          <w:color w:val="111111"/>
          <w:sz w:val="28"/>
          <w:sz w:val="28"/>
          <w:szCs w:val="28"/>
          <w:rtl w:val="true"/>
          <w:lang w:bidi="ar-SA"/>
        </w:rPr>
        <w:t>، بل هو الأشهر كما صرّح به الشهيدالثاني</w:t>
      </w:r>
      <w:r>
        <w:rPr>
          <w:rStyle w:val="FootnoteAnchor"/>
          <w:rtl w:val="true"/>
        </w:rPr>
        <w:footnoteReference w:id="5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كان خمس عشرة رضعة،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كان خمسة عَشَر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 وكتابي الأخبار</w:t>
      </w:r>
      <w:r>
        <w:rPr>
          <w:rStyle w:val="FootnoteAnchor"/>
          <w:rtl w:val="true"/>
        </w:rPr>
        <w:footnoteReference w:id="533"/>
      </w:r>
      <w:r>
        <w:rPr>
          <w:rFonts w:ascii="Amiri" w:hAnsi="Amiri" w:eastAsia="Amiri" w:cs="Amiri"/>
          <w:color w:val="111111"/>
          <w:sz w:val="28"/>
          <w:sz w:val="28"/>
          <w:szCs w:val="28"/>
          <w:rtl w:val="true"/>
          <w:lang w:bidi="ar-SA"/>
        </w:rPr>
        <w:t>، والحِلّي في أوّل الرّضاع</w:t>
      </w:r>
      <w:r>
        <w:rPr>
          <w:rStyle w:val="FootnoteAnchor"/>
          <w:rtl w:val="true"/>
        </w:rPr>
        <w:footnoteReference w:id="534"/>
      </w:r>
      <w:r>
        <w:rPr>
          <w:rFonts w:ascii="Amiri" w:hAnsi="Amiri" w:eastAsia="Amiri" w:cs="Amiri"/>
          <w:color w:val="111111"/>
          <w:sz w:val="28"/>
          <w:sz w:val="28"/>
          <w:szCs w:val="28"/>
          <w:rtl w:val="true"/>
          <w:lang w:bidi="ar-SA"/>
        </w:rPr>
        <w:t>، والمحقّق</w:t>
      </w:r>
      <w:r>
        <w:rPr>
          <w:rStyle w:val="FootnoteAnchor"/>
          <w:rtl w:val="true"/>
        </w:rPr>
        <w:footnoteReference w:id="535"/>
      </w:r>
      <w:r>
        <w:rPr>
          <w:rFonts w:ascii="Amiri" w:hAnsi="Amiri" w:eastAsia="Amiri" w:cs="Amiri"/>
          <w:color w:val="111111"/>
          <w:sz w:val="28"/>
          <w:sz w:val="28"/>
          <w:szCs w:val="28"/>
          <w:rtl w:val="true"/>
          <w:lang w:bidi="ar-SA"/>
        </w:rPr>
        <w:t xml:space="preserve">، والمصنّف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 والمحقّق الثاني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والشهيد الثاني</w:t>
      </w:r>
      <w:r>
        <w:rPr>
          <w:rStyle w:val="FootnoteAnchor"/>
          <w:rtl w:val="true"/>
        </w:rPr>
        <w:footnoteReference w:id="538"/>
      </w:r>
      <w:r>
        <w:rPr>
          <w:rFonts w:ascii="Amiri" w:hAnsi="Amiri" w:eastAsia="Amiri" w:cs="Amiri"/>
          <w:color w:val="111111"/>
          <w:sz w:val="28"/>
          <w:sz w:val="28"/>
          <w:szCs w:val="28"/>
          <w:rtl w:val="true"/>
          <w:lang w:bidi="ar-SA"/>
        </w:rPr>
        <w:t>، ولعلّه المشهور بين المتأخّرين، بل نُسب ذلك إلى المشهور</w:t>
      </w:r>
      <w:r>
        <w:rPr>
          <w:rStyle w:val="FootnoteAnchor"/>
          <w:rtl w:val="true"/>
        </w:rPr>
        <w:footnoteReference w:id="539"/>
      </w:r>
      <w:r>
        <w:rPr>
          <w:rFonts w:ascii="IRNazanin" w:hAnsi="IRNazanin" w:eastAsia="IRNazanin"/>
          <w:color w:val="111111"/>
          <w:sz w:val="28"/>
          <w:sz w:val="28"/>
          <w:szCs w:val="28"/>
          <w:rtl w:val="true"/>
          <w:lang w:bidi="fa-IR"/>
        </w:rPr>
        <w:t>بقول مطلق‌؟</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بالإطلاقات من الكتاب والسُّنة، ولكنّها لا تصلح للمقاومة مع النصوص الآتية، بل يقيّد الإطلاقات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إلّاالمخبورة أو خادم أو ظِئرٌ ثمّ يرضع عشر رضعات يروى الصّبي وينام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في طريقه محمّد بن سنان، وقد ضعّفه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المشايخ</w:t>
      </w:r>
      <w:r>
        <w:rPr>
          <w:rStyle w:val="FootnoteAnchor"/>
          <w:rtl w:val="true"/>
        </w:rPr>
        <w:footnoteReference w:id="541"/>
      </w:r>
      <w:r>
        <w:rPr>
          <w:rFonts w:ascii="Amiri" w:hAnsi="Amiri" w:eastAsia="Amiri" w:cs="Amiri"/>
          <w:color w:val="111111"/>
          <w:sz w:val="28"/>
          <w:sz w:val="28"/>
          <w:szCs w:val="28"/>
          <w:rtl w:val="true"/>
          <w:lang w:bidi="ar-SA"/>
        </w:rPr>
        <w:t>عدا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باضطراب المتن، 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من زيادةٍ رواها الشيخ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يرضع عَشر رضعات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سبق الصدوق عن الشيخ زماناً، وضبط الأخبار كتابة، فكيف يتصوّر في حقّه أو في الكتب التي أخذ الحديث منها إهمال شطرٍ من كلام المعصوم عليه السلام مرتبطٍ بما قبله غاية الارتباط، ويحتاج إليه نهاية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بالمخالفة للإجماع، من جهة حصرها الرّضاع المحرّم في المخبورة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الأظهر وثاقته، فقد وثّقه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في باب النّص على مولانا الرّضا عليه السلام، والفاضل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والشيخ الحُرّالعاملي</w:t>
      </w:r>
      <w:r>
        <w:rPr>
          <w:rStyle w:val="FootnoteAnchor"/>
          <w:rtl w:val="true"/>
        </w:rPr>
        <w:footnoteReference w:id="545"/>
      </w:r>
      <w:r>
        <w:rPr>
          <w:rFonts w:ascii="Amiri" w:hAnsi="Amiri" w:eastAsia="Amiri" w:cs="Amiri"/>
          <w:color w:val="111111"/>
          <w:sz w:val="28"/>
          <w:sz w:val="28"/>
          <w:szCs w:val="28"/>
          <w:rtl w:val="true"/>
          <w:lang w:bidi="ar-SA"/>
        </w:rPr>
        <w:t xml:space="preserve">، والحسن بن أبي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التتّمات والمهمّات</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والمصنّف رحمه الله في 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ومسألة التكبير للركوع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على ما حُكي، وقد تبعه في وصف حديثه هذا بالصحّة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ولده الفخر</w:t>
      </w:r>
      <w:r>
        <w:rPr>
          <w:rStyle w:val="FootnoteAnchor"/>
          <w:rtl w:val="true"/>
        </w:rPr>
        <w:footnoteReference w:id="550"/>
      </w:r>
      <w:r>
        <w:rPr>
          <w:rFonts w:ascii="Amiri" w:hAnsi="Amiri" w:eastAsia="Amiri" w:cs="Amiri"/>
          <w:color w:val="111111"/>
          <w:sz w:val="28"/>
          <w:sz w:val="28"/>
          <w:szCs w:val="28"/>
          <w:rtl w:val="true"/>
          <w:lang w:bidi="ar-SA"/>
        </w:rPr>
        <w:t>، والمحقّق الكركي</w:t>
      </w:r>
      <w:r>
        <w:rPr>
          <w:rStyle w:val="FootnoteAnchor"/>
          <w:rtl w:val="true"/>
        </w:rPr>
        <w:footnoteReference w:id="551"/>
      </w:r>
      <w:r>
        <w:rPr>
          <w:rFonts w:ascii="Amiri" w:hAnsi="Amiri" w:eastAsia="Amiri" w:cs="Amiri"/>
          <w:color w:val="111111"/>
          <w:sz w:val="28"/>
          <w:sz w:val="28"/>
          <w:szCs w:val="28"/>
          <w:rtl w:val="true"/>
          <w:lang w:bidi="ar-SA"/>
        </w:rPr>
        <w:t>، وحُكي القول بوثاقته عن السيّد الدّاماد</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الوسيط للميرزا الاسترآبادي صاحب منهج المقال مخطوط كاشف الغطاء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والميرزا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ورود جملةٍ من النصوص في مدحه، ورواية كثيرٍ من الأجلّاء عنه، ولهذا لا يُعتنى بتضعيف جماعةٍ إيّاه، سيّما وأنّ منشأ تضعيف جمعٍ منهم رميه بالغلوّ، وهو غير ظاهر، واصطلاح جمعٍ آخر منهم في الضعف غير ما يضرّ بحجيّة الخبر، مع أنّ اعتماد القدماء من الأصحاب عليه، وإفتائهم بما تضمّنه يوجبُ جبر الضعف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ما رواه الشيخ رحمه الله غير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أحدهما مرويٌّ عن الإمام الصادق عليه السلام والآخر عن الإمام الباقر عليه السلام، وليس في طريق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ومتن الخبرين أيضاً مختلف، فلا شكّ في التعدّد، ومجرّد كون الراوي فيهما الفُضيل لا يوجب كونهما خبراً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وحدتهما، فإنّ مقتضى أصالة عدم الزيادة عند دوران الأمر بينها وبين النقيصة، هو البناء على الثاني على ما حُقّق في محلّه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الحصر في الخبر يمكن أنْ يكون لاشتراط التوالي، الذي لا يتحقّق غالباً إلّافي تلكم النسوة، ويؤيّده ما ورد في الخبر الآخر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ظئر تستأجر، أو خادم تُشترى، أو ماكان مثل ذلك موقوفاً عليه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الحكم المخالف للإجماع لو كان، فإنّما هو في الجملة الأُولى بالنسبة إلى منطوقها، لا المفهوم الذي هو المقيّد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الخبر سنداً ولا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موثّق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الغلام يرضع الرّضعة والثنتين‌؟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النبات والاشتداد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كما يدلّ عليه صحيح عُبيد،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الرّضاع، ما أدنى ما يحرّم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اللّحم والدّم،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واحدة تنبته‌؟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أصلحك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أزَل أعدّ عليه حتّى بلغت عَشر رضعات</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وبخبر مسعدة،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إلّاما شَدّ العظم وأنبت اللّحم، فأمّا الرضعة والرضعتان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متفرّقات فلا بأس</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بإزاء هذه النصوص ما يدلّ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زياد بن سوقة،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يومٍ وليلة، أو خمس عشرة رضعة متواليات، من امرأةٍ واحدة، من لبن فحلٍ واحد، لم يفصل بينهما رضعة امرأة أُخرى‌، فلو أنّ امرأةً أرضعت غلاماً أو جارية عشر رضعات من لبن فحلٍ واحد، وأرضعتهما امرأةٌ أُخرى من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عشر رضعات لا يحرّمن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عشررضعات لاتحرّمن شيئاً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ابن بكير</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مقام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الطائفة الثانية أعمٌّ من الأُولى‌، فإنّها تدلّ على عدم حصول الرّضاع المحرّم بالعَشر أعمٌّ من المتواليات والمتفرّقات، والأُولى تدلّ على حصوله بها إذا كانت متواليات، فيقيّد إطلاقها بها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موثّق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تفريعه 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رضعة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العشر المتواليات دون الأعمّ منها ومن المتفرّقات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الأُولى دلالتها على الاكتفاء بالعشر إنّما هي بالمفهوم، ودلالة الثانية على عدم الاكتفاء بها بالمنطوق، فهذه أصرح دلالة، مع احتمال مفهومها الحَمل على ما إذا وقعت العَشر المتواليات في يومٍ وليلة، فإنّ مفهومها بهذا الاعتبار أعمّ من منطوق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الأصرحيّة لا يصلحُ قرينةً على التقديم، بعد فرض دلالة كلٍّ منهما على خلاف ما يدلّ عليه الآخر، إلّاإذا كانا من قبيل النّص والظاهر أو ما شاكل، وأمّا أعميّة مفهوم الأُولى بالاعتبار المذكور، فقد اعترف قائلها في ذيل كلامه بأنّ التخصيص بها بعيدٌ، ومع ذلك فهي غيرُ تامّة، إذ لم يتعرّض في تلك النصوص للزّمان الذي يقع فيه العدد، بل هي متعرّضة لحكم العدد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الأُولى‌، لموافقتها للكتاب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بموافقة الكتاب يتوقّف على عدم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تخصيص الكتاب بخبر الواحد، وإلّا فموافقة الكتاب لتلك الروايات بعد تخصيصه بالطائفة الثانية غير حاصلة، إلّابعد ترجيح تلك الروايات، وهو أوّل الكلام، ويلزم الدور أيضاً كما لا يخفى‌</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الكتاب من المرجّحات بنصّ الأخبار، فلا سبيل إلى ما اُفيد، ولكن الترجيح بها يتوقّف على عدم إمكان الجمع العرفي بينهما، وفَقْدِ جملةٍ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الطائفتين متعارضتان، لا يمكن الجمع بينهما، فلابدّ من الرجوع إلى نصوص الترجيح، وهي تقتضي تقديم نصوص حصول الرّضاع المحرّم بالعَشر، فإنّ أوّل المرجّحات هو الشهرة، وهي غير ثابتة في شيءٍ منهما، والثاني صفات الراوي، ولا شبهة في أنّها أصحّ سنداً فتُقدَّم، وإذا ثبت عدم النشر بالعَشر، تعين القولُ بالنَشر بالخَمس عشرة، لعدم القائل باعتبار أزيدٍ منها من حيث العَدد، ولمفهوم صدر موثّق سوقة الوارد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رَضعةً لا تُحرّم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فمحمولٌ على صورة عدم التوالي، للإجماع ظاهراً على النشر بهذا العدد مع التوالي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كون الرِّضاع المحرم خمس عشرة رضعة، ولا يُحرّم الأقلّ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كاملة</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يعتبر في الرَّضعات المحرّمة أنْ تكون كلّ 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فالرضعة الناقصة لا تعدّ من العدد، ما لم تُكمل على وجهٍ لا يقدح في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المتبادر 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يقالُ عشر رضعاتٍ إلّامع كون كلّ واحدةٍ كاملة، ولو نقص بعضها يصحّ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وللتقييد في خبر الفُضيل المتقدّم بالّلتي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واحدةٍ منها، ولا ينافيه اشتماله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ارضاع الطفل بمثل ذلك يكون منوّماً عادةً‌، أو المعنى أنّه يكون من شأنه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يمتلي بطنه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الحديث،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الكمال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تحديده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يَروى الصّبي ويصدر من قِبل نفسه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 ابن أبي عمير، عن بعض أصحابه،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والدّم، هو الذي يرضع حتّى يتضلّع ويمتلي وينتهي من نفسه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نظر العرف أيضاً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المرجع في معنى الاتّحاد هو العرف، فلو لفَظ الصّبي الثدي للنفس أو السّعال، أو الانتقال من ثَدي إلى ثدي أُخرى‌، أو الالتفات إلى مُلاعبٍ ونحوه، ثمّ عاد في الحال، فالمجموع يعدّ رضعة واحدة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يعد إلّابعد مدّة، فالظاهر عدم احتساب مجموعها من العدد</w:t>
      </w:r>
      <w:r>
        <w:rPr>
          <w:rFonts w:eastAsia="Amiri" w:cs="Amiri" w:ascii="Amiri" w:hAnsi="Amiri"/>
          <w:color w:val="111111"/>
          <w:sz w:val="28"/>
          <w:szCs w:val="28"/>
          <w:rtl w:val="true"/>
          <w:lang w:bidi="ar-SA"/>
        </w:rPr>
        <w:t>.</w:t>
      </w:r>
      <w:bookmarkStart w:id="111" w:name="pg11825_115896"/>
    </w:p>
    <w:p>
      <w:pPr>
        <w:pStyle w:val="BookText"/>
        <w:rPr/>
      </w:pPr>
      <w:bookmarkEnd w:id="111"/>
      <w:r>
        <w:rPr>
          <w:rFonts w:ascii="Amiri" w:hAnsi="Amiri" w:eastAsia="Amiri" w:cs="Amiri"/>
          <w:color w:val="111111"/>
          <w:sz w:val="28"/>
          <w:sz w:val="28"/>
          <w:szCs w:val="28"/>
          <w:rtl w:val="true"/>
          <w:lang w:bidi="ar-SA"/>
        </w:rPr>
        <w:t>من الثدي</w:t>
      </w:r>
    </w:p>
    <w:p>
      <w:pPr>
        <w:pStyle w:val="Heading2"/>
        <w:numPr>
          <w:ilvl w:val="1"/>
          <w:numId w:val="1"/>
        </w:numPr>
        <w:rPr/>
      </w:pPr>
      <w:bookmarkStart w:id="112" w:name="__RefHeading___Toc11056800_73709187"/>
      <w:bookmarkStart w:id="113" w:name="_Toc37"/>
      <w:bookmarkEnd w:id="112"/>
      <w:r>
        <w:rPr>
          <w:rtl w:val="true"/>
        </w:rPr>
        <w:t>اعتبار كون شرب اللّبن على وجه الامتصاص من الثدي</w:t>
      </w:r>
      <w:bookmarkEnd w:id="113"/>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كون شُرب اللَّبن على وجه الامتصاص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ينشرُ الحُرمة بوجور اللّبن في حلق الصّبي على المعروف بين معظم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 لأحدٍ من أصحابنا إلّاابن الجُنيد</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الاكتفاء بالوجور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مختار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في بعضها ما يظهر منه الإجماع، وإنْ وافق المشهور في موضعٍ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وشرحه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المتبادر من الرّضاع، والإرضاع، والإرتضاع، وأنّه يصحّ سلب هذا العنوان عمّا لو شربه من غير الثَّدي، فكيف بمن احتقن به، أو أكله </w:t>
      </w:r>
    </w:p>
    <w:p>
      <w:pPr>
        <w:pStyle w:val="BookText"/>
        <w:rPr/>
      </w:pPr>
      <w:r>
        <w:rPr>
          <w:rFonts w:ascii="Amiri" w:hAnsi="Amiri" w:eastAsia="Amiri" w:cs="Amiri"/>
          <w:color w:val="111111"/>
          <w:sz w:val="28"/>
          <w:sz w:val="28"/>
          <w:szCs w:val="28"/>
          <w:rtl w:val="true"/>
          <w:lang w:bidi="ar-SA"/>
        </w:rPr>
        <w:t>جُبُنَّاً، وبذلك صرّح اللّغويون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الرّضاع من الموضوعات، ولا يعتبر في صدقه عند العرف بعض ما اعتبره الشارع الأقدس، ومع ذلك نرى أنّه لا يصدق ذلك عندهم لو شَرب الطفل لبن الحيوان بخلاف ما إذا مَصَّ من ثديه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التبادر، وصحّة السَّلب المذكورين، ولا أقلّ من الشكّ‌، فحيث أنّه حينئذٍ من قبيل الشكّ في صدق الموضوع، فلا مورد للتمسّك بالإطلاق الذي قدّمنا أنّه لو شكّ في دخل قيدٍ في الرّضاع المحرّم يبني على عدم الدخل، فإنّ ذلك بعد فرض صدق الموضوع عرفاً، وفي المقام يكون ذلك مشكوكاً فيه، ويؤيّده ما ورد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ارتضع من ثَدي واحد سنة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من الرّضاع إلّاما ارتضعا من ثدي واحدٍحولين كاملين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تقدّم في توجيه الخبرين بما لا ينافي المُجمَع عليه، بجعل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ظرفاً، وقراءة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بتشديد النون، والإضافة إلى ضميرٍ راجع إلى الإرضاع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جعلناهما مؤيّدين نظراً إلى إمكان أنْ يُقال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ظاهراً في الامتصاص، لصدقه مع كون اللّبن منه كيفما شُرب، سيّما إذا كان بنحو الوجور، وإنْ كان بعيداً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الثاني اعتبار اتّحاد المرضعة في نشر الحرمة بين المرتضعين، وعدم كفاية اتّحاد الفحل في ذلك، وهو مخالفٌ للإجماع</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دلّ على كفاية اتّحاد الفحل، وإنْ كان يمكن أنْ يُقال إنّه عامٌ يدلّ على عدم الاكتفاء باتّحاد الفحل بالعموم، فيقيّد إطلاقه بما دلّ على كفايته وبالإجماع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المحتمل بعيداً كون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للرجل المحذوف اُقيمت مقامه لا للثدي، فيكون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ارتضعا من ثَدي يكون مختصّاً برجلٍ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دفع احتمال الاكتفاء بالارتضاع من امرأتين، بأن يرتضع بعض الرّضاع المُحرِّم من إحداهما والباقي من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يؤيّد أصل الحكم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الصادق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حلبت من لبنها في مكوك</w:t>
      </w:r>
      <w:r>
        <w:rPr>
          <w:rStyle w:val="FootnoteAnchor"/>
          <w:rtl w:val="true"/>
        </w:rPr>
        <w:footnoteReference w:id="578"/>
      </w:r>
      <w:r>
        <w:rPr>
          <w:rFonts w:ascii="Amiri" w:hAnsi="Amiri" w:eastAsia="Amiri" w:cs="Amiri"/>
          <w:color w:val="111111"/>
          <w:sz w:val="28"/>
          <w:sz w:val="28"/>
          <w:szCs w:val="28"/>
          <w:rtl w:val="true"/>
          <w:lang w:bidi="ar-SA"/>
        </w:rPr>
        <w:t>فاسقته جاريتي‌؟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اوجع امرأتك، وعليك بجاريتك</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حَلبت من لبنها، فأسقت زوجها لتحرُم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وأوجع ظهرها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 بترك الاستفصال عامّان للرّجل والجارية الصغيرين دون الحولين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نَشر الوجور الحرمة لخُصّ بقاء الزوجيّة فيهما بما إذا وقع الوجور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إطلاقهما أنّ ظاهر السؤال هو السؤال عن أنّ هذا القسم من شُرب اللّبن، هل يحرّم أم لا، ولا نظر له إلى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بصدق الرّضاع على الوجور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وبتنقيح المناط، فإنّ العلّة الموجبة للتحريم هي إنبات اللّحم وشَدّ العظم، كما يظهر من غير واحدٍ من الأخبار، وهما يتحقّقان بغير الامتصاص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الصدوق،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وجور الصَّبي بمنزلة الرّضاع</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أوجر الصّبي أو أسعط باللبن فهو 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منع كون العلّة التامّة هو الإنبات، فكما أنّ للولادة والحمل وما شاكلّ مدخليّة في الحكم، يمكن أنْ يكون للامتصاص من الثدي أيضاً دخلٌ فيه، وعلّية الإنبات ليست منصوصة، وتعليل عدم التحريم في بعض النصوص بعدم الإنبات، لا يدلّ على تعليل التحريم بالإنبات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 عليه بضعف السند، ومعارضته مع النصوص المتقدّمة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الصدوق يَنسب هذا الخبر إلى المعصوم عليه السلام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جزماً، وقد مرّ غير مرّة أنّ هذا النحو من المرسل إنْ كان مُرِسله ثقة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المرسل عليها، ولكنّه غير ظاهرٍ في عموم المنزلة، بل من الممكن أنْ يكون التنزيل بلحاظ الحرمة بعد الفطام، فلا حكومة له على ما أُخذ في الموضوع من الارتضاع من ثدي واحد، كما فيما تقدّم من النصوص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ضعيفان سنداً، والأصحاب أعرضوا عنهما، ومشتملان على ما يخالف الإجماع، وهو إلحاق الشُرب من الانف بالرّضاع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الرّضاع المحرّم الامتصاص من الثدي، ومع ذلك الاحتياط في خصوص الوجور لا ينبغي تركه</w:t>
      </w:r>
      <w:r>
        <w:rPr>
          <w:rFonts w:eastAsia="Amiri" w:cs="Amiri" w:ascii="Amiri" w:hAnsi="Amiri"/>
          <w:color w:val="111111"/>
          <w:sz w:val="28"/>
          <w:szCs w:val="28"/>
          <w:rtl w:val="true"/>
          <w:lang w:bidi="ar-SA"/>
        </w:rPr>
        <w:t>.</w:t>
      </w:r>
      <w:bookmarkStart w:id="114" w:name="pg11825_115901"/>
    </w:p>
    <w:p>
      <w:pPr>
        <w:pStyle w:val="BookText"/>
        <w:rPr/>
      </w:pPr>
      <w:bookmarkEnd w:id="114"/>
      <w:r>
        <w:rPr>
          <w:rFonts w:ascii="Amiri" w:hAnsi="Amiri" w:eastAsia="Amiri" w:cs="Amiri"/>
          <w:color w:val="111111"/>
          <w:sz w:val="28"/>
          <w:sz w:val="28"/>
          <w:szCs w:val="28"/>
          <w:rtl w:val="true"/>
          <w:lang w:bidi="ar-SA"/>
        </w:rPr>
        <w:t>لا يفصلُ بينها رضاعٌ أُخرى‌</w:t>
      </w:r>
    </w:p>
    <w:p>
      <w:pPr>
        <w:pStyle w:val="Heading2"/>
        <w:numPr>
          <w:ilvl w:val="1"/>
          <w:numId w:val="1"/>
        </w:numPr>
        <w:rPr/>
      </w:pPr>
      <w:bookmarkStart w:id="115" w:name="__RefHeading___Toc11056802_73709187"/>
      <w:bookmarkStart w:id="116" w:name="_Toc38"/>
      <w:bookmarkEnd w:id="115"/>
      <w:r>
        <w:rPr>
          <w:rtl w:val="true"/>
        </w:rPr>
        <w:t>اعتبار توالي الرَّضعات</w:t>
      </w:r>
      <w:bookmarkEnd w:id="116"/>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يفصل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الرّضعات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التقدير العددي،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وصرّح به الأكثر في الزماني، وعلى الأظهر في التقدير الأثري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التقدير العددي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لاعتبار عدم الفصل فيه موثّق زياد بن سوقة المتقدّم،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الرّضاع أقلّ من يومٍوليلة، أو خمس عشرة رضعة متواليات، من امرأةٍ واحدة، من فحلٍ واحد، لم يفصل بينها رضعة امرأةٍ غيرها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موثّق عمر بن يزيد المتقدّم، المتضمّن لأنّ الرضعات إذا كانت متفرّقات لا تُحرّم، ونحوه خبر مَسعدة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رضع من واحدة بعض العدد، ثمّ رضع من أُخرى‌، بطل حكم الأُولى وإنْ‌ </w:t>
      </w:r>
    </w:p>
    <w:p>
      <w:pPr>
        <w:pStyle w:val="BookText"/>
        <w:rPr/>
      </w:pPr>
      <w:r>
        <w:rPr>
          <w:rFonts w:ascii="Amiri" w:hAnsi="Amiri" w:eastAsia="Amiri" w:cs="Amiri"/>
          <w:color w:val="111111"/>
          <w:sz w:val="28"/>
          <w:sz w:val="28"/>
          <w:szCs w:val="28"/>
          <w:rtl w:val="true"/>
          <w:lang w:bidi="ar-SA"/>
        </w:rPr>
        <w:t>أكملته بعد ذلك، وكذا لو تناوب عليه عِدّة نساء لم تنشر الحرمة، وإنْ كُنَّ لرجلٍ واحد، ما لم يكمل من واحدةٍ منهنّ بالخصوص خمس عشرة رضعة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القادح في التوالي هو مسمّى رضاع امرأةٍ أُخرى‌،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 وظاهر المتن،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 xml:space="preserve">، والمحكيّ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إطلاق الأصحاب</w:t>
      </w:r>
      <w:r>
        <w:rPr>
          <w:rStyle w:val="FootnoteAnchor"/>
          <w:rtl w:val="true"/>
        </w:rPr>
        <w:footnoteReference w:id="59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العمل عليه</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الرضعة الكاملة، فلا يقدح فيه حينئذٍ الناقصة،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وقوّاه الشيخ الأعظم قدس سره</w:t>
      </w:r>
      <w:r>
        <w:rPr>
          <w:rStyle w:val="FootnoteAnchor"/>
          <w:rtl w:val="true"/>
        </w:rPr>
        <w:footnoteReference w:id="59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زياد، الذي هو الأصل في هذا الحكم في ذلك، خصوصاً بعد ملاحظة إرادة الكاملة منها في ضمن الخمس عشرة، لظهور اتّحاد المراد منها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يصدق التوالي التي قيّدت الرّضعات به في الموثّق عرفاً إلّامع عدم فصل مسمّى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وبصدق التفرّق الذي جُعل قادحاً ومانعاً في الخبرين الآخرين، مع تخلّل الرّضعة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التوالي قد فُسّر في الموثّق بأنْ لا يفصل بين الرضعات رضعة امرأةٍ أُخرى الظاهرة في الكاملة، ومن الواضح أنّ ظهور الشرح مقدّمٌ على ظهور المشروح، لكونه قرينة عليه، ومنع كونه تفسيراً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يدلّان على أنّ عشر رضعات إذا كانت متفرّقة لا تُحرّم، ومفهومهما أنّها إذا لم تكن متفرّقة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المفهوم فقد مرّ عدم العمل به، وأنّ نصوص التحريم بالعشر لابدّ وأن تُطرح، والمنطوق لا يدلّ على أنّ الخمس عشرة إذا كانت متفرّقة كذلك،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فصل الرضعة الناقصة لا يقدح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تخلّل غير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المأكول والمشروب، فلا يقدح، ولا يكون مانعاً عن نشر الحرمة،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وغيرها</w:t>
      </w:r>
      <w:r>
        <w:rPr>
          <w:rStyle w:val="FootnoteAnchor"/>
          <w:rtl w:val="true"/>
        </w:rPr>
        <w:footnoteReference w:id="60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القطع بعدم قطع تخلّل غير الرّضاع في التوالي</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لأنّ التوالي المعتبر قد فُسِّر في الموثّق بأنْ لا يفصل بين الرضعات رضاعُ امرأةٍ أُخرى‌، فلا دليل على قدحه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للقدح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العدد كاشفٌ عن الإنبات، فلو تخلّل الأكل على وجهٍ يعلم عدم الإنبات بالخمسة عشر المتخلّلة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اتّفق الفصل بين كلّ رضعتين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كاشفاً،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التخلّل به ينافي التوالي المعتبر في الرضعات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التفرّق معه، وقد جُعل مانعاً عن النشر في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الدليل كما تقدّم كون العدد سبباً مستقلّاً لا كاشفاً، مع أنّ العدد المزبور كاشفٌ شرعاً، ويمكن أنْ يكون الشارع قد لاحظ الكشف في أغلب أفراده وجعله علامةً دائماً محافظةً على ضبط الشرع،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تفسير التوالي بعدم تخلّل رضاعٍ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مفهوم الخبرين ساقطٌ، ومنطوقهما لا يدلّ على المقام، مع أنّ التفرّق إنّما يصدق إذا تخلّل بينها من جنسها، وإلّا فيتوقّف حصول التعدّد على تخلّل شيء ظاهر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قدح تخلّله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التقدير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الظاهر من دليل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موثّق زياد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تغلبة الطفل في المدّة المذكورة بلبن امرأة معيّنة، غاية الأمر بما يتعارف في رضاع الطفل، فلا يقدح اليسير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تخلّل رضعةٌ أُخرى‌، أو أكل أو شرب غير الماء، يكون مانعاً عن تحقّق ما هو الموضوع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نشر الحرمة في التقدير الزماني التوالي وعدم التخلّل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التقدير بالأثر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عند بيان أصل التقدير اعتبار عدم التخلّل فيه أيضاً، فراجع</w:t>
      </w:r>
      <w:r>
        <w:rPr>
          <w:rFonts w:eastAsia="Amiri" w:cs="Amiri" w:ascii="Amiri" w:hAnsi="Amiri"/>
          <w:color w:val="111111"/>
          <w:sz w:val="28"/>
          <w:szCs w:val="28"/>
          <w:rtl w:val="true"/>
          <w:lang w:bidi="ar-SA"/>
        </w:rPr>
        <w:t>.</w:t>
      </w:r>
      <w:bookmarkStart w:id="117" w:name="pg11825_115906"/>
    </w:p>
    <w:p>
      <w:pPr>
        <w:pStyle w:val="BookText"/>
        <w:rPr/>
      </w:pPr>
      <w:bookmarkEnd w:id="117"/>
      <w:r>
        <w:rPr>
          <w:rFonts w:ascii="Amiri" w:hAnsi="Amiri" w:eastAsia="Amiri" w:cs="Amiri"/>
          <w:color w:val="111111"/>
          <w:sz w:val="28"/>
          <w:sz w:val="28"/>
          <w:szCs w:val="28"/>
          <w:rtl w:val="true"/>
          <w:lang w:bidi="ar-SA"/>
        </w:rPr>
        <w:t>وأنْ يكون في الحولين بالنسبة إلى المُرتَضع،</w:t>
      </w:r>
    </w:p>
    <w:p>
      <w:pPr>
        <w:pStyle w:val="Heading2"/>
        <w:numPr>
          <w:ilvl w:val="1"/>
          <w:numId w:val="1"/>
        </w:numPr>
        <w:rPr/>
      </w:pPr>
      <w:bookmarkStart w:id="118" w:name="__RefHeading___Toc11056804_73709187"/>
      <w:bookmarkStart w:id="119" w:name="_Toc39"/>
      <w:bookmarkEnd w:id="118"/>
      <w:r>
        <w:rPr>
          <w:rtl w:val="true"/>
        </w:rPr>
        <w:t>اعتبار كون الرّضاع في الحولين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الحولين بالنسبة إلى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استكمالهما، فلا عبرة برضاعه بعدهما، إجماعاً محقّقاً ومحكيّاً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ونكت الشهيد</w:t>
      </w:r>
      <w:r>
        <w:rPr>
          <w:rStyle w:val="FootnoteAnchor"/>
          <w:rtl w:val="true"/>
        </w:rPr>
        <w:footnoteReference w:id="6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وشرح الصّيمري</w:t>
      </w:r>
      <w:r>
        <w:rPr>
          <w:rStyle w:val="FootnoteAnchor"/>
          <w:rtl w:val="true"/>
        </w:rPr>
        <w:footnoteReference w:id="614"/>
      </w:r>
      <w:r>
        <w:rPr>
          <w:rFonts w:ascii="Amiri" w:hAnsi="Amiri" w:eastAsia="Amiri" w:cs="Amiri"/>
          <w:color w:val="111111"/>
          <w:sz w:val="28"/>
          <w:sz w:val="28"/>
          <w:szCs w:val="28"/>
          <w:rtl w:val="true"/>
          <w:lang w:bidi="ar-SA"/>
        </w:rPr>
        <w:t>وغيرهما</w:t>
      </w:r>
      <w:r>
        <w:rPr>
          <w:rStyle w:val="FootnoteAnchor"/>
          <w:rtl w:val="true"/>
        </w:rPr>
        <w:footnoteReference w:id="615"/>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واعتباره مقطوعٌبه في كلام الأصحاب، مدّعى‌عليه الإجماع</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 المرويّ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صحيح منصور ابن حازم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انس بن محمّد، عن أبيه</w:t>
      </w:r>
      <w:r>
        <w:rPr>
          <w:rStyle w:val="FootnoteAnchor"/>
          <w:rtl w:val="true"/>
        </w:rPr>
        <w:footnoteReference w:id="620"/>
      </w:r>
      <w:r>
        <w:rPr>
          <w:rFonts w:ascii="Amiri" w:hAnsi="Amiri" w:eastAsia="Amiri" w:cs="Amiri"/>
          <w:color w:val="111111"/>
          <w:sz w:val="28"/>
          <w:sz w:val="28"/>
          <w:szCs w:val="28"/>
          <w:rtl w:val="true"/>
          <w:lang w:bidi="ar-SA"/>
        </w:rPr>
        <w:t>، ومرسل المفيد</w:t>
      </w:r>
      <w:r>
        <w:rPr>
          <w:rStyle w:val="FootnoteAnchor"/>
          <w:rtl w:val="true"/>
        </w:rPr>
        <w:footnoteReference w:id="621"/>
      </w:r>
      <w:r>
        <w:rPr>
          <w:rFonts w:ascii="Amiri" w:hAnsi="Amiri" w:eastAsia="Amiri" w:cs="Amiri"/>
          <w:color w:val="111111"/>
          <w:sz w:val="28"/>
          <w:sz w:val="28"/>
          <w:szCs w:val="28"/>
          <w:rtl w:val="true"/>
          <w:lang w:bidi="ar-SA"/>
        </w:rPr>
        <w:t>وغيرها، وعين هذه الجملة مرويّة عن الإمام الصادق عليه السلام في صحيح الحلبي</w:t>
      </w:r>
      <w:r>
        <w:rPr>
          <w:rStyle w:val="FootnoteAnchor"/>
          <w:rtl w:val="true"/>
        </w:rPr>
        <w:footnoteReference w:id="622"/>
      </w:r>
      <w:r>
        <w:rPr>
          <w:rFonts w:ascii="IRNazanin" w:hAnsi="IRNazanin" w:eastAsia="IRNazanin"/>
          <w:color w:val="111111"/>
          <w:sz w:val="28"/>
          <w:sz w:val="28"/>
          <w:szCs w:val="28"/>
          <w:rtl w:val="true"/>
          <w:lang w:bidi="fa-IR"/>
        </w:rPr>
        <w:t>، وخبر حمّاد بن عثمان</w:t>
      </w:r>
      <w:r>
        <w:rPr>
          <w:rStyle w:val="FootnoteAnchor"/>
          <w:rtl w:val="true"/>
        </w:rPr>
        <w:footnoteReference w:id="623"/>
      </w:r>
      <w:r>
        <w:rPr>
          <w:rFonts w:ascii="Amiri" w:hAnsi="Amiri" w:eastAsia="Amiri" w:cs="Amiri"/>
          <w:color w:val="111111"/>
          <w:sz w:val="28"/>
          <w:sz w:val="28"/>
          <w:szCs w:val="28"/>
          <w:rtl w:val="true"/>
          <w:lang w:bidi="ar-SA"/>
        </w:rPr>
        <w:t xml:space="preserve">، ومعنى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رضع حولين كاملين ثُمّ شَرب من امرأةٍ أُخرى ما شرب، لم يحرم الرّضاع، لأنّه رضاعٌ بعد فطام، أي بعد بلوغ سِنّ الفطام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الفطام‌؟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الحولين الذين قال اللّه عزّ وجلّ‌</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أُوردعلى الاستدلال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بأنّهذه الجملة مجملة من وجهين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الحولين، حيث إنّه يحتمل أنْ يكون بالنسبة إلى المرتضع، ويحتمل أنْ يكون بالنسبة إلى ولد المرضعة، ولا يفيدُ تفسيره بالأوّل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حجيّة قولهما مع احتمال غيره بحسب اللّغة، سيّما مع معارضته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بتفسيره بالثاني في كلام ابن بُكير، كما نقله في التهذيبين</w:t>
      </w:r>
      <w:r>
        <w:rPr>
          <w:rStyle w:val="FootnoteAnchor"/>
          <w:rtl w:val="true"/>
        </w:rPr>
        <w:footnoteReference w:id="626"/>
      </w:r>
      <w:r>
        <w:rPr>
          <w:rFonts w:ascii="Amiri" w:hAnsi="Amiri" w:eastAsia="Amiri" w:cs="Amiri"/>
          <w:color w:val="111111"/>
          <w:sz w:val="28"/>
          <w:sz w:val="28"/>
          <w:szCs w:val="28"/>
          <w:rtl w:val="true"/>
          <w:lang w:bidi="ar-SA"/>
        </w:rPr>
        <w:t>بسندٍ معتبر، ويظهر منهما ارتضائه أيضاً لذلك التفسير، وحمل جمعٍ من الأصحاب على ذلك بعض الأخبار المشترط لعدم الفطام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الرّضاع المنفيّ بعدهما، أو المثبت قبلهما، إذ بعد أن ليس المراد بالنفيّ نفيه حقيقةً ولا حقيقة شرعيّة، فمن الممكن أنْ يكون المراد نفي الرّضاع المجوّز، أو الوارد في الكتاب، أو غير ذلك من المجازات، وكذلك في الإثبات</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كونهما وصفين لواحدٍ، أي لا رضاع بالنسبة إلى صبيّ بعد فطامه، لا بعد فطام صبيٍّ آخر، وكلام ابن بُكير ككلام الكليني والصّدوق لا يكون حجّة في تعيين المفاهيم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نفيٌللرِّضاع حقيقةً‌عن عالم التشريع، ولا مجاز ولا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مقتضى إطلاقه أو ظهوره نفي محرّميّة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فالمتحصّل من النبويّ وما شاكله، هو أنّ الرّضاع الواقع بعد زمان الفطام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وما يقع قبله يُحرّم، فلا عبرة بنفس الفطام، حتّى أنّه لو لم يفطم الصّبي إلى أن تجاوز الحولين، ثمّ ارتضع بعدها قبل الفطام لم يثبت التحريم، كما أنّه لو فطم قبل الحولين ثمّ ارتضع قبلهما ثبت التحريم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رضع بعد الحولين قبل أنْ يفطم، يثبت التحريم</w:t>
      </w:r>
      <w:r>
        <w:rPr>
          <w:rStyle w:val="FootnoteAnchor"/>
          <w:rtl w:val="true"/>
        </w:rPr>
        <w:footnoteReference w:id="628"/>
      </w:r>
      <w:r>
        <w:rPr>
          <w:rFonts w:ascii="IRNazanin" w:hAnsi="IRNazanin" w:eastAsia="IRNazanin"/>
          <w:color w:val="111111"/>
          <w:sz w:val="28"/>
          <w:sz w:val="28"/>
          <w:szCs w:val="28"/>
          <w:rtl w:val="true"/>
          <w:lang w:bidi="fa-IR"/>
        </w:rPr>
        <w:t>، فهو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مخالفٌ في الحكم الأوّل، ويشهد له خبر داود بن الحُصين،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الحولين قبل أنْ يفطم محرّم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رماه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بالشذوذ، وحَمَله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على ما حُكي، وعن الشهيد رحمه الله أنّ هذه الفتوى مسبوقة بالإجماع وملحوقة به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عليفرض تسليم صحّة سنده، لإعراض الأصحاب عنه، ومعارضته بالنصوص الاُخر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التحريم، إذا ارتضع قبل الحولين وبعد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النسبة تأمّلٌ‌، إذ لم يفتِ إلّابمضمون النبويّ‌،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يُحرّم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استدلّ 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البقباق،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بأنّ‌المراد قبل أنْيستحقّ الفَطم</w:t>
      </w:r>
      <w:r>
        <w:rPr>
          <w:rStyle w:val="FootnoteAnchor"/>
          <w:rtl w:val="true"/>
        </w:rPr>
        <w:footnoteReference w:id="632"/>
      </w:r>
      <w:r>
        <w:rPr>
          <w:rFonts w:ascii="Amiri" w:hAnsi="Amiri" w:eastAsia="Amiri" w:cs="Amiri"/>
          <w:color w:val="111111"/>
          <w:sz w:val="28"/>
          <w:sz w:val="28"/>
          <w:szCs w:val="28"/>
          <w:rtl w:val="true"/>
          <w:lang w:bidi="ar-SA"/>
        </w:rPr>
        <w:t>، واستحسنه الشيخ الأعظم رحمه الله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خلافُ الظاهر، إذ ظاهر أخذ كلّ عنوانٍ في الموضوع، دخله فيه في نفسه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يقع التعارض بين ظهور خبر حمّاد في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0" w:name="pg11825_115910"/>
    </w:p>
    <w:p>
      <w:pPr>
        <w:pStyle w:val="BookText"/>
        <w:rPr/>
      </w:pPr>
      <w:bookmarkEnd w:id="120"/>
      <w:r>
        <w:rPr>
          <w:rFonts w:ascii="Amiri" w:hAnsi="Amiri" w:eastAsia="Amiri" w:cs="Amiri"/>
          <w:color w:val="111111"/>
          <w:sz w:val="28"/>
          <w:sz w:val="28"/>
          <w:szCs w:val="28"/>
          <w:rtl w:val="true"/>
          <w:lang w:bidi="ar-SA"/>
        </w:rPr>
        <w:t>المراد بالفطام هو الحولين، وظهور خبر البقباق في أنّ المراد نفسه في مقابل الحولين، فيجبُ الرجوع حينئذٍ إلى إطلاق صحيح بُريد، القاضي بنفي اعتبار الفطام بنفسه في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بينهما، فإنّ خبر حمّاد يُفسّر الفطام بالحولين، وهذا الخبر متضمّنٌ لاعتبار أنْ يكون الرّضاع قبل أنْ يفطم زائداً على اعتبار كونه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الإنصاف عدم خلوّ اعتبار ذلك عن قوّة، إنْ لم يقم إجماع، ضرورة كونه هو مقتضى قواعد الجمع بين الإطلاق والتقييد، وأصالة التأسيس، وظهور الفِطام في الفعليّ منه لا سِنّه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1056806_73709187"/>
      <w:bookmarkStart w:id="122" w:name="_Toc40"/>
      <w:bookmarkEnd w:id="121"/>
      <w:r>
        <w:rPr>
          <w:rtl w:val="true"/>
        </w:rPr>
        <w:t>عدم اعتبار كون الرّضاع قبل فطام ولد المرضعة</w:t>
      </w:r>
      <w:bookmarkEnd w:id="1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الحلبي</w:t>
      </w:r>
      <w:r>
        <w:rPr>
          <w:rStyle w:val="FootnoteAnchor"/>
          <w:rtl w:val="true"/>
        </w:rPr>
        <w:footnoteReference w:id="635"/>
      </w:r>
      <w:r>
        <w:rPr>
          <w:rFonts w:ascii="Amiri" w:hAnsi="Amiri" w:eastAsia="Amiri" w:cs="Amiri"/>
          <w:color w:val="111111"/>
          <w:sz w:val="28"/>
          <w:sz w:val="28"/>
          <w:szCs w:val="28"/>
          <w:rtl w:val="true"/>
          <w:lang w:bidi="ar-SA"/>
        </w:rPr>
        <w:t>، وابنا زُهرة</w:t>
      </w:r>
      <w:r>
        <w:rPr>
          <w:rStyle w:val="FootnoteAnchor"/>
          <w:rtl w:val="true"/>
        </w:rPr>
        <w:footnoteReference w:id="636"/>
      </w:r>
      <w:r>
        <w:rPr>
          <w:rFonts w:ascii="Amiri" w:hAnsi="Amiri" w:eastAsia="Amiri" w:cs="Amiri"/>
          <w:color w:val="111111"/>
          <w:sz w:val="28"/>
          <w:sz w:val="28"/>
          <w:szCs w:val="28"/>
          <w:rtl w:val="true"/>
          <w:lang w:bidi="ar-SA"/>
        </w:rPr>
        <w:t>وحمزة</w:t>
      </w:r>
      <w:r>
        <w:rPr>
          <w:rStyle w:val="FootnoteAnchor"/>
          <w:rtl w:val="true"/>
        </w:rPr>
        <w:footnoteReference w:id="637"/>
      </w:r>
      <w:r>
        <w:rPr>
          <w:rFonts w:ascii="Amiri" w:hAnsi="Amiri" w:eastAsia="Amiri" w:cs="Amiri"/>
          <w:color w:val="111111"/>
          <w:sz w:val="28"/>
          <w:sz w:val="28"/>
          <w:szCs w:val="28"/>
          <w:rtl w:val="true"/>
          <w:lang w:bidi="ar-SA"/>
        </w:rPr>
        <w:t>، اعتبار أنْ يكون الرّضاع قبل فطام ولد المرضعة أيضاً، فإذا ارتضع قبل فطام المرتضع، وبعد فطام ولد المرضعة، لا يحرم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638"/>
      </w:r>
      <w:r>
        <w:rPr>
          <w:rFonts w:ascii="Amiri" w:hAnsi="Amiri" w:eastAsia="Amiri" w:cs="Amiri"/>
          <w:color w:val="111111"/>
          <w:sz w:val="28"/>
          <w:sz w:val="28"/>
          <w:szCs w:val="28"/>
          <w:rtl w:val="true"/>
          <w:lang w:bidi="ar-SA"/>
        </w:rPr>
        <w:t>، والمصنّف</w:t>
      </w:r>
      <w:r>
        <w:rPr>
          <w:rStyle w:val="FootnoteAnchor"/>
          <w:rtl w:val="true"/>
        </w:rPr>
        <w:footnoteReference w:id="639"/>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وفي ولد المُرضِعة قولان</w:t>
      </w:r>
    </w:p>
    <w:p>
      <w:pPr>
        <w:pStyle w:val="BookText"/>
        <w:rPr/>
      </w:pPr>
      <w:r>
        <w:rPr>
          <w:rFonts w:ascii="Amiri" w:hAnsi="Amiri" w:eastAsia="Amiri" w:cs="Amiri"/>
          <w:color w:val="111111"/>
          <w:sz w:val="28"/>
          <w:sz w:val="28"/>
          <w:szCs w:val="28"/>
          <w:rtl w:val="true"/>
          <w:lang w:bidi="ar-SA"/>
        </w:rPr>
        <w:t>والشهيدين</w:t>
      </w:r>
      <w:r>
        <w:rPr>
          <w:rStyle w:val="FootnoteAnchor"/>
          <w:rtl w:val="true"/>
        </w:rPr>
        <w:footnoteReference w:id="641"/>
      </w:r>
      <w:r>
        <w:rPr>
          <w:rFonts w:ascii="IRNazanin" w:hAnsi="IRNazanin" w:eastAsia="IRNazanin"/>
          <w:color w:val="111111"/>
          <w:sz w:val="28"/>
          <w:sz w:val="28"/>
          <w:szCs w:val="28"/>
          <w:rtl w:val="true"/>
          <w:lang w:bidi="fa-IR"/>
        </w:rPr>
        <w:t>، وفخر الإسلام</w:t>
      </w:r>
      <w:r>
        <w:rPr>
          <w:rStyle w:val="FootnoteAnchor"/>
          <w:rtl w:val="true"/>
        </w:rPr>
        <w:footnoteReference w:id="642"/>
      </w:r>
      <w:r>
        <w:rPr>
          <w:rFonts w:ascii="Amiri" w:hAnsi="Amiri" w:eastAsia="Amiri" w:cs="Amiri"/>
          <w:color w:val="111111"/>
          <w:sz w:val="28"/>
          <w:sz w:val="28"/>
          <w:szCs w:val="28"/>
          <w:rtl w:val="true"/>
          <w:lang w:bidi="ar-SA"/>
        </w:rPr>
        <w:t>وغيرهم</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بل ربما نُسب</w:t>
      </w:r>
      <w:r>
        <w:rPr>
          <w:rStyle w:val="FootnoteAnchor"/>
          <w:rtl w:val="true"/>
        </w:rPr>
        <w:footnoteReference w:id="644"/>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 رحمه الله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ولد المُرضعة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فمستند القول الثاني إطلاق الأدلّة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وأخبار الحولين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ابن بُكير في تفسير النبويّ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للغلام سنتان أو الجارية، فقد خرج من حَدّ اللّبن، ولا يفسد بينه وبين من شَرب من لبنه،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يقولون إنّها لا تُفسد إلّاأنْ يكون الصّبي والصبيّة يشربان شَربةً 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من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بما مرّ من أنّ الظاهر من النبويّ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 فطام من لا رضاع له وهو المرتضع، وأمّا إرادة فطام غيره خاصّة، أو بالإطلاق، فهي خلاف الظاهر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ولوفرض الشكّفيماذكرناه، فغايته الإجمال، والمتيقّن هوفطام خصوص المرتضع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ما في أخبار الحولين، أضف إليه أنّه قد وقع الحولان في الأخبار تفسيراً للفطام، الذي عرفت ظهوره في فطام المرتضع، فالمراد منه لا محالة حولاً رضاع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ذلك، حيث أنّ إرادة حولي المرتضع متيقّنة للإجماع وغيره، وإرادة حولي ولد المرضعة مشكوك فيها، فلابدّ من الرجوع بالنسبة إليه إلى أدلّة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فهم ابن بُكير علينا، ومعارضته بفهم الشيخ الكليني والصدوق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فالمنقول منه غير حجّة، لا سيّما مع ذهاب جمعٍ كثير من الأساطين إلى خلافه، بل نُسب إلى الأكثر، أضف إليه معلوميّة مدرك المُجمعين،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كون الرّضاع في حولي ولد المرضعة، فلو مضى لولدها أكثر من حولين، ثمّ أرضعت من له دون الحولين،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رضع العدد إلّارضعة، فتمّ الحولان للمرتضع، ثمّ أكمله بعدهما، لم يَنشر الحرمة، لتحقّق الفطام، وكذا لو كمل الحولان ولم يرو من الأخيرة، لعدم صدق تمام العدد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الرضعة مع تمام الحولين للمرتضع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يحرّم لأنّ المنفيّ في النصوص الرّضاع بعد الفطام‌؟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يحرّم، لأنّ في صحيح البقباق المتقدّم الرِّضاع قبل الحولين‌؟ </w:t>
      </w:r>
    </w:p>
    <w:p>
      <w:pPr>
        <w:pStyle w:val="BookText"/>
        <w:rPr/>
      </w:pPr>
      <w:r>
        <w:rPr>
          <w:rFonts w:ascii="Amiri" w:hAnsi="Amiri" w:eastAsia="Amiri" w:cs="Amiri"/>
          <w:color w:val="111111"/>
          <w:sz w:val="28"/>
          <w:sz w:val="28"/>
          <w:szCs w:val="28"/>
          <w:rtl w:val="true"/>
          <w:lang w:bidi="ar-SA"/>
        </w:rPr>
        <w:t>وجهان أظهرهما الأوّل، لأنّه يمكن أنْ يكون المراد من الصحيح قبل تجاوز الحولين، لا قبل تمامهما، فلا صارف عن 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كونه في الحولين</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بالحِلّ‌، لأنّ الشكّ في الشرط شكٌّ في المشروط، فيبقى أصل الإباحة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استصحاب بقاء كونه في الحولين، وعدم تجاوزهما، البناء على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استصحاب عدم الرّضاع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به عدم تحقّق موضوع الحرمة، فهو محكومٌ بالتحقّق بضمّ الوجدان إلى الأصل، إذ الرّضاع وجدانيٌّ‌، وعدم تماميّة حولي المرتضع محرزٌ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عدم اقتران الرّضاع بالحولين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الاقتران والاجتماع موضوع الحكم، بل تمام الموضوع هو ذوات القيدين، أي الرّضاع وكون المرتضع في حولي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الحكم بالحرمة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بالحول هو القمري لا الشمسي، لأنّه المتداول عند العرب في عصرهم عليهم السلام ومستمرٌّ إلى يومنا هذا، فالمعتبر في الحولين الأهلّة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انكسر الشهر الأوّل، بأن كان الشروع في الارتضاع من يوم العاشر من الشهر مثلاً، اعتبر ثلاثة وعشرون شهراً بعد المنكسر بالأهلّة، وإكمال المنكسر من الشهر الخامس والعشرين كغيره من الآجال على ما تقدّم في التقدير الزماني للرِّضاع</w:t>
      </w:r>
      <w:r>
        <w:rPr>
          <w:rFonts w:eastAsia="Amiri" w:cs="Amiri" w:ascii="Amiri" w:hAnsi="Amiri"/>
          <w:color w:val="111111"/>
          <w:sz w:val="28"/>
          <w:szCs w:val="28"/>
          <w:rtl w:val="true"/>
          <w:lang w:bidi="ar-SA"/>
        </w:rPr>
        <w:t>.</w:t>
      </w:r>
      <w:bookmarkStart w:id="123" w:name="pg11825_115915"/>
    </w:p>
    <w:p>
      <w:pPr>
        <w:pStyle w:val="BookText"/>
        <w:rPr/>
      </w:pPr>
      <w:bookmarkEnd w:id="123"/>
      <w:r>
        <w:rPr>
          <w:rFonts w:ascii="Amiri" w:hAnsi="Amiri" w:eastAsia="Amiri" w:cs="Amiri"/>
          <w:color w:val="111111"/>
          <w:sz w:val="28"/>
          <w:sz w:val="28"/>
          <w:szCs w:val="28"/>
          <w:rtl w:val="true"/>
          <w:lang w:bidi="ar-SA"/>
        </w:rPr>
        <w:t>وأنْ يكون اللّبن لفحلٍ واحدٍ، فلو أرضعت امرأتان صبيّين بلبنِ فحلٍ واحد، نَشَر الحرمة بينهما، ولو أرضعت امرأة صبيّين بلبنِ فحلين، لم يَنشُر الحرمة</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1056808_73709187"/>
      <w:bookmarkStart w:id="125" w:name="_Toc41"/>
      <w:bookmarkEnd w:id="124"/>
      <w:r>
        <w:rPr>
          <w:rtl w:val="true"/>
        </w:rPr>
        <w:t>اعتبار اتّحاد الفحل</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نشر الحرمة بالرّضاع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يرتضع المرتضعتان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لفحلٍ واحد، فلو أرضعت امرأتان صبيين بلبن فحل واحد نشر الحرمة بينهما، ولو أرضعت امرأة صبيّين بلبنِ فحلين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كلامه رحمه الله أنّ العبرة بالاُخوّة الرّضاعيّة من جهة الأب وهو الفَحل، ولا يكفي الاخوة من جهة الاُمّ خاصّة، وهذا هو المشهور بين الأصحاب شهرة عظيمة، بل الاكتفاء بالاُخوّة من ناحية الأب خاصّة إجماعي لم يخالف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الاكتفاء بها من ناحية الاُمّ خاصّة،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الشيخ الطبرسي</w:t>
      </w:r>
      <w:r>
        <w:rPr>
          <w:rStyle w:val="FootnoteAnchor"/>
          <w:rtl w:val="true"/>
        </w:rPr>
        <w:footnoteReference w:id="65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 ذلك، فاعتبر الأخوّة الرّضاعيّة من جهة الاُمّ‌، وحُكي عن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وشارحه</w:t>
      </w:r>
      <w:r>
        <w:rPr>
          <w:rStyle w:val="FootnoteAnchor"/>
          <w:rtl w:val="true"/>
        </w:rPr>
        <w:footnoteReference w:id="653"/>
      </w:r>
      <w:r>
        <w:rPr>
          <w:rFonts w:ascii="Amiri" w:hAnsi="Amiri" w:eastAsia="Amiri" w:cs="Amiri"/>
          <w:color w:val="111111"/>
          <w:sz w:val="28"/>
          <w:sz w:val="28"/>
          <w:szCs w:val="28"/>
          <w:rtl w:val="true"/>
          <w:lang w:bidi="ar-SA"/>
        </w:rPr>
        <w:t xml:space="preserve">، واستجوده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فها هنا مطلبان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اتّحادالفحل، وأنّه لاتكفي الاُخوّة الرّضاعيّة من جهة الاُمّ‌، وقد عرفت أنّ المشهور بين الأصحاب اعتباره، ويشهد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يرضع من امرأةٍ وهو غلام، أيحلّ له أن يتزوّج اُختها لاُمّها من الرّضاعة‌؟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يحلّ‌، وإنْ كانت المرأتان رضعتا من امرأةٍ واحدةٍ من لبن فحلين فلا بأس بذلك</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غلامٍ رضع من امرأةٍ‌، أيحلّ له أن يتزوّج اُختها لأبيها من الرّضاعة‌؟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اُختها لاُمّها من الرّضاعة‌؟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ظهورهما في اعتبار اتّحاد المرضعة الذي ليس معتبراً بالإجماع، لما يأتي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بصحيح العِجلي،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فسِّر لي 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امرأةٍ أرضعت من لبن فحلين، كانا لها واحداً بعد واحد، من جاريةٍ أو غلام، فإنّ ذلك رضاعٌ ليس بالرّضاع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وإنّما هو نُسب من ناحية الصِّهر رضاع، ولا يحرّم شيئاً، وليس هو سببُ رضاعٍ من ناحية لبن الفحولة فيحرم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حالاً للفحلين، بل هو 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جاريةٍ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ظاهر، لاحتمال كونه حالاً من فحلين، والمفعول مقدّراً يدلّ عليه ذكره سابقاً،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جاريةٍ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له، فيكون مفاده حينئذٍ أنّه يعتبر أنْ يكون القدر المحرّم من اللّبن لفحلٍ واحد، فلو أرضعت المرأة من لبن فحلٍ نصف المقدار المحرّم، وأرضعت من لبن فحلٍ آخر نصفه الآخر لم يحرم، وهو غير مربوط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 شيئاً، وليس هو سببُ رضاعٍ من ناحية الفحولة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الاحتمال المذكور في وجه الاستدلال لا يصحّ النفي بقول مطلق كما لا يخفى‌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 بصحيح مالك بن عطيّة،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فتلد منه، ثمّ ترضع من لبنه جاريةً‌، يصلح لولده من غيرها أن يتزوّج تلك الجارية التي أرضعتها؟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بمنزلة الاُخت من الرِّضاعة، لأنّ اللّبن لفحلٍ واحد</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معناه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نظر، لأنّها تدلّ على أنّ الاشتراك في لبن الفحل الواحد يوجبُ التحريم، وهو المطلب الثاني، ولا تدلّ على انحصار جهة التحريم فيه، وأنّه لا يكفي الاُخوّة من ناحية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ولا ريب في كفاية الاُخوّة من أحد الأبوين في الحرمة من ناحية النسب، فكذلك من ناحية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محمّد بن عبيدة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الرّضاع‌؟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اللّبن للفحل حتّى جاءتهم الرواية عنك أنّك تُحرّم من الرّضاع ما يحرم من النسب فرجعوا إلى قولك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أمير المؤمنين 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وأنا أكره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أسألك عنها، ما قلتَ في رجلٍ كانت له اُمّهات أولاد شتّى‌، فأرضعت واحدة منهنّ بلبنها غلاماً غريباً، أليس كلّ شيء من ولد ذلك الرّجل من اُمّهات الأولاد الشتّى محرماً على ذلك الغلام‌؟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ولا يُحرّم من قِبل الاُمّهات، وإنّما الرّضاع من قِبل الاُمّهات وإنْ كان لبن الفحل أيضاً يحرّم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الأولين مطلقان يقيّد إطلاقهما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فضعيفُ السّند، لأنّ محمّد بن عُبيد ليس له ذكرٌ في الرِّجال فهو مجهولٌ‌، مع أنّه أيضاً أعمّ من النصوص المتقدّمة، من جهة شموله لأولاد المرضعة نسباً، ولا خلاف في تحريمهم على المرتضع، وإنْ تعدّد الفحل كما سيجيء،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سُلّم معارضته مع ما تقدّم، لا مجال لما توهّمه المحدِّث الكاشاني</w:t>
      </w:r>
      <w:r>
        <w:rPr>
          <w:rStyle w:val="FootnoteAnchor"/>
          <w:rtl w:val="true"/>
        </w:rPr>
        <w:footnoteReference w:id="662"/>
      </w:r>
      <w:r>
        <w:rPr>
          <w:rFonts w:ascii="Amiri" w:hAnsi="Amiri" w:eastAsia="Amiri" w:cs="Amiri"/>
          <w:color w:val="111111"/>
          <w:sz w:val="28"/>
          <w:sz w:val="28"/>
          <w:szCs w:val="28"/>
          <w:rtl w:val="true"/>
          <w:lang w:bidi="ar-SA"/>
        </w:rPr>
        <w:t>من تقديمه عليها بمخالفتها للكتاب، واحتمال حملها على التقيّة، إذ الترجيح بموافقة الكتاب ومخالفة العامّة إنّما يكون بعد فقد جملةٍ من المرجّحات من الشهرة وصفات الراوي، وهي تقتضي تقديم تلك النصوص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في نشر الحرمة باتّحاد الفحل، ولا يعتبر وحدة المرضعة، فتكفي الأخوّة من جانبِ الأب خاصّة في ثبوت التحريم، وقد عرفت أنّه إجماعي،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مالك المتقدّم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أرضعت جاريةً ولزوجها ابنٌ من غيرها، أيحلّ للغلام ابن زوجها أن يتزوّج الجارية التي أرضعت‌؟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امرأتان، فولدت كلّ واحدة منهما غلاماً، فانطلقت إحدى امرأتيه فأرضعت جاريةً من عرض النّاس، أينبغي لابنه أن يتزوّج بهذه الجارية‌؟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كون الحكم مُجمعاً عليه، لأمكن الخدشة في هذه النصوص، لأنّها بأجمعها واردة فيما كان أحدهما ولداً نَسَبيّاً، وتدلّ على عدم اعتبار وحدة المرضعة واُمّ الولد الآخر في اُخوّة ولده الرّضاعي لولده النَسَبي، ومحلّ الكلام هو الاُخوّة بين المرتضعين الذين يكونان كلاهما ولدين رضاعيّين للفحل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إطلاقها ولو بواسطة ما فيها من عموم العلّة، يقيّد بموثّق الساباطي المتقدّم في المطلب الأوّل، إلّاأنّ الظاهر منهم كون الحكم بنحو لا يمكن الخدشة فيه بوجهٍ‌، واللّه تعالى أعلم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فولدت منه جارية، ثمّ ماتت المرأة، فتزوّج أُخرى فولدت منه ولداً، ثمّ إنّها أرضعت من لبنها غلاماً، أيحلّ لذلك الغلام الذي أرضعته أن يتزوّج ابنة المرأة التي كانت تحت الرّجل قبل المرأة الأخيرة‌؟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6" w:name="pg11825_115921"/>
    </w:p>
    <w:p>
      <w:pPr>
        <w:pStyle w:val="BookText"/>
        <w:rPr/>
      </w:pPr>
      <w:bookmarkEnd w:id="126"/>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ماأحبُّ أن يتزوّج ابنة فحلٍ قد رضع من لبنه</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فلاينافي النصوص المتقدّمة، لعدم ظهور نفي المحبّة في عدم الحرمة، فيمكن أن يراد منه ما لا ينافيها</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1056810_73709187"/>
      <w:bookmarkStart w:id="128" w:name="_Toc42"/>
      <w:bookmarkEnd w:id="127"/>
      <w:r>
        <w:rPr>
          <w:rtl w:val="true"/>
        </w:rPr>
        <w:t>لا يعتبر اتّحاد الفحل إذا كان أحد الولدين نَسَبيّاً لها</w:t>
      </w:r>
      <w:bookmarkEnd w:id="128"/>
    </w:p>
    <w:p>
      <w:pPr>
        <w:pStyle w:val="BookText"/>
        <w:rPr/>
      </w:pP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عدم اعتبار اتّحاد المرضعة، إنّما هو في حرمة أحد المرتضعين على الآخر بعد حصول الحرمة لأحدهما مع المرضعة وصاحب لبنه، وأمّا في ثبوت الحرمة بين الرضيع والمرضعة وصاحب اللّبن، فلا ريب ولا خلاف في اعتبار وحدة المرضعة،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دعوى 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ويشهد به موثّق زياد بن سوقة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تبعاً للمشهور من اعتبار وحدة الفحل، وأنّه لا يكتفي باتّحاد المرضعة في حصول الاُخوّة بين المرتضعين، إنّما هو فيما إذا كانا كلاهما ولدين رضاعيّين للمرضعة، وأمّا إذا كان أحدهما ولداً نَسَبيّاً لها، فلا يعتبر في اُخوّة ولدها الرّضاعي لولدها النَسَبي اتّحاد الفحل، فلو أرضعت ولداً حرم عليه أولادها النسبيّة كلّهم، وإنْ كانوا من غير صاحب لبن المرتضع، وذلك للأدلّة التالية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الكتاب والسُّنة، بعد اختصاص دليل اعتبار وحدة الفحل بالولدين الرّضاعيين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الرّجل من لبن امرأةٍ حَرُم عليه كلّشيء من ولدها، وإنْكان الولد من غير الرّجل الذي كانت أرضعته بلبنه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مسلم، عن أبي جعفر أو أبي عبداللّه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رضع الغلام من نساءٍ شتّى‌، فكان ذلك عدّة أو نبت لحمهُ ودمُه حرم عليه بناتهنّ كلّهن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الأعظم قدس سره التوقّف في المسألة،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يظهر من بعض الأخبار اتّحاد الفحل هنا أيضاً، مثل صحيحة صفوان، عن أبي الحسن عليه السلام،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 اُمّي جاريةً بلبني‌؟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اُختك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لاخٍ لي من اُمّي لم ترضعها اُمّي بلبنه‌؟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أبوها واُمّك اُمّها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استفصال الإمام عليه السلام عن اتّحاد الفحل، مع تصريح السائل بكون الأخ ولد المرضعة نسباً، يدلّ على تغاير حكمه مع حكم صورة تعدّد الفحل</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يصرّح بكون الأخ ولداً نَسَبيّاً،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 لي من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تُرضعها اُمّي 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الأخ الرّضاعي، ولا أقلّ من المحتمل، إذ لو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9" w:name="pg11825_115923"/>
    </w:p>
    <w:p>
      <w:pPr>
        <w:pStyle w:val="BookText"/>
        <w:rPr/>
      </w:pPr>
      <w:bookmarkEnd w:id="129"/>
      <w:r>
        <w:rPr>
          <w:rFonts w:ascii="Amiri" w:hAnsi="Amiri" w:eastAsia="Amiri" w:cs="Amiri"/>
          <w:color w:val="111111"/>
          <w:sz w:val="28"/>
          <w:sz w:val="28"/>
          <w:szCs w:val="28"/>
          <w:rtl w:val="true"/>
          <w:lang w:bidi="ar-SA"/>
        </w:rPr>
        <w:t>كان المراد الأخ النَسَبي لكان القيد لغواً مستغنى عنه، لعدم اعتبار الرّضاع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قوله عليه السلام في الخبر على اتّحاد الفحل في هذه الصورة، مع أنّه لو سلّم دلالته على ذلك، لإعراض الأصحاب عنه ساقطٌ عن الحجيّة، أضف إليه معارضته لما هو أشهر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اضطراب المتن، فإنّ الوارد في بعض النسخ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أخي لأبي 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جواب الإمام عليه السلام، وإلّا فعلى ما ذكره الشيخ لا يكون الجواب مرتبطاً بالسؤال الثاني، بل هو جوابٌ عن السؤال الأوّل، كما لا يخفى على المتدبّر</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1056812_73709187"/>
      <w:bookmarkStart w:id="131" w:name="_Toc43"/>
      <w:bookmarkEnd w:id="130"/>
      <w:r>
        <w:rPr>
          <w:rtl w:val="true"/>
        </w:rPr>
        <w:t>عدم اعتبار اتّحاد الفحل في غير الإخوة</w:t>
      </w:r>
      <w:bookmarkEnd w:id="13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المرضعة من الرّضاع، أو اُختها منه، أو بنات أخيها منه، لا تحرمنْ على المرتضع، لأنّ الرّضاع الحاصل بين المرضعة والمرتضع بلبن فحل، والحاصل بينها وبين اُمّها أو اُختها أو أخيها بلبن فحلٍ آخر، فلم يتّحد الفحل، فلا نشر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وزاد على فروض القواعد عدم تحريم عمّة المرضعة وخالتها من الرّضاع على المرتضع، واستدلّ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الإجماع قائمٌ على اعتبار اتّحاد الفحل في محرّميّة الرّضاع، فلو كان لمن أرضعت صبيّاً أُمٌّ من الرّضاع، لم تحرم تلك الاُمّ‌، لأنّ نسبتها إليه بالجدودة إنّما تتحصّل من رضاعه من مرضعته ورضاع مُرضعته منها، ومعلومٌ أنّ اللّبن في الرّضاعين ليس لفحل واحد، فلا تثبت الجدودة بين المرتضع والاُمّ المذكورة، لانتفاء الشرط، فينتفي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التحريم عموم ما يدلّ على أنّه 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اعتبار اتّحاد الفحل خاصٌّ‌، فلا حجّة في العام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اعتبار اتّحاد الفحل المخصّص لعموم الكتاب والسُّنة، مختصٌّ بالرّضاع الموجب لاُخوّة المرتضعين، ولا إطلاق له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التصريح في صحيح الحلبي وموثّق عمّار المتقدّمين اللّذين هما دليل اعتبار اتّحاد الفحل كما مرّ، بحرمة اُخت المرضعة من الرّضاع على المرتضع، مع أنّه من المعلوم مغايرة فحل المرتضع لفحل اُخت المرضعة، وهو أحد الموارد التي حكم في الكتابين بعدم التحريم تفريعاً على تعدّد الفحل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علّل حرمة اُخت المرضعة على المرتضع في الموثّق بأنّ الاُختين ارضعتا بلبن فحلٍ واحد، فمفاد التعليل أنّه إذا تحقّقت الاُخوّة بينهما باتّحاد الفحل، كفى ذلك في حرمة كلّ منهما على فروع الآخر ولو من الرّضاع</w:t>
      </w:r>
      <w:r>
        <w:rPr>
          <w:rFonts w:eastAsia="Amiri" w:cs="Amiri" w:ascii="Amiri" w:hAnsi="Amiri"/>
          <w:color w:val="111111"/>
          <w:sz w:val="28"/>
          <w:szCs w:val="28"/>
          <w:rtl w:val="true"/>
          <w:lang w:bidi="ar-SA"/>
        </w:rPr>
        <w:t>.</w:t>
      </w:r>
      <w:bookmarkStart w:id="132" w:name="pg11825_115925"/>
    </w:p>
    <w:p>
      <w:pPr>
        <w:pStyle w:val="Heading2"/>
        <w:numPr>
          <w:ilvl w:val="1"/>
          <w:numId w:val="1"/>
        </w:numPr>
        <w:rPr/>
      </w:pPr>
      <w:bookmarkStart w:id="133" w:name="__RefHeading___Toc11056814_73709187"/>
      <w:bookmarkStart w:id="134" w:name="_Toc44"/>
      <w:bookmarkEnd w:id="132"/>
      <w:bookmarkEnd w:id="133"/>
      <w:r>
        <w:rPr>
          <w:rtl w:val="true"/>
        </w:rPr>
        <w:t>اعتبار حياة المرضعة في نشر الحرمة</w:t>
      </w:r>
      <w:bookmarkEnd w:id="1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من شرائط نشر الحرمة بالرّضاع أمرٌ واحد لم يتعرّض له المصنّف رحمه الله وهو حياة المرضعة، والمشهور بين الأصحاب اعتبارها،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أعثر على حكاية خلافٍ صريحٍ‌</w:t>
      </w:r>
      <w:r>
        <w:rPr>
          <w:rStyle w:val="FootnoteAnchor"/>
          <w:rtl w:val="true"/>
        </w:rPr>
        <w:footnoteReference w:id="674"/>
      </w:r>
      <w:r>
        <w:rPr>
          <w:rFonts w:ascii="Amiri" w:hAnsi="Amiri" w:eastAsia="Amiri" w:cs="Amiri"/>
          <w:color w:val="111111"/>
          <w:sz w:val="28"/>
          <w:sz w:val="28"/>
          <w:szCs w:val="28"/>
          <w:rtl w:val="true"/>
          <w:lang w:bidi="ar-SA"/>
        </w:rPr>
        <w:t xml:space="preserve">،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والصيمري</w:t>
      </w:r>
      <w:r>
        <w:rPr>
          <w:rStyle w:val="FootnoteAnchor"/>
          <w:rtl w:val="true"/>
        </w:rPr>
        <w:footnoteReference w:id="676"/>
      </w:r>
      <w:r>
        <w:rPr>
          <w:rFonts w:ascii="Amiri" w:hAnsi="Amiri" w:eastAsia="Amiri" w:cs="Amiri"/>
          <w:color w:val="111111"/>
          <w:sz w:val="28"/>
          <w:sz w:val="28"/>
          <w:szCs w:val="28"/>
          <w:rtl w:val="true"/>
          <w:lang w:bidi="ar-SA"/>
        </w:rPr>
        <w:t>أنّ عليه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إلى الأفراد المعهودة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الانصراف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عُلّق في الأخبار على الامرأة، وهي لا تصدق على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هو الإرضاع، وظاهره كونه عن الاختيار والقصد المتوقّف على الحياة، إذ لولاها لم يصحّ الإسناد إليها بوجه، فالأدلّة بأنفسها تدلّ على اعتبارها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الشهيد الثاني رحمه الله</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اعتبار </w:t>
      </w:r>
    </w:p>
    <w:p>
      <w:pPr>
        <w:pStyle w:val="BookText"/>
        <w:rPr/>
      </w:pPr>
      <w:r>
        <w:rPr>
          <w:rFonts w:ascii="Amiri" w:hAnsi="Amiri" w:eastAsia="Amiri" w:cs="Amiri"/>
          <w:color w:val="111111"/>
          <w:sz w:val="28"/>
          <w:sz w:val="28"/>
          <w:szCs w:val="28"/>
          <w:rtl w:val="true"/>
          <w:lang w:bidi="ar-SA"/>
        </w:rPr>
        <w:t>الاختيار والقصد في الانتشار، ولذا لو سعى إليها الولد وهي نائمة، أو التقم ثديها وهي غافلة يتحقّق النشر، فيُستكشف من ذلك عدم دخل الاختيار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الدالّة على أنّ الموضوع هو الإرضاع، تدلّ بالدلالة المطابقيّة على اعتبار الاختيار، وبالدلالة الالتزاميّة على اعتبار الحياة، والإجماع على عدم اعتبار الاختيار، حيث يكون من قبيل القرينة المنفصلة، فهو يمنعُ عن حجيّة ظهورها في اعتبار الاختيار لا عن أصل ظهورها في اعتباره، وحيث أنّ الدلالة الالتزاميّة تابعة للمطابقيّة في الدلالة والظهور لا في الحجيّة، فتبقى حجيّة الأدلّة في اعتبار الحياة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ظهور الأدلّة في اعتبار الاختيار، لعدم دخله في مادّة الأفعال ولا في هيئاتها، ولذا جرى بنائهم على التمسّك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الإتلاف 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يدلّ عليه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الاختيار، ولا دلالة له بوجهٍ على اعتبار الحياة، والإجماع دالٌّ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w:t>
      </w:r>
      <w:r>
        <w:rPr>
          <w:rStyle w:val="FootnoteAnchor"/>
          <w:rtl w:val="true"/>
        </w:rPr>
        <w:footnoteReference w:id="678"/>
      </w:r>
      <w:r>
        <w:rPr>
          <w:rFonts w:ascii="Amiri" w:hAnsi="Amiri" w:eastAsia="Amiri" w:cs="Amiri"/>
          <w:color w:val="111111"/>
          <w:sz w:val="28"/>
          <w:sz w:val="28"/>
          <w:szCs w:val="28"/>
          <w:rtl w:val="true"/>
          <w:lang w:bidi="ar-SA"/>
        </w:rPr>
        <w:t>من تبعيّة الدلالة الالتزاميّة للمطابقيّة حجيّةً كتبعيّتها لها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فروض الارتضاع من الميّتة خارجٌ عن إطلاق مثل قوله تعالى‌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لانصراف المطلق إلى غيره، فيدخل تحت قوله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فيثبتُ عدم النشر في هذا الفرد بالآية، ويجبُ إلحاق غيره من الفروض الداخلة تحت إطلاق آية التحريم به،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هذا الدليل، بأنْ يثبت التحريم في الفروض الداخلة تحت آية التحريم بها، وإلحاق الفرض الخارج منها بعدم القول بالفصل، وإنْ كان ممكناً، إلّاأنّ غاية الأمر حينئذٍ وقوع التعارض حينئذٍ بواسطة عدم القول بالفصل بين آيتي التحريم والتحليل، فيجبُ الرجوع إلى أدلّة الإباحة من العمومات والاُصول المعتضدة بفتوى معظم الفحول</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انصراف آية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كانت جميع الرّضعات في حال الموت، إذ لا منشأ له سوى نُدرة الوجود، وقد حُقّق في محلّه أنّها لا تصحّ منشأً للانصراف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نبّه عليه المحقّق الخراساني رحمه الله</w:t>
      </w:r>
      <w:r>
        <w:rPr>
          <w:rStyle w:val="FootnoteAnchor"/>
          <w:rtl w:val="true"/>
        </w:rPr>
        <w:footnoteReference w:id="682"/>
      </w:r>
      <w:r>
        <w:rPr>
          <w:rFonts w:ascii="Amiri" w:hAnsi="Amiri" w:eastAsia="Amiri" w:cs="Amiri"/>
          <w:color w:val="111111"/>
          <w:sz w:val="28"/>
          <w:sz w:val="28"/>
          <w:szCs w:val="28"/>
          <w:rtl w:val="true"/>
          <w:lang w:bidi="ar-SA"/>
        </w:rPr>
        <w:t>من أنّ آية التحليل ناظرة إلى آية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تدلّ على حليّة ما عدا ما حُرّم في آية التحريم، فعلى فرض استفادة التحريم بالارتضاع من الميّتة مطلقاً من آية التحريم، ولو بضميمة عدم القول بالفصل، كيف يمكن أنْ يُستفاد التحليل من آيته بضميمة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 الثاني بأنّ آية التحليل تدلّ على حليّة غير ما حَرُم بآية التحريم، ولا نظر لها إلى ما ثبت حرمته بدليل 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فآية التحريم تدلّ على نشر الحرمة في بعض الفروض، وآية التحليل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تدلّ على حليّة غير ذلك الفرض، وعدم القول بالفصل وإنْ كان صالحاً لتسرية الحكم إلى الفروض الاُخر، لكنّه لا يصلح للحكومة على آية التحليل، فهو أيضاً صالحٌ لتسرية الحليّة إلى سائر الفروض، فيقع التعارض بين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فالعمدة هو الأوّل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اعتبارها سوى الإجماع إنْ ثبت، وكان تعبّديّاً</w:t>
      </w:r>
      <w:r>
        <w:rPr>
          <w:rFonts w:eastAsia="Amiri" w:cs="Amiri" w:ascii="Amiri" w:hAnsi="Amiri"/>
          <w:color w:val="111111"/>
          <w:sz w:val="28"/>
          <w:szCs w:val="28"/>
          <w:rtl w:val="true"/>
          <w:lang w:bidi="ar-SA"/>
        </w:rPr>
        <w:t>.</w:t>
      </w:r>
      <w:bookmarkStart w:id="135" w:name="pg11825_115929"/>
    </w:p>
    <w:p>
      <w:pPr>
        <w:pStyle w:val="BookText"/>
        <w:rPr/>
      </w:pPr>
      <w:bookmarkEnd w:id="135"/>
      <w:r>
        <w:rPr>
          <w:rFonts w:ascii="Amiri" w:hAnsi="Amiri" w:eastAsia="Amiri" w:cs="Amiri"/>
          <w:color w:val="111111"/>
          <w:sz w:val="28"/>
          <w:sz w:val="28"/>
          <w:szCs w:val="28"/>
          <w:rtl w:val="true"/>
          <w:lang w:bidi="ar-SA"/>
        </w:rPr>
        <w:t>ومع الشرائط تصير المرضعة اُمّاً، وذو اللَّبن أباً، وإخوتهما أخوالاً وأعماماً وأولادهما إخوة،</w:t>
      </w:r>
    </w:p>
    <w:p>
      <w:pPr>
        <w:pStyle w:val="Heading2"/>
        <w:numPr>
          <w:ilvl w:val="1"/>
          <w:numId w:val="1"/>
        </w:numPr>
        <w:rPr/>
      </w:pPr>
      <w:bookmarkStart w:id="136" w:name="__RefHeading___Toc11056816_73709187"/>
      <w:bookmarkStart w:id="137" w:name="_Toc45"/>
      <w:bookmarkEnd w:id="136"/>
      <w:r>
        <w:rPr>
          <w:rtl w:val="true"/>
        </w:rPr>
        <w:t>ما يَحرُمُ من الرِّضاع</w:t>
      </w:r>
      <w:bookmarkEnd w:id="137"/>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الرّضاع،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الرّضاع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المُرضعة اُمّاً،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وآبائهما من الذكور والإناث أجداداً وجَدّات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المرضعة والفحل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وعمّات، أي إخوة المرضعة تصير أخوالاً وخالات، وإخوة الفحل أعماماً وعمّات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 وتحرمُ هؤلاء القرابات كلّاً، بلا خلافٍ أجده في شيء من ذلك، بل الظاهر اتّفاق أهل الإسلام جميعاً عليه، إلّامن لا يُعتدّ به من العامّة،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بالرّضاع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للحرمة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ماثله من النصوص المرويّة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في أوّل المطلب الأوّل، وقد عرفت أنّه يدلّ على أنّ كلّ عنوان مُحرِّمٍ بذاته في النَسَب إذا حصل نظيره بالرّضاع يوجبُ الحرمة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التصريح بجملةٍ من تلكم القرابات في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والاُمّهات شاملة للجدّات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الآية الكريمة نصوصٌ 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لبن الفحل‌؟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الاُمّ والإبنة،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أمَتك وهي عمّتك من الرّضاعة، ولا أمَتك وهي خالتك من الرّضاعة، ولا أمَتك وهي اُختك من الرّضاعة، ولا أمَتك وهي إبنة أخيك من الرّضاعة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حرمة العناوين المحرّمة النسبيّة، إذا تحقّق نظائرها بالرّضاع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في التحريم بهذه القرابات، هو المرتضع والمرضعة والفحل، فيحرُم على الأوّل المرضعة ومن يحرم بسببها من الاُمّهات والأخوات والعمّات والخالات، ومن يَحرُم بسبب الفحل ممّن ذُكر، وأولاد المرضعة والفحل، ويحرمُ على الفحل والمرضعة المرتضع والمرتضعة وأولادهما، فالموارد التي يكون الحكم بالحرمة على طبق هذا الضابط كثيرة لا يهمّنا التعرّض لها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يُستثنى من الكبرى الكليّة شيء، وما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في النَسَب أربع نسوة قد لا يَحرُمن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 في النسب حرامٌ‌، لأنّها إمّا اُمٌّ أو زوجة أبٍ‌، وفي الرّضاع قد لا تحرُم، كما لو أرضعت أجنبيّة أخاك أو اُختك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الولد حرامٌ‌، لأنّها أُمّ بنته أو زوجة ابنه، وفي الرّضاع قد لاتكون إحداهما، مثل أن ترضع الأجنبيّة ابن الابن، فإنّها اُمّ ولد الولد وليست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الولد في النسب حرام، لأنّها إمّا بنتٌ أو ربيبةٌ‌، وفي الرّضاع قد لاتكون كذلك، كما إذا أرضعت الأجنبيّة ولدك، فإنّ اُمّها جدّته وليست باُمّك ولا اُمّ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ولدك في النسب حرامٌ عليك، لأنّها إمّا بنتك أو ربيبتك، فإذا أرضعت أجنبيّة ولدك، فبنتها اُختُ وَلدك، وليست ببنت ولا ربيبة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يعدّ استثناءً عن الضابط، ضرورة أنّ شيئاً من العناوين الحاصلة من الرّضاع في هذه الصور لا يكون موضوعاً للحرمة في النسب، بل الموضوع اُمورٌ اُخر مفقودة فيها، فهي خارجة عن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8" w:name="pg11825_115932"/>
    </w:p>
    <w:p>
      <w:pPr>
        <w:pStyle w:val="BookText"/>
        <w:rPr/>
      </w:pPr>
      <w:bookmarkEnd w:id="138"/>
      <w:r>
        <w:rPr>
          <w:rFonts w:ascii="Amiri" w:hAnsi="Amiri" w:eastAsia="Amiri" w:cs="Amiri"/>
          <w:color w:val="111111"/>
          <w:sz w:val="28"/>
          <w:sz w:val="28"/>
          <w:szCs w:val="28"/>
          <w:rtl w:val="true"/>
          <w:lang w:bidi="ar-SA"/>
        </w:rPr>
        <w:t>ويحرمُ أولاد صاحب اللّبن ولادةً ورضاعاً على المرتضع، وأولاد المرضعة ولادةً لا رضاعاً، ولا ينكحُ أبو المرتضع في أولاد صاحب اللّبن ولادةً‌،</w:t>
      </w:r>
    </w:p>
    <w:p>
      <w:pPr>
        <w:pStyle w:val="BookText"/>
        <w:rPr/>
      </w:pPr>
      <w:r>
        <w:rPr>
          <w:rFonts w:ascii="Amiri" w:hAnsi="Amiri" w:eastAsia="Amiri" w:cs="Amiri"/>
          <w:color w:val="111111"/>
          <w:sz w:val="28"/>
          <w:sz w:val="28"/>
          <w:szCs w:val="28"/>
          <w:rtl w:val="true"/>
          <w:lang w:bidi="ar-SA"/>
        </w:rPr>
        <w:t>وفي الصورة الأخيرة بالخصوص كلامٌ من ناحية أُخرى سيأتي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في الأمر الثاني من المطلب الأوّل أنّ القرابة المنضمّة إلى المصاهرة، إذا كانت القرابة رضاعيّة والمصاهرة حقيقيّة توجبُ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أُمّ الزّوجة نصوصٌ ستأتي</w:t>
      </w:r>
      <w:r>
        <w:rPr>
          <w:rStyle w:val="FootnoteAnchor"/>
          <w:rtl w:val="true"/>
        </w:rPr>
        <w:footnoteReference w:id="690"/>
      </w:r>
      <w:r>
        <w:rPr>
          <w:rFonts w:ascii="IRNazanin" w:hAnsi="IRNazanin" w:eastAsia="IRNazanin"/>
          <w:color w:val="111111"/>
          <w:sz w:val="28"/>
          <w:sz w:val="28"/>
          <w:szCs w:val="28"/>
          <w:rtl w:val="true"/>
          <w:lang w:bidi="fa-IR"/>
        </w:rPr>
        <w:t>عند تعرّض المصنّف رحمه الله لها</w:t>
      </w:r>
      <w:r>
        <w:rPr>
          <w:rFonts w:eastAsia="IRNazanin" w:cs="IRNazanin"/>
          <w:color w:val="111111"/>
          <w:sz w:val="28"/>
          <w:szCs w:val="28"/>
          <w:rtl w:val="true"/>
          <w:lang w:bidi="fa-IR"/>
        </w:rPr>
        <w:t>.</w:t>
      </w:r>
    </w:p>
    <w:p>
      <w:pPr>
        <w:pStyle w:val="Heading2"/>
        <w:numPr>
          <w:ilvl w:val="1"/>
          <w:numId w:val="1"/>
        </w:numPr>
        <w:rPr/>
      </w:pPr>
      <w:bookmarkStart w:id="139" w:name="__RefHeading___Toc11056818_73709187"/>
      <w:bookmarkStart w:id="140" w:name="_Toc46"/>
      <w:bookmarkEnd w:id="139"/>
      <w:r>
        <w:rPr>
          <w:rtl w:val="true"/>
        </w:rPr>
        <w:t>حُرمة المنسوب إلى الفَحل</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أولاد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ورضاعاً على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إخوة من الأب والاُمّ أو من الأب، والإخوة من العناوين المحرّمة في النسب، فيحرم مثلها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المرضعة ولادةً لا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القول في الحكمين في مسألة اشتراط اتّحاد الفحل، وعرفت هناك أنّ اعتبار اتّحاد الفحل إنّما هو في خصوص الإخوة بين المرتضعين، ولا يعتبر في سائر العناوين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فيحرمُ نسل الأخوة من الاُمّ نسباً ورضاعاً بمعنى المرتضع بلبن الأخ من الاُمّ‌</w:t>
      </w:r>
      <w:r>
        <w:rPr>
          <w:rFonts w:eastAsia="Amiri" w:cs="Amiri" w:ascii="Amiri" w:hAnsi="Amiri"/>
          <w:color w:val="111111"/>
          <w:sz w:val="28"/>
          <w:szCs w:val="28"/>
          <w:rtl w:val="true"/>
          <w:lang w:bidi="ar-SA"/>
        </w:rPr>
        <w:t xml:space="preserve">. </w:t>
      </w:r>
      <w:bookmarkStart w:id="141" w:name="pg11825_115933"/>
    </w:p>
    <w:p>
      <w:pPr>
        <w:pStyle w:val="Heading2"/>
        <w:numPr>
          <w:ilvl w:val="1"/>
          <w:numId w:val="1"/>
        </w:numPr>
        <w:rPr/>
      </w:pPr>
      <w:bookmarkStart w:id="142" w:name="__RefHeading___Toc11056820_73709187"/>
      <w:bookmarkStart w:id="143" w:name="_Toc47"/>
      <w:bookmarkEnd w:id="141"/>
      <w:bookmarkEnd w:id="142"/>
      <w:r>
        <w:rPr>
          <w:rtl w:val="true"/>
        </w:rPr>
        <w:t>حرمة نكاح أبي المرتضع في أولاد صاحب اللَّبن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ينكحُ أبو المرتضع في أولاد صاحب اللّبن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على خلاف الضابط المتقدّم، ضرورة أنّ أولاد الفحل لم يزيدوا على أن صاروا اُخوةً لولد أبي المرتضع، ومن المعلوم أنّ اُخوّة الولد ليست من العناوين المحرّمة في النسب مستقلّة، ولذا 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والقاضي</w:t>
      </w:r>
      <w:r>
        <w:rPr>
          <w:rStyle w:val="FootnoteAnchor"/>
          <w:rtl w:val="true"/>
        </w:rPr>
        <w:footnoteReference w:id="692"/>
      </w:r>
      <w:r>
        <w:rPr>
          <w:rFonts w:ascii="IRNazanin" w:hAnsi="IRNazanin" w:eastAsia="IRNazanin"/>
          <w:color w:val="111111"/>
          <w:sz w:val="28"/>
          <w:sz w:val="28"/>
          <w:szCs w:val="28"/>
          <w:rtl w:val="true"/>
          <w:lang w:bidi="fa-IR"/>
        </w:rPr>
        <w:t>وابن فهد</w:t>
      </w:r>
      <w:r>
        <w:rPr>
          <w:rStyle w:val="FootnoteAnchor"/>
          <w:rtl w:val="true"/>
        </w:rPr>
        <w:footnoteReference w:id="693"/>
      </w:r>
      <w:r>
        <w:rPr>
          <w:rFonts w:ascii="Amiri" w:hAnsi="Amiri" w:eastAsia="Amiri" w:cs="Amiri"/>
          <w:color w:val="111111"/>
          <w:sz w:val="28"/>
          <w:sz w:val="28"/>
          <w:szCs w:val="28"/>
          <w:rtl w:val="true"/>
          <w:lang w:bidi="ar-SA"/>
        </w:rPr>
        <w:t>البناء على الحِلّ وعدم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أظهر، لصحيح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عيسى بن جعفر بن عيسى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أرضعت لي صبيّاً، فهل يحلّ لي أن أتزوّج ابنة زوجها؟</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سألتَ من ههنا يؤتى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امرأته من قِبل لبن الفحل، هذا هو لبن الفحل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أرضعت لي، هي ابنة غيرها؟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عشراًمتفرّقات ماحَلّلك شيءٌمنهنّ‌، وكنّفي موضع بناتك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يخرج عن القاعدة، فلا إشكال في أصل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إنّه كما يحرم على أبي المرتضع أولاد الفحل ولادةً‌، هل تحرم عليه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الإجماع عليه، أم لا،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نوعُ تردّدٍ، وكذا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حيث تأمّل في شمول الصحيحة للأولاد الرّضاعيّة‌؟</w:t>
      </w:r>
    </w:p>
    <w:p>
      <w:pPr>
        <w:pStyle w:val="BookText"/>
        <w:rPr/>
      </w:pPr>
      <w:r>
        <w:rPr>
          <w:rFonts w:ascii="Amiri" w:hAnsi="Amiri" w:eastAsia="Amiri" w:cs="Amiri"/>
          <w:color w:val="111111"/>
          <w:sz w:val="28"/>
          <w:sz w:val="28"/>
          <w:szCs w:val="28"/>
          <w:rtl w:val="true"/>
          <w:lang w:bidi="ar-SA"/>
        </w:rPr>
        <w:t xml:space="preserve">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الصحيح لهنّ‌، بعدم صدق الإبنة حقيقةً إلّا على الابنة النَسَبيّة، والشيخ الأعظم رحمه الله يُسلّم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الرواية كما ترى مختصٌّ بفروع الفحل نَسَباً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استدلّ لإلحاق الأولاد الرّضاعيّة بهنّ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حَرُم ولد الفحل نسباً على اُصول المرتضع، حَرُم ولده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اليزدي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بالموصول هي العناوين النَسَبيّة التي نشأت حرمتها من النَسَب، فلا يعمّ لعنوان نسبي نشأت حرمته من الرّضاع كولد الفحل نسباً، حيث أنّ حرمته على اُصول المرتضع إنّما هي من قِبل الرّضاع لا النسب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في السُّنة لم يتعلّق بالعُلقة الحاصلة بالرّضاع، وإنّما علّق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الرابطة النسبيّة التي بين الأولاد وبين صاحب لبن المرتضع، فلا مانع من شمول النبويّ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صيرورتهنّ أولاد الاُصول المرتضع إخوته لولدهم، ولا فرق بين الأخوّة النَسَبيّة والرّضاعيّة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صيرورتهن أولاداً تنزيليّاً لهم، لم يُعلم كونها بواسطة كونهنّ اُخوةً للمرتضع، بل هو تنزيلٌ مستقلٌّ‌، ولا مانع من التفكيك بين المتلازمين في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المنزّل إنّما هو الولد النَسَبي على الفرض، وهذا لا يلازم تنزيل الولد الرّضاعي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منع الاختصاص، فإنّ مقتضى إطلاق الصحيح حرمة أولاد صاحب اللّبن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رضاعيّةً كنّ أم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المرتضع، ومنع صدق الابنة على الرّضاعيّة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هذا الحكم بأولاد الفحل، فلا يتعدّى إلى أُمّ الفحل، ولا إلى أخواته، فلا تحرمن على أبي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أولاد الفحل منزلة أولاد أبي المرتضع، يستلزم كون أُمّ الفحل جدّة للمرتضع واُخته عمّةً له،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الجدّة والعمّة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المحرّمة في النَسَب، فكذلك في الرّضاع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جِدّة الولد ليست بنفسها من العناوين المحرّمة في النَسب، بل إمّا لكونها اُمّاً لأبي الولد، أو لكونها اُمّاً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عمّة الولد فإنّها لا تحرم </w:t>
      </w:r>
      <w:bookmarkStart w:id="144" w:name="pg11825_115936"/>
    </w:p>
    <w:p>
      <w:pPr>
        <w:pStyle w:val="BookText"/>
        <w:rPr/>
      </w:pPr>
      <w:bookmarkEnd w:id="144"/>
      <w:r>
        <w:rPr>
          <w:rFonts w:ascii="Amiri" w:hAnsi="Amiri" w:eastAsia="Amiri" w:cs="Amiri"/>
          <w:color w:val="111111"/>
          <w:sz w:val="28"/>
          <w:sz w:val="28"/>
          <w:szCs w:val="28"/>
          <w:rtl w:val="true"/>
          <w:lang w:bidi="ar-SA"/>
        </w:rPr>
        <w:t>بعنوانها، وحرمتها ليست لأنّها عمّة لولده، بل تحرم من جهة أنّها اُخته، والامران مفقودان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 أولاد الفحل منزلة أولاده، لا يستلزمُ التنزيل المذكور، إذ لا مانع من التفكيك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تحرم أُمّ المرتضع على أولاد صاحب اللّبن، لأنّهم إذا صاروا أولاداً لأب المرتضع صاروا أولاداً لاُمّه أيضاً، والاُمّ تحرم على أولاده، أم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الشيخ الأعظم رحمه الله</w:t>
      </w:r>
      <w:r>
        <w:rPr>
          <w:rStyle w:val="FootnoteAnchor"/>
          <w:rtl w:val="true"/>
        </w:rPr>
        <w:footnoteReference w:id="700"/>
      </w:r>
      <w:r>
        <w:rPr>
          <w:rFonts w:ascii="Amiri" w:hAnsi="Amiri" w:eastAsia="Amiri" w:cs="Amiri"/>
          <w:color w:val="111111"/>
          <w:sz w:val="28"/>
          <w:sz w:val="28"/>
          <w:szCs w:val="28"/>
          <w:rtl w:val="true"/>
          <w:lang w:bidi="ar-SA"/>
        </w:rPr>
        <w:t>بالأوّل،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باستلزام كون أولاد الفحل بمنزلة أولاد أبي المرتضع كونهم أولاداً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كونهم أولاداً للأب لا نسباً ولا رضاعاً، وأنّهم نُزِّلوا منزلة أولاده تعبّداً، والتفكيك بين المتلازمين في التنزيل التعبّدي ممكنٌ وواقعٌ‌، يكون الاستلزام المذكور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1056822_73709187"/>
      <w:bookmarkStart w:id="146" w:name="_Toc48"/>
      <w:bookmarkEnd w:id="145"/>
      <w:r>
        <w:rPr>
          <w:rtl w:val="true"/>
        </w:rPr>
        <w:t>جواز تزويج أولاد الفحل مع إخوة المرتضع</w:t>
      </w:r>
      <w:bookmarkEnd w:id="1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أولاد الفحل على اُخوة المرتضع، وفاقاً للحِلّي</w:t>
      </w:r>
      <w:r>
        <w:rPr>
          <w:rStyle w:val="FootnoteAnchor"/>
          <w:rtl w:val="true"/>
        </w:rPr>
        <w:footnoteReference w:id="7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والقاضي</w:t>
      </w:r>
      <w:r>
        <w:rPr>
          <w:rStyle w:val="FootnoteAnchor"/>
          <w:rtl w:val="true"/>
        </w:rPr>
        <w:footnoteReference w:id="702"/>
      </w:r>
      <w:r>
        <w:rPr>
          <w:rFonts w:ascii="Amiri" w:hAnsi="Amiri" w:eastAsia="Amiri" w:cs="Amiri"/>
          <w:color w:val="111111"/>
          <w:sz w:val="28"/>
          <w:sz w:val="28"/>
          <w:szCs w:val="28"/>
          <w:rtl w:val="true"/>
          <w:lang w:bidi="ar-SA"/>
        </w:rPr>
        <w:t>، والمصنّف</w:t>
      </w:r>
      <w:r>
        <w:rPr>
          <w:rStyle w:val="FootnoteAnchor"/>
          <w:rtl w:val="true"/>
        </w:rPr>
        <w:footnoteReference w:id="703"/>
      </w:r>
      <w:r>
        <w:rPr>
          <w:rFonts w:ascii="Amiri" w:hAnsi="Amiri" w:eastAsia="Amiri" w:cs="Amiri"/>
          <w:color w:val="111111"/>
          <w:sz w:val="28"/>
          <w:sz w:val="28"/>
          <w:szCs w:val="28"/>
          <w:rtl w:val="true"/>
          <w:lang w:bidi="ar-SA"/>
        </w:rPr>
        <w:t>، والمحقّق</w:t>
      </w:r>
      <w:r>
        <w:rPr>
          <w:rStyle w:val="FootnoteAnchor"/>
          <w:rtl w:val="true"/>
        </w:rPr>
        <w:footnoteReference w:id="704"/>
      </w:r>
      <w:r>
        <w:rPr>
          <w:rFonts w:ascii="Amiri" w:hAnsi="Amiri" w:eastAsia="Amiri" w:cs="Amiri"/>
          <w:color w:val="111111"/>
          <w:sz w:val="28"/>
          <w:sz w:val="28"/>
          <w:szCs w:val="28"/>
          <w:rtl w:val="true"/>
          <w:lang w:bidi="ar-SA"/>
        </w:rPr>
        <w:t>، وفخر المحقّقين</w:t>
      </w:r>
      <w:r>
        <w:rPr>
          <w:rStyle w:val="FootnoteAnchor"/>
          <w:rtl w:val="true"/>
        </w:rPr>
        <w:footnoteReference w:id="705"/>
      </w:r>
      <w:r>
        <w:rPr>
          <w:rFonts w:ascii="Amiri" w:hAnsi="Amiri" w:eastAsia="Amiri" w:cs="Amiri"/>
          <w:color w:val="111111"/>
          <w:sz w:val="28"/>
          <w:sz w:val="28"/>
          <w:szCs w:val="28"/>
          <w:rtl w:val="true"/>
          <w:lang w:bidi="ar-SA"/>
        </w:rPr>
        <w:t>، والشهيدين</w:t>
      </w:r>
      <w:r>
        <w:rPr>
          <w:rStyle w:val="FootnoteAnchor"/>
          <w:rtl w:val="true"/>
        </w:rPr>
        <w:footnoteReference w:id="706"/>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والمحقّق النراقي</w:t>
      </w:r>
      <w:r>
        <w:rPr>
          <w:rStyle w:val="FootnoteAnchor"/>
          <w:rtl w:val="true"/>
        </w:rPr>
        <w:footnoteReference w:id="708"/>
      </w:r>
      <w:r>
        <w:rPr>
          <w:rFonts w:ascii="Amiri" w:hAnsi="Amiri" w:eastAsia="Amiri" w:cs="Amiri"/>
          <w:color w:val="111111"/>
          <w:sz w:val="28"/>
          <w:sz w:val="28"/>
          <w:szCs w:val="28"/>
          <w:rtl w:val="true"/>
          <w:lang w:bidi="ar-SA"/>
        </w:rPr>
        <w:t>، بل نُسب إلى الأكثر</w:t>
      </w:r>
      <w:r>
        <w:rPr>
          <w:rStyle w:val="FootnoteAnchor"/>
          <w:rtl w:val="true"/>
        </w:rPr>
        <w:footnoteReference w:id="709"/>
      </w:r>
      <w:r>
        <w:rPr>
          <w:rFonts w:ascii="Amiri" w:hAnsi="Amiri" w:eastAsia="Amiri" w:cs="Amiri"/>
          <w:color w:val="111111"/>
          <w:sz w:val="28"/>
          <w:sz w:val="28"/>
          <w:szCs w:val="28"/>
          <w:rtl w:val="true"/>
          <w:lang w:bidi="ar-SA"/>
        </w:rPr>
        <w:t>، لأنّهم لم يزيدوا على أن صاروا بالرّضاع إخوة لأخي اُولئك، واُخوّة الأخ ليست موجبة للتحريم، إذ قد يتزوّج أخو الرّجل لأبيه اُخته لاُمّه، ولو قيّد الأخ من الأبوين فلايوجب التحريم، لأنّ اُخت الأخ للأبوين تَحرم من جهة كونها اُختاً له، ولم يحصل بالرّضاع هذا العنوان، فما حصل بالرّضاع غير موجبٍ للحرمة، وما هو موجبٌللحرمة لم يحصل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اُخت أخيه من الرّضاعة‌؟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أتزوّج اُخت أخي من الرّضاعة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يكن دالّاً على الحِلّ‌، لا ريب في إشعاره به كما لا يخفى‌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وابن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حمزة</w:t>
      </w:r>
      <w:r>
        <w:rPr>
          <w:rStyle w:val="FootnoteAnchor"/>
          <w:rtl w:val="true"/>
        </w:rPr>
        <w:footnoteReference w:id="714"/>
      </w:r>
      <w:r>
        <w:rPr>
          <w:rFonts w:ascii="Amiri" w:hAnsi="Amiri" w:eastAsia="Amiri" w:cs="Amiri"/>
          <w:color w:val="111111"/>
          <w:sz w:val="28"/>
          <w:sz w:val="28"/>
          <w:szCs w:val="28"/>
          <w:rtl w:val="true"/>
          <w:lang w:bidi="ar-SA"/>
        </w:rPr>
        <w:t xml:space="preserve">، وقوّاه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فقالوا بالتحريم، واستدلّوا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بأنّ‌أولادالفحل إخوة المرتضع، فيحرمن على أخوان المرتضع، وكذا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وبأنّهم أولادٌ لأبي المرتضع، لصحيح عليّ بن مهزيار المتقدّم، وهو يقتضي كونهم بمنزلة الاُخوة لإخوة المرتضع، فيحرم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اُخت الأخ من النَسَب محرّمة، فكذا من الرّضاع، للعموم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كونهم بمنزلة الولد، يقتضي أن يثبت لهم جميع الأحكام الثابتة للولد من حيث الولديّة، ومن جملة أحكامه تحريم أولاد الأب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اقتضاء كونهم بمنزلة الاُخوة لأولاده، إذ لا مستند له سوى تلازم عنواني البنوّة للأبوين مع الاُخوّة لأولادهما، وهو مسلّمٌ إذا كانت البنوّة نَسَبيّة أو رضاعيّة، لا في مثل المقام ممّا تكون البنوّة تعبّديّة شرعيّة 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اُخت الأخ من النَسَب ليست محرّمة بهذا العنوان، وإنّما هو عنوانٌ ملازم لعنوان محرّمٍ وهو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تحريم أولاد الأب على الولد ليس من حيث الولديّة للأب، بل من حيث أخوّته للأولاد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قوّى الشيخ الأعظم هذا الوجه، وذكر في وجه صحّته أنّ الأخوّة التي اُنيطت بها الحرمة في آية التحريم، ليس مفهومها العرفي بل الحقيقي، إلّاكون الشخصين ولدين لواحدٍ، فكونهم أولاداً لأبيه أو لاُمّه عين كونهم إخوةً له، لا أنّه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7" w:name="pg11825_115939"/>
    </w:p>
    <w:p>
      <w:pPr>
        <w:pStyle w:val="BookText"/>
        <w:rPr/>
      </w:pPr>
      <w:bookmarkEnd w:id="147"/>
      <w:r>
        <w:rPr>
          <w:rFonts w:ascii="Amiri" w:hAnsi="Amiri" w:eastAsia="Amiri" w:cs="Amiri"/>
          <w:color w:val="111111"/>
          <w:sz w:val="28"/>
          <w:sz w:val="28"/>
          <w:szCs w:val="28"/>
          <w:rtl w:val="true"/>
          <w:lang w:bidi="ar-SA"/>
        </w:rPr>
        <w:t>عنوانٌ آخر ملازمٌ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بالتحريم في المسألة لا يخلو عن قوّة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الأخوّة إضافة بين الولدين، والولديّة إضافةٌ بين الأب والابن، فالاُخوّة قرابة خاصّة مغايرة للولديّة ناشئة عنها لا أنّها عينها، مع أنّه لو سُلّم كونها عينها، نقول إنّ الظاهر من الصحيح كون التنزيل بلحاظ حرمة تزويج أبي المرتضع في أولاد صاحب اللّبن، لابلحاظ جميع الآثار التي منهاحرمة بعضهم عليبعض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الحرمة</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1056824_73709187"/>
      <w:bookmarkStart w:id="149" w:name="_Toc49"/>
      <w:bookmarkEnd w:id="148"/>
      <w:r>
        <w:rPr>
          <w:rtl w:val="true"/>
        </w:rPr>
        <w:t>عدم حرمة جَدّة المُرتضع وإخوته على الفَحل</w:t>
      </w:r>
      <w:bookmarkEnd w:id="149"/>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يحرمُ المرتضع لو كان اُنثى على الفَحل، وعليه الإجماع</w:t>
      </w:r>
      <w:r>
        <w:rPr>
          <w:rStyle w:val="FootnoteAnchor"/>
          <w:rtl w:val="true"/>
        </w:rPr>
        <w:footnoteReference w:id="717"/>
      </w:r>
      <w:r>
        <w:rPr>
          <w:rFonts w:ascii="Amiri" w:hAnsi="Amiri" w:eastAsia="Amiri" w:cs="Amiri"/>
          <w:color w:val="111111"/>
          <w:sz w:val="28"/>
          <w:sz w:val="28"/>
          <w:szCs w:val="28"/>
          <w:rtl w:val="true"/>
          <w:lang w:bidi="ar-SA"/>
        </w:rPr>
        <w:t>، لأنّها بنته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إشكال ولا خلاف في حرمة فروع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نزلوا، لأنّهم أحفاده، من غير فرقٍ بين فروعه النَسَبيّة أو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إشكال في أنّه لا تحرمُ أُمّ المرتضع على الفَحل،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هذا الفرع في موردين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تحرم أُمّ أُمّ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الفحل كما عن الحِلّي</w:t>
      </w:r>
      <w:r>
        <w:rPr>
          <w:rStyle w:val="FootnoteAnchor"/>
          <w:rtl w:val="true"/>
        </w:rPr>
        <w:footnoteReference w:id="718"/>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 xml:space="preserve">، والفخر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تحرم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والمحقّق الكركي</w:t>
      </w:r>
      <w:r>
        <w:rPr>
          <w:rStyle w:val="FootnoteAnchor"/>
          <w:rtl w:val="true"/>
        </w:rPr>
        <w:footnoteReference w:id="725"/>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والشيخ الأعظم</w:t>
      </w:r>
      <w:r>
        <w:rPr>
          <w:rStyle w:val="FootnoteAnchor"/>
          <w:rtl w:val="true"/>
        </w:rPr>
        <w:footnoteReference w:id="727"/>
      </w:r>
      <w:r>
        <w:rPr>
          <w:rFonts w:ascii="Amiri" w:hAnsi="Amiri" w:eastAsia="Amiri" w:cs="Amiri"/>
          <w:color w:val="111111"/>
          <w:sz w:val="28"/>
          <w:sz w:val="28"/>
          <w:szCs w:val="28"/>
          <w:rtl w:val="true"/>
          <w:lang w:bidi="ar-SA"/>
        </w:rPr>
        <w:t>، والمحقّق النراقي</w:t>
      </w:r>
      <w:r>
        <w:rPr>
          <w:rStyle w:val="FootnoteAnchor"/>
          <w:rtl w:val="true"/>
        </w:rPr>
        <w:footnoteReference w:id="728"/>
      </w:r>
      <w:r>
        <w:rPr>
          <w:rFonts w:ascii="Amiri" w:hAnsi="Amiri" w:eastAsia="Amiri" w:cs="Amiri"/>
          <w:color w:val="111111"/>
          <w:sz w:val="28"/>
          <w:sz w:val="28"/>
          <w:szCs w:val="28"/>
          <w:rtl w:val="true"/>
          <w:lang w:bidi="ar-SA"/>
        </w:rPr>
        <w:t>، بل الظاهر أنّه المشهور بين الأصحاب‌؟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بمنزلة جَدّة الولد النَسَبي فتكون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الإمام عليه السلام حكم في صحيح ابن مهزيار المتقدّم بتحريم اُخت الابن من الرّضاع، وجعلها بمنزلة البنت، ولا ريب أنّ اُخت الابن إنّما تحرُم بالنَسَب لو كانت بنتاً، والسبب لو كانت ربيبة، فالتحريم هنا باعتبار المصاهرة، وجَعْل الرّضاع كالنَسَب، فيكون في أُمّ الاُمّ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رحمه الله في تأييد الوجه الثاني الذي ذكره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ليس قياساً، بل هو تنبيه لجزئي من كلّي على حكم الكلّي</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جَدّة الولد النَسَبي ليست بنفسها من العناوين المحرّمة، بل هي ملازمة للاُمّ أو أُمّ الزّوجة، وقد مرّ عدم محرّميّة الرّضاع في أمثال ذلك إلّاعلى القول بعموم 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أولاد اللّبن في الصحيح منزلة أولاد أبي المرتضع، لا يستلزم تنزيلهم منزلة أولاد اُمّه وجَدّته، لأنّه تنزيلٌ تعبّدي يقتصر فيه على مقدار الدليل، والتعدّي لا يكون إلّاقياساً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تحرم اُخوّة المرتضع على الفحل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والحِلّي</w:t>
      </w:r>
      <w:r>
        <w:rPr>
          <w:rStyle w:val="FootnoteAnchor"/>
          <w:rtl w:val="true"/>
        </w:rPr>
        <w:footnoteReference w:id="732"/>
      </w:r>
      <w:r>
        <w:rPr>
          <w:rFonts w:ascii="Amiri" w:hAnsi="Amiri" w:eastAsia="Amiri" w:cs="Amiri"/>
          <w:color w:val="111111"/>
          <w:sz w:val="28"/>
          <w:sz w:val="28"/>
          <w:szCs w:val="28"/>
          <w:rtl w:val="true"/>
          <w:lang w:bidi="ar-SA"/>
        </w:rPr>
        <w:t>، والمحقّق</w:t>
      </w:r>
      <w:r>
        <w:rPr>
          <w:rStyle w:val="FootnoteAnchor"/>
          <w:rtl w:val="true"/>
        </w:rPr>
        <w:footnoteReference w:id="73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كما لعلّه المشهور بين الأصحاب‌؟</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بأنّهن أخوات ولده فيحرمن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وباستلزام تنزيل أولاد الفحل منزلة أولاد أبي المرتضع، لتنزيل أولاد أبي المرتضع منزلة أولاد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 الولد إنّما تحرم إذا كانت بنتاً أو ربيبةً دخل باُمّها، والرّضاع لا يوجبُ حصول أحد هذين العنوانين، واُخت الولد بنفسها ليست من العناوين المحرّمة، نعم يتمّ ذلك على القول بعموم المنزلة، وقد عرفت أنّا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التلازم كما مرّ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0" w:name="pg11825_115942"/>
    </w:p>
    <w:p>
      <w:pPr>
        <w:pStyle w:val="BookText"/>
        <w:rPr/>
      </w:pPr>
      <w:bookmarkEnd w:id="150"/>
      <w:r>
        <w:rPr>
          <w:rFonts w:ascii="Amiri" w:hAnsi="Amiri" w:eastAsia="Amiri" w:cs="Amiri"/>
          <w:color w:val="111111"/>
          <w:sz w:val="28"/>
          <w:sz w:val="28"/>
          <w:szCs w:val="28"/>
          <w:rtl w:val="true"/>
          <w:lang w:bidi="ar-SA"/>
        </w:rPr>
        <w:t>ولا في أولاد زوجته المُرضعة ولادةً لا رضاعاً،</w:t>
      </w:r>
    </w:p>
    <w:p>
      <w:pPr>
        <w:pStyle w:val="Heading2"/>
        <w:numPr>
          <w:ilvl w:val="1"/>
          <w:numId w:val="1"/>
        </w:numPr>
        <w:rPr/>
      </w:pPr>
      <w:bookmarkStart w:id="151" w:name="__RefHeading___Toc11056826_73709187"/>
      <w:bookmarkStart w:id="152" w:name="_Toc50"/>
      <w:bookmarkEnd w:id="151"/>
      <w:r>
        <w:rPr>
          <w:rtl w:val="true"/>
        </w:rPr>
        <w:t>حرمة نكاح أبي المرتضع في أولاد المرضعة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أبو المرتضع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أولاد زوجته المرضعة ولادةً لا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على خلاف الضابط المتقدّم، لأنّ فروع المرضعة لا يزيدوا على أنْ يكونوا اُخوةً لولد أبي المرتضع، واُخت الولد لا دليل على تحريمها من حيث هذا العنوان، بل إنّما تحرم لكونها بنتاً له أو ربيبةً دخل بأُمّها، وشيءٌ من العنوان لا يحصل بالرّضاع، ولذا ذهب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w:t>
      </w:r>
      <w:r>
        <w:rPr>
          <w:rStyle w:val="FootnoteAnchor"/>
          <w:rtl w:val="true"/>
        </w:rPr>
        <w:footnoteReference w:id="735"/>
      </w:r>
      <w:r>
        <w:rPr>
          <w:rFonts w:ascii="Amiri" w:hAnsi="Amiri" w:eastAsia="Amiri" w:cs="Amiri"/>
          <w:color w:val="111111"/>
          <w:sz w:val="28"/>
          <w:sz w:val="28"/>
          <w:szCs w:val="28"/>
          <w:rtl w:val="true"/>
          <w:lang w:bidi="ar-SA"/>
        </w:rPr>
        <w:t>إلى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هو الأظهر، لدلالة جملةٍ من النصوص الخاصّة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أرضعتْ بعض وَلدي، هل يجوز لي أن أتزوّج بعض ولدها؟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يجوز ذلك لك، لأنّ ولدها صارت بمنزلة ولدك</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وَلداً لرّجلٍ‌، هل يحلّ لذلك الرّجل أن يتزوّج ابنة هذه المرضعة أم لا؟ فوقّع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أصل الحكم، إنّما 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باختصاص هذا الحكم بأولادها نَسَباً، ولا تحرم أولادها الرّضاعيّة، للأصل بعد اختصاص النصوص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التحريم في الولد النَسَبيّ للمرضعة، ثبت في الولد الرّضاعي لها، لأنّه يحرم من الرّضاع ما يحرمُ من النَسَب، والجواب عن ذلك باختصاصه بالنسب الذي لم ينشأ من الرّضاع، قد عرفت في المسألة السابقة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حكم بتحريم ولد المرضعة على أبي المرتضع، لا من حيث هو وَلدها حتّى يحرم ولدها الرّضاعي، بل لأجل كونه بمنزلة ولد أبي المرتضع، وهذا المعنى غير معلومٍ في ولدها الرّضاعي</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المذكور لم يُذكر في أحد الصحيحين، وذكر في الآخر تعليلاً للحكم بحرمة ولد المرضعة، فالمُحرّم بحسب الخبرين هو ولدها من حيث هو، لا من حيث أنّه ولدٌ تنزيلي لأبي المرتضع، فيشمله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دلالتهما على أنّها تحرم لأجل كونها ولداً تنزيليّاً لأبي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53" w:name="pg11825_115944"/>
    </w:p>
    <w:p>
      <w:pPr>
        <w:pStyle w:val="BookText"/>
        <w:rPr/>
      </w:pPr>
      <w:bookmarkEnd w:id="153"/>
      <w:r>
        <w:rPr>
          <w:rFonts w:ascii="Amiri" w:hAnsi="Amiri" w:eastAsia="Amiri" w:cs="Amiri"/>
          <w:color w:val="111111"/>
          <w:sz w:val="28"/>
          <w:sz w:val="28"/>
          <w:szCs w:val="28"/>
          <w:rtl w:val="true"/>
          <w:lang w:bidi="ar-SA"/>
        </w:rPr>
        <w:t>المرتضع، لكنّها لا تخرجُ عن كونها شيئاً حَرم من النَسَب، فيشمله دليل حرمة الرّضاعي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يصحّ في ولدها الرّضاعي الذي ارتضع بلبن فحلٍ غير فحل المرتضع الذي يكون الكلام في اُصوله، لعدم الاُخوّة بين ذلك الولد وبين المرتضع، ومن الظاهر بل المقطوع به أنّ كون ولد المرضعة بمنزلة ولد أبي المرتضع فرعُ الاُخوّة الرّضاعيّة للمرتضع، المفقودة مع تعدّد الفحل، وإنّما يصحّ هذا الكلام لو صَحّ في صورة اتّحاد الفحل، وحدوث الاُخوّة بين ذلك الولد وبين المرتضع، وحينئذٍ فيكون هذا الولد من أولاد صاحب الفحل رضاعاً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أنْ يكون ولد المرضعة بمنزلة ولد أبي المرتضع بواسطة الاُخوّة الرّضاعيّة للمرتضع المفقودة، فإنّ التنزيل المذكور تنزيلٌ تعبّدي، وإلّا فليس ولدها ولداً له نَسباً ولا رضاعاً، والتفكيك في التنزيل بين الملازمين لا مانع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شمول الحكم لأولادها الرّضاعيّة أيضاً لولا الإجماع على عدم الحرمة فيهم</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1056828_73709187"/>
      <w:bookmarkStart w:id="155" w:name="_Toc51"/>
      <w:bookmarkEnd w:id="154"/>
      <w:r>
        <w:rPr>
          <w:rtl w:val="true"/>
        </w:rPr>
        <w:t>حكم أُمّ المرتضع على أولاد المرضعة</w:t>
      </w:r>
      <w:bookmarkEnd w:id="1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تحرم أُمّ المرتضع على أولاد المرضعة، وإنْ كانت القاعدة لا تقتضي ذلك، بل عن بعضهم دعوى الإجماع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نفى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البُعد عن عدم الحرمة، بل ظاهر ذيل كلامه الإفتاء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الأعظم رحمه الله</w:t>
      </w:r>
      <w:r>
        <w:rPr>
          <w:rStyle w:val="FootnoteAnchor"/>
          <w:rtl w:val="true"/>
        </w:rPr>
        <w:footnoteReference w:id="741"/>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كونهم بمنزلة ولد أبيه، يستلزم كونهم بمنزلة ولد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العرفيّة بين التنزيلين كما مرّ، بل التفكيك واقعٌ في نظائر المقام، لاحظ الاُخوّة فإنّها ثابتة مع اتّحاد الفحل، وغير ثابتة مع تعدّده، فلتكن البنوّة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بأنّ مقتضى عموم تنزيل أولاد المرضعة منزلة أولاد أبي المرتضع، ترتّب جميع أحكام أولاده، ومن الأحكام حرمة أُمّ أخيهم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إنّما هو في خصوص الأحكام المترتّبة على كونهم أولاداً لأبيهم، وهذه ليست منها، وأُمّ الأخ ليست من العناوين المحرّمة بنفسها، وزوجة الأب وإنْ تحرم إلّاأنّ المحرّم هو زوجة الأب الحقيقي لا الأب التنزيلي بلحاظ هذا الأثر أيضاً غير ظاهر، فإنّ الظاهر من الدليل كونه بلحاظ خصوص التحريم على أبي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الذي اُدّعي قيامه في المقام، فعلى فرض ثبوته، لكن لا يصلح مدركاً باعتبار أنّ الحكم في كلماتهم عُلّل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فتحصّل أنّ الأظهر عدم الحرمة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يتفرّع على القول بعدم جواز نكاح أبي المرتضع في أولاد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المرضعة، أنّه لو أرضعت ولد إنسان جدّته لاُمّه بلبن جَدّه أو غيره، حَرُمت أُمّ المرتضع على أبيه، لأنّ اُمّه من أولاد المرضعة، فتحرم على أبي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يتفرّع على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أرضعت ولداً إحدى نسوة جَدّه بلبن جَدّه الرّضاع المعتبر حَرُمت على أبيه، لأنّ اُمّه حينئذٍ من أولاد صاحب اللّبن، فتحرُم على أبي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تحرم المرضعة على المرتضع لو كان ذكراً لأنّها اُمّه، وكذا لا إشكال في حرمتها على أولاده لأنّهم أحفادها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تحرم على أخ المرتضع نظراً إلى أنّها بالرّضاع تصير أُمّ الأخ وهي حرام في النَسَب،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لأنّ أُمّ الأخ ليست بنفسها من العناوين المحرّمة في النسب، وإنّما تحرم من جهة كونها اُمّاً أو زوجة للأب، ولا يحصل شيءٌ منهما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فروع حواشي المرتضع حكم نفس الحواشي في عدم التحريم على المرضعة،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على أبي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ولا اُمّها، ولا 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تصير بالرّضاع أزيد من كونها أُمّ ولده، واُمّ الولد أولى بالتحليل من كلّ أحد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بالرّضاع تصير جَدّة لولده، وجَدّة الولد لا تكون من العناوين المحرّمة، وإنّما تحرم إذا كانت اُمّاً لزوجته، وبالرّضاع لا يحصل ذلك، وحكي عن الحِلّي</w:t>
      </w:r>
      <w:r>
        <w:rPr>
          <w:rStyle w:val="FootnoteAnchor"/>
          <w:rtl w:val="true"/>
        </w:rPr>
        <w:footnoteReference w:id="742"/>
      </w:r>
      <w:r>
        <w:rPr>
          <w:rFonts w:ascii="Amiri" w:hAnsi="Amiri" w:eastAsia="Amiri" w:cs="Amiri"/>
          <w:color w:val="111111"/>
          <w:sz w:val="28"/>
          <w:sz w:val="28"/>
          <w:szCs w:val="28"/>
          <w:rtl w:val="true"/>
          <w:lang w:bidi="ar-SA"/>
        </w:rPr>
        <w:t>القول بحرمتها، ويظهر ضعفه ممّا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6" w:name="pg11825_115947"/>
    </w:p>
    <w:p>
      <w:pPr>
        <w:pStyle w:val="BookText"/>
        <w:rPr/>
      </w:pPr>
      <w:bookmarkEnd w:id="156"/>
      <w:r>
        <w:rPr>
          <w:rFonts w:ascii="Amiri" w:hAnsi="Amiri" w:eastAsia="Amiri" w:cs="Amiri"/>
          <w:color w:val="111111"/>
          <w:sz w:val="28"/>
          <w:sz w:val="28"/>
          <w:szCs w:val="28"/>
          <w:rtl w:val="true"/>
          <w:lang w:bidi="ar-SA"/>
        </w:rPr>
        <w:t>ولأولاده الذين لم يرتضعوا من هذا اللَّبن النكاح في أولاد المرضعة والفَحل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لأولاده الذين لم يرتضعوا من هذا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اُخوة المرتضع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في أولاد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w:t>
      </w:r>
      <w:r>
        <w:rPr>
          <w:rStyle w:val="FootnoteAnchor"/>
          <w:rtl w:val="true"/>
        </w:rPr>
        <w:footnoteReference w:id="743"/>
      </w:r>
      <w:r>
        <w:rPr>
          <w:rFonts w:ascii="Amiri" w:hAnsi="Amiri" w:eastAsia="Amiri" w:cs="Amiri"/>
          <w:color w:val="111111"/>
          <w:sz w:val="28"/>
          <w:sz w:val="28"/>
          <w:szCs w:val="28"/>
          <w:rtl w:val="true"/>
          <w:lang w:bidi="ar-SA"/>
        </w:rPr>
        <w:t>، والقاضي</w:t>
      </w:r>
      <w:r>
        <w:rPr>
          <w:rStyle w:val="FootnoteAnchor"/>
          <w:rtl w:val="true"/>
        </w:rPr>
        <w:footnoteReference w:id="744"/>
      </w:r>
      <w:r>
        <w:rPr>
          <w:rFonts w:ascii="Amiri" w:hAnsi="Amiri" w:eastAsia="Amiri" w:cs="Amiri"/>
          <w:color w:val="111111"/>
          <w:sz w:val="28"/>
          <w:sz w:val="28"/>
          <w:szCs w:val="28"/>
          <w:rtl w:val="true"/>
          <w:lang w:bidi="ar-SA"/>
        </w:rPr>
        <w:t>، والمصنّف</w:t>
      </w:r>
      <w:r>
        <w:rPr>
          <w:rStyle w:val="FootnoteAnchor"/>
          <w:rtl w:val="true"/>
        </w:rPr>
        <w:footnoteReference w:id="745"/>
      </w:r>
      <w:r>
        <w:rPr>
          <w:rFonts w:ascii="Amiri" w:hAnsi="Amiri" w:eastAsia="Amiri" w:cs="Amiri"/>
          <w:color w:val="111111"/>
          <w:sz w:val="28"/>
          <w:sz w:val="28"/>
          <w:szCs w:val="28"/>
          <w:rtl w:val="true"/>
          <w:lang w:bidi="ar-SA"/>
        </w:rPr>
        <w:t>في أكثر كتبه، وفخر المحقّقين</w:t>
      </w:r>
      <w:r>
        <w:rPr>
          <w:rStyle w:val="FootnoteAnchor"/>
          <w:rtl w:val="true"/>
        </w:rPr>
        <w:footnoteReference w:id="746"/>
      </w:r>
      <w:r>
        <w:rPr>
          <w:rFonts w:ascii="Amiri" w:hAnsi="Amiri" w:eastAsia="Amiri" w:cs="Amiri"/>
          <w:color w:val="111111"/>
          <w:sz w:val="28"/>
          <w:sz w:val="28"/>
          <w:szCs w:val="28"/>
          <w:rtl w:val="true"/>
          <w:lang w:bidi="ar-SA"/>
        </w:rPr>
        <w:t>، والمحقّق</w:t>
      </w:r>
      <w:r>
        <w:rPr>
          <w:rStyle w:val="FootnoteAnchor"/>
          <w:rtl w:val="true"/>
        </w:rPr>
        <w:footnoteReference w:id="747"/>
      </w:r>
      <w:r>
        <w:rPr>
          <w:rFonts w:ascii="Amiri" w:hAnsi="Amiri" w:eastAsia="Amiri" w:cs="Amiri"/>
          <w:color w:val="111111"/>
          <w:sz w:val="28"/>
          <w:sz w:val="28"/>
          <w:szCs w:val="28"/>
          <w:rtl w:val="true"/>
          <w:lang w:bidi="ar-SA"/>
        </w:rPr>
        <w:t>، والشهيدين</w:t>
      </w:r>
      <w:r>
        <w:rPr>
          <w:rStyle w:val="FootnoteAnchor"/>
          <w:rtl w:val="true"/>
        </w:rPr>
        <w:footnoteReference w:id="748"/>
      </w:r>
      <w:r>
        <w:rPr>
          <w:rFonts w:ascii="Amiri" w:hAnsi="Amiri" w:eastAsia="Amiri" w:cs="Amiri"/>
          <w:color w:val="111111"/>
          <w:sz w:val="28"/>
          <w:sz w:val="28"/>
          <w:szCs w:val="28"/>
          <w:rtl w:val="true"/>
          <w:lang w:bidi="ar-SA"/>
        </w:rPr>
        <w:t>وغيرهم، بل حُكي عن الأكثر؟</w:t>
      </w:r>
    </w:p>
    <w:p>
      <w:pPr>
        <w:pStyle w:val="BookText"/>
        <w:rPr/>
      </w:pPr>
      <w:r>
        <w:rPr>
          <w:rFonts w:ascii="Amiri" w:hAnsi="Amiri" w:eastAsia="Amiri" w:cs="Amiri"/>
          <w:color w:val="111111"/>
          <w:sz w:val="28"/>
          <w:sz w:val="28"/>
          <w:szCs w:val="28"/>
          <w:rtl w:val="true"/>
          <w:lang w:bidi="ar-SA"/>
        </w:rPr>
        <w:t xml:space="preserve">أم لا يجوز، كما 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بل عن الأوّل منهما الإجماع عليه‌؟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هو الكلام في حرمة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اُخوة المرتضع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الفرع الرابع من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ومدركاً ومختاراً، وقد عرفت أنّ الأظهر هو عدم الحرمة فلا نعيد</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1056830_73709187"/>
      <w:bookmarkStart w:id="158" w:name="_Toc52"/>
      <w:bookmarkEnd w:id="157"/>
      <w:r>
        <w:rPr>
          <w:rtl w:val="true"/>
        </w:rPr>
        <w:t>الرّضاع اللّاحق موجبٌ للحرمة كالسّابق</w:t>
      </w:r>
      <w:bookmarkEnd w:id="1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عدم الفرق في سببيّة الرّضاع للحُرمة، بين سبقه على النكاح ولحوقه به، فكما أنّ الرّضاع المحرّم سابقاً يمنعُ من </w:t>
      </w:r>
      <w:bookmarkStart w:id="159" w:name="pg11825_115948"/>
    </w:p>
    <w:p>
      <w:pPr>
        <w:pStyle w:val="BookText"/>
        <w:rPr/>
      </w:pPr>
      <w:bookmarkEnd w:id="159"/>
      <w:r>
        <w:rPr>
          <w:rFonts w:ascii="Amiri" w:hAnsi="Amiri" w:eastAsia="Amiri" w:cs="Amiri"/>
          <w:color w:val="111111"/>
          <w:sz w:val="28"/>
          <w:sz w:val="28"/>
          <w:szCs w:val="28"/>
          <w:rtl w:val="true"/>
          <w:lang w:bidi="ar-SA"/>
        </w:rPr>
        <w:t>ولو أرضعت كبيرة الزوجتين صغيرتهما، حَرُمتا إنْ كان دخل بالمرضعة، وإلّا فالمُرضعة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كذلك يبطله لاحقاً، وعن غير واحدٍ</w:t>
      </w:r>
      <w:r>
        <w:rPr>
          <w:rStyle w:val="FootnoteAnchor"/>
          <w:rtl w:val="true"/>
        </w:rPr>
        <w:footnoteReference w:id="751"/>
      </w:r>
      <w:r>
        <w:rPr>
          <w:rFonts w:ascii="Amiri" w:hAnsi="Amiri" w:eastAsia="Amiri" w:cs="Amiri"/>
          <w:color w:val="111111"/>
          <w:sz w:val="28"/>
          <w:sz w:val="28"/>
          <w:szCs w:val="28"/>
          <w:rtl w:val="true"/>
          <w:lang w:bidi="ar-SA"/>
        </w:rPr>
        <w:t xml:space="preserve">دعوى 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بعدم الفرق بين الابتداء والاستدامة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عموم دليل محرّميّة الرّضاع،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النصوص الواردة في تحريم الزوجتين المرتضعة إحداهما من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رضيعةً فأرضعتها امرأته، فَسَد النكاح</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جاريةً صغيرة فأرضعتها امرأته وأُمّ ولده‌؟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فإنّها بضميمة عدم القول بالفصل، تدلّ على هذه الكليّة، ويترتّب عليها فروع كثيرة، منها ما ذكره المصنّف رحمه الله بقوله</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11056832_73709187"/>
      <w:bookmarkStart w:id="161" w:name="_Toc53"/>
      <w:bookmarkEnd w:id="160"/>
      <w:r>
        <w:rPr>
          <w:rtl w:val="true"/>
        </w:rPr>
        <w:t>حكم الزوجتين المُرتضعة إحداهما من الاُخرى‌</w:t>
      </w:r>
      <w:bookmarkEnd w:id="16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أرضعت كبيرة الزوجتين صغيرتهما، حرمتا إنْ كان دخل بالمرضعة، وإلّا فالمرضعة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تزوّج رضيعة فأرضعتها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بلبن غيره كانت في حبالته، كما إذا استمرّ لبن الأوّل إلى أن تزوّجت به‌؟</w:t>
      </w:r>
    </w:p>
    <w:p>
      <w:pPr>
        <w:pStyle w:val="BookText"/>
        <w:rPr/>
      </w:pPr>
      <w:r>
        <w:rPr>
          <w:rFonts w:ascii="Amiri" w:hAnsi="Amiri" w:eastAsia="Amiri" w:cs="Amiri"/>
          <w:color w:val="111111"/>
          <w:sz w:val="28"/>
          <w:sz w:val="28"/>
          <w:szCs w:val="28"/>
          <w:rtl w:val="true"/>
          <w:lang w:bidi="ar-SA"/>
        </w:rPr>
        <w:t>فهل يصحّ نكاحه أم لا؟</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يُفرض الدخول بالمرضعة، وقد يُفرض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تدلّ عليه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مقتضى القاعدة بطلان نكاح الزوجتين بالرّضاع، فإنّه بمجرّد تحقّق الرّضاع تتحقّق الاُمّية والبنتيّة بينهما، فتبطل زوجيّتهما معاً، لعدم إمكان الجمع بين الاُمّ والبنت في الزوجيّة في زمانٍ واحد ولو بقاءً‌، فلا محالة ترتفعان معاً لعدم المرجح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وإنْ كان لا يرد عليه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من احتمال الرجوع إلى القرعة، فإنّه يرجع إليها فيما إذا كان هناك واقعٌ معيّن عند اللّه مشتبهاً عندنا، لا في مثل المقام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يورد عليه بأنّه في صورة الدخول بالكبيرة، يبطل نكاح الرضعيّة، لأنّ بنت الزّوجة المدخول بها محرّمة أبداً حتّى البنت التي توجد بعد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خروجها عن حبالته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بنت الزّوجة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النّص</w:t>
      </w:r>
      <w:r>
        <w:rPr>
          <w:rStyle w:val="FootnoteAnchor"/>
          <w:rtl w:val="true"/>
        </w:rPr>
        <w:footnoteReference w:id="757"/>
      </w:r>
      <w:r>
        <w:rPr>
          <w:rFonts w:ascii="Amiri" w:hAnsi="Amiri" w:eastAsia="Amiri" w:cs="Amiri"/>
          <w:color w:val="111111"/>
          <w:sz w:val="28"/>
          <w:sz w:val="28"/>
          <w:szCs w:val="28"/>
          <w:rtl w:val="true"/>
          <w:lang w:bidi="ar-SA"/>
        </w:rPr>
        <w:t>بها، مضافاً إلى ما تقدّم في الأمر الثاني من المطلب الأوّل من أنّ العنوان المتولّد من النَسَب والمصاهرة يوجبُ التحريم إذا كان الحاصل بالرّضاع العنوان النَسَبي، كما في المقام، مع أنّه في صورة كون اللّبن له تكون الرضيعة بنتاً رضاعيّة له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الكبيرة فلا أرى وجهاً لبطلان نكاحها، فإنّه عند تحقّق الرّضاع تخرجُ الصغيرة عن حبالته، وفي ذلك الآن تتحقّق الاُمومة، فليس هناك زمانٌ خارجي تتّصف فيه الكبيرة بأنّها أُمّ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قيل في وجه خروجها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 الزّوجة كبنت الزّوجة، كما أنّ الثانية تحرمُ وإنْ وجدت بعد خروج الاُمّ عن الزوجيّة، كذلك الأُولى‌، فالكبيرة أُمُّ من كانت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المشتقّ أعمٌّ من المتلبس ومن انقضى عنه المبدأ، فيصدق عليها اُمّ الزّوجة بهذا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لمكان اتّصال آخر زمان زوجيّة الصغيرة بأوّل زمان اُمومة الكبيرة، تكون كالمجتمع معها زماناً، فيصدق على الكبيرة بعد هذه المسامحة العرفيّة أنّها صارت أُمّ الزّوجة حقيقة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بطلان الزوجيّة في طول حصول الاُمومة والبنتيّة، ففي تلك المرتبةع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يصدق عليها أُمّ الزّوجة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الآية الكريمة والنصوص أنّ المحرّم هي أُمّ الزّوجة، وفي النسب لا يتصوّر تحقّق الاُمومة بعد الخروج عن الزوجيّة، بخلاف بنت الزّوجة، فدليل محرّميّة الرّضاع لا يصلحُ لإثبات حرمة من اتّصفت بالاُمومة بعد خروج البنت عن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w:t>
      </w:r>
      <w:r>
        <w:rPr>
          <w:rStyle w:val="FootnoteAnchor"/>
          <w:rtl w:val="true"/>
        </w:rPr>
        <w:footnoteReference w:id="758"/>
      </w:r>
      <w:r>
        <w:rPr>
          <w:rFonts w:ascii="Amiri" w:hAnsi="Amiri" w:eastAsia="Amiri" w:cs="Amiri"/>
          <w:color w:val="111111"/>
          <w:sz w:val="28"/>
          <w:sz w:val="28"/>
          <w:szCs w:val="28"/>
          <w:rtl w:val="true"/>
          <w:lang w:bidi="ar-SA"/>
        </w:rPr>
        <w:t>من كون المشتقّ حقيقة في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المسامحات العرفيّة في تطبيق المفاهيم على المصاديق تُضرب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الشرعيّة مترتّبة على الموجودات الزمانيّة دون الرُتبيّة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أنّها لا تخرج عن الزوجيّة، ولا يبطل نكاحها، ولا يلزم منه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صورة الدخول بالكبيرة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عدم الدخول بها، وكون اللّبن لغيره، فما ذُكر في وجه بقائهما على الزوجيّة متينٌ‌، ولكن ليس لازم ذلك بطلان نكاحهما بل هو التخيير، فإنّ الضرورات تتقدّر بقدرها، فبالرّضاع لا يمكن بقاء زوجيّتهما، ولا مانع من بقاء زوجيّة إحداهما بنحو التخيير، لإمكان ذلك ثبوتاً، كما تقدّم في مسألة الجمع بين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الاُختين وأنّه المتعيّن في مقام الإثبات، فراجع ما حقّقناه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بطلان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الحال في الحرمة الأبديّة، فإنّ الصغيرة تحرمُ أبداً مع الدخول بالكبيرة، والكبيرة لا تحرمُ مطلقاً، وقد استدلّ فخر المحقّقين</w:t>
      </w:r>
      <w:r>
        <w:rPr>
          <w:rStyle w:val="FootnoteAnchor"/>
          <w:rtl w:val="true"/>
        </w:rPr>
        <w:footnoteReference w:id="759"/>
      </w:r>
      <w:r>
        <w:rPr>
          <w:rFonts w:ascii="Amiri" w:hAnsi="Amiri" w:eastAsia="Amiri" w:cs="Amiri"/>
          <w:color w:val="111111"/>
          <w:sz w:val="28"/>
          <w:sz w:val="28"/>
          <w:szCs w:val="28"/>
          <w:rtl w:val="true"/>
          <w:lang w:bidi="ar-SA"/>
        </w:rPr>
        <w:t>لحرمتها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أُمّ الزّوجة كبنت الزّوجة تحرُم، وإنْ اتّصفت بالاُمومة بعد خروج البنت عن الزوجيّة، وظاهر المحقّق النائيني ارتضائه،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الحرمة صدق المشتقّ‌، وتحقّق الزوجيّة في زمانٍ ما، فتدخل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كون المشتقّ حقيقة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صدق الزّوجة على البنت في زمانٍ مّا كافٍ في حرمة اُمّها أبداً، إذ لم تقيّد حرمة أُمّ الزّوجة في الآية بكونها أُمّ الزّوجة الفعليّة، فيكفي في الحرمة كونها أُمّ الزّوجة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الدليل، فإنّ ظاهر كلّ عنوان مأخوذٍ في الموضوع، دخله في فعليّة الحكم، ودوران الحكم بقاءً وارتفاعاً مدار بقائه وارتفاعه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الحرمة الأبديّة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الصغيرة مع عدم الدخول بالمرضعة لا تحرمُ أبداً، إلّاإذا كان لبن المرضعة من الزّوج، ولم يدخل بها، كما لو فرض حملها منه مع سبق المنيّ إلى فرجها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بدون الدخول، فإنّها حينئذٍ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يستفاد من النصوص الخاصّة، فقد ورد في أحد النصوص المتقدّمة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مجملٌ قابلٌ للحمل على إرادة فساد نكاح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نكاحه لكلّ منهما، ولكن الوارد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السؤال كون السؤال عن حكم تزويج الصغيرة، فالضمير في الجواب يرجع إليها، وحرمتها حينئذٍ تكون على وفق القاعدة، لأنّ المفروض في السؤال إرضاع امرأته واُمّ ولده إيّاها، والغالب كونها مدخولة، وكان اللّبن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يستفاد من تلك النصوص حكمٌ 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الذي رواه عليّ بن مهزيار،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أُخرى‌،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الجارية وامرأتاه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تَحرمُ عليه الجارية وامرأته التي أرضعتها أوّلاً، فأمّا الأخيرة فلم تحرُم عليه كأنّها أرضعت ابنته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حرمتهما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لصالح بن أبي حمّاد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ضُعّف في المشهور، إلّاأنّ القرائن على مدحه كثيرة،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فيه، من جهة أنّ المراد بابي جعفر هو الباقر عليه السلام، لأنّه المراد عند إطلاقه، سيّما بقرينة أنّ ابن شِبرمة كان في زمانه عليه السلام، وابن مهزيار لم يُدرك الإمام الباقر عليه السلام، بل لو كان المراد به هو الجواد عليه السلام كان الخبر مرسلاً، إذ ليس فيه أنّه سمع ذلك بلا واسطة، فالإرسال متحقّقٌ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سماعه عن أبي جعفر عليه السلام، فلو اُريد به الجواد عليه السلام لا يكون هناك إرسالٌ‌، وكثرة إطلاقه على الباقر عليه السلام لا يُنافي حمله على الجواد عليه السلام خصوصاً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الخبر سنداً ودلالةً‌، غاية الأمر هو مختصٌّ بصورة الدخول، إذ كون الامرأتين له كلتاهما غير مدخولٍ بهما وكونهما ذات لبن بعيدٌ غايته، مع أنّ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أرضعت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لبن المرضعة الأُولى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إنْ كان دَخل بالكبيرة، أو كان اللّبن له، حَرُمتا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الكبيرة والصغيرة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وفَسَد نكاحهما، وإلّا لم تحرما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بنت الزّوجة غير المدخول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انطباق عنوان أُمّ الزّوجة عليها في زمانٍ‌، وتسالمهم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2" w:name="pg11825_115955"/>
    </w:p>
    <w:p>
      <w:pPr>
        <w:pStyle w:val="BookText"/>
        <w:rPr/>
      </w:pPr>
      <w:bookmarkEnd w:id="162"/>
      <w:r>
        <w:rPr>
          <w:rFonts w:ascii="Amiri" w:hAnsi="Amiri" w:eastAsia="Amiri" w:cs="Amiri"/>
          <w:color w:val="111111"/>
          <w:sz w:val="28"/>
          <w:sz w:val="28"/>
          <w:szCs w:val="28"/>
          <w:rtl w:val="true"/>
          <w:lang w:bidi="ar-SA"/>
        </w:rPr>
        <w:t xml:space="preserve">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بعد معلوميّة مدركهم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فيه أيضاً التخيير مع عدم الدخول، وعدم كون اللّبن من الزّوج، وبطلان نكاح خصوص الصغيرة لو كان اللّبن من الزّوج، وبطلانهما معاً مع الدخول</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1056834_73709187"/>
      <w:bookmarkStart w:id="164" w:name="_Toc54"/>
      <w:bookmarkEnd w:id="163"/>
      <w:r>
        <w:rPr>
          <w:rtl w:val="true"/>
        </w:rPr>
        <w:t>إرضاع الزوجتين الكبيرتين الزوجة الصغيرة</w:t>
      </w:r>
      <w:bookmarkEnd w:id="1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مسألتين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للرّجل زوجتان كبيرتان وزوجة رضيعة، فأرضعتها إحدى الزوجتين أوّلاً، ثمّ أرضعتها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تحرُم المرضعة الأُولى والصغيرة في فرض الدخول بالمرضعة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فلصيرورتها بنته، أو ربيبته التي دخل باُمّها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فلخبر عليّ بن مهزيار، ومع الدخول لا يحرُم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المرضعة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الإسكافي</w:t>
      </w:r>
      <w:r>
        <w:rPr>
          <w:rStyle w:val="FootnoteAnchor"/>
          <w:rtl w:val="true"/>
        </w:rPr>
        <w:footnoteReference w:id="76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وظاهر الكليني</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حاكياً له عن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أيضاً نسبها الشهيد الثاني رحمه الله إلى الحِلّي</w:t>
      </w:r>
      <w:r>
        <w:rPr>
          <w:rStyle w:val="FootnoteAnchor"/>
          <w:rtl w:val="true"/>
        </w:rPr>
        <w:footnoteReference w:id="77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وأكثر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بالمرضعة الأُولى‌، فلا تحرم الثانية قاعدةً ونصّاً، لأنّ المرضعة الأُولى والصغيرة خرجتا عن حبالته بالرّضاع الأوّل وحَرُمتا عليه، فالثانية أرضعت بنته أو ربيبته لا زوجته كما صرّح بذلك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772"/>
      </w:r>
      <w:r>
        <w:rPr>
          <w:rFonts w:ascii="Amiri" w:hAnsi="Amiri" w:eastAsia="Amiri" w:cs="Amiri"/>
          <w:color w:val="111111"/>
          <w:sz w:val="28"/>
          <w:sz w:val="28"/>
          <w:szCs w:val="28"/>
          <w:rtl w:val="true"/>
          <w:lang w:bidi="ar-SA"/>
        </w:rPr>
        <w:t>لحرمتها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بصدق أُمّ الزّوجة عليها، لعدم اشتراط بقاء المعنى في صدق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وبمساواة الرّضاع للنَسَب، وهو يُحرّم سابقاً ولاحقاً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w:t>
      </w:r>
      <w:r>
        <w:rPr>
          <w:rStyle w:val="FootnoteAnchor"/>
          <w:rtl w:val="true"/>
        </w:rPr>
        <w:footnoteReference w:id="773"/>
      </w:r>
      <w:r>
        <w:rPr>
          <w:rFonts w:ascii="Amiri" w:hAnsi="Amiri" w:eastAsia="Amiri" w:cs="Amiri"/>
          <w:color w:val="111111"/>
          <w:sz w:val="28"/>
          <w:sz w:val="28"/>
          <w:szCs w:val="28"/>
          <w:rtl w:val="true"/>
          <w:lang w:bidi="ar-SA"/>
        </w:rPr>
        <w:t>من كون المشتقّ حقيقةً في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كون الموضوع هو أُمّ الزّوجة ولا تشمل اُمّ من كانت زوجته، وأيضاً لا نظير لها في النسب، كي يحرم مثلها في الرّضاع، واُمّ الزّوجة المطلقة إنّما تحرم لصدق اُمّ الزّوجة الفعليّة قبل الطلاق عليها، فتحرم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حرمتها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عدم الدخول بالمرضعة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خروج الصغيرة عن الزوجيّة لا تحرم أيضاً لما مرّ، ومع بقائها على زوجيّتها تكون حكم المرضعة الثانية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5" w:name="pg11825_115957"/>
    </w:p>
    <w:p>
      <w:pPr>
        <w:pStyle w:val="BookText"/>
        <w:rPr/>
      </w:pPr>
      <w:bookmarkEnd w:id="165"/>
      <w:r>
        <w:rPr>
          <w:rFonts w:ascii="Amiri" w:hAnsi="Amiri" w:eastAsia="Amiri" w:cs="Amiri"/>
          <w:color w:val="111111"/>
          <w:sz w:val="28"/>
          <w:sz w:val="28"/>
          <w:szCs w:val="28"/>
          <w:rtl w:val="true"/>
          <w:lang w:bidi="ar-SA"/>
        </w:rPr>
        <w:t>حينئذٍ حكم المرضعة الأُولى المتقدّم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الكبيرة له زوجتين صغيرتين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فرض الدخول بالكبيرة، أو كون الإرضاع بلبنه، حَرُمت الصغيرتان من غير فرقٍ بين التعاقب والدفعة، إمّا لكونهما ربيبتين دخل باُمّهما، أو لكونهما بنتيه، وحَرُمت الكبيرة لخبر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الدخول بها لا تحرم واحدةً منهنّ‌، كما يظهر ممّا ذكرناه</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1056836_73709187"/>
      <w:bookmarkStart w:id="167" w:name="_Toc55"/>
      <w:bookmarkEnd w:id="166"/>
      <w:r>
        <w:rPr>
          <w:rtl w:val="true"/>
        </w:rPr>
        <w:t>حكم مَهر الصغيرة إذا فسد نكاحها</w:t>
      </w:r>
      <w:bookmarkEnd w:id="167"/>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فسد عقد الصغيرة بالرِّضاع، فهل يَغرُم الزّوج مَهرها بتمامه مطلقاً، أم لا، ام هناك تفصيلٌ؟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كان الرّضاع بسببٍ مختصٍّ بالرضيعة، كما لو سعت إليها فامتصّت ثديها من غير شعور المرضعة،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وغيرها</w:t>
      </w:r>
      <w:r>
        <w:rPr>
          <w:rStyle w:val="FootnoteAnchor"/>
          <w:rtl w:val="true"/>
        </w:rPr>
        <w:footnoteReference w:id="780"/>
      </w:r>
      <w:r>
        <w:rPr>
          <w:rFonts w:ascii="Amiri" w:hAnsi="Amiri" w:eastAsia="Amiri" w:cs="Amiri"/>
          <w:color w:val="111111"/>
          <w:sz w:val="28"/>
          <w:sz w:val="28"/>
          <w:szCs w:val="28"/>
          <w:rtl w:val="true"/>
          <w:lang w:bidi="ar-SA"/>
        </w:rPr>
        <w:t>سقط مَهرها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المسألة، واستدلّ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استدامة استحقاق المَهر باعتبار استدامة العقد، فإذا بَطَل العقد سقط المَهر، كما في كلّ عقدٍ يتعقّبه الفسخ أو الانفساخ من طرفٍ أو طرفين يبطل تسبيبه، ومنه الإقالة والخيار المقتضيان رَدّ الثمن إلى المشتري، والمبيع إلى البائع، بل ذلك روح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سقوط المَهر في صورة الموت أو الطلاق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يلتزم هناك بعدم السقوط للنَّص الخاص</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النكاح زوجيّة الزّوجة إنّما هي مقابل زوجيّة الزّوج، والمَهر ليس مقابل الزوجيّة، ولا يكون عوضاً عن شيء، وإنّما هو منحة من الزّوج بالنسبة إلى الزّوجة، ولذا يصحّ مع خلوّه عنه، وأُطلق عليه عنوان النِحلة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فيكون من قبيل الشرط في ضمن العقد،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بطلان العقد بما يوجب حَلّه من أصله، سقط المَهر أيضاً، لبطلان الشرط ببطلان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بما يوجبُ رَفع استمراره كما في المقام، فإنّ عقد النكاح لا يبطل من أصله، بل يبطل من حين تحقّق الرّضاع، فلا وجه لسقوط المَهر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إلى هذا نظر الشهيدالثاني رحمه الله حيث وجّه ما استظهره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عدم السقوط، بأنّ المَهر وجب بالعقد والأصل يقتضي استمراره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للسقوط بأنّ الصغيرة بفعلها فوّتت البُضع الذي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سقوطه بفعل الصغيرة الذي حصل منها من غير قصدٍ وتمييز</w:t>
      </w:r>
      <w:r>
        <w:rPr>
          <w:rStyle w:val="FootnoteAnchor"/>
          <w:rtl w:val="true"/>
        </w:rPr>
        <w:footnoteReference w:id="783"/>
      </w:r>
      <w:r>
        <w:rPr>
          <w:rFonts w:ascii="Amiri" w:hAnsi="Amiri" w:eastAsia="Amiri" w:cs="Amiri"/>
          <w:color w:val="111111"/>
          <w:sz w:val="28"/>
          <w:sz w:val="28"/>
          <w:szCs w:val="28"/>
          <w:rtl w:val="true"/>
          <w:lang w:bidi="ar-SA"/>
        </w:rPr>
        <w:t>، وتبع في ذلك الشهيد الثاني رحمه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والرضيعة لا قصد لها، فكان فعلها بمنزلة عدمه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الضمان لا يعتبر القصد والتمييز، فلو أتلف مال الغير وهو نائمٌ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عِوضٌ عن استحقاق الانتفاع بالبُضع، وسائر الاستمتاعات ولو آناً مّا، ضرورة عدم مدّة معلومةٍ له كي يوزّع المَهر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ضمان المنافع غير المستوفاة، حيث أنّ الصغيرة فوّتت بُضعها على الزّوج، فتكون ضامنةً لما بإزائها وهو مهر المثل، فالمسمّى لا يسقط، وتشتغل ذمّة الرضيعة بمهر المثل،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الرّضاع بسببٍ مختصّ بالكبيرة، بأن تولّت إرضاعها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وجماعةٍ‌</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للصغيرة نصف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الجميع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88"/>
      </w:r>
      <w:r>
        <w:rPr>
          <w:rFonts w:ascii="Amiri" w:hAnsi="Amiri" w:eastAsia="Amiri" w:cs="Amiri"/>
          <w:color w:val="111111"/>
          <w:sz w:val="28"/>
          <w:sz w:val="28"/>
          <w:szCs w:val="28"/>
          <w:rtl w:val="true"/>
          <w:lang w:bidi="ar-SA"/>
        </w:rPr>
        <w:t>سقوط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فسخٌ حصل قبل الدخول ولم يسقط المَهر، لأنّه ليس من قِبل الزّوجة، فأشبه الطلاق حينئذٍ، وهو ليس إلّاقياساً ممنوعاً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استحقاقها للجميع،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الإرضاع بأمرٍ من الزّوج، لا شيء على المرضعة، وإلّا فهي ضامنة لمَهر المثل للزوج، لأنّها فوّتت عليه منفعة البُضع، وقد حُقّق في محلّه</w:t>
      </w:r>
      <w:r>
        <w:rPr>
          <w:rStyle w:val="FootnoteAnchor"/>
          <w:rtl w:val="true"/>
        </w:rPr>
        <w:footnoteReference w:id="789"/>
      </w:r>
      <w:r>
        <w:rPr>
          <w:rFonts w:ascii="Amiri" w:hAnsi="Amiri" w:eastAsia="Amiri" w:cs="Amiri"/>
          <w:color w:val="111111"/>
          <w:sz w:val="28"/>
          <w:sz w:val="28"/>
          <w:szCs w:val="28"/>
          <w:rtl w:val="true"/>
          <w:lang w:bidi="ar-SA"/>
        </w:rPr>
        <w:t>ضمان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عدم الرجوع فيها إذا كان الإرضاع واجباً عليها، لفقد من يرضعها بما يسدّ رمقها، لأنّه حينئذٍ مأمورٌ به، فلا يتعقّبه ضررُ الضمان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وجب أكلّ مال الغير حفظاً للنفس، أو وجبَ عليه إطعام من في معرض التلف، فإنّه لا شُبهة في ضمانه في الصورتين، وكذلك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الوجوب التكليفي لا ينافي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مأمورٌ بالإتلاف بعوض</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مدرك ضمانها لمَهر المثل ليس قاعدة الضرر،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اليزدي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ضمانها مع وجوب الإرضاع عليها كذلك خلاف الامتنان، فلا يمكن اثباته بقاعدة نفي الضرر التي تكون في مقام الامتنان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8" w:name="pg11825_115961"/>
    </w:p>
    <w:p>
      <w:pPr>
        <w:pStyle w:val="BookText"/>
        <w:rPr/>
      </w:pPr>
      <w:bookmarkEnd w:id="168"/>
      <w:r>
        <w:rPr>
          <w:rFonts w:ascii="Amiri" w:hAnsi="Amiri" w:eastAsia="Amiri" w:cs="Amiri"/>
          <w:color w:val="111111"/>
          <w:sz w:val="28"/>
          <w:sz w:val="28"/>
          <w:szCs w:val="28"/>
          <w:rtl w:val="true"/>
          <w:lang w:bidi="ar-SA"/>
        </w:rPr>
        <w:t>ولو أرضعتِ الأُمّ من الرِّضاعة الزّوجةَ حَرُمت، ولا تحرمُ أُمّ أُمّ الولد من الرّضاع، وإنْ حرمت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اختيار المُسلمة الوضيئة العفيفة العاقلة للرِّضاع،</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يتفرّع على الكبرى الكليّة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مثلاً رضيعةً‌،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يفسد نكاح الصغيرة برضاعها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الرّضاعة الزّوجة، 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تصير حينئذٍ اُخته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كبيرة، فأرضعت بنتها ولده من غيرها، لم تَحرُم عليه،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أُمّ اُمّ الولد من الرّضاع، وإنْ حَرُمت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جدّة الولد إذا كانت نَسَبيّة إمّا اُمّ أو اُمّ زوجة، ولا يحصل شيءٌ من العنوانين بالرّضاع، وجدّة الولد من حيث هي ليست عنواناً مستقلّاً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أرضعت زوجته ولد ولده، لا تَحرُم عليه، لأنّ أُمّ ولد الولد في النَسَب تحرمُ لكونها بنتاً أو زوجة الابن، وشيءٌ من العنوانين لا يحصل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المسائل المتصوّرة في هذا الباب كثيرة لا تنحصر، ولكن مع الضوابطالتي ذكرناها يظهر الحكم في الجميع بعد التأمّل، فلاحاجة إلى ذكرالممكن منها</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1056838_73709187"/>
      <w:bookmarkStart w:id="170" w:name="_Toc56"/>
      <w:bookmarkEnd w:id="169"/>
      <w:r>
        <w:rPr>
          <w:rtl w:val="true"/>
        </w:rPr>
        <w:t>اختيار الظئر</w:t>
      </w:r>
      <w:bookmarkEnd w:id="17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استرضع، وليّاً كان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المُسلمة الوضيئة العفيفة العاقلة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التالية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تسترضعوا الحَمقاء، فإنّ اللّبن </w:t>
      </w:r>
    </w:p>
    <w:p>
      <w:pPr>
        <w:pStyle w:val="BookText"/>
        <w:rPr/>
      </w:pPr>
      <w:r>
        <w:rPr>
          <w:rFonts w:ascii="Amiri" w:hAnsi="Amiri" w:eastAsia="Amiri" w:cs="Amiri"/>
          <w:color w:val="111111"/>
          <w:sz w:val="28"/>
          <w:sz w:val="28"/>
          <w:szCs w:val="28"/>
          <w:rtl w:val="true"/>
          <w:lang w:bidi="ar-SA"/>
        </w:rPr>
        <w:t xml:space="preserve">يُعدي، وإنّ الغلام ينزع إلى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الرعونة والحَمق</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يشبّ عليه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بن إبراهيم،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الصدوق بإسناده عن الإمام الرّضا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ولا العَمْشاء، فإنّ اللّبن يعدي</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الحسين بن علوان،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 تخيّروا للرّضاع كما تخيّرون للنكاح، فإنّ الرّضاع يغيّر الطّباع</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استحباب اختيار العفيفة للنكاح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بالوضاء من الظؤرة، فإنّ اللّبن يُعدي</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والنصرانيّة والمجوسيّة أحبّ إليّ من لبن وَلد الزِّنا</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وهو بالفحوى يدلّ على أنّ الأولى عدم اختيار اليهوديّة واُختيها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النصوص المستفاد منها رجحان اختيار المتّصفة بالزائد من الأوصاف الحسنة المذكورة، ومرجوحيّة اختيار المتّصفة بأضدادها في الخَلق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إلى اختيار غير المسلمة، استرضعت الذّميّة، وانتفت حينئذٍ الكراهة، كما ورد التنويه لذلك في حسن عبداللّه بن هلال،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مظائرة المجوسيّة‌؟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أهل الكتاب</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ويمنعها من شُرب الخمر ولحم الخنزير لو استرضعها، لصحيح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دفع ولده إلى ظئرٍ يهوديّة أو نصرانيّة أو مجوسيّة ترضعه في بيتها أو ترضعه في بيته‌؟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ترضعه لك اليهوديّة والنصرانيّة في بيتك، وتمنعها من شُرب الخمر وما لا يحلّ مثل لحم الخنزير، ولا يذهبنّ بولدك إلى بيوتهنّ‌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الزانية لا ترضع ولدك فإنّه لا يحلّ لك، والمجوسيّة لا ترضع لك ولدك، إلّاأن تضطرّ إليها</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1" w:name="pg11825_115964"/>
    </w:p>
    <w:p>
      <w:pPr>
        <w:pStyle w:val="BookText"/>
        <w:rPr/>
      </w:pPr>
      <w:bookmarkEnd w:id="171"/>
      <w:r>
        <w:rPr>
          <w:rFonts w:ascii="Amiri" w:hAnsi="Amiri" w:eastAsia="Amiri" w:cs="Amiri"/>
          <w:color w:val="111111"/>
          <w:sz w:val="28"/>
          <w:sz w:val="28"/>
          <w:szCs w:val="28"/>
          <w:rtl w:val="true"/>
          <w:lang w:bidi="ar-SA"/>
        </w:rPr>
        <w:t>وبه يظهر كراهة تمكينها من حَمل الولد إلى منزلها، وأشديّة كراهة استرضاع المجوسيّة وولد الزِّنا</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1056840_73709187"/>
      <w:bookmarkStart w:id="173" w:name="_Toc57"/>
      <w:bookmarkEnd w:id="172"/>
      <w:r>
        <w:rPr>
          <w:rtl w:val="true"/>
        </w:rPr>
        <w:t>ما يثبت به الرِّضاع</w:t>
      </w:r>
      <w:bookmarkEnd w:id="17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بالعلم، لأنّه حجّة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وبالاطمئنان الذي هو حجّة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وبشهادة العدلين، لما دلّ على حجيّتها في الموضوعات عموماً، بل وبشهادة العَدل الواحد بل الثقة، بناءً على ما هو المختار من حجيّة خبر الثقة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المرضعة وحدها بالرّضاع،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كالموثّق بابن بُكير 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أرضعت غلاماً وجارية‌؟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صالح بن عبداللّه الخَثعمي، عن أبي الحسن موسى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ولدٍلي صدوقٍ زَعَمتْ أنّها أرضعت جاريةًلي، أُصدّقها؟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تزعم أنّها أرضعت المرأة والغلام، ثمّ تَنكر بعد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إذا أنكرت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 وادّعت بعدُ بأنّي قد أرضعتها؟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ولا تنعم</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تقبل شهادة غيرها من النساء، كما عن المفيد</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والديلمي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والشيخ في موضع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والمصنّف رحمه الله</w:t>
      </w:r>
      <w:r>
        <w:rPr>
          <w:rStyle w:val="FootnoteAnchor"/>
          <w:rtl w:val="true"/>
        </w:rPr>
        <w:footnoteReference w:id="805"/>
      </w:r>
      <w:r>
        <w:rPr>
          <w:rFonts w:ascii="Amiri" w:hAnsi="Amiri" w:eastAsia="Amiri" w:cs="Amiri"/>
          <w:color w:val="111111"/>
          <w:sz w:val="28"/>
          <w:sz w:val="28"/>
          <w:szCs w:val="28"/>
          <w:rtl w:val="true"/>
          <w:lang w:bidi="ar-SA"/>
        </w:rPr>
        <w:t>، والمحقّق</w:t>
      </w:r>
      <w:r>
        <w:rPr>
          <w:rStyle w:val="FootnoteAnchor"/>
          <w:rtl w:val="true"/>
        </w:rPr>
        <w:footnoteReference w:id="806"/>
      </w:r>
      <w:r>
        <w:rPr>
          <w:rFonts w:ascii="Amiri" w:hAnsi="Amiri" w:eastAsia="Amiri" w:cs="Amiri"/>
          <w:color w:val="111111"/>
          <w:sz w:val="28"/>
          <w:sz w:val="28"/>
          <w:szCs w:val="28"/>
          <w:rtl w:val="true"/>
          <w:lang w:bidi="ar-SA"/>
        </w:rPr>
        <w:t>، والشهيدين</w:t>
      </w:r>
      <w:r>
        <w:rPr>
          <w:rStyle w:val="FootnoteAnchor"/>
          <w:rtl w:val="true"/>
        </w:rPr>
        <w:footnoteReference w:id="807"/>
      </w:r>
      <w:r>
        <w:rPr>
          <w:rFonts w:ascii="IRNazanin" w:hAnsi="IRNazanin" w:eastAsia="IRNazanin"/>
          <w:color w:val="111111"/>
          <w:sz w:val="28"/>
          <w:sz w:val="28"/>
          <w:szCs w:val="28"/>
          <w:rtl w:val="true"/>
          <w:lang w:bidi="fa-IR"/>
        </w:rPr>
        <w:t>، وفخر الإسلام</w:t>
      </w:r>
      <w:r>
        <w:rPr>
          <w:rStyle w:val="FootnoteAnchor"/>
          <w:rtl w:val="true"/>
        </w:rPr>
        <w:footnoteReference w:id="808"/>
      </w:r>
      <w:r>
        <w:rPr>
          <w:rFonts w:ascii="Amiri" w:hAnsi="Amiri" w:eastAsia="Amiri" w:cs="Amiri"/>
          <w:color w:val="111111"/>
          <w:sz w:val="28"/>
          <w:sz w:val="28"/>
          <w:szCs w:val="28"/>
          <w:rtl w:val="true"/>
          <w:lang w:bidi="ar-SA"/>
        </w:rPr>
        <w:t>، والصيمري</w:t>
      </w:r>
      <w:r>
        <w:rPr>
          <w:rStyle w:val="FootnoteAnchor"/>
          <w:rtl w:val="true"/>
        </w:rPr>
        <w:footnoteReference w:id="809"/>
      </w:r>
      <w:r>
        <w:rPr>
          <w:rFonts w:ascii="Amiri" w:hAnsi="Amiri" w:eastAsia="Amiri" w:cs="Amiri"/>
          <w:color w:val="111111"/>
          <w:sz w:val="28"/>
          <w:sz w:val="28"/>
          <w:szCs w:val="28"/>
          <w:rtl w:val="true"/>
          <w:lang w:bidi="ar-SA"/>
        </w:rPr>
        <w:t>وغيرهم من سائر المتأخّرين</w:t>
      </w:r>
      <w:r>
        <w:rPr>
          <w:rStyle w:val="FootnoteAnchor"/>
          <w:rtl w:val="true"/>
        </w:rPr>
        <w:footnoteReference w:id="810"/>
      </w:r>
      <w:r>
        <w:rPr>
          <w:rFonts w:ascii="Amiri" w:hAnsi="Amiri" w:eastAsia="Amiri" w:cs="Amiri"/>
          <w:color w:val="111111"/>
          <w:sz w:val="28"/>
          <w:sz w:val="28"/>
          <w:szCs w:val="28"/>
          <w:rtl w:val="true"/>
          <w:lang w:bidi="ar-SA"/>
        </w:rPr>
        <w:t>بل عليه عامّتهم‌؟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لاتقبل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وموضع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Pr>
        <w:footnoteReference w:id="81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والحِلّي</w:t>
      </w:r>
      <w:r>
        <w:rPr>
          <w:rStyle w:val="FootnoteAnchor"/>
          <w:rtl w:val="true"/>
        </w:rPr>
        <w:footnoteReference w:id="813"/>
      </w:r>
      <w:r>
        <w:rPr>
          <w:rFonts w:ascii="Amiri" w:hAnsi="Amiri" w:eastAsia="Amiri" w:cs="Amiri"/>
          <w:color w:val="111111"/>
          <w:sz w:val="28"/>
          <w:sz w:val="28"/>
          <w:szCs w:val="28"/>
          <w:rtl w:val="true"/>
          <w:lang w:bidi="ar-SA"/>
        </w:rPr>
        <w:t>، وابن سعيد</w:t>
      </w:r>
      <w:r>
        <w:rPr>
          <w:rStyle w:val="FootnoteAnchor"/>
          <w:rtl w:val="true"/>
        </w:rPr>
        <w:footnoteReference w:id="81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وعن الشهيد الثاني</w:t>
      </w:r>
      <w:r>
        <w:rPr>
          <w:rStyle w:val="FootnoteAnchor"/>
          <w:rtl w:val="true"/>
        </w:rPr>
        <w:footnoteReference w:id="816"/>
      </w:r>
      <w:r>
        <w:rPr>
          <w:rFonts w:ascii="Amiri" w:hAnsi="Amiri" w:eastAsia="Amiri" w:cs="Amiri"/>
          <w:color w:val="111111"/>
          <w:sz w:val="28"/>
          <w:sz w:val="28"/>
          <w:szCs w:val="28"/>
          <w:rtl w:val="true"/>
          <w:lang w:bidi="ar-SA"/>
        </w:rPr>
        <w:t xml:space="preserve">نسبته 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نسبته إلى الشيخ وأكثر أتباعه‌؟</w:t>
      </w:r>
    </w:p>
    <w:p>
      <w:pPr>
        <w:pStyle w:val="BookText"/>
        <w:rPr/>
      </w:pPr>
      <w:r>
        <w:rPr>
          <w:rFonts w:ascii="IRNazanin" w:hAnsi="IRNazanin" w:eastAsia="IRNazanin"/>
          <w:color w:val="111111"/>
          <w:sz w:val="28"/>
          <w:sz w:val="28"/>
          <w:szCs w:val="28"/>
          <w:rtl w:val="true"/>
          <w:lang w:bidi="fa-IR"/>
        </w:rPr>
        <w:t>وجهان، أظهرهما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لكثيرٍ من النصوص الدالّة على قبول شهادة النساء فيما لا يجوز للرِّجال النظر إليه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ولمفهوم مرسل ابن بُكير، فإنّ مقتضى إطلاقه الشمول لما إذا كان الغير اُنثى‌، لو لم يكن ظاهراً في إرادة الاُنثى‌، نظراً إلى أنّ الرّجل إنْ لم ينظر إليها وإلى ثَديها لا يقدر أن يشهد بالرّضاع، وإنْ نظر إليها لا تُقبل شهادته للفِسق،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الثاني من نسبته إلى رواياتِ الأصحاب، وإرسالها بالنسبة إلينا ينجبرُ بالشهرة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المتقدّمة الدالّة على‌عدم قبول شهادة المُرضعة بإلغاءالخصوصيّة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بذهاب المعظم إلى خلافه، حتّى مدّعيه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يكون نظره الشريف إلى النصوص المتقدّمة، وستعرف ما في الاستدلال بها، إذ من المستبعد جدّاً عثوره على روايات لم يعثر عليها أحدٌ قبله ولا بعده ولا نُقلت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لإلغاء الخصوصيّة بعد احتمال خصوصيّة المورد، وعدم العلم بالمناط، سيّما مع قوله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غيرها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فالمتحصّل أنّ الأظهر هو القبول</w:t>
      </w:r>
      <w:r>
        <w:rPr>
          <w:rFonts w:eastAsia="Amiri" w:cs="Amiri" w:ascii="Amiri" w:hAnsi="Amiri"/>
          <w:color w:val="111111"/>
          <w:sz w:val="28"/>
          <w:szCs w:val="28"/>
          <w:rtl w:val="true"/>
          <w:lang w:bidi="ar-SA"/>
        </w:rPr>
        <w:t>.</w:t>
      </w:r>
      <w:bookmarkStart w:id="174" w:name="pg11825_115968"/>
    </w:p>
    <w:p>
      <w:pPr>
        <w:pStyle w:val="BookText"/>
        <w:rPr/>
      </w:pPr>
      <w:bookmarkEnd w:id="17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ويثبتُ به التحريم المؤبّد،</w:t>
      </w:r>
    </w:p>
    <w:p>
      <w:pPr>
        <w:pStyle w:val="Heading2"/>
        <w:numPr>
          <w:ilvl w:val="1"/>
          <w:numId w:val="1"/>
        </w:numPr>
        <w:rPr/>
      </w:pPr>
      <w:bookmarkStart w:id="175" w:name="__RefHeading___Toc11056842_73709187"/>
      <w:bookmarkStart w:id="176" w:name="_Toc58"/>
      <w:bookmarkEnd w:id="175"/>
      <w:r>
        <w:rPr>
          <w:rtl w:val="true"/>
        </w:rPr>
        <w:t>من أسباب التحريم اللِّعان</w:t>
      </w:r>
      <w:bookmarkEnd w:id="176"/>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لاعَن، وربما استعمل جمعاً،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من الخير</w:t>
      </w:r>
      <w:r>
        <w:rPr>
          <w:rStyle w:val="FootnoteAnchor"/>
          <w:rtl w:val="true"/>
        </w:rPr>
        <w:footnoteReference w:id="819"/>
      </w:r>
      <w:r>
        <w:rPr>
          <w:rFonts w:ascii="Amiri" w:hAnsi="Amiri" w:eastAsia="Amiri" w:cs="Amiri"/>
          <w:color w:val="111111"/>
          <w:sz w:val="28"/>
          <w:sz w:val="28"/>
          <w:szCs w:val="28"/>
          <w:rtl w:val="true"/>
          <w:lang w:bidi="ar-SA"/>
        </w:rPr>
        <w:t>، والاسم اللّعنة،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بين الزوجين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الكتاب الكريم،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عَلَيْها إِنْ كانَ مِنَ اَلصّادِقِينَ‌</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821"/>
      </w:r>
      <w:r>
        <w:rPr>
          <w:rFonts w:ascii="Amiri" w:hAnsi="Amiri" w:eastAsia="Amiri" w:cs="Amiri"/>
          <w:color w:val="111111"/>
          <w:sz w:val="28"/>
          <w:sz w:val="28"/>
          <w:szCs w:val="28"/>
          <w:rtl w:val="true"/>
          <w:lang w:bidi="ar-SA"/>
        </w:rPr>
        <w:t>الواردة في بيان مورد نزول الآية الكريمة وغيرها، والإجماع، وسيأتي تنقيح القول فيه، وفي أركانه وأحكامه في الفصل السابع من كتاب الفراق عند تعرّض المصنّف رحمه الله لها مفصّلاً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في المقام بيان أنّه إذا تحقّق اللِّعان الواجد للأجزاء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به التحريم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تحريم الملاعنة على الملاعن تحريماً مؤبّداً، </w:t>
      </w:r>
    </w:p>
    <w:p>
      <w:pPr>
        <w:pStyle w:val="BookText"/>
        <w:rPr/>
      </w:pPr>
      <w:r>
        <w:rPr>
          <w:rFonts w:ascii="Amiri" w:hAnsi="Amiri" w:eastAsia="Amiri" w:cs="Amiri"/>
          <w:color w:val="111111"/>
          <w:sz w:val="28"/>
          <w:sz w:val="28"/>
          <w:szCs w:val="28"/>
          <w:rtl w:val="true"/>
          <w:lang w:bidi="ar-SA"/>
        </w:rPr>
        <w:t>وكذا قذفُ الزّوج امرأته الصَّماء أو الخَرساء،</w:t>
      </w:r>
    </w:p>
    <w:p>
      <w:pPr>
        <w:pStyle w:val="BookText"/>
        <w:rPr/>
      </w:pPr>
      <w:r>
        <w:rPr>
          <w:rFonts w:ascii="Amiri" w:hAnsi="Amiri" w:eastAsia="Amiri" w:cs="Amiri"/>
          <w:color w:val="111111"/>
          <w:sz w:val="28"/>
          <w:sz w:val="28"/>
          <w:szCs w:val="28"/>
          <w:rtl w:val="true"/>
          <w:lang w:bidi="ar-SA"/>
        </w:rPr>
        <w:t>والظاهر أنّه لا خلاف في ذلك ولا إشكال، بل عليه الإجماع في كلمات جماعة</w:t>
      </w:r>
      <w:r>
        <w:rPr>
          <w:rStyle w:val="FootnoteAnchor"/>
          <w:rtl w:val="true"/>
        </w:rPr>
        <w:footnoteReference w:id="822"/>
      </w:r>
      <w:r>
        <w:rPr>
          <w:rFonts w:ascii="Amiri" w:hAnsi="Amiri" w:eastAsia="Amiri" w:cs="Amiri"/>
          <w:color w:val="111111"/>
          <w:sz w:val="28"/>
          <w:sz w:val="28"/>
          <w:szCs w:val="28"/>
          <w:rtl w:val="true"/>
          <w:lang w:bidi="ar-SA"/>
        </w:rPr>
        <w:t>، 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يقذف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 ثمّ يفرّق بينهما فلا تحلّ له أبداً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التحريم المؤبّد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الزّوج امرأته الصَّماء أو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يرميها بالزّنا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قَذف امرأته بالزّنا وهي خَرساء صمّاء لا تسمعُ ما قال‌؟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بيّنة تشهد له عند الإمام جُلد الحَدّ، وفُرِّق بينها وبينه، ثمّ لا تحلّ له أبداً، وإنْ لم يكن لها بيّنة فهي حرامٌ عليه ما أقام معها، ولا إثم عليها منه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وهي خَرساء؟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مروان،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الخَرساء، كيف يلاعنهازوجها؟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بينهماولاتحلّله أبداً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المتن ومثله كلامُ الأكثر من جهة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الاكتفاء بأحد الوصفين في ثبوت الحكم، بل هوفي معقدإجماعي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الإشكال في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الاكتفاء بالخَرس وحده لإطلاق الخبرين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مرويٌّ تارةً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بدونها، لا ينافي الإطلاق، لعدم حمل المطلق على المقيّد في غير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الاكتفاء به وحده، إلّاعلى تقدير أرجحيّة 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على تركها، والظاهر أنّه كذلك، فإنّه إذا دار الأمر بين الزيادة والنقيصة يُبنى على الثانية، وفي المقام يدور الأمر بين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ونقصها فيُبنى على وجودها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الأخيرين سببيّة الخَرس وحده لثبوت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وعليه فذكر الصَّمم في خبر أبي بصير لابدّ وأن يكون إمّا لكونه أيضاً سبباً له أو لغواً، ولا ثالث، إذ احتمال الإطلاق في سببيّة الخَرس، وتقييد سببيّة الصَّمم به لايرجع إلى محصّل، والثاني خلافُ ظاهر السؤال، سيّما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مدخليّته في الحكم،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الاكتفاء بكلّ واحدٍ من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ظهر وجه إشكال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الصَّماء وضعفه، كما ظهر أنّ وجهه ليس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عدم اختصاص الحكم بالخَرس والصَّمم الخَلقيين، وثبوته الحكم في العارضيّ منهما، وغاية ما قيل في وجه الاختصاص إنّ ظاهر خبر أبي بصير اعتبار الأمرين، وظاهر الأخيرين سببيّة الخرس وحده، والجمع بينهما إنّما يكون باختصاصه بالخَلقيين، للتلازم بين الخَرس الخَلقي والصَّمم،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استجود القول بالاختصاص، إنْ لم يكن إجماعٌ على خلافه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832"/>
      </w:r>
      <w:r>
        <w:rPr>
          <w:rFonts w:ascii="Amiri" w:hAnsi="Amiri" w:eastAsia="Amiri" w:cs="Amiri"/>
          <w:color w:val="111111"/>
          <w:sz w:val="28"/>
          <w:sz w:val="28"/>
          <w:szCs w:val="28"/>
          <w:rtl w:val="true"/>
          <w:lang w:bidi="ar-SA"/>
        </w:rPr>
        <w:t>بأنّ القذف الموجب للحرمة الأبديّة هو ما يوجب اللِّعان لولا الآفة، بأنْ يرميها بالزِّنا مع دعوى المشاهدة وعدم البينة، فلا حُرمة مع عدمهما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الإجماع المحكيّ على القيد، لكان إطلاق التحريم متّجهاً، تبعاً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الاختصاص بهذا الإجماع المدّعى، وبإشعار الخبر الثالث، بأنّ التفرقة المزبورة هي اللِّعان بينهما، بل لعلّ السؤال في الخبرين الأوّلين مبنيٌ على ذلك، بمعنى أنّ الخَرساء والصّماء التي لا لعان معها باعتبار الخرس والصَّمم إذا قذفها زوجها كيف الحكم فأجاب بما عرفتَ‌،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وهذاهوالمناسب لقاعدة الاقتصارعلى المتيقّن فيماخالف الأصل والعمومات</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ليس بحجّة، أضف إليه معارضته بخلوّ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وذِكْره متّصلاً بحكم الملاعنة لا يدلّ على اعتبار ما يعتبر فيها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وإشعار الخبر الثالث لو سُلّم، لا يكون حجّة موجباً لتقييد الإطلاق، مع أنّ للمنع عنه مجالاً، لأنّ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يُلاعنها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كلام السائل لا المعصوم عليه السلام، أضف إليه أنّه مرويٌّ بطريقٍ آخر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الخرساء يقذفها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الاقتصار على المتيقّن إنّما هي في صورة عدم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أنّه يختصّ الحكم بالقذف، فلا يَلحق به نفي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قوله في 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لأنّ معناه أنّه إذا حصل سبب اللِّعان في غيرها معها كيف يلاعنها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لمحمّد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مرويٌّ بنحوٍ آخر تقدّم، والظاهر أنّه الصحيح، فإنّه على هذا النحو المذكور لا يرتبط الجواب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الصدوق رحمه الله القول بثبوت هذا الحكم لو قَذفت الزّوجة الزّوج الأخرس أو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لكون المرسل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قذفتْ زوجَها وهو أصمّ؟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وبينه ولا تحِلّ له أبداً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الحكم من أحكام اللِّعان بين الزّوجة والزّوج، وإنّما هو في قذف الزّوج للزوجة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اجتهادٌ في مقابل النّص، مع أنّه قد عرفت عدم كونه منها، والخبر وإنْ اختصَّ بالأصمّ‌، إلّاأنّه يلحق به الأخرس بعدم القول بالفصل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يورد على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بإعراض المشهور عنه، ولنِعمَ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المعتضد بالشهرة العظيمة بين الأصحاب، التي كادت تكون إجماعاً، أوجب المصير إلى طرحه، مضافاً إلى أنّ الموجب لاعتبار السند هو إجماع العصابة المحكيّ‌، وفيه وهنٌ بالنظر إلى المقام، لمصير المعظم إلى الخلاف، إلّاأنّ العمل به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bookmarkStart w:id="177" w:name="pg11825_115975"/>
    </w:p>
    <w:p>
      <w:pPr>
        <w:pStyle w:val="BookText"/>
        <w:rPr/>
      </w:pPr>
      <w:bookmarkEnd w:id="17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ولا يجوزُ للمسلم أن ينكح غير الكتابيّة إجماعاً، وفيها</w:t>
      </w:r>
    </w:p>
    <w:p>
      <w:pPr>
        <w:pStyle w:val="Heading2"/>
        <w:numPr>
          <w:ilvl w:val="1"/>
          <w:numId w:val="1"/>
        </w:numPr>
        <w:rPr/>
      </w:pPr>
      <w:bookmarkStart w:id="178" w:name="__RefHeading___Toc11056844_73709187"/>
      <w:bookmarkStart w:id="179" w:name="_Toc59"/>
      <w:bookmarkEnd w:id="178"/>
      <w:r>
        <w:rPr>
          <w:rtl w:val="true"/>
        </w:rPr>
        <w:t>نكاح الكتابيّة</w:t>
      </w:r>
      <w:bookmarkEnd w:id="179"/>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لمسلمٍ أن ينكح غير الكتابيّة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فضلاً عن المؤمنين، والكتاب والسُّنة الآتيان شاهدان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الكتابيّة فأقوالٌ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التحريم مطلقاً، وهو مذهب المرتضى</w:t>
      </w:r>
      <w:r>
        <w:rPr>
          <w:rStyle w:val="FootnoteAnchor"/>
          <w:rtl w:val="true"/>
        </w:rPr>
        <w:footnoteReference w:id="838"/>
      </w:r>
      <w:r>
        <w:rPr>
          <w:rFonts w:ascii="Amiri" w:hAnsi="Amiri" w:eastAsia="Amiri" w:cs="Amiri"/>
          <w:color w:val="111111"/>
          <w:sz w:val="28"/>
          <w:sz w:val="28"/>
          <w:szCs w:val="28"/>
          <w:rtl w:val="true"/>
          <w:lang w:bidi="ar-SA"/>
        </w:rPr>
        <w:t>، والشيخ</w:t>
      </w:r>
      <w:r>
        <w:rPr>
          <w:rStyle w:val="FootnoteAnchor"/>
          <w:rtl w:val="true"/>
        </w:rPr>
        <w:footnoteReference w:id="839"/>
      </w:r>
      <w:r>
        <w:rPr>
          <w:rFonts w:ascii="Amiri" w:hAnsi="Amiri" w:eastAsia="Amiri" w:cs="Amiri"/>
          <w:color w:val="111111"/>
          <w:sz w:val="28"/>
          <w:sz w:val="28"/>
          <w:szCs w:val="28"/>
          <w:rtl w:val="true"/>
          <w:lang w:bidi="ar-SA"/>
        </w:rPr>
        <w:t>في أحد قوليه، والمفيد</w:t>
      </w:r>
      <w:r>
        <w:rPr>
          <w:rStyle w:val="FootnoteAnchor"/>
          <w:rtl w:val="true"/>
        </w:rPr>
        <w:footnoteReference w:id="840"/>
      </w:r>
      <w:r>
        <w:rPr>
          <w:rFonts w:ascii="Amiri" w:hAnsi="Amiri" w:eastAsia="Amiri" w:cs="Amiri"/>
          <w:color w:val="111111"/>
          <w:sz w:val="28"/>
          <w:sz w:val="28"/>
          <w:szCs w:val="28"/>
          <w:rtl w:val="true"/>
          <w:lang w:bidi="ar-SA"/>
        </w:rPr>
        <w:t>كذلك، والحِلّي</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مطلقاً، وهو المنسوب إلى الصدوقين</w:t>
      </w:r>
      <w:r>
        <w:rPr>
          <w:rStyle w:val="FootnoteAnchor"/>
          <w:rtl w:val="true"/>
        </w:rPr>
        <w:footnoteReference w:id="842"/>
      </w:r>
      <w:r>
        <w:rPr>
          <w:rFonts w:ascii="Amiri" w:hAnsi="Amiri" w:eastAsia="Amiri" w:cs="Amiri"/>
          <w:color w:val="111111"/>
          <w:sz w:val="28"/>
          <w:sz w:val="28"/>
          <w:szCs w:val="28"/>
          <w:rtl w:val="true"/>
          <w:lang w:bidi="ar-SA"/>
        </w:rPr>
        <w:t>، وابن أبي عقيل</w:t>
      </w:r>
      <w:r>
        <w:rPr>
          <w:rStyle w:val="FootnoteAnchor"/>
          <w:rtl w:val="true"/>
        </w:rPr>
        <w:footnoteReference w:id="843"/>
      </w:r>
      <w:r>
        <w:rPr>
          <w:rFonts w:ascii="IRNazanin" w:hAnsi="IRNazanin" w:eastAsia="IRNazanin"/>
          <w:color w:val="111111"/>
          <w:sz w:val="28"/>
          <w:sz w:val="28"/>
          <w:szCs w:val="28"/>
          <w:rtl w:val="true"/>
          <w:lang w:bidi="fa-IR"/>
        </w:rPr>
        <w:t xml:space="preserve">،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نكاحها متعةً اختياراً ودائماً اضطراراً، وهو مذهب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وابن حمزة</w:t>
      </w:r>
      <w:r>
        <w:rPr>
          <w:rStyle w:val="FootnoteAnchor"/>
          <w:rtl w:val="true"/>
        </w:rPr>
        <w:footnoteReference w:id="846"/>
      </w:r>
      <w:r>
        <w:rPr>
          <w:rFonts w:ascii="IRNazanin" w:hAnsi="IRNazanin" w:eastAsia="IRNazanin"/>
          <w:color w:val="111111"/>
          <w:sz w:val="28"/>
          <w:sz w:val="28"/>
          <w:szCs w:val="28"/>
          <w:rtl w:val="true"/>
          <w:lang w:bidi="fa-IR"/>
        </w:rPr>
        <w:t>وابن البرّاج</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العقد بحال، وجواز مِلك اليمين، نُقل عن الشيخ في أحد قوليه</w:t>
      </w:r>
      <w:r>
        <w:rPr>
          <w:rStyle w:val="FootnoteAnchor"/>
          <w:rtl w:val="true"/>
        </w:rPr>
        <w:footnoteReference w:id="848"/>
      </w:r>
      <w:r>
        <w:rPr>
          <w:rFonts w:ascii="Amiri" w:hAnsi="Amiri" w:eastAsia="Amiri" w:cs="Amiri"/>
          <w:color w:val="111111"/>
          <w:sz w:val="28"/>
          <w:sz w:val="28"/>
          <w:szCs w:val="28"/>
          <w:rtl w:val="true"/>
          <w:lang w:bidi="ar-SA"/>
        </w:rPr>
        <w:t>، ونسب إلى المفيد رحمه الله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المتعة ومِلْك اليمين وتحريم الدوام، وهو المشهور بين المتأخّرين، واختاره أبو الصَّلاح</w:t>
      </w:r>
      <w:r>
        <w:rPr>
          <w:rStyle w:val="FootnoteAnchor"/>
          <w:rtl w:val="true"/>
        </w:rPr>
        <w:footnoteReference w:id="850"/>
      </w:r>
      <w:r>
        <w:rPr>
          <w:rFonts w:ascii="Amiri" w:hAnsi="Amiri" w:eastAsia="Amiri" w:cs="Amiri"/>
          <w:color w:val="111111"/>
          <w:sz w:val="28"/>
          <w:sz w:val="28"/>
          <w:szCs w:val="28"/>
          <w:rtl w:val="true"/>
          <w:lang w:bidi="ar-SA"/>
        </w:rPr>
        <w:t xml:space="preserve">، وهو ظاهر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نكاحها مطلقاً اختياراً، أو تجويزه مطلقاً اضطراراً، وتجويز الوطء بملك اليمين، نَسبه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الجُنيد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من هذه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القول الأوّل والخامس، وتنقيح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الكتاب نفسه مع قطع النظر عن النصوص، وقد استدلّ للمنع تارةً وللجواز أُخرى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بهذه الآية على المنع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أنّها تدلّ على عدم جواز نكاح المشركة مطلقاً، والكتابيّة مشركة، وقد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 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 وَ قالَتِ اَلنَّصارى اَلْمَسِيحُ اِبْنُ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تعليق المنع على الغاية التي هي الإيمان، يدلّ على اشتراطه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تعقيب النهي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يَدْعُونَ إِلَى اَلنّارِ وَ اَللّهُ يَدْعُوا إِلَى اَلْجَنَّةِ‌</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يقتضي كونه علّة للمنع، لأنّ الزوجين ربما أخذ أحدهما من دين صاحبه، فيدعو ذلك إلى دخول النار، وهذا المعنى مطّردٌ في جميع أقسام الكفر، ولا اختصاص له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الشرك في إطلاق الشرع غير أهل الكتاب، كما يؤيّده عطف المشركين على أهل الكتاب وبالعكس في 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 لاَ اَلْمُشْرِكِينَ‌</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ينافي اعتقادهم ما يوجبُ الشِّرك، كما لا ينافي عدم كون المؤمن الموحّد العامل لغير اللّه مشركاً، ما دلّ على أنّ من أشرك مع اللّه غيره في عملٍ لم يقبله</w:t>
      </w:r>
      <w:r>
        <w:rPr>
          <w:rStyle w:val="FootnoteAnchor"/>
          <w:rtl w:val="true"/>
        </w:rPr>
        <w:footnoteReference w:id="857"/>
      </w:r>
      <w:r>
        <w:rPr>
          <w:rFonts w:ascii="Amiri" w:hAnsi="Amiri" w:eastAsia="Amiri" w:cs="Amiri"/>
          <w:color w:val="111111"/>
          <w:sz w:val="28"/>
          <w:sz w:val="28"/>
          <w:szCs w:val="28"/>
          <w:rtl w:val="true"/>
          <w:lang w:bidi="ar-SA"/>
        </w:rPr>
        <w:t>، وكذا كون غير المؤمن من أصناف المسلمين غير مشركٍ ما تضمّن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ديناً غير دين المؤمنين فهو مشركٌ‌</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الكتابي،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غايةً‌، لم يثبت كون المراد به الإسلام، بل الظاهر منه إرادة الإيمان باللّه تعالى‌، وكون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يَدْعُونَ‌</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علّةً للمنع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الشريفة الاُولى لا تدلّ على المنع من نكاح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استدلّ به للمنع عن نكاحها،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يعتصم به من عقدٍ أو ملك، فإنّ المرأة بالنكاح تُعصم من غير زوجها،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نهي المؤمنين على المقام على نكاح الكافرات، ومتى ثبت انقطاعُ العصمة السابقة بالنكاح السابق، لزم منه عدم تأثير اللّاحق بل لعلّه أولى‌، والكافرة تشمل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بالإجماع</w:t>
      </w:r>
      <w:r>
        <w:rPr>
          <w:rStyle w:val="FootnoteAnchor"/>
          <w:rtl w:val="true"/>
        </w:rPr>
        <w:footnoteReference w:id="861"/>
      </w:r>
      <w:r>
        <w:rPr>
          <w:rFonts w:ascii="Amiri" w:hAnsi="Amiri" w:eastAsia="Amiri" w:cs="Amiri"/>
          <w:color w:val="111111"/>
          <w:sz w:val="28"/>
          <w:sz w:val="28"/>
          <w:szCs w:val="28"/>
          <w:rtl w:val="true"/>
          <w:lang w:bidi="ar-SA"/>
        </w:rPr>
        <w:t>يبقى النكاح إذا أسلم زوج الذّميّة دونها، وإنْ اختلفوا في جواز نكاحها ابتداءً‌، ومع انتفاء حكم الأصل، وتعيّن حمل الآية على الحكم التنزيهي في مورده، لا تُجدي أولويّة المنع عن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اَلْمُؤْمِناتِ وَ اَلْمُحْصَناتُ مِنَ اَلَّذِينَ أُوتُوا اَلْكِتابَ مِنْ قَبْلِكُمْ إِذا آتَيْتُمُوهُنَّ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أُجُورَهُنَّ مُحْصِنِينَ غَيْرَ مُسافِحِينَ‌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الآية الكريمة تدلّ على جواز نكاح الكتابيّة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العوض للمؤجّل، فإنّه يُسمّى في النكاح الدائم صداقاً ونِحلةً وفَرضاً، فتختصّ الآية الكريمة بالمؤجّل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ذلك، وقد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مطلق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أَنْ تَنْكِحُوهُنَّ إِذا آتَيْتُمُوهُنَّ أُجُورَهُنَّ‌</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 آتُوهُنَّ أُجُورَهُنَّ‌</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في المقام بآياتٍ اُخر، لأجل عدم ظهورها في الجواز ولا في المنع،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أغمضنا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الآيتين الأولتين على المنع، وسلّمنا دلالتهما عليه، حيث إنّهما شاملتان للكتابيّة وغيرها، والآية الأخيرة مختصّة بالكتابيّة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قاعدة حَمل المطلق على المقيّد، تقييد إطلاقهما بها لا نسخها بهما، فإنّه في صورة تقدّم الخاص على العام بنينا على الالتزام بالتخصيص لا النسخ، فضلاً عن صورة التأخّر كما في المقام، فإنّ الآية الأخيرة في سورة المائدة وهي آخر سورة نَزلت على رسول اللّه صلى الله عليه و آله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إنّسورة المائدة آخرالقرآن نزولاً، فأحلّوا حلالهاو حَرِّموا حرامها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آخر ما نزل عليه سورة المائدة التي نَسخت ما قبلها ولم يَنسخها شيءٌ‌</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الآيات بأنفسها جواز نكاح الكتابيّة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الواردة في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إنّهاتقتضي المنع، لدلالة جملةٍمن النصوص علينَسخ آية الحِلّبالأولتين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تزوّج نصرانيّة على مسلمة‌؟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وماقولي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فإنّذلك يعلم به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ولا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ثمّسكت</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قوله عزّ وجلّ‌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نكاح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تحريمه‌؟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منسوخٌ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نسختها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أحلَّ اللّه نساء أهل الكتاب للمسلمين إذا كان في نساء المسلمين قلّة، فلمّا كَثُرت المسلمات،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النصوص ضعيفة، سوى الأولين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درست الواسطي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 وكذا خبر الطبرسي، مضافاً إلى ضعف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أحمد بن محمّد السياري</w:t>
      </w:r>
      <w:r>
        <w:rPr>
          <w:rStyle w:val="FootnoteAnchor"/>
          <w:rtl w:val="true"/>
        </w:rPr>
        <w:footnoteReference w:id="882"/>
      </w:r>
      <w:r>
        <w:rPr>
          <w:rFonts w:ascii="Amiri" w:hAnsi="Amiri" w:eastAsia="Amiri" w:cs="Amiri"/>
          <w:color w:val="111111"/>
          <w:sz w:val="28"/>
          <w:sz w:val="28"/>
          <w:szCs w:val="28"/>
          <w:rtl w:val="true"/>
          <w:lang w:bidi="ar-SA"/>
        </w:rPr>
        <w:t>الذي ضعّفه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متعارضان، من جهة أنّ الأوّل يدلّ على أنّ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يدلّ على أنّ الناسخ آية النهي عن الإمساك، وضروري أنّ النسخ بإحداهما لا يجتمعُ مع النسخ بالاُخرى‌، لاستحالة نسخ الشيء ورفعه بعد زواله وارتفاعه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خبر ابن الجَهم سوى تبسّمه عليه السلام، ويمكن أنْ يكون ذلك على اشتباهه، خصوصاً وأنّه عليه السلام سأله عن تزويج النصرانيّة على المسلمة، الظاهر في أنّ جواز تزويجها لا على المسلمة مفروغٌ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فيعارضه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الدالّة على أنّ سورة المائدة محكمة، لم ينسخ شيءٌ منها، كصحيحه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رسول اللّه وفيهم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الخُفّين، إنّما اُنزلت المائدة قبل أنْ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بشهرين أو ثلاثة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والنبويّ والعلوي المتقدّمان الصريحان في ذلك، والترجيح مع هذه النصوص لموافقتها لظاهر الكتاب، فإنّ في صدر آية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الظاهر في تجدّد الحال ورفع الحرمة السابقة، فهي ظاهرة في كون هذه الآية ناسخة لا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والتساقط، المرجع إلى القاعدة التي تقدّمت، وهي تقدّم التخصيص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النهي عن الإمساك قد مرّ أنّ الإجماع والنصوص على خلاف ظاهرها، فهي محمولة على إرادة الحكم التنزيهي، فهي إمّا لا تصلح لأن تَنسخ آية الحِلّ‌، وإمّا توجبُ البناء على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المفسّرة ما ينافي ظاهر الآيات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الكلام أنّها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مطلقاً، أو قيل بدلالته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نصارى العرب، أتُؤكل ذبائحهم‌؟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ينهى عن ذبائحهم، وعن صيدهم، وعن مناكحتهم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الجهم المتقدّم، وفيه قولُ ابن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تزويج النصرانيّة على مسلمة وعلى 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من الإمام الرّضا عليه السلام وتقريره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للرّجل المسلم أن يتزوّج اليهوديّة ولا النصرانيّة، مخافة أن يتهوّد ولده أو يتنصّر</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نكاح أهل الكتاب</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تزويج اليهوديّة والنصرانيّة‌؟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الحديث</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اليهوديّة والنصرانيّة، أيتزوّجها الرّجل على المسلمة‌؟</w:t>
      </w:r>
    </w:p>
    <w:p>
      <w:pPr>
        <w:pStyle w:val="BookText"/>
        <w:rPr/>
      </w:pPr>
      <w:r>
        <w:rPr>
          <w:rFonts w:ascii="Amiri" w:hAnsi="Amiri" w:eastAsia="Amiri" w:cs="Amiri"/>
          <w:color w:val="111111"/>
          <w:sz w:val="28"/>
          <w:sz w:val="28"/>
          <w:szCs w:val="28"/>
          <w:rtl w:val="true"/>
          <w:lang w:bidi="ar-SA"/>
        </w:rPr>
        <w:t>قال عليه السلام لا، ويتزوّج المسلمة على اليهوديّة والنصرانيّة</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ذمّية على مسلمة‌؟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ويضرب ثُمن حَدّ الزاني إثنا عشر سوطاً ونصفاً، فإنْ رضيتِ المُسلمة ضُرب ثُمن الحَدّ ولم يفرّق بينهما، الحديث</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منصور بن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ودلالتهما على جواز تزويجها على المُسلمة في صورة رضاها واضحة، ولولا جوازه لا على المسلمة لما كان جائزاً عليها مع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نكاح اليهوديّة والنصرانيّة‌؟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أما علمت أنّه كانت تحت طلحة بن عبداللّه يهوديّة على عهد النبيّ صلى الله عليه و آله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الباقر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امرأة نصرانيّة، ألَهُ أن يتزوّج عليها يهوديّة‌؟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مماليك للإمام عليه السلام، وذلك موسَّعٌ منّا عليكم خاصّة، فلا بأس أن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تزوّج عليهما أمَة‌؟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يتزوّج ثلاث إماء، الحديث</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وغيره جميعاً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المؤمن يتزوّج اليهوديّة والنصرانيّة‌؟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وأكل لحم الخنزير، واعلم إنّ عليه في دينه غضاضة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مخصوصٌبالهَوى الغالب، غير ظاهرٍو مخالفٌلإطلاقه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أهل الكتاب ونسائهم‌؟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التزويج في حال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الأسير، هل يتزوّج في دار الحرب‌؟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فإنْ فعل في بلاد الروم، فليس هو بحرام هو نكاحٌ‌، وأمّا في الترك والديلم والخَزَر فلا يحلّ له ذلك</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الإمام الباقر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أن يتزوّج يهوديّة ولا نصرانيّة، وهو يجدُ مسلمةً حُرّة أو أمَة</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يونس عنهم عليهم السلام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يتمتّع من اليهوديّة والنصرانيّة‌؟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باليهوديّة والنصرانيّة وعنده حُرّة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اختصاص الجواز بالبُلَه منهنّ‌، وهنّ المستضعفات من اللّاتي لا ينصبن ولا يعرفن ما نحنُ عليه كما في الخبر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نكاح اليهوديّة والنصرانيّة‌؟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للمسلم أن ينكح يهوديّة ولا نصرانيّة، إنّما يحلّ منهنّ نكاح البُلَه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طائفة سادسة استدلّ بها على المنع في المتعة، ولكن لظهورها في الكراهية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 الطائفة الأُولى المانعة، إمّا بالثالثة فتختصّ بحال الاختيار، أو بالرابعة فتختصّ بالدائم، أو بهما معاً فتختصّ بالدائم في حال الاختيار، ثمّ بعد ذلك يخصَّص الطائفة الثانية بالأُولى‌، لصيرورتها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يثبتُ القول الرابع، وعلى الثاني القول الثالث، وعلى الثالث القول الخامس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يبتنى على القول بانقلاب النسبة ولا نقولُ به، فالتعارض بين الأولتين بحاله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نصوص الطائفة الثالثة ما يدلّ على اختصاص الجواز بحال الضرورة، بل هي ظاهرة في الجواز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ضعيفُ السند كخبر أبي بصير للسياري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لو لم يكن ظاهراً في الجواز، لا يكون ظاهراً في المنع كصحيح عبداللّه،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 المحبّة لو لم يكن ظاهراً في الجواز، يكون أعمّ من الحرمة والكراهة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غير حجّة كموثّق ابن الجَهم، كما مرّ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أعمّ من نصوص الجواز كحسن محمّد بن مسلم، فإنّه يدلّ على النهي عن المناكحة، وهي أعمّ من أن يزوّجهم المسلمة أو يتزوّج من نسائهم، ونصوص الجواز مختصّة بالثاني،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تعارضهما، فإنّ الجمع العرفي بينهما يقتضي حمل المانعة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في نصوص الجواز، بل هما مثبتتان، فلا وجه لحمل مطلقتهما على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المشهور، إذ لم يفتِ أحدٌ بمضمونها سوى سلّار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أكثرها تدلّ على جواز نكاح البُلَه، ولا تدلّ على المنع عن تزويج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زرارة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منهن نكاح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بالمفهوم يدلّ على المنع عن نكاح غيرها، ولكن قوله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بالكراهة، وإرادة الحرمة منه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إرادة ضعف الكراهة أو عدمها من الثاني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تقييد نصوص الجواز بها مستلزمٌ لحملها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البُلَه فُسِّرت في صحيح زرارة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ينصبن ولا يعرفن ما أنتم عليه</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 وفي خبره الآخر فُسِّرت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اللّآتي لا تنصب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في مقابل المستضعفات</w:t>
      </w:r>
      <w:r>
        <w:rPr>
          <w:rStyle w:val="FootnoteAnchor"/>
          <w:rtl w:val="true"/>
        </w:rPr>
        <w:footnoteReference w:id="902"/>
      </w:r>
      <w:r>
        <w:rPr>
          <w:rFonts w:ascii="Amiri" w:hAnsi="Amiri" w:eastAsia="Amiri" w:cs="Amiri"/>
          <w:color w:val="111111"/>
          <w:sz w:val="28"/>
          <w:sz w:val="28"/>
          <w:szCs w:val="28"/>
          <w:rtl w:val="true"/>
          <w:lang w:bidi="ar-SA"/>
        </w:rPr>
        <w:t>، وعليه، فلو دلّ على المنع، كان دالّاً على المنع من تزويج الناصبة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دلالته على المنع، وخصّصنا نصوص الجواز به، يقع التعارض بينه وبين الطائفة المجوّزة للتمتّع بهنّ‌، والنسبة عمومٌ من وجه، والترجيح معها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والعُمّاني،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وأصرّ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الأظهر،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بعد اختيار الجواز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بحمد اللّه سبحانه في المسألة بعد اليوم من إشكال، ومع الإغماض عنه لابدّ من اختيار القول السادس الذي اختاره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نصوص المنع على فرض دلالتها عليه، لا تشمل مِلْك اليمين، وعلى فرض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تخصّص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فإنّ النسبة عمومٌ من وجه، والترجيح مع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أخبار جواز التمتّع ووطء المجوسيّة بملك اليمين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الدينوري</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يستدلّ على المنع بآياتٍ‌، ولوضوح عدم دلالتها عليه أغمضنا عن ذكرها، مضافاً إلى أنّ نصوص الجواز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Style w:val="FootnoteAnchor"/>
          <w:rtl w:val="true"/>
        </w:rPr>
        <w:footnoteReference w:id="9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الكتابيّة بين الذّميّة وهي القائمة بشرائط الذّمة منهنّ‌، والحَربيّة وهي الناقضة لها، لعموم الأدلّة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في الروايات اليهوديّة والنصرانيّة، وهما منصرفتان إلى الذّمية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إذ لا منشأ للانصراف حتّى الغلبة التي توهم كونها من المناشيء، وما في خبر أبي البُختري،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مناكحة أهل الحرب</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لو لم يدلّ على الجواز، لا يكون ظاهراً في المنع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الشهيد رحمه الله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بالبحث في مسائل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0" w:name="pg11825_115993"/>
    </w:p>
    <w:p>
      <w:pPr>
        <w:pStyle w:val="Heading2"/>
        <w:numPr>
          <w:ilvl w:val="1"/>
          <w:numId w:val="1"/>
        </w:numPr>
        <w:rPr/>
      </w:pPr>
      <w:bookmarkStart w:id="181" w:name="__RefHeading___Toc11056846_73709187"/>
      <w:bookmarkStart w:id="182" w:name="_Toc60"/>
      <w:bookmarkEnd w:id="180"/>
      <w:bookmarkEnd w:id="181"/>
      <w:r>
        <w:rPr>
          <w:rtl w:val="true"/>
        </w:rPr>
        <w:t>نكاح المجوسيّة</w:t>
      </w:r>
      <w:bookmarkEnd w:id="18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المجوسيّة والصابئة والسامرة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وعن غيرها</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حكم الكتابيّة، وحيث أنّ المختار عندهم جواز التمتّع والوطء بمِلْك اليمين فيها، فقد اختاروا في المجوسيّة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فيها مطلقاً، بل نُسب ذلك إلى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أنّ المجوس محكومون بحكم الكتابيّين، أو أنّهم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الواسطي،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المجوس، أكان لهم نبيٌّ؟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بلغك كتاب رسول اللّه صلى الله عليه و آله إلى أهل مكّة،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وكتابٌ أحرقوه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الأصبغ عن عليّ عليه السلام</w:t>
      </w:r>
      <w:r>
        <w:rPr>
          <w:rStyle w:val="FootnoteAnchor"/>
          <w:rtl w:val="true"/>
        </w:rPr>
        <w:footnoteReference w:id="918"/>
      </w:r>
      <w:r>
        <w:rPr>
          <w:rFonts w:ascii="Amiri" w:hAnsi="Amiri" w:eastAsia="Amiri" w:cs="Amiri"/>
          <w:color w:val="111111"/>
          <w:sz w:val="28"/>
          <w:sz w:val="28"/>
          <w:szCs w:val="28"/>
          <w:rtl w:val="true"/>
          <w:lang w:bidi="ar-SA"/>
        </w:rPr>
        <w:t>، ومرسل المفيد عنه عليه السلام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التمتّع بهنّ‌، ووطئهن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 عن الإمام الرّضا عليه السلام عن نكاح اليهوديّة والنصرانيّة‌؟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يعني متعة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خبرمنصورالصيقل،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يتمتّع بالمجوسيّة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حمّاد بن عيسى‌</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المُسلم أيتزوّج المجوسيّة‌؟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له أمَة مجوسيّة فلا بأس أن يطأها، ويعزل عنها، ولا يطلب ولدها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دلّ على أنّهم كتابيّون أو بحكمهم، فضعيفُ السند، للإرسال وغيره، مع أنّ الوارد في الثاني من تلكم الأخبار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ناكحي نسائهم ولا آكلي ذبائحهم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بها غير ما نحن فيه، كالدية والجزية اللّتين دلّت النصوص الكثيرة على أنّهم فيهما كاليهود والنصارى‌</w:t>
      </w:r>
      <w:r>
        <w:rPr>
          <w:rStyle w:val="FootnoteAnchor"/>
          <w:rtl w:val="true"/>
        </w:rPr>
        <w:footnoteReference w:id="925"/>
      </w:r>
      <w:r>
        <w:rPr>
          <w:rFonts w:ascii="Amiri" w:hAnsi="Amiri" w:eastAsia="Amiri" w:cs="Amiri"/>
          <w:color w:val="111111"/>
          <w:sz w:val="28"/>
          <w:sz w:val="28"/>
          <w:szCs w:val="28"/>
          <w:rtl w:val="true"/>
          <w:lang w:bidi="ar-SA"/>
        </w:rPr>
        <w:t xml:space="preserve">، بل 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إنّما اُلحقوا باليهود والنصارى في الجزية والدّيات</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 الحصر يدلّ على الإلحاق في خصوص الموردين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جواز الوطء بملك اليمين، فالظاهر أنّه لا إشكال فيه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جواز التمتّع بهنّ‌، فأورد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ولا وجه له في خبرين منها سوى وجود محمّد ابن سنان، وقد مرّ أنّ الأظهر الاعتماد على روايته، ولكنّه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يتمتّع من اليهوديّة والنصرانيّة‌؟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3" w:name="pg11825_115996"/>
    </w:p>
    <w:p>
      <w:pPr>
        <w:pStyle w:val="BookText"/>
        <w:rPr/>
      </w:pPr>
      <w:bookmarkEnd w:id="1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فالمجوسيّة‌؟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المجوسيّة فلا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خبر محمّد بن سنان يدلّ على جواز نكاحهنّ مطلقاً، فيعارضه صحيح محمّد بن مسلم، وموثّق الأشعري، إذ لو لم يجز التمتّع لم يجز الدائم قطعاً، والجمعُ بين الطائفتين يقتضي البناء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مجموع ما ذكرناه جواز نكاحهنّ مطلقاً على كراهية في غير الوطء بملك اليمين، لولا الإجماع على المنع</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1056848_73709187"/>
      <w:bookmarkStart w:id="185" w:name="_Toc61"/>
      <w:bookmarkEnd w:id="184"/>
      <w:r>
        <w:rPr>
          <w:rtl w:val="true"/>
        </w:rPr>
        <w:t>نكاح الصابئة</w:t>
      </w:r>
      <w:bookmarkEnd w:id="185"/>
    </w:p>
    <w:p>
      <w:pPr>
        <w:pStyle w:val="BookText"/>
        <w:rPr/>
      </w:pPr>
      <w:r>
        <w:rPr>
          <w:rFonts w:ascii="Amiri" w:hAnsi="Amiri" w:eastAsia="Amiri" w:cs="Amiri"/>
          <w:color w:val="111111"/>
          <w:sz w:val="28"/>
          <w:sz w:val="28"/>
          <w:szCs w:val="28"/>
          <w:rtl w:val="true"/>
          <w:lang w:bidi="ar-SA"/>
        </w:rPr>
        <w:t>وأمّا 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أنّهم من النصارى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توافق النصارى في اُصول الدِّين، والاُخرى تخالفهم، ويعبدون الكواكب، وتسند الآثار إليها، وتنفي الصانع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 المفيد قريبٌ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الصابئين توحّد الصانع في الأزل، ومنهم من يجعل معه هيولى في القِدَم، صُنع منها العالم، فكانت عندهم الأصل، ويعتقدون في الفَلَك وما فيه الحياة والنطق، وأنّها المدبِّر لما في هذا العالم الدائر عليه، وعظّموا الكواكب وعَبدوها من دون اللّه، وسمّاها بعضهم ملائكة، وبعضهم آلهة، وبنوا لها بيوتاً للعبادات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الصابئون قومٌ لا مجوس ولا يهود ولا نصارى ولا </w:t>
      </w:r>
    </w:p>
    <w:p>
      <w:pPr>
        <w:pStyle w:val="BookText"/>
        <w:rPr/>
      </w:pPr>
      <w:r>
        <w:rPr>
          <w:rFonts w:ascii="Amiri" w:hAnsi="Amiri" w:eastAsia="Amiri" w:cs="Amiri"/>
          <w:color w:val="111111"/>
          <w:sz w:val="28"/>
          <w:sz w:val="28"/>
          <w:szCs w:val="28"/>
          <w:rtl w:val="true"/>
          <w:lang w:bidi="ar-SA"/>
        </w:rPr>
        <w:t>مسلمون، ولكنّهم يعبدون الكواكب والنجوم</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 والطبرسي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عندنا أخذ الجزية من الصابئة، لأنّهم ليسوا من أهل الكتاب</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ثبت كونهم من النصارى‌، فحكمهم حكمهم،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 رحمه الله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من أنّ المتبادر من النصارى هو ما يقابل الصابئة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ثبت كونهم غيرهم، كما يشهد به عطفهم عليهم 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اَلصّابِئُونَ وَ اَلنَّصارى‌</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لا يجوز تزويجهم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شكّ في أنّهم من النصارى أم لا، فحيث أنّه يُشكّ حينئذٍ في صدق العنوان الخارج عن تحت ما دلّ على المنع، فلا يصحّ التمسّك بعموم دليل المنع، لكونه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التمسّك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كما هو ظاهر الشيخ الأعظم رحمه الله</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شمول عموم المنع يبقى على 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فإنّ هذه الآية قُيّد إطلاقها على الفرض بغير المسلمة، وقُيّد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 المقيّد باليهوديّة والنصرانيّة والمجوسيّة، فكما أنّه لا يصحّ التمسّك بإطلاق المقيّد الأوّل، لا يصحّ التمسّك بإطلاق المطلق أيضاً، لعين ذلك المحذور، فيتعيّن الرجوع إلى الأصل وهو في المقام أصالة الفساد، لا أصالة الإباحة كما لا يخفى‌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حكم السّامرة، فإنّهم بالنسبة إلى اليهود كالصائبة بالنسبة إلى النصارى</w:t>
      </w:r>
      <w:r>
        <w:rPr>
          <w:rFonts w:eastAsia="Amiri" w:cs="Amiri" w:ascii="Amiri" w:hAnsi="Amiri"/>
          <w:color w:val="111111"/>
          <w:sz w:val="28"/>
          <w:szCs w:val="28"/>
          <w:rtl w:val="true"/>
          <w:lang w:bidi="ar-SA"/>
        </w:rPr>
        <w:t>.</w:t>
      </w:r>
      <w:bookmarkStart w:id="186" w:name="pg11825_115999"/>
    </w:p>
    <w:p>
      <w:pPr>
        <w:pStyle w:val="BookText"/>
        <w:rPr/>
      </w:pPr>
      <w:bookmarkEnd w:id="186"/>
      <w:r>
        <w:rPr>
          <w:rFonts w:ascii="Amiri" w:hAnsi="Amiri" w:eastAsia="Amiri" w:cs="Amiri"/>
          <w:color w:val="111111"/>
          <w:sz w:val="28"/>
          <w:sz w:val="28"/>
          <w:szCs w:val="28"/>
          <w:rtl w:val="true"/>
          <w:lang w:bidi="ar-SA"/>
        </w:rPr>
        <w:t>ولا للمسلمة أن تنكِحَ غير المُسلم،</w:t>
      </w:r>
    </w:p>
    <w:p>
      <w:pPr>
        <w:pStyle w:val="Heading2"/>
        <w:numPr>
          <w:ilvl w:val="1"/>
          <w:numId w:val="1"/>
        </w:numPr>
        <w:rPr/>
      </w:pPr>
      <w:bookmarkStart w:id="187" w:name="__RefHeading___Toc11056850_73709187"/>
      <w:bookmarkStart w:id="188" w:name="_Toc62"/>
      <w:bookmarkEnd w:id="187"/>
      <w:r>
        <w:rPr>
          <w:rtl w:val="true"/>
        </w:rPr>
        <w:t>عدم جواز نكاح المسلمة مع غير المسلم</w:t>
      </w:r>
      <w:bookmarkEnd w:id="18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للمسلمة أن تنكح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إجماعاً محقّقاًو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w:t>
      </w:r>
      <w:r>
        <w:rPr>
          <w:rStyle w:val="FootnoteAnchor"/>
          <w:rtl w:val="true"/>
        </w:rPr>
        <w:footnoteReference w:id="938"/>
      </w:r>
      <w:r>
        <w:rPr>
          <w:rFonts w:ascii="Amiri" w:hAnsi="Amiri" w:eastAsia="Amiri" w:cs="Amiri"/>
          <w:color w:val="111111"/>
          <w:sz w:val="28"/>
          <w:sz w:val="28"/>
          <w:szCs w:val="28"/>
          <w:rtl w:val="true"/>
          <w:lang w:bidi="ar-SA"/>
        </w:rPr>
        <w:t>وغيرهما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للمسلمة تزويج الكافر نصّاً 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آيتان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 فَلا تَرْجِعُوهُنَّ إِلَى اَلْكُفّارِ لا هُنَّ حِلٌّ لَهُمْ وَ لا هُمْ يَحِلُّونَ لَهُنَّ‌</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بوجود المُجمع على تصحيح ما يصحّ‌ </w:t>
      </w:r>
    </w:p>
    <w:p>
      <w:pPr>
        <w:pStyle w:val="BookText"/>
        <w:rPr/>
      </w:pPr>
      <w:r>
        <w:rPr>
          <w:rFonts w:ascii="Amiri" w:hAnsi="Amiri" w:eastAsia="Amiri" w:cs="Amiri"/>
          <w:color w:val="111111"/>
          <w:sz w:val="28"/>
          <w:sz w:val="28"/>
          <w:szCs w:val="28"/>
          <w:rtl w:val="true"/>
          <w:lang w:bidi="ar-SA"/>
        </w:rPr>
        <w:t>عنه في سنده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لامرأتي اُختاً عارفة على رأينا، وليس على رأيها بالبصرة إلّاقليل، فأزوّجها ممّن لا يرى رأيها؟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نعمة ولا كرامة، إنّ اللّه عزّوجلّيقول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العارفة لا توضع إلّاعند عارف</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الثالث،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العارفة، هل اُزوّجها الناصب‌؟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بعموم العلّة على عدم تزويجها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بِمَ يكون الرّجل مسلماً تحلّ مناكحته وموارثته، وبِمَ يحرم دمه‌؟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دمه بالإسلام إذا ظهر، وتحلّ مناكحته وموارثته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في الشكاك ولا تزوّجوهم فإنّ المرأة تأخذ من أدب زوجها ويقهرها على دينه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9" w:name="pg11825_116001"/>
    </w:p>
    <w:p>
      <w:pPr>
        <w:pStyle w:val="BookText"/>
        <w:rPr/>
      </w:pPr>
      <w:bookmarkEnd w:id="189"/>
      <w:r>
        <w:rPr>
          <w:rFonts w:ascii="Amiri" w:hAnsi="Amiri" w:eastAsia="Amiri" w:cs="Amiri"/>
          <w:color w:val="111111"/>
          <w:sz w:val="28"/>
          <w:sz w:val="28"/>
          <w:szCs w:val="28"/>
          <w:rtl w:val="true"/>
          <w:lang w:bidi="ar-SA"/>
        </w:rPr>
        <w:t>ولو ارتدّ أحد الزوجين قبل الدخول، انفسخ في الحال</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أيضاً ان الجمع بين نصوص تزويج الكتابيّة، يقتضي حمل النّص المانع على تزويج المسلم الكتابي، فالحكم ممّا لا ريب فيه ولا إشكال</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1056852_73709187"/>
      <w:bookmarkStart w:id="191" w:name="_Toc63"/>
      <w:bookmarkEnd w:id="190"/>
      <w:r>
        <w:rPr>
          <w:rtl w:val="true"/>
        </w:rPr>
        <w:t>حكم ارتداد أحد الزوجين</w:t>
      </w:r>
      <w:bookmarkEnd w:id="19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انفسخ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الارتداد عن فطرةٍ أو ملّة، بلا خلافٍ أجده فيه بيننا، بل الإجماع بقسميه عليه، بل من أهل العلم كافّة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والوجه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إنْكان المرتدّ هوالزّوج،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هي الزّوجة، فلعدم جواز البقاء على نكاح غير الكتابيّة والمجوسيّة إجماعاً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ملحقتان به في المقام بالإجماع المركّب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الواردة في المرتدّ الفطري الشاملة لصورتي الدخول وعدمه كما تسمعها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مسمع بن عبدالملك،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عن الإسلام تَعزل عنه امرأته، ولا تؤكل ذبيحته، ويُستتاب ثلاثة أيّام، فإنْ تاب وإلّا قتل يوم الرابع</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وإنْ اختصّ بارتداد الرّجل،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أنّ ارتداد المرأة ملحقٌ به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يناقش بظهوره فيما بعد الدخول، ولعلّه لظاهر العزل،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ارتدّا معاً دفعةً‌، فالظاهر أنّ حكمه حكم ارتداد أحدهما، لإطلاق النّص ومعقد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المُسلم المتزوّج كتابيّة، فالظاهر أيضاً الانفساخ،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الارتداد مانعٌ عن التزويج ابتداء، فلو ارتدّت المرأة لا يجوز تزويجها أم 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56"/>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المرتدّة حكمها السجن والضرب أوقات الصلاة حتّى تتوب أو تموت، فهي بحكم العدم التي لا يصحّ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كونها بحكم العدم، لا يمنعُ عن صحّة التزويج ما دامت حيّة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تزويج المرتدّ والمرتدّة على الإطلاق، لأنّه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المسلمة وفوق الكافرة، ولأنّه لا يقرّ على دينه، والمرتدّة فوقه لأنّها لا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وقد مرّ الكلام في ذلك في الجزء الأوّل من هذا الشرح، وعرفت أنّ الأظهر عدم المانع عن التزويج من حيث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ارتدّت الزّوجة وانفسخ العقد، فهل يسقط المَهر 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بأنّ‌الحدث جاء من قِبلها، وبأنّ‌المعاوضة انفسخت قبل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الفرق بين انفساخ العقد من الأوّل، وبين انفساخه من حين الحدث، وفي الأوّل يسقط المَهر على القاعدة، وفي الثاني لا يسقط كذلك،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فظاهرهم كونه من المسلّمات، ويمكن أنْ يكون مدركه خبر إسماعيل بن أبي زياد، عن جعفر بن محمّد، عن أبيه،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زنت قبل أنْ يدخل بها 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وقصور سنده</w:t>
      </w:r>
      <w:r>
        <w:rPr>
          <w:rStyle w:val="FootnoteAnchor"/>
          <w:rtl w:val="true"/>
        </w:rPr>
        <w:footnoteReference w:id="960"/>
      </w:r>
      <w:r>
        <w:rPr>
          <w:rFonts w:ascii="Amiri" w:hAnsi="Amiri" w:eastAsia="Amiri" w:cs="Amiri"/>
          <w:color w:val="111111"/>
          <w:sz w:val="28"/>
          <w:sz w:val="28"/>
          <w:szCs w:val="28"/>
          <w:rtl w:val="true"/>
          <w:lang w:bidi="ar-SA"/>
        </w:rPr>
        <w:t>منجبرٌ بالعمل بالتعليل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بفحوى النصوص الآتية، المتضمّنة لسقوط مهر النصرانيّة بإسلامها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2" w:name="pg11825_116004"/>
    </w:p>
    <w:p>
      <w:pPr>
        <w:pStyle w:val="BookText"/>
        <w:rPr/>
      </w:pPr>
      <w:bookmarkEnd w:id="192"/>
      <w:r>
        <w:rPr>
          <w:rFonts w:ascii="Amiri" w:hAnsi="Amiri" w:eastAsia="Amiri" w:cs="Amiri"/>
          <w:color w:val="111111"/>
          <w:sz w:val="28"/>
          <w:sz w:val="28"/>
          <w:szCs w:val="28"/>
          <w:rtl w:val="true"/>
          <w:lang w:bidi="ar-SA"/>
        </w:rPr>
        <w:t>ويقفُ بَعده على انقضاء العِدّة،</w:t>
      </w:r>
    </w:p>
    <w:p>
      <w:pPr>
        <w:pStyle w:val="BookText"/>
        <w:rPr/>
      </w:pPr>
      <w:r>
        <w:rPr>
          <w:rFonts w:ascii="Amiri" w:hAnsi="Amiri" w:eastAsia="Amiri" w:cs="Amiri"/>
          <w:color w:val="111111"/>
          <w:sz w:val="28"/>
          <w:sz w:val="28"/>
          <w:szCs w:val="28"/>
          <w:rtl w:val="true"/>
          <w:lang w:bidi="ar-SA"/>
        </w:rPr>
        <w:t>ولو ارتدّ الزّوج قبل الدخول،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وغيرها</w:t>
      </w:r>
      <w:r>
        <w:rPr>
          <w:rStyle w:val="FootnoteAnchor"/>
          <w:rtl w:val="true"/>
        </w:rPr>
        <w:footnoteReference w:id="962"/>
      </w:r>
      <w:r>
        <w:rPr>
          <w:rFonts w:ascii="IRNazanin" w:hAnsi="IRNazanin" w:eastAsia="IRNazanin"/>
          <w:color w:val="111111"/>
          <w:sz w:val="28"/>
          <w:sz w:val="28"/>
          <w:szCs w:val="28"/>
          <w:rtl w:val="true"/>
          <w:lang w:bidi="fa-IR"/>
        </w:rPr>
        <w:t>من سقوط نصف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 الفسخ بارتداده منزلة طلاقه المُنصِّف للمَهر قبل الدخول، فإنّ كليهما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جميع المَهر عليه، وهو الأظهر، وقد تقدّم الكلام فيه في مبحث الرّضاع من هذا الجزء مفصّلاً، وبيّنا أنّه بالعقد تملك المرأة المَهر، وبفسخه لا يعود، لعدم كونه ركن النكاح، فراجع</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11056854_73709187"/>
      <w:bookmarkStart w:id="194" w:name="_Toc64"/>
      <w:bookmarkEnd w:id="193"/>
      <w:r>
        <w:rPr>
          <w:rtl w:val="true"/>
        </w:rPr>
        <w:t>حكم ارتداد أحد الزوجين بعد الدخول</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أحد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وقوعه من أيّهما، ومن غير فرقٍ في ارتداد الزّوجة بين الفطري والمِلّي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الزّوج أنْ يكون عن ملّةٍ‌، لما ستعرف أنّه لا انتظار للفطري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إنْ رجع أو رجعت قبل انقضاء العِدّة، كانت زوجته، وإلّا انكشف أنّها بانت من أوّل الارتداد كما هو المشهور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الأصحاب الاتّفاق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المعتبرة</w:t>
      </w:r>
      <w:r>
        <w:rPr>
          <w:rStyle w:val="FootnoteAnchor"/>
          <w:rtl w:val="true"/>
        </w:rPr>
        <w:footnoteReference w:id="965"/>
      </w:r>
      <w:r>
        <w:rPr>
          <w:rFonts w:ascii="Amiri" w:hAnsi="Amiri" w:eastAsia="Amiri" w:cs="Amiri"/>
          <w:color w:val="111111"/>
          <w:sz w:val="28"/>
          <w:sz w:val="28"/>
          <w:szCs w:val="28"/>
          <w:rtl w:val="true"/>
          <w:lang w:bidi="ar-SA"/>
        </w:rPr>
        <w:t>الدالّة على انقضاء العِدّة في البينونة المحضة في إسلام أحد الوثنيين، لأضعفيّة الكفر الارتدادي عن الأصلي، لبقاء حرمته فيه دونه، فثبوت الحكم في الأقوى ملازمٌ لثبوته في الأضعف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حيث لا يخرج عن القياس، بل القياس مع الفارق، فإنّه في الوثني تكون الزوجيّة ثابتة في حال الكفر، وإنّما تبين بالإسلام، وفي المقام البينونة تكون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الاعتراف بعدم الدليل، بل يدلّ على خلافه حَسن الحضرمي،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ارتدّ الرّجل المسلم عن الإسلام بانَت منه امرأته كما تَبين المطلّقة ثلاثاً، وتعتدّ منه كما تعتدّ المطلّقة، فإنْ رجع إلى الإسلام وتابَ قبل أنْ تتزوّج، فهو خاطب، ولا عِدّة عليها منه له، وإنّما عليها العِدّة لغيره، فإنْ قُتل أو ماتَ قبل انقضاء العِدّة اعتدّت منه عِدّة المتوفّى عنها زوجها، وهي ترثه في العِدّة، لا يرثها إنْ مات وهو مرتدٌّ عن الإسلام</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الإجماع يكون حجّة قطعاً، وكاشفاً عن الحجّة كما حُقّق في محلّه، ولا يسقط شيءٌ من المَهر، لاستقراره بالدخول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يرتدّ الزّوج عن فطرةٍ‌، فينفسخ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المرتدّ عن فطرة عِدّة الوفاة، وعن غيرها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الأحكام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يرتدّ الزّوج عن فطرة،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الإسلام، وجَحَد محمّداً نبوّته وكذّبه، فإنّ دمه مباحٌ لمن سمع ذلك منه، وامرأته بائنة منه يوم ارتدّ، ويقسّم ماله على ورثته، وتعتدّ امرأته عِدّة المتوفّى عنها زوجها، وعلى الإمام أن يقتله ولا يستتيبه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الموثّق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المرتدّ عن فطرةٍ عِدّة الوفاة،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غيرها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عليه، بل صرّح به جماعة</w:t>
      </w:r>
      <w:r>
        <w:rPr>
          <w:rStyle w:val="FootnoteAnchor"/>
          <w:rtl w:val="true"/>
        </w:rPr>
        <w:footnoteReference w:id="970"/>
      </w:r>
      <w:r>
        <w:rPr>
          <w:rFonts w:ascii="Amiri" w:hAnsi="Amiri" w:eastAsia="Amiri" w:cs="Amiri"/>
          <w:color w:val="111111"/>
          <w:sz w:val="28"/>
          <w:sz w:val="28"/>
          <w:szCs w:val="28"/>
          <w:rtl w:val="true"/>
          <w:lang w:bidi="ar-SA"/>
        </w:rPr>
        <w:t>، وهو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حَسن الحضرمي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5" w:name="pg11825_116007"/>
    </w:p>
    <w:p>
      <w:pPr>
        <w:pStyle w:val="BookText"/>
        <w:rPr/>
      </w:pPr>
      <w:bookmarkEnd w:id="195"/>
      <w:r>
        <w:rPr>
          <w:rFonts w:ascii="Amiri" w:hAnsi="Amiri" w:eastAsia="Amiri" w:cs="Amiri"/>
          <w:color w:val="111111"/>
          <w:sz w:val="28"/>
          <w:sz w:val="28"/>
          <w:szCs w:val="28"/>
          <w:rtl w:val="true"/>
          <w:lang w:bidi="ar-SA"/>
        </w:rPr>
        <w:t>ولو أسلم زوج الكتابيّة ثبتَ عقده،</w:t>
      </w:r>
    </w:p>
    <w:p>
      <w:pPr>
        <w:pStyle w:val="Heading2"/>
        <w:numPr>
          <w:ilvl w:val="1"/>
          <w:numId w:val="1"/>
        </w:numPr>
        <w:rPr/>
      </w:pPr>
      <w:bookmarkStart w:id="196" w:name="__RefHeading___Toc11056856_73709187"/>
      <w:bookmarkStart w:id="197" w:name="_Toc65"/>
      <w:bookmarkEnd w:id="196"/>
      <w:r>
        <w:rPr>
          <w:rtl w:val="true"/>
        </w:rPr>
        <w:t>حكم ما لو أسلم زوج الكتابيّة</w:t>
      </w:r>
      <w:bookmarkEnd w:id="19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زوج الكتابيّة، ثبتَ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الدخول أو بعده، دائماً كان التزويج أو منقطعاً، كتابيّاً كان الزّوج أو وثنيّاً،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وغيرهما</w:t>
      </w:r>
      <w:r>
        <w:rPr>
          <w:rStyle w:val="FootnoteAnchor"/>
          <w:rtl w:val="true"/>
        </w:rPr>
        <w:footnoteReference w:id="97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جواز نكاح المسلم الكتابيّة ابتداءً‌،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سيأتي</w:t>
      </w:r>
      <w:r>
        <w:rPr>
          <w:rStyle w:val="FootnoteAnchor"/>
          <w:rtl w:val="true"/>
        </w:rPr>
        <w:footnoteReference w:id="974"/>
      </w:r>
      <w:r>
        <w:rPr>
          <w:rFonts w:ascii="Amiri" w:hAnsi="Amiri" w:eastAsia="Amiri" w:cs="Amiri"/>
          <w:color w:val="111111"/>
          <w:sz w:val="28"/>
          <w:sz w:val="28"/>
          <w:szCs w:val="28"/>
          <w:rtl w:val="true"/>
          <w:lang w:bidi="ar-SA"/>
        </w:rPr>
        <w:t>في من أسلم على أكثر من الأربع، فإنّه يدلّ على بقاء نكاح الأربع، وانفساخ الزائد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ولإطلاق صحيح عبداللّه بن سنان، عن أبي عبداللّه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هاجر وترك امرأته مع المشركين، ثمّ لحقت به بعد ذلك، أيمسكها بالنكاح الأوّل، أو تنقطع عصمتها؟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يمسكها وهي امرأته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صحيح الحلبي، عنه عليه السلام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تقييدهما بالكتابيّة للمعتبرة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في بعض الفروض خبر محمّدبن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الكتاب وجميع من له ذمّة إذا أسلم أحد الزوجين فهما علي نكاحهما، الحديث</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تكون عنده المرأة الذّمية فتسلم امرأته‌؟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يكون عندها بالنهار، ولا يكون عندها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الرّجل ولم تسلم المرأة، يكون الرّجل عندهاباللّيل والنهار</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تلحق المجوسيّة بالكتابيّة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رحمه الله</w:t>
      </w:r>
      <w:r>
        <w:rPr>
          <w:rStyle w:val="FootnoteAnchor"/>
          <w:rtl w:val="true"/>
        </w:rPr>
        <w:footnoteReference w:id="979"/>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نفي الخلاف فيه، لإطلاق صحيح ابن سنان، وخبر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لخبر منصور بن حازم،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مجوسي كانت تحته امرأة على دينه، فأسلم أو أسلمت‌؟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بذلك انقضاء عِدّتها، فإنْ هو أسلم أو أسلمت قبل أنْ تنقضي عِدّتها، فهما علينكاحهماالأوّل، وإنْ هي لم تَسلم حتّيتنقضي العِدّة، فقد بانت منه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98" w:name="pg11825_116009"/>
    </w:p>
    <w:p>
      <w:pPr>
        <w:pStyle w:val="BookText"/>
        <w:rPr/>
      </w:pPr>
      <w:bookmarkEnd w:id="198"/>
      <w:r>
        <w:rPr>
          <w:rFonts w:ascii="Amiri" w:hAnsi="Amiri" w:eastAsia="Amiri" w:cs="Amiri"/>
          <w:color w:val="111111"/>
          <w:sz w:val="28"/>
          <w:sz w:val="28"/>
          <w:szCs w:val="28"/>
          <w:rtl w:val="true"/>
          <w:lang w:bidi="ar-SA"/>
        </w:rPr>
        <w:t>ولو أسلمت دونه قبل الدخول انفسخ العَقدُ في الحال</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98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الأوّل، لضعف الخبرين بإعراض المشهور عنهما، واختصاص البينونة فيهما إذا أسلمت دونه، فإنّه الذي نصّ عليه آخراً، ولا ينافيه التعميم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ما تقدّم من أنّ الأظهر بحسب الروايات جواز نكاح المجوسيّة ابتداءً‌، وإنّما مَنَعنا عن الإفتاء به الإجماعُ المُدّعى على المنع، وفي المقام لو لم يكن الإجماع على الجواز، لا يكون على المنع</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1056858_73709187"/>
      <w:bookmarkStart w:id="200" w:name="_Toc66"/>
      <w:bookmarkEnd w:id="199"/>
      <w:r>
        <w:rPr>
          <w:rtl w:val="true"/>
        </w:rPr>
        <w:t>حكم ما لو أسلمت زوجة الكتابي</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قبل الدخول، انفسخ العقد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لحرمة نكاح الكافر المسلمة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عبداللّه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امرأة وزوجها على غير الإسلام فرّق بينهما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وبها يقيّد إطلاق خبر محمّد بن مسلم المتقدّم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يونس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ضعف سنده، وعدم ثبوت كونه من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لإعراض الأصحاب عنه، ومعارضته مع ما هو أشهر وأصحّ سنداً </w:t>
      </w:r>
    </w:p>
    <w:p>
      <w:pPr>
        <w:pStyle w:val="BookText"/>
        <w:rPr/>
      </w:pPr>
      <w:r>
        <w:rPr>
          <w:rFonts w:ascii="Amiri" w:hAnsi="Amiri" w:eastAsia="Amiri" w:cs="Amiri"/>
          <w:color w:val="111111"/>
          <w:sz w:val="28"/>
          <w:sz w:val="28"/>
          <w:szCs w:val="28"/>
          <w:rtl w:val="true"/>
          <w:lang w:bidi="ar-SA"/>
        </w:rPr>
        <w:t>وبعده يقفُ على العِدّة، فإنْ أسلم فيها كان أملك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عِدّة عليها منه، لعدم الدخول، ولا مَهر لأنّ الحدث جاء من قِبلها، ويدلّ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تزوّج نصرانيّة، فأسلمت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عصمتها، ولا مَهر لها، ولا عِدّة عليها منه</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مصحّح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مجوسيّة أسلمت قبل أنْ يدخل بها زوجها، فقال أمير المؤمنين عليه السلام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فأبى زوجها أن يسلم، فقضى لها عليه نصف الصداق،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الإسلام إلّاعزّاً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اختصّ باسلام المجوسيّة وصحيح عبدالرحمن واردٌ في النصرانيّة، ولكن لعدم العامل به يُطرح، إذ المعروف بين الأصحاب عدم الفرق في من أسلمت بين كونها نصرانيّة أو مجوسيّة أو غيرهما من أقسام الكفّار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فإنْ أسلم فيها، كان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امرأته، وإلّا بانت منه بإسلامها، كما عن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تكون له الزّوجة النصرانيّة فتسلم، هل يحلّ لها أن تُقيم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أسلمت لم تحلّ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 أسلم بعد ذلك، أيكونان على النكاح‌؟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بتزويج جديد</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إطلاق صحيح عبداللّه بن سنان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حصول التفريق، وعدم الحليّة بالإسلام، إلّاأنّه يقيّد إطلاقهما بما بعد انقضاء العِدّة إجماعاً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المعتبر، عن جعفر، عن أبيه عن أمير 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مجوسيّة أسلمت قبل زوجها؟</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قبل انقضاء عِدّتها فهي امرأتك، وإنْ انقضت عِدّتها قبل أنْتسلم، ثمّ أسلمت، فأنتَ خاطبٌمن الخطاب</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ولخبري منصور بن حازم المتقدّمين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والتهذيبين</w:t>
      </w:r>
      <w:r>
        <w:rPr>
          <w:rStyle w:val="FootnoteAnchor"/>
          <w:rtl w:val="true"/>
        </w:rPr>
        <w:footnoteReference w:id="9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ينفسخ النكاح بانقضاء العِدّة إنْ كان الزّوج قائماً بشرائط الذّمة، بل نكاحه حينئذٍ باقٍ‌، غير أنّه لا يمكن من الدخول عليها ليلاً، ولا من الخلوة بها نهاراً، ولا من إخراجها إلى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ومدركه مرسل جميل، عن بعض أصحابه،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اليهودي والنصراني والمجوسي إذا أسلمت امرأته ولم يسلم،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نكاحهما، ولا يفرّق بينهما، ولا يترك أن يخرج بها من دار الإسلام إلى الهجرة</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والمرسل عن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وجميع من له ذمّة إذا أسلم أحد الزوجين، فهما على نكاحهما، وليس له ان يخرجها من دار الإسلام إلى غيرها، ولا يبيت معها، ولكن يأتيها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المشركون مثل مشركي العرب وغيرهم، فهم على نكاحهم إلى انقضاء العِدّة، فإنْ أسلمت المرأة ثمّ أسلم الرّجل قبل انقضاء عِدّتها فهي امرأته، وإنْ لم يسلم إلّابعد انقضاء العِدّة، فقد بانت منه ولا سبيل له عليها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وإنْ كان ضعيفاً لعليّ بن حديد</w:t>
      </w:r>
      <w:r>
        <w:rPr>
          <w:rStyle w:val="FootnoteAnchor"/>
          <w:rtl w:val="true"/>
        </w:rPr>
        <w:footnoteReference w:id="993"/>
      </w:r>
      <w:r>
        <w:rPr>
          <w:rFonts w:ascii="Amiri" w:hAnsi="Amiri" w:eastAsia="Amiri" w:cs="Amiri"/>
          <w:color w:val="111111"/>
          <w:sz w:val="28"/>
          <w:sz w:val="28"/>
          <w:szCs w:val="28"/>
          <w:rtl w:val="true"/>
          <w:lang w:bidi="ar-SA"/>
        </w:rPr>
        <w:t>، إلّاأنّ الثاني لا ضعف فيه، 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الزوجان حربيّين</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روايته عن ابن أبي عُمير، عن بعض أصحابنا، عن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نظر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عندي، فهو أيضاً ضعيفٌ‌، لأنّ المرسِل فيها هو إبراهيم بن هاشم، وحيث إنّي الآن محبوسٌ في قرية ميكون من قرى عاصمة إيران بجرم الدفاع عن حريم الإسلام وأحكامه السماويّة، ولا أتمكّن من الفحص والتتبّع التامّ لأرى أنّ الصحيح ما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الكتابين لعدم وجود الكتب عندي، فلا أحكم باعتباره في نفسه وعدمه، ولكن لإعراض المشهور عن الخبرين حتّى مثل الشيخ</w:t>
      </w:r>
      <w:r>
        <w:rPr>
          <w:rStyle w:val="FootnoteAnchor"/>
          <w:rtl w:val="true"/>
        </w:rPr>
        <w:footnoteReference w:id="996"/>
      </w:r>
      <w:r>
        <w:rPr>
          <w:rFonts w:ascii="Amiri" w:hAnsi="Amiri" w:eastAsia="Amiri" w:cs="Amiri"/>
          <w:color w:val="111111"/>
          <w:sz w:val="28"/>
          <w:sz w:val="28"/>
          <w:szCs w:val="28"/>
          <w:rtl w:val="true"/>
          <w:lang w:bidi="ar-SA"/>
        </w:rPr>
        <w:t>نفسه في كتبه الاستدلاليّة، ومعارضتهما بما هو أشهر وأصحّ سنداً منهما،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على قول الشيخ رحمه الله بين حالي الدخول وعدمه، لإطلاق دليله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وغيرها</w:t>
      </w:r>
      <w:r>
        <w:rPr>
          <w:rStyle w:val="FootnoteAnchor"/>
          <w:rtl w:val="true"/>
        </w:rPr>
        <w:footnoteReference w:id="998"/>
      </w:r>
      <w:r>
        <w:rPr>
          <w:rFonts w:ascii="Amiri" w:hAnsi="Amiri" w:eastAsia="Amiri" w:cs="Amiri"/>
          <w:color w:val="111111"/>
          <w:sz w:val="28"/>
          <w:sz w:val="28"/>
          <w:szCs w:val="28"/>
          <w:rtl w:val="true"/>
          <w:lang w:bidi="ar-SA"/>
        </w:rPr>
        <w:t>، اللّهُمَّ إلّاأنْ يكون نظر الشيخ رحمه الله إلى تقييد إطلاقهما بصحيح ابن الحجّاج المتقدّم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فرق فيما ذكرناه من الأحكام بين ما إذا كان الكتابيّان ذميّين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الزوجان حربيّين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المذكور في المتن اختصاصه بما إذا كان الكتابيّان ذميّين، وهو المنقول عن الشيخ رحمه الله، وألحقا الحربيّين بالوثنيّين، وسيأتي حكمهما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وأسلم أحدهما قبل الدخول، انفسخ النكاح في الحال،</w:t>
      </w:r>
    </w:p>
    <w:p>
      <w:pPr>
        <w:pStyle w:val="BookText"/>
        <w:rPr/>
      </w:pPr>
      <w:r>
        <w:rPr>
          <w:rFonts w:ascii="Amiri" w:hAnsi="Amiri" w:eastAsia="Amiri" w:cs="Amiri"/>
          <w:color w:val="111111"/>
          <w:sz w:val="28"/>
          <w:sz w:val="28"/>
          <w:szCs w:val="28"/>
          <w:rtl w:val="true"/>
          <w:lang w:bidi="ar-SA"/>
        </w:rPr>
        <w:t>وقد استدلّ له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جواز نكاح المسلم غير الكتابيّة ابتداءً ولا استدامةً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فإنّ الحربي قد يكون كتابيّاً، وقد يكون غير كتابي، ومحلّ الكلام هو الكتابي، ولعلّ نظره الشريف إلى ما ذكره قبل أسطر بانصراف اليهود والنصارى إلى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خبري محمّد ويونس مختصّان بالذميّين، فيقيّد بهما إطلاق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يتنافيان مع النصوص المطلّقة كي يقيّدنها، لكونهما من قبيل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الفرق في الحكم المذكور بين الحربيّ والذِّمي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إسلام زوج الكتابيّة، وإنْ لم يكن هو كتابيّاً، وفي إسلام زوجة الكتابي وإنْ لم تكن هي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الزوجان وثنيّين عابدين للوثن وهو الصَّنم، أو كانا بحكمهما من الكفّار غير الكتابيّين،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أحدهما قبل الدخول انفسخ النكاح في الحال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المسلم هو الزّوج، لزم من بقاء نكاحه بقاء نكاح الكافرة غير الكتابيّة، وقد اتّفقوا</w:t>
      </w:r>
      <w:r>
        <w:rPr>
          <w:rStyle w:val="FootnoteAnchor"/>
          <w:rtl w:val="true"/>
        </w:rPr>
        <w:footnoteReference w:id="999"/>
      </w:r>
      <w:r>
        <w:rPr>
          <w:rFonts w:ascii="Amiri" w:hAnsi="Amiri" w:eastAsia="Amiri" w:cs="Amiri"/>
          <w:color w:val="111111"/>
          <w:sz w:val="28"/>
          <w:sz w:val="28"/>
          <w:szCs w:val="28"/>
          <w:rtl w:val="true"/>
          <w:lang w:bidi="ar-SA"/>
        </w:rPr>
        <w:t>على عدم جواز نكاحها ابتداءً واستدامةً‌، وعليه تمام المَهر،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بعده وقفَ على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لثبوته بالعقد، وقياس الإسلام بالطلاق فيجبُ النصف،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الزّوجة هي التي أسلمت، فبطلان النكاح أظهر لما مرّ، ويسقط المَهر لأنّ الحدث جاء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انقضَت، فلم يُسلم الآخر، تبيّن انفساخه من حين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أسلم فيها استمرّ النكاح،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الاتّفاق نقلاً وتحصيلاً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حُكي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مسلم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مجوسي أو مشركٍ من غير أهل الكتاب، كانت تحته امرأة، فأسلم أو أسلمت‌؟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بذلك انقضاء عِدّتها، فإنْ هو أسلم أو أسلمت قبل أنْ تنقضي عِدّتها فهما على نكاحهما الأوّل، وإنْ هي لم تُسلم حتّى تنقضي العِدّة فقد بانت منه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1" w:name="pg11825_116016"/>
    </w:p>
    <w:p>
      <w:pPr>
        <w:pStyle w:val="BookText"/>
        <w:rPr/>
      </w:pPr>
      <w:bookmarkEnd w:id="201"/>
      <w:r>
        <w:rPr>
          <w:rFonts w:ascii="Amiri" w:hAnsi="Amiri" w:eastAsia="Amiri" w:cs="Amiri"/>
          <w:color w:val="111111"/>
          <w:sz w:val="28"/>
          <w:sz w:val="28"/>
          <w:szCs w:val="28"/>
          <w:rtl w:val="true"/>
          <w:lang w:bidi="ar-SA"/>
        </w:rPr>
        <w:t>ولو أسلم الزّوج الحَربيّ على أكثر من أربع حربيّات وأسلمن، فاختار أربعاً، انفسخ نكاح البواقي</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11056860_73709187"/>
      <w:bookmarkStart w:id="203" w:name="_Toc67"/>
      <w:bookmarkEnd w:id="202"/>
      <w:r>
        <w:rPr>
          <w:rtl w:val="true"/>
        </w:rPr>
        <w:t>لو أسلم كافر وله أزيد من أربع منكوحات</w:t>
      </w:r>
      <w:bookmarkEnd w:id="20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الوثني ومن بحكمه كالكتابي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رحمه الله، أو الكتابي الذّمي، وعنده أربع فما دون، كتابيّات أو وثنيّات، أسلمن معه، أو في العِدّة، بقي نكاح الجميع كما يظهر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أكثر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وثنيّات أو من بحكمهن 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ولم يُسلمن معه ولا في العِدّة، انفسخ نكاح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أربعاً، انفسخ نكاح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العامّة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غيلان بن سَلَمة الثقفي أسلم وله عشر نسوة في الجاهليّة، فأسلمن معه، فأمره النبيّ صلى الله عليه و آله ان يتخيّر أربعاً منهنّ‌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المشرك يسلم وعنده اُختان حُرّتان أو أكثر من أربع نسوة حرائر؟ </w:t>
      </w:r>
    </w:p>
    <w:p>
      <w:pPr>
        <w:pStyle w:val="BookText"/>
        <w:rPr/>
      </w:pPr>
      <w:r>
        <w:rPr>
          <w:rFonts w:ascii="Amiri" w:hAnsi="Amiri" w:eastAsia="Amiri" w:cs="Amiri"/>
          <w:color w:val="111111"/>
          <w:sz w:val="28"/>
          <w:sz w:val="28"/>
          <w:szCs w:val="28"/>
          <w:rtl w:val="true"/>
          <w:lang w:bidi="ar-SA"/>
        </w:rPr>
        <w:t>ولو أسلم الذّمي وعنده أربع، ثبت َ‌عقده عليهنّ‌، ولو كُنَّ أزيد تخيّر أربعاً، وبطل نكاح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التي نكح أوّلاً من الاُختين والأربع الحرائر الأُولى‌، وتنزع منه الاُخت الثانية وما زاد على أربع حرائر</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إسنادها منجبرٌ بعمل الطائفة، وكذا ضعف دلالتها، لأنّ الأوّل في واقعةٍ‌، فلا يكون له إطلاق، من حيث كون الأكثر على الأربع كتابيّات أو وثنيّات أو مختلفات، والمتيقّن ما إذا كان الأكثر كتابيّات، والأخيرين دالّان على تعيّن اختيار الأربع الأُولى فالأُولى ولم يفتِ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إجمال الأوّل يبين بالأخيرين، والأمر باختيار الأربع الأُولى فيهما يُحمل على التخيّير أو الأفضليّة بقرينة الأوّل وبقرينة ما يأتي في الكتابيّات، فلا إشكال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عقده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أزيد، تخيّر أربعاً، وبطل نكاح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عُقبة بن خالد، عن الإمام الصادق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مجوسيّ أسلم وله سبعُ نسوةٍ‌، وأسلمن معه،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أربعاً،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ويطلّق ثلاثاً</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سنده</w:t>
      </w:r>
      <w:r>
        <w:rPr>
          <w:rStyle w:val="FootnoteAnchor"/>
          <w:rtl w:val="true"/>
        </w:rPr>
        <w:footnoteReference w:id="1009"/>
      </w:r>
      <w:r>
        <w:rPr>
          <w:rFonts w:ascii="Amiri" w:hAnsi="Amiri" w:eastAsia="Amiri" w:cs="Amiri"/>
          <w:color w:val="111111"/>
          <w:sz w:val="28"/>
          <w:sz w:val="28"/>
          <w:szCs w:val="28"/>
          <w:rtl w:val="true"/>
          <w:lang w:bidi="ar-SA"/>
        </w:rPr>
        <w:t>غير قادحٍ في الحجيّة بعد إنجباره بعمل الأصحاب، وما فيه من الأمر بتطليق الثلاث منافٍ لاتّفاق الأصحاب عليحصول الفسخ بالاختيار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فيُحمل على كونه مخفّفة من الإطلاق، أي يفارق ثلاثاً ويُخلّي سبيلهنّ‌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04" w:name="pg11825_116019"/>
    </w:p>
    <w:p>
      <w:pPr>
        <w:pStyle w:val="Heading2"/>
        <w:numPr>
          <w:ilvl w:val="1"/>
          <w:numId w:val="1"/>
        </w:numPr>
        <w:rPr/>
      </w:pPr>
      <w:bookmarkStart w:id="205" w:name="__RefHeading___Toc11056862_73709187"/>
      <w:bookmarkStart w:id="206" w:name="_Toc68"/>
      <w:bookmarkEnd w:id="204"/>
      <w:bookmarkEnd w:id="205"/>
      <w:r>
        <w:rPr>
          <w:rtl w:val="true"/>
        </w:rPr>
        <w:t>فيما يتحقّق به الاختيار</w:t>
      </w:r>
      <w:bookmarkEnd w:id="206"/>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يتحقّق به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أطالوا البحث فيما يتحقّق به مفهومه، ولا وجه له أصلاً بعد عدم التصريح أو الإشارة إليه في شيء من النصوص سوى ما في النبويّ‌، وقد روي في كتب أحاديث العامّة التي هي المصدر فيه بنحوٍ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إشكال في تحقّقه بالقول الدالّ على الإمساك، صريحاً أو كنايةً أو مجازاً، من أيّ لغةٍ كان، كان اللّفظ بالماضي أو غيره،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مقتضى القاعدة عدم اعتبار الصراحة والحقيقة والماضويّة والعربيّة في العقود والإيقاعات، إلّاما خرج بالإجماع، فلا يعتبر في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يتحقّق بالفعل كالوطء والتقبيل واللّمس مع قصد الاختيار، بل لولا الإجماع المُدّعى على اعتبار الكاشف، لقلنا بكفاية مجرّد الإرادة والرّضا النفساني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لما زاد على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فِراقَكُنّ‌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في اندفاعهن لإطلاق الأدلّة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يثبت به نكاح البواقي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وغيرهما</w:t>
      </w:r>
      <w:r>
        <w:rPr>
          <w:rStyle w:val="FootnoteAnchor"/>
          <w:rtl w:val="true"/>
        </w:rPr>
        <w:footnoteReference w:id="1013"/>
      </w:r>
      <w:r>
        <w:rPr>
          <w:rFonts w:ascii="IRNazanin" w:hAnsi="IRNazanin" w:eastAsia="IRNazanin"/>
          <w:color w:val="111111"/>
          <w:sz w:val="28"/>
          <w:sz w:val="28"/>
          <w:szCs w:val="28"/>
          <w:rtl w:val="true"/>
          <w:lang w:bidi="fa-IR"/>
        </w:rPr>
        <w:t xml:space="preserve">، أم </w:t>
      </w:r>
    </w:p>
    <w:p>
      <w:pPr>
        <w:pStyle w:val="BookText"/>
        <w:rPr/>
      </w:pPr>
      <w:r>
        <w:rPr>
          <w:rFonts w:ascii="Amiri" w:hAnsi="Amiri" w:eastAsia="Amiri" w:cs="Amiri"/>
          <w:color w:val="111111"/>
          <w:sz w:val="28"/>
          <w:sz w:val="28"/>
          <w:szCs w:val="28"/>
          <w:rtl w:val="true"/>
          <w:lang w:bidi="ar-SA"/>
        </w:rPr>
        <w:t>يحتاج إلى إنشاء اختيار إمساكهنّ؟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مقتضٍ للبقاء، والزيادة في العدد مانعة، فإذا اندفعت الزيادة أثَّر المقتضي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نكاح أشخاصهن يبطل بالإسلام، والباقي هو نكاح الأربع الكلّي، فلا عقد في خصوص الأربع الباقيات كي يؤثّر بعد رفع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بالإسلام لا يبطل نكاح الجميع، بل يبطل نكاح الزائد على الأربع، ويبقى الأربع على الصحّة، غاية الأمر كلّ منها بنحو التخيير، وقد مرّ في مسألة تزويج الاُختين معقوليّة ذلك، وضروري أنّه مع فرض انعدام أحد أطراف التخيير يتعيّن الحكم، ففي المقام يتعيّن بعد بطلان نكاح الزائد بقاء الأربع على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ما ذُكر من أنّ الباقي هو نكاح الأربع الكلّي، فالكلّي أيضاً بعد انحصار أفراده في الأربع الباقيات يتعيّن فيها، نظير من ملك صاعاً من صُبرةٍ‌، فإنّه إذا لم يبق منها إلّاصاعاً يتعيّن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 أربعاً،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اندفع البواقي، وثبت نكاح المطلّقات، ثمّ طُلقن بالطلاق، لأنّه لا يواجه به إلّاالزّوجة، إذ موضوعه إزالة قيد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الطلاق هي إزالة النكاح، فالنكاح جزءٌ من مفهومه، فقصد الطلاق يستلزمُ قصد اختيار النكاح إذ لا طلاق بدونه، ولذا لا يصحّ توجيهه إلّا إلى الزّوجة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النكاح، وإنّما غرضه فراق المطلّقة، نظراً إلى حصوله بكلّ ما يدلّ عليه، وبديهي أنّ الطلاق بما له من المفهوم العرفي من الدّوال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اختيار النكاح قبل أنْ يطلّق، ثمّ يجري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اختيار النكاح بنفس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الطلاق الشرعي من دون قصد اختيار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الفراق، ولا يثبتُ نكاح المطلقات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ثبوت نكاحهنّ وصحّة الطلاق على كفاية الإرادة النفسانيّة خاصّة في ثبوت النكاح، وقد مرّ أنّ ظاهرهم الاتّفاق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النكاح ولا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كفاية كلّ مظهر لاختياره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ثبوت النكاح، والمفروض عدم ثبوته إلّا به، فيلزم من وقوعه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النكاح، ولا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ثبوت النكاح فلعدم قصد اختياره، وليس ذلك من الاُمور القهريّة الواقعة، ولو مع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صورة عدم وقوع الفراق وثبوت نكاح البواقي لا كلام، كما أنّه في صورة ثبوت نكاحهنّ فكذلك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عدم وقوع الطلاق، وعدم ثبوت النكاح، فلا إشكال في بقاء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فلو اختار بعد ذلك المطلقات، قد يقال بتأثير الطلاق في إزالة نكاحهنّ‌، من جهة كشف الاختيار عن الزوجيّة حال وقوع الطلاق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الاختيار لا يكون كاشفاً عن ثبوت زوجيّة المختارة تعييناً، بل الاختيار موجبٌ لتعيّن الكلّي في المختارة، فحين الطلاق لم تكن المطلّقة زوجةً تعييناً كي يقع طلاقها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الاختيار بإجازة النكاح الواقع فضولاً قبل الطلاق، على القول بالكشف،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الفارق، فإنّه بالاجازة ينكشف أنّ المرأة المعيّنة المطلّقة كانت زوجة حين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أنّه لا فرق بين الطلاق وبين الظهار والايلاء،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من كونهما اختياراً كالطلاق، بل في عدم كونهما اختياراً كالطلاق إلّا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وعن غيرها</w:t>
      </w:r>
      <w:r>
        <w:rPr>
          <w:rStyle w:val="FootnoteAnchor"/>
          <w:rtl w:val="true"/>
        </w:rPr>
        <w:footnoteReference w:id="1018"/>
      </w:r>
      <w:r>
        <w:rPr>
          <w:rFonts w:ascii="Amiri" w:hAnsi="Amiri" w:eastAsia="Amiri" w:cs="Amiri"/>
          <w:color w:val="111111"/>
          <w:sz w:val="28"/>
          <w:sz w:val="28"/>
          <w:szCs w:val="28"/>
          <w:rtl w:val="true"/>
          <w:lang w:bidi="ar-SA"/>
        </w:rPr>
        <w:t>من الفرق بينهما وبينه من جهة أنّ الطلاق لا يواجه به غير الزّوجة، وهما قد يواجه بهما غير الزّوجة، بل الأجنبيّة أليق بهما من الزّوجة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 لأنّه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يقع الطلاق خارجاً إلّا في الزّوجة، كذلك لا يقع الظّهار والإيلاء الشرعيين إلّافيها، وكما أنّ مفهومهما العرفي يمكن تحقّقه في غيرها، كذلك مفهوم الطلاق عرفاً قابلٌ لوقوعه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7" w:name="pg11825_116023"/>
    </w:p>
    <w:p>
      <w:pPr>
        <w:pStyle w:val="Heading2"/>
        <w:numPr>
          <w:ilvl w:val="1"/>
          <w:numId w:val="1"/>
        </w:numPr>
        <w:rPr/>
      </w:pPr>
      <w:bookmarkStart w:id="208" w:name="__RefHeading___Toc11056864_73709187"/>
      <w:bookmarkStart w:id="209" w:name="_Toc69"/>
      <w:bookmarkEnd w:id="207"/>
      <w:bookmarkEnd w:id="208"/>
      <w:r>
        <w:rPr>
          <w:rtl w:val="true"/>
        </w:rPr>
        <w:t>إسلام الزّوج عن أكثر من أربع وثنيّات وأسلمن في العِدّة</w:t>
      </w:r>
      <w:bookmarkEnd w:id="209"/>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الزّوج، وكان عنده أكثر من أربع وثنيّات ولم يسلمنَ معه، بل أسلمن في العِدّة، فهل يُحكم بالتخيير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بالثاني من جهة اختصاص النّص بما لو أسلمنَ معه، وفي الفرض لابدّ من الرجوع إلى ما تقتضيه القاعدة، وهو بطلان نكاح الجميع، لعدم إمكان صحّة الجميع، وبقاء البعض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وإنْ اختصّ بما لو أسلمن معه، إلّاأنّ الظاهر من السؤال كون السائل بصدد السؤال عمّا إذا لم يكن هناك مانعٌ عن صحّة النكاح إلّازيادة العدد، فيستفاد من الحكم بالتخيير في الجواب كبرى كليّة، وهي أنّه كلّما لم يكن هناك مانعٌ عن صحّة النكاح إلّازيادة العدد، فللزوج التخيير في إمساك الأربع وفراق ما زاد، فيدلّ على ثبوت التخيير في المسألة أيضاً، إذ بعد إسلامهنّ في العِدّة لا مانع عن صحّة نكاحهنّ إلّاالزيادة في العدد، كما عن المحقّق اليزدي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الميزان في استفادة الحكم، هو ظواهر الأدلّة سؤالاً وجواباً، ولا عبرة بقصد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فظاهر السؤال في النّص هو السؤال عن خصوص ما لو أسلمن معه، والجواب مختصّ به، فالتعدّي يحتاج إلى دليلٍ مفقود، وتنقيح المناط غير ظاهر، لاحتمال خصوصيّة إسلامهنّ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إثبات التخيير باستصحابه التعليقي، بأنْ يقال إنهنّ لو أسلمن سابقاً معه، كان له التخيير، والآن كما كان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جريان الاستصحاب التعليقي مطلقاً، وإلى عدم جريانه </w:t>
      </w:r>
      <w:bookmarkStart w:id="210" w:name="pg11825_116024"/>
    </w:p>
    <w:p>
      <w:pPr>
        <w:pStyle w:val="BookText"/>
        <w:rPr/>
      </w:pPr>
      <w:bookmarkEnd w:id="210"/>
      <w:r>
        <w:rPr>
          <w:rFonts w:ascii="Amiri" w:hAnsi="Amiri" w:eastAsia="Amiri" w:cs="Amiri"/>
          <w:color w:val="111111"/>
          <w:sz w:val="28"/>
          <w:sz w:val="28"/>
          <w:szCs w:val="28"/>
          <w:rtl w:val="true"/>
          <w:lang w:bidi="ar-SA"/>
        </w:rPr>
        <w:t xml:space="preserve">في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غير باقٍ‌، فإنّ الموضوع هو إسلامهنّ مع إسلامه، وهذا غير إسلامهنّ بعد، فلا يجري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إثبات التخيير على القاعدة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بعدما لا مانع ثبوتاً من بقاء نكاح الأربع لا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في صورة إسلامهنّ معه يُحكم به ولو كان ممتنعاً لما كان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الأدلّة الأوليّة بقاء نكاح الجميع، ولكن لا يمكن الحكم بذلك لما دلّ على عدم جواز نكاح أزيد من الأربع، وهذا المانع لا يصلح أنْ يكون منشأً لفساد نكاح الجميع، لأنّ الضرورات تتقدّر بقدرها، فهو مانعٌ عن بقاء نكاح الأزيد من الأربع، وحيث أنّ نسبته إلى الجميع على حَدٍّ سَواء، فلا يمكن الحكم ببقاء نكاح الأربع المعيّنة، فيتعيّن البناء على بقاء نكاح الأربع لا على التعيين،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الحكم بالتخيير في هذه الصورة أيضاً</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1056866_73709187"/>
      <w:bookmarkStart w:id="212" w:name="_Toc70"/>
      <w:bookmarkEnd w:id="211"/>
      <w:r>
        <w:rPr>
          <w:rtl w:val="true"/>
        </w:rPr>
        <w:t>إسلام الكافر وإسلام أربع منهنّ معه</w:t>
      </w:r>
      <w:bookmarkEnd w:id="212"/>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الذي عنده أكثر من أربع نسوة، فأسلمت معه أربع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الجميع كتابيّات، أو وثنيات مع إسلام البواقي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الجميع وثنيّات، ولا تسلم البواقي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بقاء نكاح المسلمات، لبطلان نكاح البواقي في نفسه، فلا محلّ للتخيير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بانتفاء التخيير وتعيّن المسلمات للزوجيّة، من </w:t>
      </w:r>
      <w:bookmarkStart w:id="213" w:name="pg11825_116025"/>
    </w:p>
    <w:p>
      <w:pPr>
        <w:pStyle w:val="BookText"/>
        <w:rPr/>
      </w:pPr>
      <w:bookmarkEnd w:id="213"/>
      <w:r>
        <w:rPr>
          <w:rFonts w:ascii="Amiri" w:hAnsi="Amiri" w:eastAsia="Amiri" w:cs="Amiri"/>
          <w:color w:val="111111"/>
          <w:sz w:val="28"/>
          <w:sz w:val="28"/>
          <w:szCs w:val="28"/>
          <w:rtl w:val="true"/>
          <w:lang w:bidi="ar-SA"/>
        </w:rPr>
        <w:t>جهة أنهنّ بإسلامهنّ شملهنّ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 وأسلمت معه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لإسلام الأربع أيضاً، فهو يكون على نكاحه بالنسبة إليهنّ‌، فإذا ثبت نكاحهنّ سقط نكاح البواقي عن قابليّة البقاء، فلا يشمله ما دلّ على التخيير، لأنّ الحكم به إنّما هو مع صلاحيّة الكلّ للبقاء على الزوجيّة، فيكون هذا الدليل وارداً على دليل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 الكتابيات، لأنّه يجوز نكاح الكتابيّة إمّا مطلقاً كما هو المختار، أو استدامةً خاصّة كما هو المشهور، فكما أنّ الأربع المسلمات مشمولة لما دلّ على بقاء نكاحهنّ في أنفسهنّ‌، فكذلك الكتابيّات الباقيات تشملهنّ ما دلّ على بقاء نكاح الكتابيّة لو أسلم زوجها، فيقع التعارض، والمرجع حينئذٍ إلى ما تقتضيه القاعدة من التخيير وما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الوثنيّات اللّآتي أسلمن في العِدّة، فهن أيضاً مشمولات لما دلّ على بقاء نكاحهنّ‌، والمرجع فيهنّ إلى أدلّة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لأدلّة التخيير هو ما إذا كان الكلّ صالحة من جميع الجهات للبقاء على الزوجيّة من غير ناحية العدد، ومن المعلوم أنّ البواقي غير المسلمات صالحة للبقاء عليها مع قطع النظر عن العدد، فلا ورود، بل يقع التعارض بين الدليلين مع قطع النظر عمّا ذكرناه، والمرجع هي القاعدة المقتضية للتخيير</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1056868_73709187"/>
      <w:bookmarkStart w:id="215" w:name="_Toc71"/>
      <w:bookmarkEnd w:id="214"/>
      <w:r>
        <w:rPr>
          <w:rtl w:val="true"/>
        </w:rPr>
        <w:t>لو أسلم الكافر بعد تزويج الاُمّ وبنتها</w:t>
      </w:r>
      <w:bookmarkEnd w:id="215"/>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بعد تزويجه امرأة وبنتها الكتابيّتين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بعد الدخول بالاُمّ‌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بعد الدخول بالبنت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الدخول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البناء على بطلان نكاحهما لو وقعا دفعة، وبطلان نكاح اللّاحقة لو كان ترتيباً في جميع الصور، وتحرم البنت خاصّة لو كان العقد السابق هو ما وقع على الاُمّ ودخل بها، وتحرم الاُمّ خاصّة لو كان السابق هو ماوقع على البنت، دخل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مكلّفون بالفروع كما هم مكلّفون بالاُصول، من غير فرقٍ بين الأحكام الوضعيّة والتكليفيّة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وإنْ كانوا مكلّفين بالفروع، ولكن في خصوص باب النكاح دلّ الدليل على صحّة نكاحهم، وإنْ كان باطلاً في الإسلام، وهو دليل التقرير، وأنّه لكلّ قومٍ نكاح</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يتوهّم أنّه يصحّ نكاحهما، ولا تحرمُ شيءٌ منهما في شيء من الصور، لأنّه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تزويجه إيّاهما في حال الكفر، وحُكم الشارع الأقدس بصحّة النكاحين، وعدم حُرمة شيء منهما عليه في شيء من صور الدخول، لا محالة تكون المرأة وبنتها خارجتين عن تحت ما دلّ على حرمة اُمّ الزّوجة والربيبة، وعدم صحّة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نكاحهما معاً، وبعدما أسلم لا وجه للتمسّك بعموم أدلّة التحريم والبطلان، إذ لا عموم أزماني لها كي يتمسّك به بعد زمان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تسليم كون خطاب التحريم متوجّهاً إلى المسلمين والكفّار، وخروج الكفّار بأدلّة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بكون المخاطب خصوص المسلمين، فالأمر أوضح، إذ الظاهر منها حينئذٍ كون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 الزّوجة والربيبة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حادثين حين الخطاب لا قبله، وهو أيضاً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بكون الخطاب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وخرج الكفّار بالدليل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المختار عندنا جواز التمسّك بعموم العام بعد مضيّ زمان التخصيص مطلقاً، كان للعام عمومٌ أزماني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يكون المخصّص في المقام يخرج من الأوّل، وفي مثل ذلك لابدّ من التمسّك بعموم العام، وإنْ سُلّم أنّ الفرد الخارج في الأثناء لا يتمسّك فيه بعموم العام بعد مضيّ زمان التخصيص، إلّاإذا كان للعام عمومٌ أزماني، مع أنّ الخارج في المقام عن تحت العموم هو العنوان العام لا خصوص الفرد، ومع ارتفاع العنوان يتمسّك بالعموم بلا كلام،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زيدٌ فاسقاً، ثمّ أصبح عادلاً، فإنّه لا إشكال في جواز الاقتداء به للعموم، فإنّ الخارج عنه هو الفاسق، والمفروض ارتفاع الفسق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سبيل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الشخص كان خارجاً عن تحت ما دلّ على جواز الاقتداء، وبعدما صار عادلاً يُشكّ في جوازه، فلا سبيل إلى التمسّك بعموم العام، لعدم العموم الأزماني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من هذا القبيل، فإنّ الخارج هو عنوان الكافر، لا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بكون الخطاب لخصوص المسلمين، فمقتضى إطلاق الأدلّة شموله لمن أسلم بعد تحقّق العنوانين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الدخول بهما تحرمان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اُمّ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ربيبة دخل باُمّها، وكذا في صورة الدخول بالاُمّ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الدخول بالبنت خاصّة، أو عدم الدخول بهما، تحرم الاُمّ خاصّة لكونها اُمّ الزّوجة، ولا يعتبر في حرمتها الأبديّة الدخول بالزوجة، ولا تحرمُ البنت أبداً لكونها ربيبة لم يدخل باُمّها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فالعقدان يبطلان في الصورتين الأولتين، ويبطل عقد الاُمّ خاصّة في الصورتين الأخيرتين، فلا وجه لبطلان نكاح البنت، بل تبقى هي على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بالتخيير في إمساك أيّتهما شاء وفراق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بذلك في خصوص صورة الدخول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بما نقله عنه، وحاصله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الكافر إذا جمع بين من لا يجوز له الجمع بينهما أو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تزوّج اُختين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بصحّة نكاح من يختارها لا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فالاختيار حينئذٍ بمنزلة العقد ابتداءً‌، وكان كأنّه الآن تزوّج بها وحدها، وعليه اختيار أيّتهما شاء في المقام، كما أنّه مخيّرٌ في ابتداء الأمر أن يعقد على كلّ منهما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فيما لو كان العقد على كلّ منهما باقياً في نفسه، فبالاختيار يثبت أحدهما ويرتفع غيره، وفي المقام بمجرّد الإسلام يبطل نكاح الاُمّ‌، فلا قابليّة له للبقاء كي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شمول إطلاقات الأدلّة لما إذا كان العنوانان ثابتين ومحكومين بالحلّية قبل توجّه الخطاب كان ما أفاده الشيخ رحمه الله متيناً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أنّه غير صحيح، على أنّه يتمّ لو قطع بذلك، ولو شُكّ فيه لما كان ما اُفيد تامّاً، للشكّ في قابليّة نكاح الاُمّ للبقاء حينئذٍ بخلاف نكاح البنت، والاستصحاب لا يجري لتبدّل الموضوع، ولعدم جريانه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حكم فرعين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أسلم عن اُختين تزوّجهما دفعةً أو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كان لم يدخل بهما، تخيّر في إمساك أيّتهما شاء وفراق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 بهما ليس له إمساك شيء منهما، لأنّه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اختار إحداهما يكون ذلك موجباً لكون إحداهما في حبالته، مع كون الاُخرى في العِدّة، وقد مرّ أنّه كما لا يجوز الجمع بين الاُختين، كذلك لا يجوز تزويج إحداهما في عِدّة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دخل بإحداهما، كان نكاحها خاصّة باقياً، لأنّ اختيار الاُخرى يلزم منه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الأصحاب كون التخيير في اختيار أيّتهما شاء مطلقاً مفروغاً عنه، ويشهد به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w:t>
      </w:r>
      <w:r>
        <w:rPr>
          <w:rStyle w:val="FootnoteAnchor"/>
          <w:rtl w:val="true"/>
        </w:rPr>
        <w:footnoteReference w:id="1023"/>
      </w:r>
      <w:r>
        <w:rPr>
          <w:rFonts w:ascii="IRNazanin" w:hAnsi="IRNazanin" w:eastAsia="IRNazanin"/>
          <w:color w:val="111111"/>
          <w:sz w:val="28"/>
          <w:sz w:val="28"/>
          <w:szCs w:val="28"/>
          <w:rtl w:val="true"/>
          <w:lang w:bidi="fa-IR"/>
        </w:rPr>
        <w:t>المنجبر ضعفهما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فيهما أنّه يختار الأُولى‌، وتنزع منه الاُخت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يعملوا بهذه الجملة، والتفكيك في الحجيّة بين جملات الخبر لا مانع منه، واللّه تعالى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أسلم وكان عنده امرأة وعمّتها أو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رضيت صَحّ الجمع بلا إشكال، بل الظاهر كفاية رضاها حال الكفر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تجز، تخيّر إحداهما كما لو عرض ذلك لمسلمٍ برضاع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يبطل عقد بنت الأخ أو الاُخت، ولا وجه لبطلان عقد العمّة أو الخالة فيبقى عقدها، ولا نصّ خاصّ في المسألة، واستفادة حكمها من ما ورد في نظائرها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إنْ لم يقم الإجماع على خلافه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6" w:name="pg11825_116031"/>
    </w:p>
    <w:p>
      <w:pPr>
        <w:pStyle w:val="BookText"/>
        <w:rPr/>
      </w:pPr>
      <w:bookmarkEnd w:id="216"/>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للمؤمنة أن تتزوّج بالمخالف، ويجوزُ العكس</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1056870_73709187"/>
      <w:bookmarkStart w:id="218" w:name="_Toc72"/>
      <w:bookmarkEnd w:id="217"/>
      <w:r>
        <w:rPr>
          <w:rtl w:val="true"/>
        </w:rPr>
        <w:t>حكم تزويج المؤمنة من المخالف</w:t>
      </w:r>
      <w:bookmarkEnd w:id="218"/>
    </w:p>
    <w:p>
      <w:pPr>
        <w:pStyle w:val="BookText"/>
        <w:rPr/>
      </w:pPr>
      <w:r>
        <w:rPr>
          <w:rFonts w:ascii="Amiri" w:hAnsi="Amiri" w:eastAsia="Amiri" w:cs="Amiri"/>
          <w:color w:val="111111"/>
          <w:sz w:val="28"/>
          <w:sz w:val="28"/>
          <w:szCs w:val="28"/>
          <w:rtl w:val="true"/>
          <w:lang w:bidi="ar-SA"/>
        </w:rPr>
        <w:t xml:space="preserve">بقي الكلام في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اعتبار الكفاءة، بمعنى التساوي في الإسلام، لكن السؤال عن أنّه هل الكفاءة بمعنى الإيمان بالمعنى الأخصّ شرطٌ في صحّة النكاح أم لا؟</w:t>
      </w:r>
    </w:p>
    <w:p>
      <w:pPr>
        <w:pStyle w:val="BookText"/>
        <w:rPr/>
      </w:pPr>
      <w:r>
        <w:rPr>
          <w:rFonts w:ascii="Amiri" w:hAnsi="Amiri" w:eastAsia="Amiri" w:cs="Amiri"/>
          <w:color w:val="111111"/>
          <w:sz w:val="28"/>
          <w:sz w:val="28"/>
          <w:szCs w:val="28"/>
          <w:rtl w:val="true"/>
          <w:lang w:bidi="ar-SA"/>
        </w:rPr>
        <w:t>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شهرة عظيمة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للمؤمنة أن تتزوّج بالمخالف، ويجوز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يعتدّ به بينهم في جواز العكس،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يحكِ أحدٌ هنا الخلاف في ذلك عمّن عُلم أنّ مذهبه كفر المخالفين، كالمرتضى وابن إدريس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تزويج المؤمنة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التساوي، وأنّه لا يجوز </w:t>
      </w:r>
    </w:p>
    <w:p>
      <w:pPr>
        <w:pStyle w:val="BookText"/>
        <w:rPr/>
      </w:pPr>
      <w:r>
        <w:rPr>
          <w:rFonts w:ascii="Amiri" w:hAnsi="Amiri" w:eastAsia="Amiri" w:cs="Amiri"/>
          <w:color w:val="111111"/>
          <w:sz w:val="28"/>
          <w:sz w:val="28"/>
          <w:szCs w:val="28"/>
          <w:rtl w:val="true"/>
          <w:lang w:bidi="ar-SA"/>
        </w:rPr>
        <w:t>تزويج المؤمنة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بين المتأخّرين ومتأخِّريهم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حُكي عليه الإجماعات المستفيضة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وسلّار</w:t>
      </w:r>
      <w:r>
        <w:rPr>
          <w:rStyle w:val="FootnoteAnchor"/>
          <w:rtl w:val="true"/>
        </w:rPr>
        <w:footnoteReference w:id="10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والقول الآخر ما عن المفيد</w:t>
      </w:r>
      <w:r>
        <w:rPr>
          <w:rStyle w:val="FootnoteAnchor"/>
          <w:rtl w:val="true"/>
        </w:rPr>
        <w:footnoteReference w:id="1032"/>
      </w:r>
      <w:r>
        <w:rPr>
          <w:rFonts w:ascii="Amiri" w:hAnsi="Amiri" w:eastAsia="Amiri" w:cs="Amiri"/>
          <w:color w:val="111111"/>
          <w:sz w:val="28"/>
          <w:sz w:val="28"/>
          <w:szCs w:val="28"/>
          <w:rtl w:val="true"/>
          <w:lang w:bidi="ar-SA"/>
        </w:rPr>
        <w:t>، وابن سعيد</w:t>
      </w:r>
      <w:r>
        <w:rPr>
          <w:rStyle w:val="FootnoteAnchor"/>
          <w:rtl w:val="true"/>
        </w:rPr>
        <w:footnoteReference w:id="1033"/>
      </w:r>
      <w:r>
        <w:rPr>
          <w:rFonts w:ascii="Amiri" w:hAnsi="Amiri" w:eastAsia="Amiri" w:cs="Amiri"/>
          <w:color w:val="111111"/>
          <w:sz w:val="28"/>
          <w:sz w:val="28"/>
          <w:szCs w:val="28"/>
          <w:rtl w:val="true"/>
          <w:lang w:bidi="ar-SA"/>
        </w:rPr>
        <w:t>، والمحقّق</w:t>
      </w:r>
      <w:r>
        <w:rPr>
          <w:rStyle w:val="FootnoteAnchor"/>
          <w:rtl w:val="true"/>
        </w:rPr>
        <w:footnoteReference w:id="1034"/>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وغيرهم، وهو عدم اعتباره وجواز تزويجها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بعد نقل الإجماعات عن الكتب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الحجّة فيه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 كيف وقد ذهب جمعٌ من الأساطين إلى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ما ادّعى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هو اعتبار التساوي في الإسلام، ومرادهم من الإيمان فيها ما يرادف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فيها على نفي الزيادة عن اعتبار الإيمان واليسار في مقابل الشافعي وغيره من العامّة، ممّن اعتبر في الكفاءة أزيد من ذلك، بكون المُجمع عليه ذلك، والأصل عدم الزيادة، ولا شُبهة في أنّ الإيمان المعتبر عند الجميع هو الإسلام، إذ لا معنى أخصّ للإيمان عند العامّة، وتفريع بعضهم على اعتبار ذلك أنّه لا يجوز تزويج المسلمة غير المسلم وغير ذلك من القرائن تظهر لمن 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معلوميّة مدرك المُجمعين لا يكون الإجماع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أو المتواترة الدالّة على كفر المخالفين</w:t>
      </w:r>
      <w:r>
        <w:rPr>
          <w:rStyle w:val="FootnoteAnchor"/>
          <w:rtl w:val="true"/>
        </w:rPr>
        <w:footnoteReference w:id="1041"/>
      </w:r>
      <w:r>
        <w:rPr>
          <w:rFonts w:ascii="Amiri" w:hAnsi="Amiri" w:eastAsia="Amiri" w:cs="Amiri"/>
          <w:color w:val="111111"/>
          <w:sz w:val="28"/>
          <w:sz w:val="28"/>
          <w:szCs w:val="28"/>
          <w:rtl w:val="true"/>
          <w:lang w:bidi="ar-SA"/>
        </w:rPr>
        <w:t>، بتقريب أنّه إنْ اُريد منه الحقيقة كانت دلالتها واضحة، وإلّا كان المراد المشاركة في الأحكام التي منها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أنّهم بحكم الكفّار في الآخرة لا في الدُّنيا، كي يحلّ أموالهم ودمائهم، ويحرم مناكحتهم وموارثتهم، لمعلوميّة عدم كون المخالف من حيث كونه مخالفاً كذلك، كما صرّحت به النصوص، وتواترت في الفرق بين الإسلام والإيمان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أهما مختلفان‌؟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والإسلام لا يشارك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تصفهما 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إلّااللّه، والتصديق برسول اللّه صلى الله عليه و آله، وبه حُقنت الدِّماء، وعليه جَرَت المناكح، وعلى ظاهره جماعة النّاس، والإيمانُ الهُدى، وما يثبتُ في القلوب من صفة الإسلام، وما ظَهر من العمل به، والإيمانُ أرفع من الإسلام بدرجة، الحديث</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استقرّ في القلب، وأفضى به إلى اللّه تعالى، وصدقه العمل بالطاعة للّه تعالى والتسليم لأمره، والإسلام ما ظهر من قولٍ أو فعل، وهو الذي عليه جماعة النّاس من الفِرق جميعها، وبه حُقنت الدِّماء، وعليه جرت المواريث، وجاز النكاح، واجتمعوا على الصلاة والزكاة والصوم والحجّ‌، فخرجوا بذلك من الكفر، واُضيفوا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للمؤمن فضلٌ على المسلم في شيء من الفضائل والأحكام والحدود وغير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هما يجريان في ذلك مجرى واحد، ولكن للمؤمن فضلٌ على المسلم في أعمالهما، وما يتقرّبان به إلى اللّه تعالى‌</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بِمَ يكون الرّجل مسلماً تحلّ مناكحته وموارثته، وبِمَ يحرم دمه‌؟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دمه بالإسلام، إذا ظهر، ويحلّ مناكحته وموارثته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بن يسار،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يُشارك الإسلام، ولا يشاركه الإسلام، إنّ الإيمان ما وقرّ في القلوب، والإسلام ما عليه المناكح والمواريث وحقن الدِّماء</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الصيرفي شريك المفضّل،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يحقن به الدّم، ويُؤدَّى به الأمانة، وتستحلّ به الفروج، والثواب على الإيمان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الدالّة على اشتراك المسلم والمؤمن بالمعنى الأخصّ في الأحكام الدنيويّة في هذا الزمان، الذي هو زمان الهدنة، وهو الزمان الذي لم تقم فيه يد الشرع، كما يشير إليه صحيح العلاء بن رزين لما سأل أبا جعفر عليه السلام عن جمهور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اليوم أهلُ هدنة، تُردّ ضالّتهم، وتُؤدّى أمانتهم، وتُحقَن دمائهم، وتجوز مناكحتهم وموارثتهم في هذه الحال</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المؤمنين بعضهم أكفّاء بعض، مثل 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صَعد المنبر ذات يومٍ‌،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جبرئيل أتاني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 آله، فمن نزوّج‌؟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الأكفّاء؟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كان في السابق خصوصاً في زمانه صلى الله عليه و آله مرادفاً للمسلم، والإيمان بالمعنى الأخصّ اصطلاحٌ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تزويج البنات ممّن يرضى خلقه ودينه، كخبر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أسباط إلى أبي جعفر عليه السلام في أمر بناته، فكتب إليه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فهمتُ ما ذكرتَ‌،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ودينه فزوّجوه، إلّاتفعلوه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اشتراط وجوب التعجيل أو استحبابه، أو وجوب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الإجابة أو استحبابها عند الخِطبة، بما إذا كان الخاطب مرضيّ الخُلق والدِّين والأمانة، فلا ربط لها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مفهوم لها كي تدلّ على عدم صحّة التزويج بمن لا يرضى خُلُقه ودينه، مع أنّ المراد من الدِّين هو الإسلام،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لا الإيمان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تزويج مرضيّ الدِّين لا يدلّ على بطلان تزويج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تزويج الشكاك، معلّلاً بأنّ المرأة تأخذ من أدب زوجها، كالخبر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الشكاك ولا تزوّجوهم، فإنّ المرأة تأخذ من أدب زوجها، ويقهرها على دينه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عموم العلّة، عدم جواز تزويج المؤمنة كلّ مخالفٍ‌، مع أنّ حرمة تزويج الشكاك مستلزمٌ لحرمة تزويج غيرهم من المعتقدين للخلاف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فيها من التعليل قرينة على عدم كون النهي إرشاداً إلى الفساد، بل النهي تعلّق به لأمرٍ خارج لا بعنوان التزويج نفسه، فلا يدلّ على الفساد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المتواترة الدالّة على عدم جواز نكاح الناصب</w:t>
      </w:r>
      <w:r>
        <w:rPr>
          <w:rStyle w:val="FootnoteAnchor"/>
          <w:rtl w:val="true"/>
        </w:rPr>
        <w:footnoteReference w:id="105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الآتي بعضها، بناءً على أنّ المراد بالناصب كلّ 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محمّد بن عليّ بن عيسى‌، حيث سأله من الناصب،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احتاج في امتحانه إلى أكثر من تقديمه الجِبت والطاغوت واعتقاد إمامتهما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 الإمام الصادق عليه السلام في خبر المُعلّى بن خُنَيس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 لأنّك لا تجد أحداً يقول أنا أبغض محمّداً وآل محمّد، ولكن الناصب من نَصَب لكم وهو يعلم إنّكم تتولّونا وأنّكم من شيعتنا</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تلكم النصوص مختصّة بالناصب أهل البيت، الذي هو أنجس من الكلب ويكون كافراً، لما في خبر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المرأة العارفة، هل أزوّجها الناصب‌؟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فأزوّجها غير الناصب ولا العارف‌؟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أحبّ إليّ منه</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بما فيه من العلّة على اختصاص الحكم بالناصب الكافر، وقد مرّ عدم كون مطلق المخالف كافراً، مع أنّ ذيله صريحٌ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الناهية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كالموثّق، بل الموثّق لإرساله عن غير واحدٍ، الملحق مثله عند جماعةٍ بالمسند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أبان عن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نكاح الناصب‌؟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مرّة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نكاحهم‌؟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عارفة‌؟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العارفة لا توضع إلّاعند العارف</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بوجود المُجمع عليتصحيح مايصحّ عنه في سنده،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لامرأتي اُختاً عارفة على رأينا، وليس على رأيها بالبصرة إلّا قليل، فاُزوّجها ممّن لا يرى رأيها؟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نعمة ولا كرامة،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تَرْجِعُوهُنَّ إِلَى اَلْكُفّارِ لا هُنَّ حِلٌّ لَهُمْ وَ لا هُمْ يَحِلُّونَ لَهُنَّ‌</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يتزوّج الناصب المؤمنة، ولا يتزوّج المستضعف مؤمنة</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19" w:name="pg11825_116040"/>
    </w:p>
    <w:p>
      <w:pPr>
        <w:pStyle w:val="BookText"/>
        <w:rPr/>
      </w:pPr>
      <w:bookmarkEnd w:id="219"/>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بالعارف في الخبر الأوّل يمكن أنْ يكون غير الناصب، كما يؤيّده صدر الخبر، كما أنّ المراد به في الخبر الثاني يمكن أنْ يكون هو الخارجي المُبغض لأمير المؤمنين وأولاده عليهم السلام، الذي قام الإجماع على كفره، وعدم جواز مناكحته، كما يشهد به استدلاله عليه السلام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ظهورها في المنع، لابدّ من حملها على الكراهة، للنصوص الصريحة في الجواز، كخبر الفضيل المتقدّم، وصحيح عبداللّه بن سنان المتقدّم، الوارد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بِمَ يكون مسلماً يحلّ مناكحته‌؟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هشام بن الحكم، عن الإمام الباقر عليه السلام، قال 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أتتكافأ دمائكم ولا تتكافأ فروجكم</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ما وقع من تزويج عبداللّه بن عمر بن عثمان فاطمة بنت الحسين عليه السلام، وتزويج مصعب بن الزبير اُختها سُكينة وغير ذلك، فلا ينبغي التوقّف في جواز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الناصب والناصبة</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1056872_73709187"/>
      <w:bookmarkStart w:id="221" w:name="_Toc73"/>
      <w:bookmarkEnd w:id="220"/>
      <w:r>
        <w:rPr>
          <w:rtl w:val="true"/>
        </w:rPr>
        <w:t>لا يصحّ نكاح المؤمنة الناصب ولا العكس</w:t>
      </w:r>
      <w:bookmarkEnd w:id="221"/>
    </w:p>
    <w:p>
      <w:pPr>
        <w:pStyle w:val="BookText"/>
        <w:rPr/>
      </w:pPr>
      <w:r>
        <w:rPr>
          <w:rFonts w:ascii="Amiri" w:hAnsi="Amiri" w:eastAsia="Amiri" w:cs="Amiri"/>
          <w:color w:val="111111"/>
          <w:sz w:val="28"/>
          <w:sz w:val="28"/>
          <w:szCs w:val="28"/>
          <w:rtl w:val="true"/>
          <w:lang w:bidi="ar-SA"/>
        </w:rPr>
        <w:t xml:space="preserve">وأمّا نكاح المؤمنة بالناصب المُعلِن عداوته لأهل البيت عليهم السلام أو لأحدهم، وكذلك العكس، فالظاهر أنّه لا خلاف في عدم جوازه،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قد تقدّمت جملة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المؤمن الناصبة المعروفة بذلك</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 الناصب‌؟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الناصب الذي قد عرف نُصبه وعداوته، هل يزوّجه المؤمنة، وهو قادرٌ على ردّه، وهو لا يعلم بردّه‌؟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المؤمن الناصبة، ولا يتزوّج الناصب المؤمنة، ولا يتزوّج المستضعف المؤمنة</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اختصاص الناصب بمن يظهر العداوة والنصب، ولا يتحقّق بمجرّد البغض والعداوة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الشيبانيّة خارجيّة تشتم عليّاً عليه السلام، فإنْ سَرّك أن اُسمعك ذلك منها أسمعتك‌؟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حين تريدُ أن تخرج كما كنتَ تخرج فعُد فأكمن في جانب الدار،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كمن عليه السلام في جانب الدار، وجاء الرّجل فكلّمها، فتبيّن ذلك منها، فخلّى سبيلها، وكانت تُعجبه</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اليزدي لتحقّق النصب بمجرّد البُغض الباطني، فلا يدلّ عليه، بل يشهد بخلافه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خارجيّة تشتم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يظهر منه كونها مُعلنة بذلك، غاية الأمر لم تكن مظهرة عنده عليه السلام، والمعتبر هو إعلانه بذلك لا الإعلان عند من يريد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فلا إشكال في زواجه صلى الله عليه و آله من عايشة، ولا في تزويجه ابنته من عثمان، وتزويج الأمير عليه السلام ابنته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وتزويج مصعب بن الزبير سُكينة بنت الحسين عليه السلام، وتزويج عبيداللّه بن عمر بن عثمان اُختها فاطمة وغير ذلك، بل هذا كلّه يدلّ على ما اخترناه من جواز تزويج المؤمنة بالمخالف، فإنّهم لم يكونوا مُعلنين ببغض علي عليه السلام وأولاده المعصومين في زمان التزويج، وإنْ كانت عايشة أظهرت ذلك بعد 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رحمه الله</w:t>
      </w:r>
      <w:r>
        <w:rPr>
          <w:rStyle w:val="FootnoteAnchor"/>
          <w:rtl w:val="true"/>
        </w:rPr>
        <w:footnoteReference w:id="106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ندرة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الناصب المُعلِن بالعداوة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يهمّنا حينئذٍ تفصيل القول في ذلك وفي سائر فرق الإماميّة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2" w:name="pg11825_116043"/>
    </w:p>
    <w:p>
      <w:pPr>
        <w:pStyle w:val="Heading2"/>
        <w:numPr>
          <w:ilvl w:val="1"/>
          <w:numId w:val="1"/>
        </w:numPr>
        <w:rPr/>
      </w:pPr>
      <w:bookmarkStart w:id="223" w:name="__RefHeading___Toc11056874_73709187"/>
      <w:bookmarkStart w:id="224" w:name="_Toc74"/>
      <w:bookmarkEnd w:id="222"/>
      <w:bookmarkEnd w:id="223"/>
      <w:r>
        <w:rPr>
          <w:rtl w:val="true"/>
        </w:rPr>
        <w:t>في اعتبار اليسار في الكفاءة وعدمه</w:t>
      </w:r>
      <w:bookmarkEnd w:id="224"/>
    </w:p>
    <w:p>
      <w:pPr>
        <w:pStyle w:val="BookText"/>
        <w:rPr/>
      </w:pPr>
      <w:r>
        <w:rPr>
          <w:rFonts w:ascii="Amiri" w:hAnsi="Amiri" w:eastAsia="Amiri" w:cs="Amiri"/>
          <w:color w:val="111111"/>
          <w:sz w:val="28"/>
          <w:sz w:val="28"/>
          <w:szCs w:val="28"/>
          <w:rtl w:val="true"/>
          <w:lang w:bidi="ar-SA"/>
        </w:rPr>
        <w:t>وهل يشترط في الكفو زائداً على ما مرّ تمكّنه من النفقة، أم لا؟ 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الاشتراط، نُسب ذلك إلى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 وابن زُهرة</w:t>
      </w:r>
      <w:r>
        <w:rPr>
          <w:rStyle w:val="FootnoteAnchor"/>
          <w:rtl w:val="true"/>
        </w:rPr>
        <w:footnoteReference w:id="1070"/>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الاشتراط، وهو المشهور بين الأصحاب، وعن الشهيد رحمه الله</w:t>
      </w:r>
      <w:r>
        <w:rPr>
          <w:rStyle w:val="FootnoteAnchor"/>
          <w:rtl w:val="true"/>
        </w:rPr>
        <w:footnoteReference w:id="1072"/>
      </w:r>
      <w:r>
        <w:rPr>
          <w:rFonts w:ascii="Amiri" w:hAnsi="Amiri" w:eastAsia="Amiri" w:cs="Amiri"/>
          <w:color w:val="111111"/>
          <w:sz w:val="28"/>
          <w:sz w:val="28"/>
          <w:szCs w:val="28"/>
          <w:rtl w:val="true"/>
          <w:lang w:bidi="ar-SA"/>
        </w:rPr>
        <w:t xml:space="preserve">الإجماع عليه،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73"/>
      </w:r>
      <w:r>
        <w:rPr>
          <w:rFonts w:ascii="Amiri" w:hAnsi="Amiri" w:eastAsia="Amiri" w:cs="Amiri"/>
          <w:color w:val="111111"/>
          <w:sz w:val="28"/>
          <w:sz w:val="28"/>
          <w:szCs w:val="28"/>
          <w:rtl w:val="true"/>
          <w:lang w:bidi="ar-SA"/>
        </w:rPr>
        <w:t>نظره إلى ذلك، ولذا يؤوّل كلمات القائلين بالاشتراط إلى أنّ مرادهم بذلك وجوب اعتبار ذلك من الولي والوكيل، باعتبار المفسدة على المرأة بذلك، أو وجوب الإجابة على القول به، فيما لو خوطب القادر على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لها الخيار إذا تبيّن لها العدم، كماعن ابني إدريس</w:t>
      </w:r>
      <w:r>
        <w:rPr>
          <w:rStyle w:val="FootnoteAnchor"/>
          <w:rtl w:val="true"/>
        </w:rPr>
        <w:footnoteReference w:id="1074"/>
      </w:r>
      <w:r>
        <w:rPr>
          <w:rFonts w:ascii="Amiri" w:hAnsi="Amiri" w:eastAsia="Amiri" w:cs="Amiri"/>
          <w:color w:val="111111"/>
          <w:sz w:val="28"/>
          <w:sz w:val="28"/>
          <w:szCs w:val="28"/>
          <w:rtl w:val="true"/>
          <w:lang w:bidi="ar-SA"/>
        </w:rPr>
        <w:t>وسعيد</w:t>
      </w:r>
      <w:r>
        <w:rPr>
          <w:rStyle w:val="FootnoteAnchor"/>
          <w:rtl w:val="true"/>
        </w:rPr>
        <w:footnoteReference w:id="1075"/>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الآية النهي عن نكاح المُحصَنة مع عدم الطَول، بل ظاهرها الإرشاد إلى أنّ من لم يتمكّن من نكاح المحصنات عليه بالإدماء، مع أنّ المراد بالطول هو المَهر دون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لفاطمة بنت قيس لما استشارته، وأرادت النصيحة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صعلوكٌ لا مال له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 في الإرشاد، وعدم دلالته على عدم جواز التزويج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 الكُفو أن يكون عفيفاً وعنده يسار، كخبري الهاشمي، ومحمّد بن الفُضيل</w:t>
      </w:r>
      <w:r>
        <w:rPr>
          <w:rStyle w:val="FootnoteAnchor"/>
          <w:rtl w:val="true"/>
        </w:rPr>
        <w:footnoteReference w:id="1079"/>
      </w:r>
      <w:r>
        <w:rPr>
          <w:rFonts w:ascii="Amiri" w:hAnsi="Amiri" w:eastAsia="Amiri" w:cs="Amiri"/>
          <w:color w:val="111111"/>
          <w:sz w:val="28"/>
          <w:sz w:val="28"/>
          <w:szCs w:val="28"/>
          <w:rtl w:val="true"/>
          <w:lang w:bidi="ar-SA"/>
        </w:rPr>
        <w:t>، ومرسلي أبان والصدوق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بالكفو فيها هو العرفي منه، كما يشهد به ذكر العِفّة، مع أنّه لم يدلّ دليلٌ على اعتبار هذا العنوان في صحّة النكاح، وإنّما دلّ الدليل على وجوب اجابة الخاطب أو استحبابها إنْ كان كفؤاً، وعلى استحباب تعجيل البنات من الأكفاء، وعلى اعتبار التساوي في الإسلام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w:t>
      </w:r>
      <w:r>
        <w:rPr>
          <w:rStyle w:val="FootnoteAnchor"/>
          <w:rtl w:val="true"/>
        </w:rPr>
        <w:footnoteReference w:id="1080"/>
      </w:r>
      <w:r>
        <w:rPr>
          <w:rFonts w:ascii="Amiri" w:hAnsi="Amiri" w:eastAsia="Amiri" w:cs="Amiri"/>
          <w:color w:val="111111"/>
          <w:sz w:val="28"/>
          <w:sz w:val="28"/>
          <w:szCs w:val="28"/>
          <w:rtl w:val="true"/>
          <w:lang w:bidi="ar-SA"/>
        </w:rPr>
        <w:t>حيث أنّ في ذلك إضراراً بالمؤونة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النكاح لا تكون ضرريّة كي ترتفع بالقاعدة، وإنّما هي مستلزمة لعدم وجوب الإنفاق عليها على الزّوج لإعساره، وهو ضرري، أضف إليه أنّ وجوب الإنفاق عليها لا يَسقط، بل يجبُ على وليّها أو عامّة المسلمين، أو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 نقصاً عرفاً، لتفاضل النّاس في اليسار تفاضلهم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نقص في عدم المال، خصوصاً بعد كون أولياء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التساوي من هذه الجهة، كما لا دليل على اعتباره من ناحية النسب،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بالنفقة قوام النكاح، ودوام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اعتبار اليسار، فمقتضى العمومات عدم اعتباره، وصحّة نكاح 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المستفيضة الآمرة لذوي الحاجة بالمناكحة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فشكا إليه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فتزوّج ووسّع عليه</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وهب،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w:t>
      </w:r>
      <w:r>
        <w:rPr>
          <w:rStyle w:val="FootnoteAnchor"/>
          <w:rtl w:val="true"/>
        </w:rPr>
        <w:footnoteReference w:id="10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يتزوّجوا حتّى يُغنيهم اللّه من فضله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الآمرة بتزويج من يرضى دينه وخُلُقه</w:t>
      </w:r>
      <w:r>
        <w:rPr>
          <w:rStyle w:val="FootnoteAnchor"/>
          <w:rtl w:val="true"/>
        </w:rPr>
        <w:footnoteReference w:id="1085"/>
      </w:r>
      <w:r>
        <w:rPr>
          <w:rFonts w:ascii="Amiri" w:hAnsi="Amiri" w:eastAsia="Amiri" w:cs="Amiri"/>
          <w:color w:val="111111"/>
          <w:sz w:val="28"/>
          <w:sz w:val="28"/>
          <w:szCs w:val="28"/>
          <w:rtl w:val="true"/>
          <w:lang w:bidi="ar-SA"/>
        </w:rPr>
        <w:t>، الدالّة على عدم اعتبار غير ذلك، لورود جملةٍ منها في بيان من يزوّج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وماوردفي خصوص تزويج الفقراء، كالصحيح الطويل المتضمّن لأمرالنبيّ صلى الله عليه و آله زياد بن لبيد الذي كان من الأشراف والموسرين، تزويج ابنته الدّلفاء من جُويبر، وكان رجلاً قصيراً دميماً محتاجاً عارياً، وكان من قِباح السودان، فضمّه رسول اللّه صلى الله عليه و آله لحال غربته وعريه، وكان يجري عليه طعامه صاعاً من تمر، وكساه شملتين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التوقّف في عدم اعتبار اليسار من النفقة ومن المَهر فعلاً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لزوم النكاح إذا تبيّن لها عدم اليسار، وأنّ لها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الفقر نقصٌ وعيبٌ‌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الصبر على ذلك ضررٌ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كونه عيباً، وعدم كون مطلق العيب موجباً للتسلّط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لزوم النكاح ليس ضرريّاً، سيّما بعد وجوب الإنفاق عليها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 الخيار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تجدّد عجز الزّوج عن النفقة، كما هو المشهور بين الأصحاب،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ثبوت خيار الفسخ لها ابتداءً‌، أو مع عدم الحاكم، وإلّا فله الخيار، منهم الإسكافي</w:t>
      </w:r>
      <w:r>
        <w:rPr>
          <w:rStyle w:val="FootnoteAnchor"/>
          <w:rtl w:val="true"/>
        </w:rPr>
        <w:footnoteReference w:id="1088"/>
      </w:r>
      <w:r>
        <w:rPr>
          <w:rFonts w:ascii="Amiri" w:hAnsi="Amiri" w:eastAsia="Amiri" w:cs="Amiri"/>
          <w:color w:val="111111"/>
          <w:sz w:val="28"/>
          <w:sz w:val="28"/>
          <w:szCs w:val="28"/>
          <w:rtl w:val="true"/>
          <w:lang w:bidi="ar-SA"/>
        </w:rPr>
        <w:t>، والفاضل الهندي</w:t>
      </w:r>
      <w:r>
        <w:rPr>
          <w:rStyle w:val="FootnoteAnchor"/>
          <w:rtl w:val="true"/>
        </w:rPr>
        <w:footnoteReference w:id="1089"/>
      </w:r>
      <w:r>
        <w:rPr>
          <w:rFonts w:ascii="Amiri" w:hAnsi="Amiri" w:eastAsia="Amiri" w:cs="Amiri"/>
          <w:color w:val="111111"/>
          <w:sz w:val="28"/>
          <w:sz w:val="28"/>
          <w:szCs w:val="28"/>
          <w:rtl w:val="true"/>
          <w:lang w:bidi="ar-SA"/>
        </w:rPr>
        <w:t>، والمحقّق اليزدي رحمه الله، وغيرهم</w:t>
      </w:r>
      <w:r>
        <w:rPr>
          <w:rStyle w:val="FootnoteAnchor"/>
          <w:rtl w:val="true"/>
        </w:rPr>
        <w:footnoteReference w:id="1090"/>
      </w:r>
      <w:r>
        <w:rPr>
          <w:rFonts w:ascii="Amiri" w:hAnsi="Amiri" w:eastAsia="Amiri" w:cs="Amiri"/>
          <w:color w:val="111111"/>
          <w:sz w:val="28"/>
          <w:sz w:val="28"/>
          <w:szCs w:val="28"/>
          <w:rtl w:val="true"/>
          <w:lang w:bidi="ar-SA"/>
        </w:rPr>
        <w:t>، واستدلّ لثبوت الفسخ بذلك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بالإمساك بالمعروف وإنْ كان متوجِّهاً إلى القادر عليه، كما في سائر التكاليف، ولكن بإطلاق المادّة يُستكشف عدم اختصاصه بالقادر، وأنّ كلّ أحدٍ مخيّرٌ بين الأمرين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تعذّر الإمساك بالمعروف، تعيّن التسريح بإحسان، وهذا التكليف حيث يكون لمراعاة حال المرأة، يستفاد منه ثبوت حقّ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الإنفاق، والطلاق لها على الزّوج، كما هو الشأن في جميع التكاليف المجعولة رعايةً لحقّ الغير،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كحرمة الغيبة، ولذا لو عصى واغتاب لا يكفي مجرّد التوبة في رفع العقوبة عنه، بل لابدّ من استرضاء المغتاب، وفي المقام لو تعذّر الإنفاق، تعيّن ثبوت حقّ الطلاق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الإمساك بلا نفقة، مع عدم القدرة عليها، وكونها ديناً عليه، من غير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بمعنى أنّه مع امتناعه عن الطلاق، للحاكم أو لنفسها التصدّي للطلاق، والفسخ لا يستفاد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بقرينة ما قبلها وما بعدها، وما ورد في تفسيرها من أنّ المراد بالتسريح بإحسان الطلاق الثالث</w:t>
      </w:r>
      <w:r>
        <w:rPr>
          <w:rStyle w:val="FootnoteAnchor"/>
          <w:rtl w:val="true"/>
        </w:rPr>
        <w:footnoteReference w:id="1092"/>
      </w:r>
      <w:r>
        <w:rPr>
          <w:rFonts w:ascii="Amiri" w:hAnsi="Amiri" w:eastAsia="Amiri" w:cs="Amiri"/>
          <w:color w:val="111111"/>
          <w:sz w:val="28"/>
          <w:sz w:val="28"/>
          <w:szCs w:val="28"/>
          <w:rtl w:val="true"/>
          <w:lang w:bidi="ar-SA"/>
        </w:rPr>
        <w:t>، تدلّ على أنّ الزّوج بعدما طلّقها مرّتين،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إمساك المرأة بالرجوع، وحسن المعاشرة على الوجه المعروف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يُطلّقها التطليقة الثالثة، ولا يراجعها حتّى تنقضي عِدّتها، وتبين عنه بانقضاء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عنده امرأة، فلم يَكسُها ما يواري عورتها، ويُطعمها ما يُقيم صُلبها، كان حقّاً على الإمام أن يفرّق بينهما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ربعي والفضيل،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أنفق عليها ما يُقيم صُلبها مع كسوة، وإلّا فرّق بينهما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يدلّ على أنّ للحاكم ذلك، ويَحمل غيره عليه، إذ لا مفرّق غيره بالإجماع، فتأمّل، ولكنّها لا تدلّ على أنّ لها الفسخ والطلاق، ولو مع عدم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 تدلّ على أنّه على الإمام أن يُطلِّق المرأة التي لا ينفق عليها زوجها إمّا لعدم تمكّنه، أو لعدم إرادة الإنفاق عليها مع تمكّنه، فيقيّد إطلاقها بما رُوي من أنّ امرأةً استعدت إلى أمير المؤمنين عليه السلام على زوجها، أنّه لا ينفق عليها زوجها وكان زوجها مُعسِراً، فأبى عليه السلام أن يحبسه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ولو كان له الفسخ لفرّقها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لم تطالبه بالطلاق، أو بأحد الأمرين من الطلاق أو النفقة، بل طالبته بخصوص النفقة، وحيثُ كان الزّوج مُعْسِراً غير متمكِّن منها، فأبى عليه السلام أن يحبسه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بعمومها تدلّ على عدم الفرق بين تجدّد الإعسار مع الرّضا به وعدمه، وفي صورة سبق الفقر بين الرّضا به وعدمه، ومحلّ الكلام هو صورة التجدّد مع عدم الرّضا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5" w:name="pg11825_116050"/>
    </w:p>
    <w:p>
      <w:pPr>
        <w:pStyle w:val="BookText"/>
        <w:rPr/>
      </w:pPr>
      <w:bookmarkEnd w:id="225"/>
      <w:r>
        <w:rPr>
          <w:rFonts w:ascii="Amiri" w:hAnsi="Amiri" w:eastAsia="Amiri" w:cs="Amiri"/>
          <w:color w:val="111111"/>
          <w:sz w:val="28"/>
          <w:sz w:val="28"/>
          <w:szCs w:val="28"/>
          <w:rtl w:val="true"/>
          <w:lang w:bidi="ar-SA"/>
        </w:rPr>
        <w:t>ويُكرَه تزويج الفاسق</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فيها بالتفريق يدلّ على ذلك لا على لزومه، لكونه وارداً مورد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في مقابل تلكم النصوص سوى دعوى الشهرة على خلافها، وكونها في مثل هذه المسألة موهنة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الفاضل الهندي</w:t>
      </w:r>
      <w:r>
        <w:rPr>
          <w:rStyle w:val="FootnoteAnchor"/>
          <w:rtl w:val="true"/>
        </w:rPr>
        <w:footnoteReference w:id="1097"/>
      </w:r>
      <w:r>
        <w:rPr>
          <w:rFonts w:ascii="Amiri" w:hAnsi="Amiri" w:eastAsia="Amiri" w:cs="Amiri"/>
          <w:color w:val="111111"/>
          <w:sz w:val="28"/>
          <w:sz w:val="28"/>
          <w:szCs w:val="28"/>
          <w:rtl w:val="true"/>
          <w:lang w:bidi="ar-SA"/>
        </w:rPr>
        <w:t>من أنّ للحاكم أن يُطلّقها، ومع عدمه يُطلّقها غيره، هو الأظهر بحسب الدليل، لولا مخالفة الأصحاب</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11056876_73709187"/>
      <w:bookmarkStart w:id="227" w:name="_Toc75"/>
      <w:bookmarkEnd w:id="226"/>
      <w:r>
        <w:rPr>
          <w:rtl w:val="true"/>
        </w:rPr>
        <w:t>كراهة تزويج الفاسق</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تزويج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وغيرها</w:t>
      </w:r>
      <w:r>
        <w:rPr>
          <w:rStyle w:val="FootnoteAnchor"/>
          <w:rtl w:val="true"/>
        </w:rPr>
        <w:footnoteReference w:id="110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كراهة تزويجه حتّى منع منه بعض العلماء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الدالّ على أنّ من لا يرضى دينه لا يزوّج، والفاسق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الفاسق لفسقه حَريٌّ بالإعراض والإهانة، والتزويج إكرامٌ ومودّة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يؤمَن من الاضرار بها، وقهرها على الفِسق، لا أقلّ من ميلها إليه، أو سقوط محلّه من الحرمة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عدم تزويج شارب الخمر، ففي صحيح ابن أبي عُمير، عن بعض أصحابه،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يزوّج إذا خَطَب</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وبالتعليل في نصوص تزويج المؤمنة بالمخالف،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تأخذ من أدب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نفي الاستواء لا يدلّ على كراهة تزويج الفاسق، فليكن تزويج غيره راجحاً، وتزويجه غير راجح ولا مرجوح، مع أنّ المراد بالفسق فيها هو الكفر بقرينة المقابلة بالإيمان، ولذا استدلّ بها جمعٌ على عدم جواز تزويج المؤمن الكافرة مطلقاً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مطلق الفاسق لا يكون داخلاً فيمن لا يرضى دينه وخُلُقه،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خروجه بالفسق عن الدين، وعدم كونه منافياً لحُسن السجايا، مع أنّ تلكم النصوص في مقام بيان وجوب الإجابة أو استحبابها لو خوطب، فليس مفهومه إلّا عدم وجوبها أو عدم استحبابها لا كراهة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كلّ فاسقٍ حَريّاً بالإهانة والإعراض عنه، على وجهٍ ينافيه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كلّ فاسقٍ يُخاف منه الإضرار بها، ومن قهرها عليه، بل ربما يكون الفاسق ببعض أنواعه أشدّ مواضبةً على حليلته من غيره، لئلّا تقع في ذلك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حكمه بما ذكرناه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مختصٌّ بشارب الخمر، والتعدّي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يكون مكروهاً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كراهة تزويج شارب الخمر والمخنّث، وما شاكل، لما فيها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أنّه ذهب بعضٌ إلى المنع من تزويج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بمن نُسب إليه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اتّفاقاً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العامّة، إلّاأنّه يمكن أنْ يكون من إنكار الضروريّات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8" w:name="pg11825_116053"/>
    </w:p>
    <w:p>
      <w:pPr>
        <w:pStyle w:val="BookText"/>
        <w:rPr/>
      </w:pPr>
      <w:bookmarkEnd w:id="22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w:t>
      </w:r>
    </w:p>
    <w:p>
      <w:pPr>
        <w:pStyle w:val="Heading2"/>
        <w:numPr>
          <w:ilvl w:val="1"/>
          <w:numId w:val="1"/>
        </w:numPr>
        <w:rPr/>
      </w:pPr>
      <w:bookmarkStart w:id="229" w:name="__RefHeading___Toc11056878_73709187"/>
      <w:bookmarkStart w:id="230" w:name="_Toc76"/>
      <w:bookmarkEnd w:id="229"/>
      <w:r>
        <w:rPr>
          <w:rtl w:val="true"/>
        </w:rPr>
        <w:t>في نكاح الشِّغار</w:t>
      </w:r>
      <w:bookmarkEnd w:id="2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والغين المعجمتين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ولا جَنَب ولا شِغار في الإسلام، والشغار أن يزوّج الرّجل الرّجل ابنته أو اُخته، ويتزوّج هو ابنة المتزوّج أو اُخته، ولا يكون بينهما مَهر غير تزويج هذا هذا وهذا هذا</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بُكير، عن بعض أصحابنا، عن أحد الإمامين الصادق والباقر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نكاح المرأتين ليس لواحدة منهما صداق إلّابُضع صاحبتها،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أن تنكح واحدة منهما إلّابصداقٍ أو نكاح المسلمين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ابن جمهور،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عن نكاح الشغار، </w:t>
      </w:r>
    </w:p>
    <w:p>
      <w:pPr>
        <w:pStyle w:val="BookText"/>
        <w:rPr/>
      </w:pPr>
      <w:r>
        <w:rPr>
          <w:rFonts w:ascii="Amiri" w:hAnsi="Amiri" w:eastAsia="Amiri" w:cs="Amiri"/>
          <w:color w:val="111111"/>
          <w:sz w:val="28"/>
          <w:sz w:val="28"/>
          <w:szCs w:val="28"/>
          <w:rtl w:val="true"/>
          <w:lang w:bidi="ar-SA"/>
        </w:rPr>
        <w:t>وهي الممانحة، وهو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حتّى اُزوّجك ابنتي على أن لا مَهر بينهما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المناهي،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يقول الرّجل للرجل زوّجني اُختك حتّى اُزوّجك اُختي</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في الجملة ممّا لا إشكال فيه، وتمام الكلام يتحقّق بالبحث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النصوص هل تدلّ على الحرمة، أو البطلان، أو هما معاً، أم تدلّ على فساد المَهر دون أصل النكاح‌؟</w:t>
      </w:r>
    </w:p>
    <w:p>
      <w:pPr>
        <w:pStyle w:val="BookText"/>
        <w:rPr/>
      </w:pPr>
      <w:r>
        <w:rPr>
          <w:rFonts w:ascii="Amiri" w:hAnsi="Amiri" w:eastAsia="Amiri" w:cs="Amiri"/>
          <w:color w:val="111111"/>
          <w:sz w:val="28"/>
          <w:sz w:val="28"/>
          <w:szCs w:val="28"/>
          <w:rtl w:val="true"/>
          <w:lang w:bidi="ar-SA"/>
        </w:rPr>
        <w:t>الظاهر من غير المرسل منها البطلان،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للحكم بلسان نفي الموضوع، فيدلّ على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نكاح الشغار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دالٌّ عليه لأنّ النهي في المعاملات بالمعنى الأعمّ ظاهرٌ في الإرشاد إلى الفساد لا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النهي إلى المَهر لا إلى أصل النكاح، فلا يدلّ إلّاعلى فساد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التي قد تعلّق بالشغار وهو النكاح المخصوص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فصدره أيضاً يدلّ على الفساد، وأمّا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بقرينة الصدر الحليّة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لا دليل على حرمته سوى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الإجماع بقسميه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وجهٌ آخر لفساد النكاح غير النصوص أم لا؟</w:t>
      </w:r>
    </w:p>
    <w:p>
      <w:pPr>
        <w:pStyle w:val="BookText"/>
        <w:rPr/>
      </w:pPr>
      <w:r>
        <w:rPr>
          <w:rFonts w:ascii="Amiri" w:hAnsi="Amiri" w:eastAsia="Amiri" w:cs="Amiri"/>
          <w:color w:val="111111"/>
          <w:sz w:val="28"/>
          <w:sz w:val="28"/>
          <w:szCs w:val="28"/>
          <w:rtl w:val="true"/>
          <w:lang w:bidi="ar-SA"/>
        </w:rPr>
        <w:t>ظاهرُ جمعٍ من الأصحاب</w:t>
      </w:r>
      <w:r>
        <w:rPr>
          <w:rStyle w:val="FootnoteAnchor"/>
          <w:rtl w:val="true"/>
        </w:rPr>
        <w:footnoteReference w:id="1115"/>
      </w:r>
      <w:r>
        <w:rPr>
          <w:rFonts w:ascii="Amiri" w:hAnsi="Amiri" w:eastAsia="Amiri" w:cs="Amiri"/>
          <w:color w:val="111111"/>
          <w:sz w:val="28"/>
          <w:sz w:val="28"/>
          <w:szCs w:val="28"/>
          <w:rtl w:val="true"/>
          <w:lang w:bidi="ar-SA"/>
        </w:rPr>
        <w:t>الأوّل، حيث 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تعليقُ عقد على عقد على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اشتراط عقدٍ في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وباشتراك البُضع بين المرأة المجعول في مهرها، وبين الرّجل الذي وقع له عقد النكاح، فأشبه نكاح المرأة من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قابليّة البُضع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تعليقٌ‌، بل إنّما هو إلزام كلّ منهما الآخر بالتزويج بلا مَهر غير البُضع، ألا ترى أنّه لو جعل المَهر في نكاح عملٍ خاصّ كتعليم القرآن لا يكون ذلك من قبيل التعليق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يقتضي الفساد، كيف وقد صرّحوا بصحّة اشتراط النكاح في النكاح بمَهرٍ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منه، هو فساد المَهر لا النكاح، مع أنّ كون الانتفاع بالبُضع حقّاً للمرأة أيضاً لا أرى فيه محذوراً، ولا يكون شبيهاً بنكاح المرأة الواحدة من رجلين الذي دلّ الدليل على عدم جوازه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لا وجه للفساد سوى النصوص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جعل نكاح امرأةٍ مهراً لاُخرى‌،</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نكاح الشغار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جعل نكاح امرأةٍ مَهراً 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20"/>
      </w:r>
      <w:r>
        <w:rPr>
          <w:rFonts w:ascii="Amiri" w:hAnsi="Amiri" w:eastAsia="Amiri" w:cs="Amiri"/>
          <w:color w:val="111111"/>
          <w:sz w:val="28"/>
          <w:sz w:val="28"/>
          <w:szCs w:val="28"/>
          <w:rtl w:val="true"/>
          <w:lang w:bidi="ar-SA"/>
        </w:rPr>
        <w:t>وغيرها</w:t>
      </w:r>
      <w:r>
        <w:rPr>
          <w:rStyle w:val="FootnoteAnchor"/>
          <w:rtl w:val="true"/>
        </w:rPr>
        <w:footnoteReference w:id="1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شغر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هو المحكيّ عن الفقهاء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ومرفوع ابن جمهور، وحديث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كلّ واحدٍ صاحبه امرأةً بشرط أن يزوّجه أُخرى بلا 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من تفسيره بجعل بُضع امرأةٍ مَهر أُخرى‌، يكون من قبيل تعريف الشيء بلازمه، كما هو طريقة أهل الأدب، ويشير إليه ما عن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الشِّغار نكاحٌ كان في الجاهليّة، وهو أن يقول الرّجل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أو اُختك على أن اُزوّجك ابنتي أو اُختي على أنّ صداق كلّواحدةٍ منهمابُضع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أنّ كلّ نكاحٍ جُعل البُضع فيه مهراً أو جزءه أو شرطه فهو باطلٌ‌، وإنْ جُعل النكاح مَهراً أو جزءه أو شرطه في نكاحٍ بطل المسمّى دون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أنّ البُضع هو المَهر في الواقع باعتبار كونه نتيجة العقد وثمرته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ينافي النصوص المتقدّمة، فيكون كلٌّ منهما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إلى البضع أو النكاح مالٌ في الجانبين، كأن يزوّج ابنته من آخر على أنْ يكون مَهرها نكاح الاُخرى مع ألف درهم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25"/>
      </w:r>
      <w:r>
        <w:rPr>
          <w:rFonts w:ascii="Amiri" w:hAnsi="Amiri" w:eastAsia="Amiri" w:cs="Amiri"/>
          <w:color w:val="111111"/>
          <w:sz w:val="28"/>
          <w:sz w:val="28"/>
          <w:szCs w:val="28"/>
          <w:rtl w:val="true"/>
          <w:lang w:bidi="ar-SA"/>
        </w:rPr>
        <w:t>إلى الصحّة،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عدم كونه شغاراً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أكثر النصوص وإنْ صُرّح فيها بأنْ لا يكون بينهما مَهرٌ غير تزويج الاُخرى‌، إلّاأنّ حديث المناهي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الشغار اسمٌ لنكاح الإمرأتين على الوجه المزبور فالمأخوذ فيه هو الدور، أم هو النكاح الذي يكون المَهر فيه نكاح المرأة الاُخرى ولو بمهرٍ غير نكاح الأُولى‌، فيتحقّق حينئذٍ في واحدة دون الثانية‌؟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الأصحاب هو الثاني، لكن مال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إلى الأوّل، ممّا يعني أنّه لا يبطل مع عدم الدور، وإنْ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يُشعر ذيل مرسل ابن بُكير بتحقّقه في طرفٍ واحد</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لما هو ظاهر فتاوى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ذيل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حديث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 على أنْ يكون نكاح بنتي مهراً لبنتك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نكاح بنته التي لم يُجعل نكاح بنتِ المخاطب مهراً لها، وبطل نكاح بنت المخاطب إذا زوّجها كذلك، لتحقّق الشغار بالنسبة إليها خاصّة،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الحكم بالبنت والاُخت، كما هو مقتضى إطلاق كلمات الأصحاب، لأنّ ما ورد في النصوص إنّما هو من قبيل التمثيل كما لا يخفى‌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1" w:name="pg11825_116059"/>
    </w:p>
    <w:p>
      <w:pPr>
        <w:pStyle w:val="BookText"/>
        <w:rPr/>
      </w:pPr>
      <w:bookmarkEnd w:id="231"/>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 الحُرّة بالعبد، والهاشميّة بغيره، والعربيّة بالعجمي، وبالعكس</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11056880_73709187"/>
      <w:bookmarkStart w:id="233" w:name="_Toc77"/>
      <w:bookmarkEnd w:id="232"/>
      <w:r>
        <w:rPr>
          <w:rtl w:val="true"/>
        </w:rPr>
        <w:t>جواز تزويج الرّجل بمَن دونه نَسَباً</w:t>
      </w:r>
      <w:bookmarkEnd w:id="23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تزويج الحُرّة بالعبد، والهاشميّة بغيره، والعربيّة بالعَجمي،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أرباب الصنايع الدنيّة بذوات الدِّين من العلم والصلاح والبيوتات وغيرهم اتّفاقاً، إلّاعن الإسكافي</w:t>
      </w:r>
      <w:r>
        <w:rPr>
          <w:rStyle w:val="FootnoteAnchor"/>
          <w:rtl w:val="true"/>
        </w:rPr>
        <w:footnoteReference w:id="1127"/>
      </w:r>
      <w:r>
        <w:rPr>
          <w:rFonts w:ascii="Amiri" w:hAnsi="Amiri" w:eastAsia="Amiri" w:cs="Amiri"/>
          <w:color w:val="111111"/>
          <w:sz w:val="28"/>
          <w:sz w:val="28"/>
          <w:szCs w:val="28"/>
          <w:rtl w:val="true"/>
          <w:lang w:bidi="ar-SA"/>
        </w:rPr>
        <w:t xml:space="preserve">حيث اعتبر فيمن تحرم عليهم الصدقة، ألّا يتزوّج فيهم إلّامنهم،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الحضرمي،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زوّج المقداد بن الأسود ضباعة ابنة الزبير بن عبدالمطّلب، وإنّما زوّجه لتتضع المناكح، وليتأسّوا برسول اللّه صلى الله عليه و آله، وليعلموا أنّ أكرمهم عند اللّه أتقاهم</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لقى هِشام بن الحكم بعض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تقول في العجم يجوز أن يتزوّجوا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يتزوّجوا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يتزوّج في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أخذتَ؟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جعفربن محمّدٍ عليه السلام،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أتتكافأدماؤكم ولاتتكافأفروجكم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لتزويج جويبر الدَّلفاء بنت زياد بن لبيد، وفيه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جُويبر مؤمنٌ‌، والمؤمن كُفو المؤمنة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ابن الجنيد، المسبوق بالإجماع والملحوق به، فاستدلّ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النبيّ صلى الله عليه و آله إلى أولاد عليّ عليه السلام وجعفر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بناتنا لبنينا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ذيل خبر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الخارجي خَطب بنت أبي عبداللّه،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لكفؤٌ في دينك وحسبك في قومك، ولكن اللّه تعالى صاننا عن الصدقات، وهي أوساخ أيدي النّاس، فنكره أن نشرك فيما فضّلنا اللّه به من لم يجعل اللّه له مثل ما جَعَل لنا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في شيءٍ منهما ما يشهدُ بالحرمة، وعلى فرضه لا يصلحان لمعارضة ما تضمّن نكاح ضباعه بنت الزّبير بن عبدالمطّلب من مقداد، ونكاح زينب بنت عَمّ النبيّ صلى الله عليه و آله من زيد</w:t>
      </w:r>
      <w:r>
        <w:rPr>
          <w:rStyle w:val="FootnoteAnchor"/>
          <w:rtl w:val="true"/>
        </w:rPr>
        <w:footnoteReference w:id="1134"/>
      </w:r>
      <w:r>
        <w:rPr>
          <w:rFonts w:ascii="Amiri" w:hAnsi="Amiri" w:eastAsia="Amiri" w:cs="Amiri"/>
          <w:color w:val="111111"/>
          <w:sz w:val="28"/>
          <w:sz w:val="28"/>
          <w:szCs w:val="28"/>
          <w:rtl w:val="true"/>
          <w:lang w:bidi="ar-SA"/>
        </w:rPr>
        <w:t>، سيّما مع ما في تلكم النصوص من التعليل، فلا إشكال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34" w:name="pg11825_116061"/>
    </w:p>
    <w:p>
      <w:pPr>
        <w:pStyle w:val="BookText"/>
        <w:rPr/>
      </w:pPr>
      <w:bookmarkEnd w:id="234"/>
      <w:r>
        <w:rPr>
          <w:rFonts w:ascii="Amiri" w:hAnsi="Amiri" w:eastAsia="Amiri" w:cs="Amiri"/>
          <w:color w:val="111111"/>
          <w:sz w:val="28"/>
          <w:sz w:val="28"/>
          <w:szCs w:val="28"/>
          <w:rtl w:val="true"/>
          <w:lang w:bidi="ar-SA"/>
        </w:rPr>
        <w:t>ويجبُ إجابة المؤمن القادر على النفقة</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1056882_73709187"/>
      <w:bookmarkStart w:id="236" w:name="_Toc78"/>
      <w:bookmarkEnd w:id="235"/>
      <w:r>
        <w:rPr>
          <w:rtl w:val="true"/>
        </w:rPr>
        <w:t>حكم إجابة خِطبة المؤمن</w:t>
      </w:r>
      <w:bookmarkEnd w:id="23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القادر على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وإنْكان أخفضُنَسَباً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بعضهم</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يكن ممّن يُكره مناكحته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يعلم فيه شيءٌ من المسلّطات على الفسخ، ولم يأبِ المولى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الشهيد الثاني رحمه الله</w:t>
      </w:r>
      <w:r>
        <w:rPr>
          <w:rStyle w:val="FootnoteAnchor"/>
          <w:rtl w:val="true"/>
        </w:rPr>
        <w:footnoteReference w:id="1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قصد العدول إلى الأعلى مع وجوده بالفعل أو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أنّه إذا جاءكم مَنْ ترضون خُلُقه ودينه فزوّجوه، إلّا تفعلوه تكن فتنةٌ في الأرض وفساد كبير</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الحِلّي</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أنّه إذا خطب المؤمن إلى غيره بنته، وكان عنده يسارٌ بقدر نفقتها، وكان ممّن يَرضى أفعاله وأمانته، ولا يكون مرتكباً لشيءٍ مّا يدخل به في جُملة الفسّاق، وإنْ كان حقيراً في نَسَبه، قليل المال، فلم يزوّجه إيّاها، </w:t>
      </w:r>
    </w:p>
    <w:p>
      <w:pPr>
        <w:pStyle w:val="BookText"/>
        <w:rPr/>
      </w:pPr>
      <w:r>
        <w:rPr>
          <w:rFonts w:ascii="Amiri" w:hAnsi="Amiri" w:eastAsia="Amiri" w:cs="Amiri"/>
          <w:color w:val="111111"/>
          <w:sz w:val="28"/>
          <w:sz w:val="28"/>
          <w:szCs w:val="28"/>
          <w:rtl w:val="true"/>
          <w:lang w:bidi="ar-SA"/>
        </w:rPr>
        <w:t>كان عاصياً للّه تعالى‌، مخالفا لسنّة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إشكال في اختصاص النصوص بالبالغة،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تفعلوه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ريب في اعتبار رضاها، وعدم كون الاختيار بيد الولي العرفي، فالتكليف بالتزويج إنْ كان متوجّهاً إليه، يكون تكليفاً بما لا يُطاق، فلا محالة يكون المراد من الأمر بالتزويج فيها عدم امتناع الولي العرفي بعد فرض رضا المخطوبة، وعلى ذلك يُحمل مرسل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تجب الإجابة على المخطوبة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النصوص، فإنّ المأمور فيها الأولياء، مع أنّه منافٍ للسيرة المستمرّة، وللنصوص الدالّة على اعتبار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أنّه لا يجوزُ امتناع الأولياء عن تزويج البنات، إذا جاءهم خاطبٌ مرضيٌّ دينه وأفعاله، من حيث عدم الكفاية في الحَسَب والنَسَب والشرف والثروة كما كان متعارفاً في الجاهليّة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ليس في شيء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اليسار، والأصحاب قيّدوه به، وعلى ما ذكرناه في معنى الأحاديث لا يعتبر اليسار أيضاً، إذ لا وجه له سوى نفي الضرر، وتزويج البنت بالمُعسر لا يكون ضرريّاً على الولي، كي يرفع وجوبه بدليل نفي الضرر، فتدبّر فإنّه يمكن أنْ يكون التقييد لأجل المرسل</w:t>
      </w:r>
      <w:r>
        <w:rPr>
          <w:rFonts w:eastAsia="Amiri" w:cs="Amiri" w:ascii="Amiri" w:hAnsi="Amiri"/>
          <w:color w:val="111111"/>
          <w:sz w:val="28"/>
          <w:szCs w:val="28"/>
          <w:rtl w:val="true"/>
          <w:lang w:bidi="ar-SA"/>
        </w:rPr>
        <w:t>.</w:t>
      </w:r>
      <w:bookmarkStart w:id="237" w:name="pg11825_116063"/>
    </w:p>
    <w:p>
      <w:pPr>
        <w:pStyle w:val="Heading2"/>
        <w:numPr>
          <w:ilvl w:val="1"/>
          <w:numId w:val="1"/>
        </w:numPr>
        <w:rPr/>
      </w:pPr>
      <w:bookmarkStart w:id="238" w:name="__RefHeading___Toc11056884_73709187"/>
      <w:bookmarkStart w:id="239" w:name="_Toc79"/>
      <w:bookmarkEnd w:id="237"/>
      <w:bookmarkEnd w:id="238"/>
      <w:r>
        <w:rPr>
          <w:rtl w:val="true"/>
        </w:rPr>
        <w:t>التعريض بالخطبة لذات البعل وذات العِدّة</w:t>
      </w:r>
      <w:bookmarkEnd w:id="23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الأصحاب</w:t>
      </w:r>
      <w:r>
        <w:rPr>
          <w:rStyle w:val="FootnoteAnchor"/>
          <w:rtl w:val="true"/>
        </w:rPr>
        <w:footnoteReference w:id="1140"/>
      </w:r>
      <w:r>
        <w:rPr>
          <w:rFonts w:ascii="Amiri" w:hAnsi="Amiri" w:eastAsia="Amiri" w:cs="Amiri"/>
          <w:color w:val="111111"/>
          <w:sz w:val="28"/>
          <w:sz w:val="28"/>
          <w:szCs w:val="28"/>
          <w:rtl w:val="true"/>
          <w:lang w:bidi="ar-SA"/>
        </w:rPr>
        <w:t xml:space="preserve">بأنّه لايجوز التعريض بالخِطبة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لذات البعل، ولا لذات العِدّة الرجعيّة من غير الزّوج، ويجوز التعريض للمطلقة ثلاثا في العِدّة من الزّوج وغيره، ولا يجوز فيها التصريح لها منه ولا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المطلّقة تسعاً للعِدّة ينكحها بينها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التعريض لها من الزّوج في غير العِدّة، فضلاً عنها، ولا يجوز التصريح في العِدّة منه ولا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المُعتدّة 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التعريض من الزّوج ومن غيره، والتصريح من الزّوج في العِدّة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جواز التعريض بها لذات البعل، وبحكمها ذات العِدّة الرجعيّة، الإجماع الذي حكاه جماعة</w:t>
      </w:r>
      <w:r>
        <w:rPr>
          <w:rStyle w:val="FootnoteAnchor"/>
          <w:rtl w:val="true"/>
        </w:rPr>
        <w:footnoteReference w:id="1141"/>
      </w:r>
      <w:r>
        <w:rPr>
          <w:rFonts w:ascii="Amiri" w:hAnsi="Amiri" w:eastAsia="Amiri" w:cs="Amiri"/>
          <w:color w:val="111111"/>
          <w:sz w:val="28"/>
          <w:sz w:val="28"/>
          <w:szCs w:val="28"/>
          <w:rtl w:val="true"/>
          <w:lang w:bidi="ar-SA"/>
        </w:rPr>
        <w:t>، مضافاً إلى منافاته لاحترام العِرض المحترم كالمال والدّم، ومن إفساد المرأة على زوجها الذي ربما أدّى إلى سعيها بالتخلّص منه ولو بقتله، كما وقع لجَعدة زوجة الإمام الحسن بن عليّ عليهما السلام لمّا واعدها معاوية بأنْ يزوّجها من يزيد لعنهما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w:t>
      </w:r>
    </w:p>
    <w:p>
      <w:pPr>
        <w:pStyle w:val="BookText"/>
        <w:rPr/>
      </w:pPr>
      <w:r>
        <w:rPr>
          <w:rFonts w:ascii="Amiri" w:hAnsi="Amiri" w:eastAsia="Amiri" w:cs="Amiri"/>
          <w:color w:val="111111"/>
          <w:sz w:val="28"/>
          <w:sz w:val="28"/>
          <w:szCs w:val="28"/>
          <w:rtl w:val="true"/>
          <w:lang w:bidi="ar-SA"/>
        </w:rPr>
        <w:t>اَلْكِتابُ أَجَلَهُ‌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فهي وإنْ واردة في ذيل آية عِدّة الوفاة</w:t>
      </w:r>
      <w:r>
        <w:rPr>
          <w:rStyle w:val="FootnoteAnchor"/>
          <w:rtl w:val="true"/>
        </w:rPr>
        <w:footnoteReference w:id="1143"/>
      </w:r>
      <w:r>
        <w:rPr>
          <w:rFonts w:ascii="Amiri" w:hAnsi="Amiri" w:eastAsia="Amiri" w:cs="Amiri"/>
          <w:color w:val="111111"/>
          <w:sz w:val="28"/>
          <w:sz w:val="28"/>
          <w:szCs w:val="28"/>
          <w:rtl w:val="true"/>
          <w:lang w:bidi="ar-SA"/>
        </w:rPr>
        <w:t>، إلّاأنّها لا تختصّ بها، بل تدلّ على عدم جواز التصريح بالخطبة ممّن يجوز له التزويج معها بعد العِدّة، إذ لو جاز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 خِطبة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فالتخصيص بخصوص التعريض، يستكشفُ منه عدم جواز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التعريض بها، وهو ما يفهم السامع المراد من غير 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المواعدة سِرّاً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القول المعروف، وهو الخِطبة بعد انقضاء العِدّة،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وإنْ اختصّت بذات العِدّة، ولكن يفهم منها حكم ذات البعل بالأولويّة، لأنّ النهي عنها إنّما هو لاحترام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حكم التصريح إلّاعلى القول بثبوت المفهوم للوصف وما شاكل، ولا نقول به، مع أنّ كون التعريض بمعنى التلويح المقابل للتصريح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استعماله في هذا المعنى حادث من علماء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لاحترام الزّوج غير ثابت، فلا يفهم منها حكم ذات البعل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جواز التعريض بالخطبة بالقول المعروف، والمنهيّ عنه خصوص المواعدة السرّية، وهي على ما يظهر من مقابلتها بالقول المعروف، ومن النصوص المفسّرة للآية؛ أن يقول لها موعدك بيت فلان، ويعرض لها بالرَّفث وما يُستهجن ويُعدّ من الفحش، ويكون منافياً للحياء، كأن يقول لها أنا كثير الجماع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وأمثال ذلك ممّا تنزجر عنها العفائف، وعبّر عنها بالسِرّ لأنّه ممّا يُسرّ به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موانعُ للأسرار إلّامن أهلها ويخلفن ما ظَنَّ الغَيورُ المُشَفشفِ‌</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يعني إنّهنّ عفائف يمنعن عن الجماع، إلّامن أزواجهن، وحينئذٍ يكون سِرّاً مفعولاً به، وهو المنهيّ عنه، دون القول المعروف، وهو التعريض للخِطبة على وجهها وحِلّها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تُواعِدُوهُنَّ سِرًّا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اُواعدك بيتِ آل فلان، يَعرض لها بالرّفث ويرفث،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المعروف التعريض بالخِطبة على وجهها وحِلّها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اَلنِّكاحِ حَتّى يَبْلُغَ اَلْكِتابُ أَجَلَهُ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عن الإمام الصادق عليه السلام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في عِدّتها تقول لها قولاً جميلاً، ترغّبها في نفسك، ولا تقول إنّي أصنعُ كذا وأصنعُ كذا القبيح من الأمر في البُضع، وكلّ أمرٍ قبيح</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مسعدة بن صدقة،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الرّجل للمرأة وهي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أحبَّ إليّ ما سَرّك، ولو قد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مضى عِدّتك لا تفوتيني إنْ شاء اللّه، فلا تسبقيني بنفسك، وهذا كلّه من غير أن تعزموا عُقدة النكاح</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التعريض بالخِطبة، ولا يعزم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الحلال من غير أن يَعزم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والنصوص جواز التعريض بالخِطبة، والتصريح بها في العِدّة، من الزّوج وغيره، بالقول المعروف الحسن، وعدم جواز التعريض بها بما ينافي الحياء، ويعدُّ من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تلكم الأحكام سوى الإجماع، وثبوته غير معلوم، وعلى فرضه كونه تعبّديّاً غير ثابتٍ‌، وبالتالي فلا دليل على المنع، لكن الاحتياط سبيل النجاة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بالمنع، لو عصى وصرّح بالخِطبة، لا يحرمُ نكاحها بعد انقضاء العِدّة، لأنّ عصيان ذلك لا يوجبُ حرمة النكاح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والمحكي عن الشيخ رحمه الله في بعض كتبه</w:t>
      </w:r>
      <w:r>
        <w:rPr>
          <w:rStyle w:val="FootnoteAnchor"/>
          <w:rtl w:val="true"/>
        </w:rPr>
        <w:footnoteReference w:id="115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خطب منها، فأجابته هي أو وليّها أو وكيلها، حَرُم على غيره خِطبتها،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يخطب أحدكم على خِطبة أخيه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وبحرمة الدخول في سُوم المؤمن الذي منه ذلك، لقوله عليه السلام في جملةٍ من النصوص الواردة في جواز النظر إلى من يريد تزويجها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مستام</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فيه إيذاء المؤمن، وإثارة الشَّحناء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وبوجوب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ضعيف، ومنع كونه مستاماً حقيقةً‌، لعدم شراء المرأة، ومنع حرمة الدخول في السّوم، وعدم كونه إيذاء للمؤمن وإثارة الشحناء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حصلا لا بأس بالقول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عدم وجوب الإجابة، مع أنّه لا يمنع من إجابة الآخر، خصوصاً إذا رجّح على الأوّل بزيادة ركونها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الحرمة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كراهتها، واستدلّ له بالخبر لقاعدة التسامح</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ولكنّها مختصّة بالمستحبّات، ولا تشمل المكروهات، فإنْ ثبت الإجماع، ولم يكن مستند المُجمعين ما ذُكر يلتزم بها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القول بالمنع، لو خطب وتزوّج كان العقد صحيحاً، لأنّ النهي لم يتعلّق بالعقد بل بالخطبة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لأذيّة المؤمن وإثارة الشَّحناء هو العقد لا الخِطبة المجرّدة، فلو كان المدرك ذلك لزم 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التحريمي النفسي عن المعاملة بالمعنى الأعمّ‌، لا يدلّ على الفساد كما حُقّق في محلّه، وإنّما الدالّ عليه هو النهي الإرشادي، وفي المقام لا يكون إرشاديّاً قطعاً كما هو واضح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الفساد</w:t>
      </w:r>
      <w:r>
        <w:rPr>
          <w:rFonts w:eastAsia="Amiri" w:cs="Amiri" w:ascii="Amiri" w:hAnsi="Amiri"/>
          <w:color w:val="111111"/>
          <w:sz w:val="28"/>
          <w:szCs w:val="28"/>
          <w:rtl w:val="true"/>
          <w:lang w:bidi="ar-SA"/>
        </w:rPr>
        <w:t>.</w:t>
      </w:r>
      <w:bookmarkStart w:id="240" w:name="pg11825_116069"/>
    </w:p>
    <w:p>
      <w:pPr>
        <w:pStyle w:val="BookText"/>
        <w:rPr/>
      </w:pPr>
      <w:bookmarkEnd w:id="240"/>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11056886_73709187"/>
      <w:bookmarkStart w:id="242" w:name="_Toc80"/>
      <w:bookmarkEnd w:id="241"/>
      <w:r>
        <w:rPr>
          <w:rtl w:val="true"/>
        </w:rPr>
        <w:t>(</w:t>
      </w:r>
      <w:r>
        <w:rPr>
          <w:rtl w:val="true"/>
        </w:rPr>
        <w:t>الفصل الرابع في المتعة</w:t>
      </w:r>
      <w:r>
        <w:rPr>
          <w:rtl w:val="true"/>
        </w:rPr>
        <w:t>)</w:t>
      </w:r>
      <w:bookmarkEnd w:id="242"/>
    </w:p>
    <w:p>
      <w:pPr>
        <w:pStyle w:val="Heading3"/>
        <w:numPr>
          <w:ilvl w:val="2"/>
          <w:numId w:val="1"/>
        </w:numPr>
        <w:rPr/>
      </w:pPr>
      <w:bookmarkStart w:id="243" w:name="__RefHeading___Toc11056888_73709187"/>
      <w:bookmarkStart w:id="244" w:name="_Toc81"/>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لا خلاف بين المسلمين كافّة في أنّها شُرِّعت في صدر الإسلام، وقد اتّفقت الشيعة على بقاء حليّة المتعة، ووافقهم جمعٌ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كابن مسعود، وابن عبّاس، وأبي سعيد الخُدري، وأُبيّ بن كعب، وجابر، بل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جميع الصَّحابة مدّة رسول اللّه صلى الله عليه و آله وأبي بكر وعُمر إلى قُرب آخر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كطاوس، وسعيد بن جُبير، وعطاء، وسائر فقهاء مكّة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شيخ الإسلام المرغيناني القولَ بجواز المتعة إلى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ابن كثير ذلك إلى أحمد بن حنبل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فتشهد لمشروعيّتها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وقد تواترت النصوص عن الطريقين على أنّ المراد بها، هو التمتّع بالنساء بنكاح المتعة، كما أنّ علماء الفريقين متّفقون على ذلك إلّاما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يهمّنا البحث في دلالة الآية على ذلك وعدمها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استدلّوا على رفع إباحتها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 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يكون ناسخاً لآية الحِلّ‌، نظراً إلى أنّ المتعة ليست مِلكُ يمينٍ‌، ولا زوجيّة، لأنّ المتمتّع بها لا ترث ولا تورث، ولأنّها تبين بغير طلاق ولا لعان ولا ظهار ولا إيلاء ولا نفقة ولا قسم، وانتفاء لوازم الزوجيّة عنها يقتضي انتفاء الملزوم، فإذا لم تكن زوجةً كانت من العدوان المحرّم بمقتضى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لو تمّت لكانت بالعموم، فيخصّص بالآية المتقدّمة عمومها، لأنّ الخاص يقدّم على العام، لا أنّ العام ينسخه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الاُمور المذكورة من اللّوازم التي لا تنفكّ عن الزوجيّة، وقد ثبت أنّ الكافر لا يرثُ المسلم، وأنّ القاتل لا يرث المقتول، والإبانة تحصل بغير الطلاق في المرتدّة، والأمَة المبيعة، وما لو كان الزّوج فيه عيبٌ من أحد العيوب المنصوصة، وثبت أنّ النفقة تسقط بالنشوز والزوجيّة باقية، وعدم اللِّعان والظهار والإيلاء من جهة اشتراطها بالدوام، ولايكون تمام موضوعها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الحِلّ نُسخت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Style w:val="FootnoteAnchor"/>
          <w:rtl w:val="true"/>
        </w:rPr>
        <w:footnoteReference w:id="1160"/>
      </w:r>
      <w:r>
        <w:rPr>
          <w:rFonts w:ascii="IRNazanin" w:hAnsi="IRNazanin" w:eastAsia="IRNazanin"/>
          <w:color w:val="111111"/>
          <w:sz w:val="28"/>
          <w:sz w:val="28"/>
          <w:szCs w:val="28"/>
          <w:rtl w:val="true"/>
          <w:lang w:bidi="fa-IR"/>
        </w:rPr>
        <w:t>نظراً إلى أنّ المتمتّع بها لا ترث ولا تورث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في الجواب عن الناسخ الأوّل اندفاع كون هذه الآية ناسخة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نفي التوارث في نكاح المتعة، يكون مخصّصاً لآية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نَسب النحّاس ذلك إلى ابن عبّاس</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منشأ توهم النسخ أنّه لا طلاق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الآية تعرّضٌ لبيان مورد الطلاق، وإنْ كان من جهة كون عِدّة المتعة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لاتدلّ على لزوم كون عِدّة النساء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نُسخت الآية الشريفة في زمان رسول اللّه صلى الله عليه و آله، ورووا في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تلكم النصوص معارضة بروايات أهل البيت عليهم السلام، المتواترة الدالّة على إباحتها، وإنّه لم ينه عنها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بنصوصٍ كثيرة مرويّة في الكتب المعتمدة عند أهل السُنّة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الدالّة على حليّة المتعة في الأزمنة الأخيرة من حياة رسول اللّه صلى الله عليه و آله إلى زمان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تلكم الأخبار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وتعالى‌، وعملنا بها مع رسول اللّه صلى الله عليه و آله، فلم تَنزل آية تنسخها ولم ينه عنها النبيّ صلى الله عليه و آله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وذكرت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مع هذه الزيادة الرازي ذيل تفسيره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Style w:val="FootnoteAnchor"/>
          <w:rtl w:val="true"/>
        </w:rPr>
        <w:footnoteReference w:id="1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 آله ليس معنا نساء،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 ثمّ قرأ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وقراءته هذه الآية صريحة في أنّتحريم المتعة لم يكن بأمرٍمن اللّه ورسوله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رسول اللّه صلى الله عليه و آله نهى عن المتعة، لما نَسَبه عُمر بن الخطّاب إلى نفسه، وقد روى أبو نضرة، عن جابر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مع رسول اللّه صلى الله عليه و آله ومع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هذا الرسول، وإنّ القرآن هذا القرآن، وإنّهما كانتا متعتان على عهد رسول اللّه صلى الله عليه و آله وأنا أنهى عنهما واُعاقب عليهما، إحداهما متعة النساء</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صالح كاتب اللّيث في نسخته، والطحاوي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من وجهٍ آخر عن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 ينه عنها، ولا نزل بحرمتها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مجتهداً فنهى عنها لمّا رأى في ذلك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في مقابل النّص لا يجوز، ويُضرب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عنها بعنوان الولاية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حكومته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مفيداً فإنّما هو في زمان حياته لا في هذه الأزمنه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ولاية له في تغيير الأحكام،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حليّة المتعة، بل هي من المستحبّات، لما دلّ عليه من النصوص الكثيرة، راجع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تُكره مع الغِنى عنها، واستلزامها الشنعة أو فساد النساء، راجع عن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فالنظر فيه يستدعي بيان أركانه وأحكامه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45" w:name="pg11825_116074"/>
    </w:p>
    <w:p>
      <w:pPr>
        <w:pStyle w:val="BookText"/>
        <w:rPr/>
      </w:pPr>
      <w:bookmarkEnd w:id="245"/>
      <w:r>
        <w:rPr>
          <w:rFonts w:ascii="Amiri" w:hAnsi="Amiri" w:eastAsia="Amiri" w:cs="Amiri"/>
          <w:color w:val="111111"/>
          <w:sz w:val="28"/>
          <w:sz w:val="28"/>
          <w:szCs w:val="28"/>
          <w:rtl w:val="true"/>
          <w:lang w:bidi="ar-SA"/>
        </w:rPr>
        <w:t>ويُشترط فيها الإيجاب والقبول من أهله،</w:t>
      </w:r>
    </w:p>
    <w:p>
      <w:pPr>
        <w:pStyle w:val="Heading3"/>
        <w:numPr>
          <w:ilvl w:val="2"/>
          <w:numId w:val="1"/>
        </w:numPr>
        <w:rPr/>
      </w:pPr>
      <w:bookmarkStart w:id="246" w:name="__RefHeading___Toc11056890_73709187"/>
      <w:bookmarkStart w:id="247" w:name="_Toc82"/>
      <w:bookmarkEnd w:id="246"/>
      <w:r>
        <w:rPr>
          <w:rtl w:val="true"/>
        </w:rPr>
        <w:t>صيغة عقد الانقطاع</w:t>
      </w:r>
      <w:bookmarkEnd w:id="247"/>
    </w:p>
    <w:p>
      <w:pPr>
        <w:pStyle w:val="BookText"/>
        <w:rPr/>
      </w:pPr>
      <w:r>
        <w:rPr>
          <w:rFonts w:ascii="Amiri" w:hAnsi="Amiri" w:eastAsia="Amiri" w:cs="Amiri"/>
          <w:color w:val="111111"/>
          <w:sz w:val="28"/>
          <w:sz w:val="28"/>
          <w:szCs w:val="28"/>
          <w:rtl w:val="true"/>
          <w:lang w:bidi="ar-SA"/>
        </w:rPr>
        <w:t>أركان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واعتبارها ممّا لا خلاف فيه، بل عليه الإجماع</w:t>
      </w:r>
      <w:r>
        <w:rPr>
          <w:rStyle w:val="FootnoteAnchor"/>
          <w:rtl w:val="true"/>
        </w:rPr>
        <w:footnoteReference w:id="1172"/>
      </w:r>
      <w:r>
        <w:rPr>
          <w:rFonts w:ascii="Amiri" w:hAnsi="Amiri" w:eastAsia="Amiri" w:cs="Amiri"/>
          <w:color w:val="111111"/>
          <w:sz w:val="28"/>
          <w:sz w:val="28"/>
          <w:szCs w:val="28"/>
          <w:rtl w:val="true"/>
          <w:lang w:bidi="ar-SA"/>
        </w:rPr>
        <w:t>، وقد تقدّم في عقد النكاح</w:t>
      </w:r>
      <w:r>
        <w:rPr>
          <w:rStyle w:val="FootnoteAnchor"/>
          <w:rtl w:val="true"/>
        </w:rPr>
        <w:footnoteReference w:id="1173"/>
      </w:r>
      <w:r>
        <w:rPr>
          <w:rFonts w:ascii="Amiri" w:hAnsi="Amiri" w:eastAsia="Amiri" w:cs="Amiri"/>
          <w:color w:val="111111"/>
          <w:sz w:val="28"/>
          <w:sz w:val="28"/>
          <w:szCs w:val="28"/>
          <w:rtl w:val="true"/>
          <w:lang w:bidi="ar-SA"/>
        </w:rPr>
        <w:t>تنقيح القول في ذلك، وأنّه هل يكفي في إنشائه الفعل أم لا، وقد مرّ هناك استدلال بعضهم على تحقّقه بالفعل برواية، وبيّنا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فيها الإيجاب والقبول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تلك المسألة من ما يعتبر في الصيغة، وما لا يعتبر فيها من الماضويّة والعربيّة، وتقدّم الإيجاب على القبول، وما شاكل يظهر حكم المقام،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جمعٌ ممّن منع من الإيجاب والقبول بغير الماضي، إلى جواز الإنشاء بالاستقبال في المقام، لدلالة طائفة من النصوص عليه كخبر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أتزوّجكِ متعةً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 نعم، فقد رضيت، وهي امرأتك، وأنت أولى النّاس بها</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غيره، وهي تدلّ على جواز تقدّم القبول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المحقّق اليزدي</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النكاح المنقطع ليس كالدائم في كونه من الموضوعات العرفيّة، بل هو من المستنبطة، ولذا كثر السؤال عن كيفيّته عن الأئمّة عليهم السلام، ولم يسأل عن كيفيّة الدائم، فلا إطلاق لأدلّته كي يرجع إليه عند الشكّ في اعتبار شيء شطراً أو شرطاً في سببيّته لحصول الزوجيّة، فإذا شكّ في دخل شيء في الصيغة، ولم يدلّ دليلٌ على عدم اعتباره لابدّ من البناء على اعتباره أخذاً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بالتمسّك بالإطلاق، كون الموضوع من الموضوعات العرفيّة، بل حيث تكون المتعة وسائر المعاملات بالمعنى الأعمّ من مقولة المعنى لا اللّفظ، وهي اسمٌ لاعتبار الزوجيّة الموقّتة، فيتمسّك بإطلاق دليل المشروعيّة، وهي الآية الشريفة المتقدّمة والنصوص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في جواب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متعة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أحلّها اللّه في كتابه وعلى سُنّة نبيّه، فهي حلالٌ إلى يوم القيامة</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لأدلّة المشروعيّة كما يكون إطلاقاً أفراديّاً وتدلّ على مشروعيّة كلّ فردٍ من أفراد المتعة في كلّ زمان، كانت الزّوجة كفواً للزوج نَسَباً مثلاً أم لم يكن، وغير ذلك من الخصوصيّات، كذلك لها إطلاق أحوالي تدلّ على إمضاء 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من أفراد المتعة في جميع حالاته؛ أي سواء اُبرزت بالعربي أو بالفارسي أو بغيرهما، وكذا بالنسبة إلى سائر الخصوصيّات، ولازم ذلك إمضاء كلّ 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التمسّك بالإطلاق المقامي لها بتقريب أنّ الشارع الأقدس شرّع المتعة، وللمعاملات منها هذه عند العرف مظهرات، ولو كان المعتبر فيها مُظهِرٌ خاصّ كان عليه البيان، وحيث لم يبيّن، فيستكشف إيكال ذلك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المنقطع ليس شيئاً وراء النكاح، غاية الأمر دلّ الدليل على أنّ هذا أيضاً من أحد أقسام النكاح، فيتمسّك بإطلاق أدلّة إمضاء النكاح لدفع ما يشكّ في دخله فيه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فكلّ ما شُكّ في دخله في الصيغة، يُبنى على عدم اعتباره فيها إلّاما دلّ الدليل عليه، وعلى هذا فجميع ما ذكرناه في صيغة عقد الدائم تجري في المقام</w:t>
      </w:r>
      <w:r>
        <w:rPr>
          <w:rFonts w:eastAsia="Amiri" w:cs="Amiri" w:ascii="Amiri" w:hAnsi="Amiri"/>
          <w:color w:val="111111"/>
          <w:sz w:val="28"/>
          <w:szCs w:val="28"/>
          <w:rtl w:val="true"/>
          <w:lang w:bidi="ar-SA"/>
        </w:rPr>
        <w:t>.</w:t>
      </w:r>
      <w:bookmarkStart w:id="248" w:name="pg11825_116077"/>
    </w:p>
    <w:p>
      <w:pPr>
        <w:pStyle w:val="Heading3"/>
        <w:numPr>
          <w:ilvl w:val="2"/>
          <w:numId w:val="1"/>
        </w:numPr>
        <w:rPr/>
      </w:pPr>
      <w:bookmarkStart w:id="249" w:name="__RefHeading___Toc11056892_73709187"/>
      <w:bookmarkStart w:id="250" w:name="_Toc83"/>
      <w:bookmarkEnd w:id="248"/>
      <w:bookmarkEnd w:id="249"/>
      <w:r>
        <w:rPr>
          <w:rtl w:val="true"/>
        </w:rPr>
        <w:t>بيان محلّ المتعة</w:t>
      </w:r>
      <w:bookmarkEnd w:id="250"/>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إذا كان الزّوج مُسلماً أن تكون الزّوجة مسلمة أو كتابيّة كاليهوديّة والنصرانيّة والمجوسيّة، وأمّا المسلمة مؤمنة كانت أو غير مؤمنة، فلا تتمتّع إلّابالمسلم، وقد تقدّم الكلام في ذلك كلّه في مسألة نكاح الكتابيّة من هذا الجزء،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أنّه قد يتوهّم عدم جواز التمتّع بغير المؤمنه بالمعنى الأخصّ‌، ومن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في لمقام اعتبار الكفاءة في الإيمان، لما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الإمام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لا تحلّ إلّالمن عرفها، وهي حرامٌ على مَن جهلها</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المراد بالعرفان بالمتعة والجهل بها؛ هو العرفان والجهل بمشروعيّتها، فيكون المراد بالعارف المؤمن، وبالجاهل المخالف، فيدلّ الخبر على أنّه لا يجوز تمتّع المؤمن بالمخالفة، والمخالف بالمؤمنة، لأنّ الحرمة والفساد من طرفٍ يستلزم الحرمة والفساد من الطرف الآخر، لأنّ‌العقد لايتبعّض صحّةًوفساداً بالنسبة إلى المتعاقدين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المراد من الحليّة والحرمة الوضعيّتين غير معلوم، ولعلّ‌المراد بهما التكليفيّتان، والتفكيك في الحرمة التكليفيّة بين المتعاقدين لا مانع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المراد بالعرفان والجهل بها هو العرفان بمشروعيّتها والجهل بها، الملازمين للمؤمن والمخالف غير معلوم، ولعلّ المراد بهما العرفان بحقيقتها، وأنّها نوعٌ من النكاح والجهل بها، فتدلّ حينئذٍ على عدم جواز تمتّع العالم بها بالجاهلة بها وكذا العكس، من غير فرقٍ بين كونهما مؤمنين أو مخالفين أو مختلفين، ولعلّ السرّ فيه حينئذٍ عدم إنشاء الزوجيّة من أحد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أعرضوا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عارفة‌؟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عليها، وقُل لها فإنْ قَبلت فتزوّجها، وإنْ أبَت أن ترضى بقولك فَدَعها</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إسماعيل،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تتزوّج إلّابمؤمنة أو مسلمة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إشكال في جواز التمتّع بالمخالفة، بل وفي جواز تمتّع المخالف بالمؤمنة على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التمتّع بالمؤمنة، لقول الإمام الصادق عليه السلام في المرسل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تتمتّع بالمؤمنة فتذلّها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فاقد لشرائط الحجيّة، ومعرَضٌ عنه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بعد ذكر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شاذٌ ويحتمل أنْ يكون المراد به إذا كانت المراة أهل بيت الشرف، يلحق أهلها العار، ويلحقها الذّل، ويكون ذلك مكروهاً</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1" w:name="pg11825_116080"/>
    </w:p>
    <w:p>
      <w:pPr>
        <w:pStyle w:val="BookText"/>
        <w:rPr/>
      </w:pPr>
      <w:bookmarkEnd w:id="251"/>
      <w:r>
        <w:rPr>
          <w:rFonts w:ascii="Amiri" w:hAnsi="Amiri" w:eastAsia="Amiri" w:cs="Amiri"/>
          <w:color w:val="111111"/>
          <w:sz w:val="28"/>
          <w:sz w:val="28"/>
          <w:szCs w:val="28"/>
          <w:rtl w:val="true"/>
          <w:lang w:bidi="ar-SA"/>
        </w:rPr>
        <w:t>وذِكرُ المَهر</w:t>
      </w:r>
    </w:p>
    <w:p>
      <w:pPr>
        <w:pStyle w:val="Heading3"/>
        <w:numPr>
          <w:ilvl w:val="2"/>
          <w:numId w:val="1"/>
        </w:numPr>
        <w:rPr/>
      </w:pPr>
      <w:bookmarkStart w:id="252" w:name="__RefHeading___Toc11056894_73709187"/>
      <w:bookmarkStart w:id="253" w:name="_Toc84"/>
      <w:bookmarkEnd w:id="252"/>
      <w:r>
        <w:rPr>
          <w:rtl w:val="true"/>
        </w:rPr>
        <w:t>اعتبار ذكر المَهر في عقد المتعة</w:t>
      </w:r>
      <w:bookmarkEnd w:id="253"/>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يشترطفي صحّة عقدالمتعة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83"/>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وأجرٌ مُسمّى‌</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الهاشمي،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تمام الكلام في المقام يتحقّق بالبحث في فروع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المَهر إذا كان عيناً أنْ يكون مملوكاً للمتمتّع، فلو كان مملوكاً لغيره لم يصحّ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المَهر عوض البُضع، ولابدّ أن يخرج العوض عن ملك من يدخل في ملكه المعوّض، لا عن ملك غيره، وإلّا لم تتحقّق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المعاوضة من المعاني النسبيّة التعلّقيّة، فلابدّ وأن تكون العوضيّة في شيء، فإذا كانت المعاوضة في الملكيّة، فلابدَّ من قيام كلٍّ من العوضين مقام الآخر في الإضافة الملكيّة لصاحبها، ومقتضى ذلك انتقال كلّ منهما إلى مالك الآخر، وعليه فيمتنع أن يملك البُضع بمال غيره، 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اليزدي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المتعة ليست من العقود المعاوضيّة، لعدم مساعدة العرف والاعتبار عليه، إذ لا يعدّ البُضع مالاً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المتعة وإنْ لم يُملك المتمتّع البُضع، ولا يصيرُ مملوكاً له، ولكن يملك منفعته، وإنكار كونه مالاً غريبٌ‌، إذ ليس المال إلّاما يُبذل بإزائه الشيء، لما فيه من المنفعة العائدة إلى الإنسان، ويحتاج إليه بحسب فطرته من المأكل والمشرب والملبس وما شاكل، أو ما يعتبر له الماليّة كالنقود، ولا ريب في كون البُضع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يُجعل العوض والمَهر بإزاء ملكيّة البُضع، بل بإزاء تملّك منفعته، 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مستأجرة</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مستأجرة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54" w:name="pg11825_116082"/>
    </w:p>
    <w:p>
      <w:pPr>
        <w:pStyle w:val="BookText"/>
        <w:rPr/>
      </w:pPr>
      <w:bookmarkEnd w:id="254"/>
      <w:r>
        <w:rPr>
          <w:rFonts w:ascii="Amiri" w:hAnsi="Amiri" w:eastAsia="Amiri" w:cs="Amiri"/>
          <w:color w:val="111111"/>
          <w:sz w:val="28"/>
          <w:sz w:val="28"/>
          <w:szCs w:val="28"/>
          <w:rtl w:val="true"/>
          <w:lang w:bidi="ar-SA"/>
        </w:rPr>
        <w:t>وأيضاً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المعاوضة ليس موضوعاً للأثر، ولم يؤخذ في الدليل، بل المأخوذ فيه عنوان الأجر، كما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جعل الأجر من كيس غير المتمتّع المالك لمنفعة البُضع إذا أذن، ويترتّب على ذلك عدم اعتبار كونه مملوكاً للمتمتّع، كما ويترتّب عليه جواز كونه كليّاً في ذمّة شخصٍ‌، وإنْ لم يكن المتمتّع مالكاً لما في ذمّته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056896_73709187"/>
      <w:bookmarkStart w:id="256" w:name="_Toc85"/>
      <w:bookmarkEnd w:id="255"/>
      <w:r>
        <w:rPr>
          <w:rtl w:val="true"/>
        </w:rPr>
        <w:t>جعل الحقّ مَهراً</w:t>
      </w:r>
      <w:bookmarkEnd w:id="25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جعل الحقّ القابل للنقل عوضاً ومهراً أم لا؟</w:t>
      </w:r>
    </w:p>
    <w:p>
      <w:pPr>
        <w:pStyle w:val="BookText"/>
        <w:rPr/>
      </w:pPr>
      <w:r>
        <w:rPr>
          <w:rFonts w:ascii="Amiri" w:hAnsi="Amiri" w:eastAsia="Amiri" w:cs="Amiri"/>
          <w:color w:val="111111"/>
          <w:sz w:val="28"/>
          <w:sz w:val="28"/>
          <w:szCs w:val="28"/>
          <w:rtl w:val="true"/>
          <w:lang w:bidi="ar-SA"/>
        </w:rPr>
        <w:t>وجهان، أظهرهما الأوّل، لإطلاق الأدلّة بل يصحّ جعل عَمل الحُرّ قبل وقوع المعاوضة عليه مَهراً، فإنّه وإنْ لم يكن ملكاً، لكنّه مالٌ لكونه ممّا يرغب اليه ويميل النوع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الماليّة صفة وجوديّة لابدّ لها من محلّ‌، والعمل المعدوم لا يكون محلّاً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مالاً وصاحبه ذا مال، لتعلّق به الاستطاعة إذا كان قادراً على عمل يكون عوضه ممّا يتحقّق به الاستطاعة، وخرج عن كونه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مالاً لكان حابسه ضامناً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الماليّة من الاُمور الاعتباريّة، وهي تقوم بمحلّ يكون موجوداً تقديراً بتبع وجود الحُرّ العامل القادر عليه، والاستطاعة تتوقّف على الملكيّة، وهو حيث لا يكون ملكاً وإنْ كان مالاً لا يتحقّق به الاستطاعة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يخرج صاحبه عن كونه فقيراً لتسلّطه على تمليكه للغير، ولذلك بنينا على عدم جواز إعطاء الزكاة والخمس لمن يقدر على الاكتساب، وعدم الحكم بضامن حابسه، إنّما هو من جهة أنّ الضمان يتوقّف على سببٍ وهو إمّا الإتلاف أو اليد أو الاستيفاء، وشيءٌ منها لا يكون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عمل الحُرّ مالاً له كي يشمله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تحت الاستيلاء واليد، لا بنفسه ولا بتبع الاستيلاء على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الأظهر مالٌ‌، ويصحّ جعله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منصرفة عن ذلك لعدم تعارف جعله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الانصراف الناشئ عن قلّة وجود فردٍ، لا يصلح مقيّداً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جعل إسقاطالحقّ القابل له دون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كحقّ‌الشفعة 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w:t>
      </w:r>
    </w:p>
    <w:p>
      <w:pPr>
        <w:pStyle w:val="BookText"/>
        <w:rPr/>
      </w:pPr>
      <w:r>
        <w:rPr>
          <w:rFonts w:ascii="Amiri" w:hAnsi="Amiri" w:eastAsia="Amiri" w:cs="Amiri"/>
          <w:color w:val="111111"/>
          <w:sz w:val="28"/>
          <w:sz w:val="28"/>
          <w:szCs w:val="28"/>
          <w:rtl w:val="true"/>
          <w:lang w:bidi="ar-SA"/>
        </w:rPr>
        <w:t>الظاهر ذلك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الإسقاط بما أنّه فعلٌ من الأفعال نظير الخياطة، ويكون معناً حرفيّاً غير قابل لأن يتموّل إلّاباعتبار أثره، وأثره في المقام هو السقوط، وهو غير قابل للمملوكيّة لعدم كونه من الأفعال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الإسقاط وإنْ كان معنىً حرفيّاً لايتموّل، إلّاأنّه لا مانع من </w:t>
      </w:r>
      <w:bookmarkStart w:id="257" w:name="pg11825_116084"/>
    </w:p>
    <w:p>
      <w:pPr>
        <w:pStyle w:val="BookText"/>
        <w:rPr/>
      </w:pPr>
      <w:bookmarkEnd w:id="257"/>
      <w:r>
        <w:rPr>
          <w:rFonts w:ascii="Amiri" w:hAnsi="Amiri" w:eastAsia="Amiri" w:cs="Amiri"/>
          <w:color w:val="111111"/>
          <w:sz w:val="28"/>
          <w:sz w:val="28"/>
          <w:szCs w:val="28"/>
          <w:rtl w:val="true"/>
          <w:lang w:bidi="ar-SA"/>
        </w:rPr>
        <w:t>صيرورة الحقّ الذي يسقط سبباً وواسطةً في قابليّة إسقاطه للتموّل والملكيّة، ونظير ذلك أنّ العلم بنفسه لا يُملك، لكنّه يصير سبباً لزيادة ماليّة العبد المتّصف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الإسقاط وإنْ كان مالاً، إلّاأنّه لا ينتقل إلى المتمتّع بها، ويعتبر في المتعة صيرورتها مالكة لما يجعل عوض 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ذلك، بل غاية ما يدلّ عليه الدليل أنّه لابدّ وأنْ يكون للبُضع عوض، فليكن الإسقاط والسقوط بنفسه عوضاً، نظير بيع الدَّين على من هو عليه، حيث أنّ البيع هناك لا يفيد إلّاالإسقاط، فكذلك في المقام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056898_73709187"/>
      <w:bookmarkStart w:id="259" w:name="_Toc86"/>
      <w:bookmarkEnd w:id="258"/>
      <w:r>
        <w:rPr>
          <w:rtl w:val="true"/>
        </w:rPr>
        <w:t>اعتبار كون المَهر معلوماً</w:t>
      </w:r>
      <w:bookmarkEnd w:id="25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ويشترط في المَهر أنْ يكون معلوماً إمّا بالكيل للمكيل، أو بالوزن للموزون، أو بالعدّ للمعدود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كلام فيه، إذ يشهد به مضافاً إلى اتّفاقهم، قول الصادق عليه السلام في صحيح الهاشمي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ذكروه من أنّه تكفي المشاهدة في جميع الموارد، حتّى في الموارد التي لا يكتفى بها من المعاملات الاُخر، وأضاف إليه بعضهم من كفاية التوصيف، بل اللّمس أو الذوق أو ما شاكل‌؟</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91"/>
      </w:r>
      <w:r>
        <w:rPr>
          <w:rFonts w:ascii="IRNazanin" w:hAnsi="IRNazanin" w:eastAsia="IRNazanin"/>
          <w:color w:val="111111"/>
          <w:sz w:val="28"/>
          <w:sz w:val="28"/>
          <w:szCs w:val="28"/>
          <w:rtl w:val="true"/>
          <w:lang w:bidi="fa-IR"/>
        </w:rPr>
        <w:t>بأنّه لا وجه 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الأخبار سوى اعتبار كون المَهر معلوماً، وهذا يصدق على‌ </w:t>
      </w:r>
    </w:p>
    <w:p>
      <w:pPr>
        <w:pStyle w:val="BookText"/>
        <w:rPr/>
      </w:pPr>
      <w:r>
        <w:rPr>
          <w:rFonts w:ascii="Amiri" w:hAnsi="Amiri" w:eastAsia="Amiri" w:cs="Amiri"/>
          <w:color w:val="111111"/>
          <w:sz w:val="28"/>
          <w:sz w:val="28"/>
          <w:szCs w:val="28"/>
          <w:rtl w:val="true"/>
          <w:lang w:bidi="ar-SA"/>
        </w:rPr>
        <w:t>ما لو كان معلوماً بالمشاهدة ونحوها، ولا دليل على اعتبار كون المكيل كيله معلوماً، وكذا الموزون والمعدود، وإنّما نلتزم بذلك في البيع للنصوص الخاصّة الدالّة عليه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عدم العلم بالكيل أو الوزن أو العدد الغَرر وقد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الغرر 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الغرر مختصٌّ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المصنّف رحمه الله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غيرُ ثابتٍ‌،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عدم معرفة كيل الموزون ووزن المكيل والمعدود لاينافي كونه معلوماً من جهة معلوميّة الكيل أو الوزن أو العدد، كذلك لاينافي عدم معرفة شيء منها مع كونه معلوماً من حيث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النصوص</w:t>
      </w:r>
      <w:r>
        <w:rPr>
          <w:rStyle w:val="FootnoteAnchor"/>
          <w:rtl w:val="true"/>
        </w:rPr>
        <w:footnoteReference w:id="1193"/>
      </w:r>
      <w:r>
        <w:rPr>
          <w:rFonts w:ascii="Amiri" w:hAnsi="Amiri" w:eastAsia="Amiri" w:cs="Amiri"/>
          <w:color w:val="111111"/>
          <w:sz w:val="28"/>
          <w:sz w:val="28"/>
          <w:szCs w:val="28"/>
          <w:rtl w:val="true"/>
          <w:lang w:bidi="ar-SA"/>
        </w:rPr>
        <w:t>الدالّة على الاكتفاء بنحو الكف من البُرّ أو السويق ونحو ذلك، فإنّه يستكشف منها عدم اعتبار معلوميّة الكيل أو الوزن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60" w:name="pg11825_116086"/>
    </w:p>
    <w:p>
      <w:pPr>
        <w:pStyle w:val="BookText"/>
        <w:rPr/>
      </w:pPr>
      <w:bookmarkEnd w:id="260"/>
      <w:r>
        <w:rPr>
          <w:rFonts w:ascii="Amiri" w:hAnsi="Amiri" w:eastAsia="Amiri" w:cs="Amiri"/>
          <w:color w:val="111111"/>
          <w:sz w:val="28"/>
          <w:sz w:val="28"/>
          <w:szCs w:val="28"/>
          <w:rtl w:val="true"/>
          <w:lang w:bidi="ar-SA"/>
        </w:rPr>
        <w:t>ولابدَّ فيه من ذكر أجلٍ مُعيَّنٍ‌</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1056900_73709187"/>
      <w:bookmarkStart w:id="262" w:name="_Toc87"/>
      <w:bookmarkEnd w:id="261"/>
      <w:r>
        <w:rPr>
          <w:rtl w:val="true"/>
        </w:rPr>
        <w:t>اعتبار الأجل في عقد المتعة</w:t>
      </w:r>
      <w:bookmarkEnd w:id="262"/>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فيه من ذِكر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بطل، أي لم يكن عقد متعة بلا خلافٍ‌، بل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Style w:val="FootnoteAnchor"/>
          <w:rtl w:val="true"/>
        </w:rPr>
        <w:footnoteReference w:id="119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أنّ ذكر الأجل شرطٌ في صحّة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منها ما تقدّم في المَهر، ومنها ما سيجيء في طيّ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أنْ يكون الأجل المذكور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محروسٍ من الزيادة والنقصان، فلا يجوز أنْ يكون كليّاً كشهرٍ من الشهور، ولا غير محروسٍ من الزيادة والنقصان، كقدوم الحاجّ‌، بلا خلاف، بل عن غير واحدٍ دعوى الإجماع عليه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وإلى اعتبار كونه معلوماً، كما في صحيح الهاشمي المتقدّم، واعتبار التسمية كما في صحيح زرارة المتقدّم جملةٌ من النصوص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ابن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لها إذا خلوتُ بها؟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أتزوّجكِ متعةً على كتاب اللّه وسنّة نبيّه صلى الله عليه و آله، لا وارثة ولا موروثة، كذا وكذا يوماً، وإنْ شئت كذا وكذا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أتزوّجكِ كذا وكذا يوماً بكذا وكذا درهماً</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إسماعيل،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سنة أو أقلّ أو أكثر؟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شيئاً معلوماً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بغير 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أتزوّجها؟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معدودة بشيء مسمّى مقدار ما تراضيتم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بكّار بن كردم،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يلقى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شهراً، ولا يُسمّي الشهر بعينه، ثمّ يمضي فيلقاها بعد 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شهره إنْ كان سمّاه، فإنْ لم يكن سمّاه فلا سبيل له عليها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زرارة،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يتمتّع الرّجل من المرأة ساعةً أو ساعتين‌؟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والساعتان لا يوقف على حَدّهما، ولكن العرد والعردين، واليوم واليومين واللّيلة وأشباه ذلك</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العرفيّة لا النجوميّة، وبعبارة أُخرى الساعة لا يُراد بها المقدار من الزمان المحدود بحَدٍّ خاصّ‌، يُعلم بالآلة المعدّة لذلك، بل هو مقدار قليل من الزمان، وهو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له تقديرٌ في جانب القِلّة والكثرة أم لا؟</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203"/>
      </w:r>
      <w:r>
        <w:rPr>
          <w:rFonts w:ascii="Amiri" w:hAnsi="Amiri" w:eastAsia="Amiri" w:cs="Amiri"/>
          <w:color w:val="111111"/>
          <w:sz w:val="28"/>
          <w:sz w:val="28"/>
          <w:szCs w:val="28"/>
          <w:rtl w:val="true"/>
          <w:lang w:bidi="ar-SA"/>
        </w:rPr>
        <w:t>بين الأصحاب أنّه لا تقدير له في شيء من الجانبين، وقد صرّح غير واحدٍ بالتعليق على ما شاءا من الأجل وتراضيا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w:t>
      </w:r>
      <w:r>
        <w:rPr>
          <w:rStyle w:val="FootnoteAnchor"/>
          <w:rtl w:val="true"/>
        </w:rPr>
        <w:footnoteReference w:id="1204"/>
      </w:r>
      <w:r>
        <w:rPr>
          <w:rFonts w:ascii="Amiri" w:hAnsi="Amiri" w:eastAsia="Amiri" w:cs="Amiri"/>
          <w:color w:val="111111"/>
          <w:sz w:val="28"/>
          <w:sz w:val="28"/>
          <w:szCs w:val="28"/>
          <w:rtl w:val="true"/>
          <w:lang w:bidi="ar-SA"/>
        </w:rPr>
        <w:t>، والفاضل الهندي</w:t>
      </w:r>
      <w:r>
        <w:rPr>
          <w:rStyle w:val="FootnoteAnchor"/>
          <w:rtl w:val="true"/>
        </w:rPr>
        <w:footnoteReference w:id="120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بجواز تقدير الأجل في الكثرة بوقتٍ طويل، يُعلم بعدم بقائهما إليه، وبتقديره في القلّة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الأقلّ بما بين طلوع الشمس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يشهدلماهوالمشهور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في بعض النصوص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وتُسمّي من الأجل ما تراضيتما عليه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تقدير الأجل بوقتٍ يعلم بعدم بقائهما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المنساق من النصوص الواردة في المشروعيّة، وفي اعتبار الأجل فيها غير ذلك، خصوصاً بعد عدم جواز مثله في الإجارة المشبه بها المتعة، ضرورة عدم قابليّتها حينئذٍ للاستمتاع، فلا وجه لإنشاء تملّكه وتمليكه بالعوض، بل هو شبه المعاملة السفهيّة، بل لا ريب في عدم مراعاة مثله في التوزيع، لعدم تحقّق حبس المنفعة فيه المقتضي للتوزيع</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لايعتبر القابليّة للاستمتاع في جميع الزمان الذي تثبت المتعة فيه، وليس هناك تمليكٌ وتملّك بالعوض إنشاءً‌، بل المُنشأ هو الزوجيّة، وأثرها مالكيّة المتمتّع للانتفاع ببُضع المتمتّع بها، وعدم جواز مثله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هناك تمليكٌ للمنفعة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عدم جوازه في المقام، وعدم التوزيع لعدم تحقّق حبس المنفعة، غير مستلزمٍ لعدم تحقّق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فالأصحّ أنّه ليس في مقابل إطلاق الأدلّة ما يركن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 من طرف الأقلّ بلحظةٍ لايتمّ‌، لاعتبار زمانٍ يسع لتحقّق ماهيّة الاستمتاع</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وإنْ كان المقصد الأصلي في تشريع المتعة الاستمتاع، ولكن كما لا يعتبر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3" w:name="pg11825_116090"/>
    </w:p>
    <w:p>
      <w:pPr>
        <w:pStyle w:val="BookText"/>
        <w:rPr/>
      </w:pPr>
      <w:bookmarkEnd w:id="263"/>
      <w:r>
        <w:rPr>
          <w:rFonts w:ascii="Amiri" w:hAnsi="Amiri" w:eastAsia="Amiri" w:cs="Amiri"/>
          <w:color w:val="111111"/>
          <w:sz w:val="28"/>
          <w:sz w:val="28"/>
          <w:szCs w:val="28"/>
          <w:rtl w:val="true"/>
          <w:lang w:bidi="ar-SA"/>
        </w:rPr>
        <w:t>حصول الزوجيّة بها الاستمتاع الخارجي، لا يعتبر القابليّة لذلك، من جهة أنّ المُنشَأ فيها الزوجيّة، ولها آثار اُخر غير الجماع كتحريم المصاهرة وجواز النظر إلى اُمّها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أفاده العَلَمان هو الصحيح، ويترتّب عليه جواز العقد متعةً على الصغيرة التي لا يجوز وطئها، وللصغير الذي لا قابليّة له للوطء وللاستمتاعات الاُخر، بل الأمر في الصغيرة أوضح، فإنّه يمكن الاستمتاع الآخر بها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056902_73709187"/>
      <w:bookmarkStart w:id="265" w:name="_Toc88"/>
      <w:bookmarkEnd w:id="264"/>
      <w:r>
        <w:rPr>
          <w:rtl w:val="true"/>
        </w:rPr>
        <w:t>عدم اعتبار اتّصال المدّة بالعقد</w:t>
      </w:r>
      <w:bookmarkEnd w:id="265"/>
    </w:p>
    <w:p>
      <w:pPr>
        <w:pStyle w:val="BookText"/>
        <w:rPr/>
      </w:pPr>
      <w:r>
        <w:rPr>
          <w:rFonts w:ascii="Amiri" w:hAnsi="Amiri" w:eastAsia="Amiri" w:cs="Amiri"/>
          <w:color w:val="111111"/>
          <w:sz w:val="28"/>
          <w:sz w:val="28"/>
          <w:szCs w:val="28"/>
          <w:rtl w:val="true"/>
          <w:lang w:bidi="ar-SA"/>
        </w:rPr>
        <w:t xml:space="preserve">المشهور في كلام الأصحاب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أنّه يجوز أن يعيّن شهراً متّصلاً بالعقد، ومتأخّراً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الإطلاق يقتضي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إلّاالمتّصل</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 وأنكر</w:t>
      </w:r>
      <w:r>
        <w:rPr>
          <w:rStyle w:val="FootnoteAnchor"/>
          <w:rtl w:val="true"/>
        </w:rPr>
        <w:footnoteReference w:id="1213"/>
      </w:r>
      <w:r>
        <w:rPr>
          <w:rFonts w:ascii="Amiri" w:hAnsi="Amiri" w:eastAsia="Amiri" w:cs="Amiri"/>
          <w:color w:val="111111"/>
          <w:sz w:val="28"/>
          <w:sz w:val="28"/>
          <w:szCs w:val="28"/>
          <w:rtl w:val="true"/>
          <w:lang w:bidi="ar-SA"/>
        </w:rPr>
        <w:t>نسبة القول الأوّل إلى المشهور أو الأكثر، بل احتمل أن لا يكون قائل به إلّانادراً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للأوّل بوجهين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فإنّه عقدٌ مشتملٌ على أجلٍ مضبوط، فيلزم الوفاء به لعموم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العقود إلى العقود المتعارفة بين عامّة النّاس، فلا تشمل الأدلّة مثل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هذا الوجه</w:t>
      </w:r>
      <w:r>
        <w:rPr>
          <w:rStyle w:val="FootnoteAnchor"/>
          <w:rtl w:val="true"/>
        </w:rPr>
        <w:footnoteReference w:id="1214"/>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عدم جواز عقد الزّوج عليها فضلاً عن غيره قبل انقضاء أجلها بأجلٍ آخر أو مهرٍ كذلك، ضرورة أولويّته بجواز المنفصل</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ورد من النصوص بلفظة إلى أجل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إلى أجلٍ وشبهه ظاهرٌ في اعتبار اتّصال الأجل، وأنّه المراد من النكاح المنقطع في مقابلة الدائم، بمعنى أنّ غيره يبقى على دوامه والمتعة يقطع فيها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منه تخلّف المُنشَأ عن الإنشاء،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كظاهر سائر الخطابات، أنّ الحكم مطلق غير مشروط، فيكون ظاهره ترتّب الأثر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التزم في ما جعل الأجل فيه منفصلاً بترتّب الأثر فعلاً، كان ذلك منافياً للإنشاء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التزم بعدم ترتّب الأثر فعلاً، لزم عدم كونه مشمولاً لهذا الخطاب، فلا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على ترتّب الأثر ولزوم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ذلك للتنجيز المُجمع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ذلك لزم جواز أن يتمتّع بها غيره في القطعة الواقعة من الزمان بين العقد ومبدأ الأجل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لدعوى الانصراف سوى عدم التعارف، وقد مرّ أنّه لا يصلح منشئاً للانصراف المقيّد للإطلاق، وأنّ الانسباق المذكور بدوي يزول بأدنى تأمّلٍ‌، وما دلّ‌</w:t>
      </w:r>
      <w:r>
        <w:rPr>
          <w:rStyle w:val="FootnoteAnchor"/>
          <w:rtl w:val="true"/>
        </w:rPr>
        <w:footnoteReference w:id="1218"/>
      </w:r>
      <w:r>
        <w:rPr>
          <w:rFonts w:ascii="Amiri" w:hAnsi="Amiri" w:eastAsia="Amiri" w:cs="Amiri"/>
          <w:color w:val="111111"/>
          <w:sz w:val="28"/>
          <w:sz w:val="28"/>
          <w:szCs w:val="28"/>
          <w:rtl w:val="true"/>
          <w:lang w:bidi="ar-SA"/>
        </w:rPr>
        <w:t>على عدم جواز عقد الزّوج عليها قبل انقضاء أجلها، إنّما هو فيما لو عقد عليها في المدّة المتّصلة بالعقد، حيث يلزم الجمع بين الأجلين كما يؤمى إليه تعليل الفساد في بعض نصوصه بأنّهما شرطان في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المشار إليها لا مفهوم لها كي تدلّ على عدم مشروعيّة غير ما تضمّنته، بل غاية ما تدلّ عليه مشروعيّة ما كان الأجل فيه متّصلاً بالعقد، وعدم التعرّض للمنفصل، ويرجع فيه إلى العمومات، وهي لا تقيّد إطلاقها لكونهما مثبتتين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شُبهة أوردوها على الواجب المشروط، وقد أجبنا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مفصّلاً، ونقتصر في المقام على الإشارة إلى وقوع ذلك الذي هو أدلّ دليل على إمكانه، لاحظ اُموراً مثل الوصيّة والنذر والتدبير والواجب المشروط وإجارة الشخص للحجّ وغيره وما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انحصار دليل المشروعيّة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هناك أدلّة اُخرى وهي التي استندوا في الجواز في المقام إليها، مع أنّ أثر العقد فيما إذا كان الأجل منفصلاً هو اجراء أحكام المتعة في تلك المدّة المسمّاة، فتخلّفه عن العقد حينئذٍ إنّما هو بحسب مقتضى العقد ومن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التنجيز المقابل لمثل ذلك، بل المعتبر منه أن لا يكون الإنشاء معلّقاً على أمرٍ مشكوك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مانع من جواز استمتاع الغير بها في تلك المدّة إنْ لم يصدق عليها ذات البعل، وإلّا فلا يجوز لذلك، كما أفاده الشهيد الثاني رحمه الله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فالأصحّ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بكّار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حمله على ما إذا قصدتحقّق الزوجيّة عليوجهٍ يحصل بها حرمة المصاهرة وغيرها من استحقاق المَهر بالموت، ويكون الأجل المتأخّر حينئذٍ لتأخير الاستمتاع، وحَمل على هذا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عبارات الأكثر القائلين بالجواز</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لضعف سنده سوى وجود بكّار، وإلّا فقد روى الخبر الصدوق رحمه الله</w:t>
      </w:r>
      <w:r>
        <w:rPr>
          <w:rStyle w:val="FootnoteAnchor"/>
          <w:rtl w:val="true"/>
        </w:rPr>
        <w:footnoteReference w:id="1222"/>
      </w:r>
      <w:r>
        <w:rPr>
          <w:rFonts w:ascii="Amiri" w:hAnsi="Amiri" w:eastAsia="Amiri" w:cs="Amiri"/>
          <w:color w:val="111111"/>
          <w:sz w:val="28"/>
          <w:sz w:val="28"/>
          <w:szCs w:val="28"/>
          <w:rtl w:val="true"/>
          <w:lang w:bidi="ar-SA"/>
        </w:rPr>
        <w:t>بسنده إليه وسنده إليه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بكّار، فالأظهر كونه حسناً، فقد جاء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خالي ممدوحاً، لأنّ للصدوق طريقاً إليه، وروى عنه ابن أبي عُمير، ويونس بن عبد الرحمن، وفيه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كون أحمد بن محمّد بن عيسى في الطريق، واستناد الأصحاب إليه في المقام، وعليه فلا إشكال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ظاهره، ولا وجه له، فإنّه يصرّح في السؤال بوقوع العقد على شهرٍ واحد، فالأظهر صحّة مثل هذا العقد الذي جُعل الأجل فيه منفصلاً، وتؤيّده النصوص المتقدّمة المنزلة للمتمتّع بها منزلة المستأجرة، فإنّه يجوز ذلك في الإجارة بلا شبهة، فكذا فيما نزل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يعني شَرَط العاقد أجَلاً مطلقاً، لم يعيّنه بكونه متّصلاً بالعقد أو منفصلاً، فالمشهور</w:t>
      </w:r>
      <w:r>
        <w:rPr>
          <w:rStyle w:val="FootnoteAnchor"/>
          <w:rtl w:val="true"/>
        </w:rPr>
        <w:footnoteReference w:id="1223"/>
      </w:r>
      <w:r>
        <w:rPr>
          <w:rFonts w:ascii="Amiri" w:hAnsi="Amiri" w:eastAsia="Amiri" w:cs="Amiri"/>
          <w:color w:val="111111"/>
          <w:sz w:val="28"/>
          <w:sz w:val="28"/>
          <w:szCs w:val="28"/>
          <w:rtl w:val="true"/>
          <w:lang w:bidi="ar-SA"/>
        </w:rPr>
        <w:t>صحّة العقد، وحمله على الاتّصال، لأنّه الظاهر عرفاً كما في نظائره من الإجارة وغيرها ممّا هو محمولٌ على الاتّصال بالعقد، فلا يعتبر ذكر أوّل الأجل، ويشير إليه قول أبي عبد اللّه عليه السلام في خبر بكّار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سمّاه، فلا سبيل له عليها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الحكم بنفي السبيل عليها مع عدم تسمية الشهر بعد مضيّ الشهر المتّصل بالعقد، ظاهرٌ في ذلك، كما هو ظاهر عبارة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حيث جعل نفي السبيل فيه كناية عن بطلان العقد، لاستلزامه نفي السبيل أيضاً خلاف الظاهر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6" w:name="pg11825_116095"/>
    </w:p>
    <w:p>
      <w:pPr>
        <w:pStyle w:val="BookText"/>
        <w:rPr/>
      </w:pPr>
      <w:bookmarkEnd w:id="266"/>
      <w:r>
        <w:rPr>
          <w:rFonts w:ascii="Amiri" w:hAnsi="Amiri" w:eastAsia="Amiri" w:cs="Amiri"/>
          <w:color w:val="111111"/>
          <w:sz w:val="28"/>
          <w:sz w:val="28"/>
          <w:szCs w:val="28"/>
          <w:rtl w:val="true"/>
          <w:lang w:bidi="ar-SA"/>
        </w:rPr>
        <w:t xml:space="preserve">وعليه، فما قاله ابن إدريس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البطلان للجهل بالأجل، باعتبار احتماله الاتّصال والانفصال</w:t>
      </w:r>
      <w:r>
        <w:rPr>
          <w:rFonts w:eastAsia="Amiri" w:cs="Amiri" w:ascii="Amiri" w:hAnsi="Amiri"/>
          <w:color w:val="111111"/>
          <w:sz w:val="28"/>
          <w:szCs w:val="28"/>
          <w:rtl w:val="true"/>
          <w:lang w:bidi="ar-SA"/>
        </w:rPr>
        <w:t>)</w:t>
      </w:r>
      <w:r>
        <w:rPr>
          <w:rStyle w:val="FootnoteAnchor"/>
          <w:rtl w:val="true"/>
        </w:rPr>
        <w:footnoteReference w:id="1225"/>
      </w:r>
      <w:r>
        <w:rPr>
          <w:rFonts w:ascii="IRNazanin" w:hAnsi="IRNazanin" w:eastAsia="IRNazanin"/>
          <w:color w:val="111111"/>
          <w:sz w:val="28"/>
          <w:sz w:val="28"/>
          <w:szCs w:val="28"/>
          <w:rtl w:val="true"/>
          <w:lang w:bidi="fa-IR"/>
        </w:rPr>
        <w:t>، واضح الضعف</w:t>
      </w:r>
      <w:r>
        <w:rPr>
          <w:rFonts w:eastAsia="IRNazanin" w:cs="IRNazanin"/>
          <w:color w:val="111111"/>
          <w:sz w:val="28"/>
          <w:szCs w:val="28"/>
          <w:rtl w:val="true"/>
          <w:lang w:bidi="fa-IR"/>
        </w:rPr>
        <w:t>.</w:t>
      </w:r>
    </w:p>
    <w:p>
      <w:pPr>
        <w:pStyle w:val="Heading3"/>
        <w:numPr>
          <w:ilvl w:val="2"/>
          <w:numId w:val="1"/>
        </w:numPr>
        <w:rPr/>
      </w:pPr>
      <w:bookmarkStart w:id="267" w:name="__RefHeading___Toc11056904_73709187"/>
      <w:bookmarkStart w:id="268" w:name="_Toc89"/>
      <w:bookmarkEnd w:id="267"/>
      <w:r>
        <w:rPr>
          <w:rtl w:val="true"/>
        </w:rPr>
        <w:t>حكم الاقتصار على ذكر العدد</w:t>
      </w:r>
      <w:bookmarkEnd w:id="268"/>
    </w:p>
    <w:p>
      <w:pPr>
        <w:pStyle w:val="BookText"/>
        <w:rPr/>
      </w:pPr>
      <w:r>
        <w:rPr>
          <w:rFonts w:ascii="Amiri" w:hAnsi="Amiri" w:eastAsia="Amiri" w:cs="Amiri"/>
          <w:color w:val="111111"/>
          <w:sz w:val="28"/>
          <w:sz w:val="28"/>
          <w:szCs w:val="28"/>
          <w:rtl w:val="true"/>
          <w:lang w:bidi="ar-SA"/>
        </w:rPr>
        <w:t>ولو اقتصر على ذكر العدد مرّة أو مرّتين أو أزيد، على وجهٍ مضبوط، من غير تقييد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على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وانقلابه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المتقدّمة الدالّة على اعتبار تعيين الأجل وإلّا بطل العقد، إذ الأجل الواقع على هذا الوجه غير معلومٍ‌، إذ يمكن وقوع المرّة أو المرّات في الزمان القصير والطويل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فإنّما هو فيما لو عقد عليها إلى آخر زمان المرّة أو المرّات، وأمّا لو عقد عليها واشترط المرّة أو المرّات، فهو في حكم ترك ذكر الأجل غير المعلوم، فيلحقه حكمه الآتي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المقام طائفتين من النصوص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صحّته وانقلابه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متعةً مرّةً مبهمة‌؟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أشدّ عليك ترثها وترثك، ولايجوز لك أن تطلّقها إلّاعلى طُهر وشاهدين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أتزوّجها؟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معدودة بشيء مسمّى مقدار ما تراضيتم به، فإذا مضت أيّامها كان طلاقها في شرطها، ولا نفقة ولا عِدّة لها عليك، الحديث</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يشمل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الصحّة، ووقوعه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يتمتّع الرّجل من المرأة ساعةً أو ساعتين‌؟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والساعتان لايوقف عليحدّهما، ولكن العرد والعردين، واليوم واليومين، واللّيلة وأشباه ذلك</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العرد الصلب الشديدالمنتصب، والذكر المنتشر المنتصب</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وهو هنا كناية عن المرّة والمرّتين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محمّد، عن رجلٍ سمّاه، عن أبي عبد اللّه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على عرد واحدٍ؟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إذا فرغ فليحوّل وجهه ولا ينظر</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خلف بن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أجل المتعة، هل يجوز أن يتمتّع الرّجل بشرط مرّة واحدة‌؟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خبر هشام ضعيفُ السند لموسى بن سعدان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فلإعراض الأصحاب عنها لا يُعمل بها، ولا بأس حينئذٍ بحملها على الصورة الآتية،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فإنّه أولى من الطرح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صورتان اُخريتان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العدد في زمانٍ معيّن، بحيث يكون الزمان أجَلاً مضبوطاً، كيومٍ وشهرٍ، ولكن ذكر العدد شرطاً زائداً على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ولا إشكال في صحّة المتعة إلى الأجل، ولزوم الوفاء بالشرط، لاستجماع العقد شرائط الصحّة، وليس فيه الا اشتراط العدد وهو شرطٌ سائغٌ يشمله دليل لزوم الوفاء بالشرط</w:t>
      </w:r>
      <w:r>
        <w:rPr>
          <w:rStyle w:val="FootnoteAnchor"/>
          <w:rtl w:val="true"/>
        </w:rPr>
        <w:footnoteReference w:id="1238"/>
      </w:r>
      <w:r>
        <w:rPr>
          <w:rFonts w:ascii="IRNazanin" w:hAnsi="IRNazanin" w:eastAsia="IRNazanin"/>
          <w:color w:val="111111"/>
          <w:sz w:val="28"/>
          <w:sz w:val="28"/>
          <w:szCs w:val="28"/>
          <w:rtl w:val="true"/>
          <w:lang w:bidi="fa-IR"/>
        </w:rPr>
        <w:t>، وخصوص ما دلّ‌</w:t>
      </w:r>
      <w:r>
        <w:rPr>
          <w:rStyle w:val="FootnoteAnchor"/>
          <w:rtl w:val="true"/>
        </w:rPr>
        <w:footnoteReference w:id="1239"/>
      </w:r>
      <w:r>
        <w:rPr>
          <w:rFonts w:ascii="Amiri" w:hAnsi="Amiri" w:eastAsia="Amiri" w:cs="Amiri"/>
          <w:color w:val="111111"/>
          <w:sz w:val="28"/>
          <w:sz w:val="28"/>
          <w:szCs w:val="28"/>
          <w:rtl w:val="true"/>
          <w:lang w:bidi="ar-SA"/>
        </w:rPr>
        <w:t>على صحّة اشتراط عدم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الوطء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بقيت المدّة واستوفى العدد، تكون الزوجيّة باقية، ولا يجوز الوطء، وتجوز سائر الاستمتاعات، وحينئذٍ لو أذِنت في الوطء فهل يجوز الوطء نظراً إلى أنّ ذلك حقّها، أم لا؟ من جهة أنّ العقد لم يتضمّن سوى ذلك العدد؟</w:t>
      </w:r>
    </w:p>
    <w:p>
      <w:pPr>
        <w:pStyle w:val="BookText"/>
        <w:rPr/>
      </w:pPr>
      <w:r>
        <w:rPr>
          <w:rFonts w:ascii="Amiri" w:hAnsi="Amiri" w:eastAsia="Amiri" w:cs="Amiri"/>
          <w:color w:val="111111"/>
          <w:sz w:val="28"/>
          <w:sz w:val="28"/>
          <w:szCs w:val="28"/>
          <w:rtl w:val="true"/>
          <w:lang w:bidi="ar-SA"/>
        </w:rPr>
        <w:t>وجهان ذكرهما الشهيد الثاني رحمه الله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الأوّل، وفاقاً للأشهر، وهو الأظهر، لما حُقّق في محلّه من أنّ للمشروط له إسقاط الشرط لكونه من الحقوق القابلة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لم يتضمّن سوى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العدد إنّما هو من قبيل الشرط في ضمن العقد، والعقد يقتضي جواز الوطء إلى أيّ عددٍ تمكّن منه، وإنّما بنينا على عدم جواز الزائد على العدد المذكور من جهة ما دلّ على لزوم الوفاء بالشرط، والفرض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للجواز مضافاً إلى ذلك ما دلّ‌</w:t>
      </w:r>
      <w:r>
        <w:rPr>
          <w:rStyle w:val="FootnoteAnchor"/>
          <w:rtl w:val="true"/>
        </w:rPr>
        <w:footnoteReference w:id="1242"/>
      </w:r>
      <w:r>
        <w:rPr>
          <w:rFonts w:ascii="Amiri" w:hAnsi="Amiri" w:eastAsia="Amiri" w:cs="Amiri"/>
          <w:color w:val="111111"/>
          <w:sz w:val="28"/>
          <w:sz w:val="28"/>
          <w:szCs w:val="28"/>
          <w:rtl w:val="true"/>
          <w:lang w:bidi="ar-SA"/>
        </w:rPr>
        <w:t>على جواز الوطء لو عقد على إمرأة، وشرط أن لايفتضّها، ثمّ أذِنت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العدد في وقتٍ معيّن، بحيث يكون ظرفاً له كاليوم مثلاً، ولا مدخل له في التأجيل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 لا يقع خارج ذلك اليوم منه شيء، وتبين بانتهاء العدد المشروط، كما أنّها تبين بانقضاء ذلك الوقت وإنْ لم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124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صحّته قولان، أصحّهما البطلان، وهو الأظهر، لجهالة الأجل، إذ يحتمل الزيادة والنقصان، حيث يكون مقيّداً بانقضاء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ويجيءُ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بانعقاد الشرط بالعدد المبهم صحّته دائماً أن يصحّ هنا كذلك، لأنّ الأجل المجهول باطلٌ‌، فيساوي غير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 الفرق، ومنع الأصل</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في الفرق إلى أنّ العقد يبطل بذكر الأجل المجهول فيه الذي هو شرط الباطل، بخلاف ما إذا لم يذكر الأجل فيه أصلاً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9" w:name="pg11825_116100"/>
    </w:p>
    <w:p>
      <w:pPr>
        <w:pStyle w:val="BookText"/>
        <w:rPr/>
      </w:pPr>
      <w:bookmarkEnd w:id="269"/>
      <w:r>
        <w:rPr>
          <w:rFonts w:ascii="Amiri" w:hAnsi="Amiri" w:eastAsia="Amiri" w:cs="Amiri"/>
          <w:color w:val="111111"/>
          <w:sz w:val="28"/>
          <w:sz w:val="28"/>
          <w:szCs w:val="28"/>
          <w:rtl w:val="true"/>
          <w:lang w:bidi="ar-SA"/>
        </w:rPr>
        <w:t>ولو لم يذكر المَهر بَطل العقد، ولو لم يذكر الأجل فالأقربُ البطلان</w:t>
      </w:r>
    </w:p>
    <w:p>
      <w:pPr>
        <w:pStyle w:val="Heading3"/>
        <w:numPr>
          <w:ilvl w:val="2"/>
          <w:numId w:val="1"/>
        </w:numPr>
        <w:rPr/>
      </w:pPr>
      <w:bookmarkStart w:id="270" w:name="__RefHeading___Toc11056906_73709187"/>
      <w:bookmarkStart w:id="271" w:name="_Toc90"/>
      <w:bookmarkEnd w:id="270"/>
      <w:r>
        <w:rPr>
          <w:rtl w:val="true"/>
        </w:rPr>
        <w:t>حكم ما لو لم يُذكر الأجل</w:t>
      </w:r>
      <w:bookmarkEnd w:id="27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أحكامه زائداً على ما مرّ، فنذكرها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يذكر المَهر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اشتراط ذكر المَهر، والمشروط ينتفي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يذكر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والده</w:t>
      </w:r>
      <w:r>
        <w:rPr>
          <w:rStyle w:val="FootnoteAnchor"/>
          <w:rtl w:val="true"/>
        </w:rPr>
        <w:footnoteReference w:id="1246"/>
      </w:r>
      <w:r>
        <w:rPr>
          <w:rFonts w:ascii="IRNazanin" w:hAnsi="IRNazanin" w:eastAsia="IRNazanin"/>
          <w:color w:val="111111"/>
          <w:sz w:val="28"/>
          <w:sz w:val="28"/>
          <w:szCs w:val="28"/>
          <w:rtl w:val="true"/>
          <w:lang w:bidi="fa-IR"/>
        </w:rPr>
        <w:t>وولده</w:t>
      </w:r>
      <w:r>
        <w:rPr>
          <w:rStyle w:val="FootnoteAnchor"/>
          <w:rtl w:val="true"/>
        </w:rPr>
        <w:footnoteReference w:id="1247"/>
      </w:r>
      <w:r>
        <w:rPr>
          <w:rFonts w:ascii="Amiri" w:hAnsi="Amiri" w:eastAsia="Amiri" w:cs="Amiri"/>
          <w:color w:val="111111"/>
          <w:sz w:val="28"/>
          <w:sz w:val="28"/>
          <w:szCs w:val="28"/>
          <w:rtl w:val="true"/>
          <w:lang w:bidi="ar-SA"/>
        </w:rPr>
        <w:t>، والشهيد الثاني</w:t>
      </w:r>
      <w:r>
        <w:rPr>
          <w:rStyle w:val="FootnoteAnchor"/>
          <w:rtl w:val="true"/>
        </w:rPr>
        <w:footnoteReference w:id="1248"/>
      </w:r>
      <w:r>
        <w:rPr>
          <w:rFonts w:ascii="Amiri" w:hAnsi="Amiri" w:eastAsia="Amiri" w:cs="Amiri"/>
          <w:color w:val="111111"/>
          <w:sz w:val="28"/>
          <w:sz w:val="28"/>
          <w:szCs w:val="28"/>
          <w:rtl w:val="true"/>
          <w:lang w:bidi="ar-SA"/>
        </w:rPr>
        <w:t xml:space="preserve">وسبطه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وجماعة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ينعقد دائماً، وهو المنسوب إلى المشهور</w:t>
      </w:r>
      <w:r>
        <w:rPr>
          <w:rStyle w:val="FootnoteAnchor"/>
          <w:rtl w:val="true"/>
        </w:rPr>
        <w:footnoteReference w:id="125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مجمعٌ عليه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الحِلّي،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الإيجاب بلفظ التزويج أو النكاح انقلب دائماً، وإنْ كان بلفظ التمتّع بَطَل العقد</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حكايته وهو أنّ الإخلال بالأجل إنْ كان جهلاً أو نسياناً بطل، وإنْ كان عمداً بالدوام انقلب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نفى عنه البُعد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256"/>
      </w:r>
      <w:r>
        <w:rPr>
          <w:rFonts w:ascii="Amiri" w:hAnsi="Amiri" w:eastAsia="Amiri" w:cs="Amiri"/>
          <w:color w:val="111111"/>
          <w:sz w:val="28"/>
          <w:sz w:val="28"/>
          <w:szCs w:val="28"/>
          <w:rtl w:val="true"/>
          <w:lang w:bidi="ar-SA"/>
        </w:rPr>
        <w:t>من البطلان مع فرض قصد العاقد الانقطاع من نفس الصيغة، وأنّ الأجل إنّما يذكره كاشفاً لما أراده من اللّفظ، وانقلابه دائماً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 بذكر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لايقصده أيضاً بل يقصد الزوجيّة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ولا يذكر الأجل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ولا يذكر الأجل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يقصد الأجل، وقصد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وقوع النكاح دائماً، إذ ليس النكاح الدائم إلّاما قُصد به النكاح، ولا يعتبر قصد الداوم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بين الدوام والانقطاع ليس تقابل المتغايرين، بل تقابل المطلق والمشروط بشيء، فإذا لم تتحقّق الخصوصيّة والقيد، يقع المطلق لقصده وإنشائه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قصده ولم يذكر الأجل نسياناً أو جهلاً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حيث يكون حقيقة واحدة، والفرق بين الدوام والانقطاع هو الفرق بين المطلق والمشروط بشيء، والنكاح من الإنشائيّات، فإذا ترك الأجل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تتحقّق الخصوصيّة الزائدة، لعدم إنشائها، وإنّما يقع المطلق لقصده وإنشائه، ولكنّه يتمّ على مسلك المشهور من الالتزام في الإنشائيّات بأنّها إيجاديّات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عليمذهب الحقّ من أنّه في باب الإنشائيّات إنّما يعتبر المتعاقدان المُنشَأ، وهو يوجد باعتبارهما، واللّفظ كاشفٌ ومبرزٌ عن ذلك الاعتبار، فلا يتمّ‌، لأنّ المفروض أنّهما اعتبرا الزوجيّة الموقّتة، فلا وجه لوقوع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حكم ما لو ترك ذكر الأجل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الصحّة، ووقوع النكاح دائماً، فيما إذا لم يقصد، والبطلان فيما إذا قصده وترك ذكر الأجل عمداً أو نسياناً أو جهلاً، هذا فيما إذا كان الإنشاء بلفظ النكاح والتزويج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بلفط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حتّى فيما إذا لم يقصد الأجل، فإنّ لفظه يكون بحسب اصطلاح المتشرّعة متضمّناً لزمانٍ مّا، لأنّه موضوع عندهم تعييناً أو تعيّناً لخصوص النكاح المنقطع، فعليه المُنشَأ وهو الزوجيّة بلا قيد لم يُبرز بما يكون مبرزاً له عرفاً، ويعتبر ذلك في ترتّب الأثر في باب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بنصوصٍ للقول بانقلابه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أتزوّجكِ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أستحيي أن أذكر شرط الأيّام‌؟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لم يُذكر الأجل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لم تشترط، كان تزويج مقام، ولزمتك النفقة في العِدّة، وكانت وارثة ولم تقدر على أن تطلّقها إلّاطلاق السُنّة</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متعةً مرّة مبهمة‌؟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أشدّ عليك ترثها وترثك، ولا يجوز لك أن تُطلّقها إلّاعلى طُهر وشاهدين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سَمّى الأجل فهو متعة، وإنْ لم يُسمّ الأجل فهو نكاح بات</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الأخير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من أنّ في بعض نسخ الرواية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فهو صريحٌ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أنّهما أرادا المتعة، وأخلّا بذكر الأجل، بل ظاهره أنّ النكاح مع الأجل متعة، وبدونه الدوام، وهو ممّا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 لا عبرة بالقصد، وإنّما الاعتبار بذكر الأجل وعدمه كما لا يدلّ على عدم اعتبار قيود اُخر فيها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 كما مرّ، أنّ مورده ذكر المرّة المُبهمة، وقد مرّ أنّه في مورده لم يَعمل به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لابراهيم بن المُفضّل</w:t>
      </w:r>
      <w:r>
        <w:rPr>
          <w:rStyle w:val="FootnoteAnchor"/>
          <w:rtl w:val="true"/>
        </w:rPr>
        <w:footnoteReference w:id="1261"/>
      </w:r>
      <w:r>
        <w:rPr>
          <w:rFonts w:ascii="Amiri" w:hAnsi="Amiri" w:eastAsia="Amiri" w:cs="Amiri"/>
          <w:color w:val="111111"/>
          <w:sz w:val="28"/>
          <w:sz w:val="28"/>
          <w:szCs w:val="28"/>
          <w:rtl w:val="true"/>
          <w:lang w:bidi="ar-SA"/>
        </w:rPr>
        <w:t>وغيره</w:t>
      </w:r>
      <w:r>
        <w:rPr>
          <w:rStyle w:val="FootnoteAnchor"/>
          <w:rtl w:val="true"/>
        </w:rPr>
        <w:footnoteReference w:id="1262"/>
      </w:r>
      <w:r>
        <w:rPr>
          <w:rFonts w:ascii="Amiri" w:hAnsi="Amiri" w:eastAsia="Amiri" w:cs="Amiri"/>
          <w:color w:val="111111"/>
          <w:sz w:val="28"/>
          <w:sz w:val="28"/>
          <w:szCs w:val="28"/>
          <w:rtl w:val="true"/>
          <w:lang w:bidi="ar-SA"/>
        </w:rPr>
        <w:t>، واستناد المشهور إليه غيرُ ثابتٍ‌، مع أنّه ليس صريحاً ولا ظاهراً في المقام، لاحتمال أنْ يكون المراد من الاستحياء من ذكر الأجل، الحياء من التمتّع بها، وإيجابه العدول إلى الدوام،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دائماً لا متعةً لحيائي منها، ولعلّ هذا أظهر فإنّ الحياء يمنع عن تبانيهما على المتعة أو على الدوام، وإلّا فلو كانا بانين على المتعة وقاصدين لها، فأيّ حياءٍ في ذكر لفظ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نظر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أجاب عن هذه الرواية بأنّه لا دلالة فيها على أنّه إذا قصد متعةً ولم يذكر الشرط ينعقد دائماً</w:t>
      </w:r>
      <w:r>
        <w:rPr>
          <w:rStyle w:val="FootnoteAnchor"/>
          <w:rtl w:val="true"/>
        </w:rPr>
        <w:footnoteReference w:id="1263"/>
      </w:r>
      <w:r>
        <w:rPr>
          <w:rFonts w:ascii="IRNazanin" w:hAnsi="IRNazanin" w:eastAsia="IRNazanin"/>
          <w:color w:val="111111"/>
          <w:sz w:val="28"/>
          <w:sz w:val="28"/>
          <w:szCs w:val="28"/>
          <w:rtl w:val="true"/>
          <w:lang w:bidi="fa-IR"/>
        </w:rPr>
        <w:t xml:space="preserve">، فلا مورد لتعجّب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264"/>
      </w:r>
      <w:r>
        <w:rPr>
          <w:rFonts w:ascii="Amiri" w:hAnsi="Amiri" w:eastAsia="Amiri" w:cs="Amiri"/>
          <w:color w:val="111111"/>
          <w:sz w:val="28"/>
          <w:sz w:val="28"/>
          <w:szCs w:val="28"/>
          <w:rtl w:val="true"/>
          <w:lang w:bidi="ar-SA"/>
        </w:rPr>
        <w:t>منه بدعوى صراحتها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إرادة إثبات أضرّيته بحسب ظاهر الشرع، بمعنى أنّ المرأة لو ادّعت الدوام، وأثبت ذكر الألفاظ بدون ذكر الأجل، أُخذ الرّجل في ظاهر الشرع بأحكام الدائمة، ولا يلازم ذلك ثبوت الزوجيّة الدائميّة في الواقع، حتّى يجوز له الاستمتاع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يصحّ الاستدلال بشيء من هذه النصوص</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مقتضى القاعدة هو البطلان إذا قصدا المتعة، وأخلّا بذكر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ويحرمُ غير الكتابيّة من الكفّار، والأمَة على الحُرّة من دون إذنها، وبنتُ الأخ، وبنتُ الأُختِ من دون إذن العَمّة والخالة،</w:t>
      </w:r>
    </w:p>
    <w:p>
      <w:pPr>
        <w:pStyle w:val="BookText"/>
        <w:rPr/>
      </w:pPr>
      <w:r>
        <w:rPr>
          <w:rFonts w:ascii="Amiri" w:hAnsi="Amiri" w:eastAsia="Amiri" w:cs="Amiri"/>
          <w:color w:val="111111"/>
          <w:sz w:val="28"/>
          <w:sz w:val="28"/>
          <w:szCs w:val="28"/>
          <w:rtl w:val="true"/>
          <w:lang w:bidi="ar-SA"/>
        </w:rPr>
        <w:t>الأجل، من غير فرقٍ بين ألفاظ الصيغة، ويؤيّده بل يدلّ عليه 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أدخل جاريةً يتمتّع بها، ثمّ نسي حتّى واقعها، يجبُ عليه حَدّ الزاني‌؟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يتمتّع بها بعد النكاح، ويستغفر ربّه ممّا أتى</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إرادة أصل العقد من الاشتراط فيه</w:t>
      </w:r>
      <w:r>
        <w:rPr>
          <w:rStyle w:val="FootnoteAnchor"/>
          <w:rtl w:val="true"/>
        </w:rPr>
        <w:footnoteReference w:id="1266"/>
      </w:r>
      <w:r>
        <w:rPr>
          <w:rFonts w:ascii="Amiri" w:hAnsi="Amiri" w:eastAsia="Amiri" w:cs="Amiri"/>
          <w:color w:val="111111"/>
          <w:sz w:val="28"/>
          <w:sz w:val="28"/>
          <w:szCs w:val="28"/>
          <w:rtl w:val="true"/>
          <w:lang w:bidi="ar-SA"/>
        </w:rPr>
        <w:t>غير صحيح لأنّه يدفعه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يتمتّع بها بعد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إلّاأنْ يريد بالنكاح الوطء، لا عقد النكاح، فتحصّل أنّ الأقوى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w:t>
      </w:r>
      <w:r>
        <w:rPr>
          <w:rStyle w:val="FootnoteAnchor"/>
          <w:rtl w:val="true"/>
        </w:rPr>
        <w:footnoteReference w:id="1267"/>
      </w:r>
      <w:r>
        <w:rPr>
          <w:rFonts w:ascii="Amiri" w:hAnsi="Amiri" w:eastAsia="Amiri" w:cs="Amiri"/>
          <w:color w:val="111111"/>
          <w:sz w:val="28"/>
          <w:sz w:val="28"/>
          <w:szCs w:val="28"/>
          <w:rtl w:val="true"/>
          <w:lang w:bidi="ar-SA"/>
        </w:rPr>
        <w:t>فيه في اعتبار الكفاءة في الفصل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التمتّع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على الحُرّة من دون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النصوص عليه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ببنت الأخ، وبنت الاُخت، من دون إذن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مسائل المصاهرة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ويُكره الزانية، والبِكْر من غير إذن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بالزّنا، إلّابعد التوبة، من غير فرق بين المتعة والدوام، كما تقدّم الكلام فيه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أيضاً في مبحث الأولياء</w:t>
      </w:r>
      <w:r>
        <w:rPr>
          <w:rStyle w:val="FootnoteAnchor"/>
          <w:rtl w:val="true"/>
        </w:rPr>
        <w:footnoteReference w:id="1270"/>
      </w:r>
      <w:r>
        <w:rPr>
          <w:rFonts w:ascii="Amiri" w:hAnsi="Amiri" w:eastAsia="Amiri" w:cs="Amiri"/>
          <w:color w:val="111111"/>
          <w:sz w:val="28"/>
          <w:sz w:val="28"/>
          <w:szCs w:val="28"/>
          <w:rtl w:val="true"/>
          <w:lang w:bidi="ar-SA"/>
        </w:rPr>
        <w:t xml:space="preserve">، حكم التمتّع والتزويج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من غير إذن الأب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2" w:name="pg11825_116107"/>
    </w:p>
    <w:p>
      <w:pPr>
        <w:pStyle w:val="BookText"/>
        <w:rPr/>
      </w:pPr>
      <w:bookmarkEnd w:id="272"/>
      <w:r>
        <w:rPr>
          <w:rFonts w:ascii="Amiri" w:hAnsi="Amiri" w:eastAsia="Amiri" w:cs="Amiri"/>
          <w:color w:val="111111"/>
          <w:sz w:val="28"/>
          <w:sz w:val="28"/>
          <w:szCs w:val="28"/>
          <w:rtl w:val="true"/>
          <w:lang w:bidi="ar-SA"/>
        </w:rPr>
        <w:t>ولا حَدّ للمَهر</w:t>
      </w:r>
    </w:p>
    <w:p>
      <w:pPr>
        <w:pStyle w:val="Heading3"/>
        <w:numPr>
          <w:ilvl w:val="2"/>
          <w:numId w:val="1"/>
        </w:numPr>
        <w:rPr/>
      </w:pPr>
      <w:bookmarkStart w:id="273" w:name="__RefHeading___Toc11056908_73709187"/>
      <w:bookmarkStart w:id="274" w:name="_Toc91"/>
      <w:bookmarkEnd w:id="273"/>
      <w:r>
        <w:rPr>
          <w:rtl w:val="true"/>
        </w:rPr>
        <w:t>بيان حَدّ المَهر</w:t>
      </w:r>
      <w:bookmarkEnd w:id="27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فيها يتحقّق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ويتقدّر بالمراضاة، قلّ أو كَثُر، بلا خلافٍ‌</w:t>
      </w:r>
      <w:r>
        <w:rPr>
          <w:rStyle w:val="FootnoteAnchor"/>
          <w:rtl w:val="true"/>
        </w:rPr>
        <w:footnoteReference w:id="1271"/>
      </w:r>
      <w:r>
        <w:rPr>
          <w:rFonts w:ascii="Amiri" w:hAnsi="Amiri" w:eastAsia="Amiri" w:cs="Amiri"/>
          <w:color w:val="111111"/>
          <w:sz w:val="28"/>
          <w:sz w:val="28"/>
          <w:szCs w:val="28"/>
          <w:rtl w:val="true"/>
          <w:lang w:bidi="ar-SA"/>
        </w:rPr>
        <w:t>إلّا عن الصدوقين</w:t>
      </w:r>
      <w:r>
        <w:rPr>
          <w:rStyle w:val="FootnoteAnchor"/>
          <w:rtl w:val="true"/>
        </w:rPr>
        <w:footnoteReference w:id="1272"/>
      </w:r>
      <w:r>
        <w:rPr>
          <w:rFonts w:ascii="Amiri" w:hAnsi="Amiri" w:eastAsia="Amiri" w:cs="Amiri"/>
          <w:color w:val="111111"/>
          <w:sz w:val="28"/>
          <w:sz w:val="28"/>
          <w:szCs w:val="28"/>
          <w:rtl w:val="true"/>
          <w:lang w:bidi="ar-SA"/>
        </w:rPr>
        <w:t>، حيث حدّدا القِلّة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هو المشهور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المَهر، يعني في المتعة‌؟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يصدقها شيئاً قلَّ أو كثُر، والصِّداق كل شيء تراضيا عليه في تمتّعٍ أو تزويجٍ بغير متعة</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المتضمّنة أنّ أدنى ما يحلّ أو يتزوّج به المتعة كفٌ من بُرّ، أو طعامُ دقيقٍ أو تمر</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في إرادة أنّ المَهر كلّ ما تراضيا به من ناحية القِلّة </w:t>
      </w:r>
      <w:bookmarkStart w:id="275" w:name="pg11825_116108"/>
    </w:p>
    <w:p>
      <w:pPr>
        <w:pStyle w:val="BookText"/>
        <w:rPr/>
      </w:pPr>
      <w:bookmarkEnd w:id="275"/>
      <w:r>
        <w:rPr>
          <w:rFonts w:ascii="Amiri" w:hAnsi="Amiri" w:eastAsia="Amiri" w:cs="Amiri"/>
          <w:color w:val="111111"/>
          <w:sz w:val="28"/>
          <w:sz w:val="28"/>
          <w:szCs w:val="28"/>
          <w:rtl w:val="true"/>
          <w:lang w:bidi="ar-SA"/>
        </w:rPr>
        <w:t>صالحٌ للعوضيّة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الصدوق فيشهد له 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متعة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وإنّما يجزي فيه الدرهم فما فوق</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عليّ بن رئاب</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فدلالتهما على ما اختاره وإنْ كانت ظاهرة، فإنّ التعبير بأنّ المجزي ذلك فما فوقه يدلّ على أنّه أقلّ المُجزي، ولكن لصراحة النصوص المتقدّمة في إجزاء الأقلّ منه، وعدم عمل الأصحاب بهما، لا يُعتمد على ظاهرهما</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1056910_73709187"/>
      <w:bookmarkStart w:id="277" w:name="_Toc92"/>
      <w:bookmarkEnd w:id="276"/>
      <w:r>
        <w:rPr>
          <w:rtl w:val="true"/>
        </w:rPr>
        <w:t>وجوب دفع المَهر بالعقد</w:t>
      </w:r>
      <w:bookmarkEnd w:id="27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المَهر بالعقد، كما صرّح به المفيد</w:t>
      </w:r>
      <w:r>
        <w:rPr>
          <w:rStyle w:val="FootnoteAnchor"/>
          <w:rtl w:val="true"/>
        </w:rPr>
        <w:footnoteReference w:id="1278"/>
      </w:r>
      <w:r>
        <w:rPr>
          <w:rFonts w:ascii="IRNazanin" w:hAnsi="IRNazanin" w:eastAsia="IRNazanin"/>
          <w:color w:val="111111"/>
          <w:sz w:val="28"/>
          <w:sz w:val="28"/>
          <w:szCs w:val="28"/>
          <w:rtl w:val="true"/>
          <w:lang w:bidi="fa-IR"/>
        </w:rPr>
        <w:t>والمرتضى</w:t>
      </w:r>
      <w:r>
        <w:rPr>
          <w:rStyle w:val="FootnoteAnchor"/>
          <w:rtl w:val="true"/>
        </w:rPr>
        <w:footnoteReference w:id="1279"/>
      </w:r>
      <w:r>
        <w:rPr>
          <w:rFonts w:ascii="Amiri" w:hAnsi="Amiri" w:eastAsia="Amiri" w:cs="Amiri"/>
          <w:color w:val="111111"/>
          <w:sz w:val="28"/>
          <w:sz w:val="28"/>
          <w:szCs w:val="28"/>
          <w:rtl w:val="true"/>
          <w:lang w:bidi="ar-SA"/>
        </w:rPr>
        <w:t>، والقاضي</w:t>
      </w:r>
      <w:r>
        <w:rPr>
          <w:rStyle w:val="FootnoteAnchor"/>
          <w:rtl w:val="true"/>
        </w:rPr>
        <w:footnoteReference w:id="1280"/>
      </w:r>
      <w:r>
        <w:rPr>
          <w:rFonts w:ascii="Amiri" w:hAnsi="Amiri" w:eastAsia="Amiri" w:cs="Amiri"/>
          <w:color w:val="111111"/>
          <w:sz w:val="28"/>
          <w:sz w:val="28"/>
          <w:szCs w:val="28"/>
          <w:rtl w:val="true"/>
          <w:lang w:bidi="ar-SA"/>
        </w:rPr>
        <w:t>، والمحقّق</w:t>
      </w:r>
      <w:r>
        <w:rPr>
          <w:rStyle w:val="FootnoteAnchor"/>
          <w:rtl w:val="true"/>
        </w:rPr>
        <w:footnoteReference w:id="128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w:t>
      </w:r>
      <w:r>
        <w:rPr>
          <w:rStyle w:val="FootnoteAnchor"/>
          <w:rtl w:val="true"/>
        </w:rPr>
        <w:footnoteReference w:id="128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Style w:val="FootnoteAnchor"/>
          <w:rtl w:val="true"/>
        </w:rPr>
        <w:footnoteReference w:id="1283"/>
      </w:r>
      <w:r>
        <w:rPr>
          <w:rFonts w:ascii="Amiri" w:hAnsi="Amiri" w:eastAsia="Amiri" w:cs="Amiri"/>
          <w:color w:val="111111"/>
          <w:sz w:val="28"/>
          <w:sz w:val="28"/>
          <w:szCs w:val="28"/>
          <w:rtl w:val="true"/>
          <w:lang w:bidi="ar-SA"/>
        </w:rPr>
        <w:t>أم لا يجبُ كما عن جماعة</w:t>
      </w:r>
      <w:r>
        <w:rPr>
          <w:rStyle w:val="FootnoteAnchor"/>
          <w:rtl w:val="true"/>
        </w:rPr>
        <w:footnoteReference w:id="128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أنْ يستدلّ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المتمتّع بها كالمستأجرة، فكما أنّ المستأجرة تملك الاُجرة بعقد الإجارة، وتستحقّ مطالبتها، كذلك المتمتّع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كالمهر المستحقّ دفعه عقيب العقد، وإنْ كان استقراره هنا مراعى بالدخول والوفاء بالتمكين في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وبظاهر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عمر بن حنظلة، 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شهراً فتريد المَهر كملاً، وأتخوّف أن تخلفني‌؟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تحبس ما قدرت عليه، فإنْ هي أخلَفَتك فخُذ منها بقدر ما تخلفك</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باضطراب المتن، لأنّ المحكيّ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بأنّ الصحيح لايجوز، أنّه عند دوران الأمر بين الزيادة والنقيصة يبنى على الزيادة كما عليه بناء العقلاء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البابين، من جهة أنّه في الإجارة يتسلّم المنفعة بتسلّم الدابّة المستأجرة مثلاً بخلاف المقام الذي يمكن أنْيمنع عليه في الاستيفاء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ذلك الباب أيضاًيمكن أيضاًللمؤجّر أن يمنع من الاستيفاء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لوجوب دفع المَهر بالعقد، بالنصوص الدالّة على جواز حبس المَهر عنها بقدر ما تخلّف من المدّة، إلّاأيّام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إلى عمر بن حنظلة،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فأحبس عنها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 منها بقدر ما تخلفك إنْ كان نصف شهر فالنصف، وإنْ كان ثلثاً فالثُّلث</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بشرط أن تأتيه كلّ يوم حتّى توفيه شرطه، أو يشترط أيّاماً معلومة تأتيه فيها، فتغدر به فلا تأتيه على ما شَرَطه عليها، فهل يصلح أن يحاسبها على ما لم تأته من الأيّام، فيحبس عنها بحساب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ينظر إلى ما قطعت من الشرط، فيحبس عنها من مَهرها مقدار ما لم تفِ له، ما خلا أيّام الطمث، فإنّها لم ولا يكون لها إلّاما أحَلَّ له من فرجها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وتبعه المحقّق اليزدي رحمه الله بتقريب أنّ حبسه عنها يقتضي بقاءه في ذمّة الزّوج وعدم دفعه لها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بيان جواز حبس تمام المَهر وعدمه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8" w:name="pg11825_116111"/>
    </w:p>
    <w:p>
      <w:pPr>
        <w:pStyle w:val="BookText"/>
        <w:rPr/>
      </w:pPr>
      <w:bookmarkEnd w:id="278"/>
      <w:r>
        <w:rPr>
          <w:rFonts w:ascii="Amiri" w:hAnsi="Amiri" w:eastAsia="Amiri" w:cs="Amiri"/>
          <w:color w:val="111111"/>
          <w:sz w:val="28"/>
          <w:sz w:val="28"/>
          <w:szCs w:val="28"/>
          <w:rtl w:val="true"/>
          <w:lang w:bidi="ar-SA"/>
        </w:rPr>
        <w:t>ولو وهبها المُدّة قبل الدخول، ثبت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يؤخذ بإطلاقها، بل في مقام بيان أنّه ينقص من المَهر بمقدار ما تخلّف المرأة، فلا تدلّ على أزيد من جواز عدم الدفع في الجملة، وهو ممّا لا كلام فيه، إذ لو لم تُطالب لا يجب الدفع، مع أنّ التعبير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بوجوب الدفع، وأنّه يستردّ في صورة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الدفع بعد العقد</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1056912_73709187"/>
      <w:bookmarkStart w:id="280" w:name="_Toc93"/>
      <w:bookmarkEnd w:id="279"/>
      <w:r>
        <w:rPr>
          <w:rtl w:val="true"/>
        </w:rPr>
        <w:t>حكم ما لو وهب الزّوج المدّة</w:t>
      </w:r>
      <w:bookmarkEnd w:id="28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بعضها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وهبَ تمام المدّة، وكان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المَهر، كما عن المشهور</w:t>
      </w:r>
      <w:r>
        <w:rPr>
          <w:rStyle w:val="FootnoteAnchor"/>
          <w:rtl w:val="true"/>
        </w:rPr>
        <w:footnoteReference w:id="129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9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مقطوعٌ به في كلام الأصحاب</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زرعة،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ثمّ جعلته من صداقها في حِلّ‌، يجوز أن يدخل بها قبل أنْ يعطيها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فإنْ خلّاها قبل أنْ يدخل بها ردّت المرأة على الرّجل نصف الصداق</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 سند الخبر بكونه مقطوعاً في غير محلّها بعد استناد الأصحاب إليه، والظنّ القويّ بكون مرجع الضمير هو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إرادة خصوص الطلاق من التخلية، مناف لإطلاقه، وعليه فلا إشكال في ثبوت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وهبها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يهب تمام المدّة الباقية، بل بعضها، كما لو بقى من مدّتها شهران فوهبها شهراً منهما، ولم يدخل بها إلى حين حصول الفُرقة فهل يثبت نصف المَهر أم تمامه‌؟</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إطلاق النّص هو الأوّل، فإنّه دالٌّ على أنّ الفرقة الحاصلة من هبة المدّة قبل الدخول موجبة لنصف المَهر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وهبها بعد الدخول استقرّ المَهر بشرط الوفاء بالمدّة، أي التمكين من نفسها في تمام مدّته التي لم يهبها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1" w:name="pg11825_116113"/>
    </w:p>
    <w:p>
      <w:pPr>
        <w:pStyle w:val="BookText"/>
        <w:rPr/>
      </w:pPr>
      <w:bookmarkEnd w:id="281"/>
      <w:r>
        <w:rPr>
          <w:rFonts w:ascii="Amiri" w:hAnsi="Amiri" w:eastAsia="Amiri" w:cs="Amiri"/>
          <w:color w:val="111111"/>
          <w:sz w:val="28"/>
          <w:sz w:val="28"/>
          <w:szCs w:val="28"/>
          <w:rtl w:val="true"/>
          <w:lang w:bidi="ar-SA"/>
        </w:rPr>
        <w:t>ولو أخلّت هي ببعض المدّة، سقط من المَهر بنسبته،</w:t>
      </w:r>
    </w:p>
    <w:p>
      <w:pPr>
        <w:pStyle w:val="Heading3"/>
        <w:numPr>
          <w:ilvl w:val="2"/>
          <w:numId w:val="1"/>
        </w:numPr>
        <w:rPr/>
      </w:pPr>
      <w:bookmarkStart w:id="282" w:name="__RefHeading___Toc11056914_73709187"/>
      <w:bookmarkStart w:id="283" w:name="_Toc94"/>
      <w:bookmarkEnd w:id="282"/>
      <w:r>
        <w:rPr>
          <w:rtl w:val="true"/>
        </w:rPr>
        <w:t>حكم إخلال المرأة ببعض المدّة</w:t>
      </w:r>
      <w:bookmarkEnd w:id="283"/>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أخلّت هي ببعض المدّة، سقط من المَهر 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نصفاً فنصفٌ‌، وإنْ ثُلثاً فثلث، بلا خلافٍ أجده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حنظلة</w:t>
      </w:r>
      <w:r>
        <w:rPr>
          <w:rStyle w:val="FootnoteAnchor"/>
          <w:rtl w:val="true"/>
        </w:rPr>
        <w:footnoteReference w:id="1296"/>
      </w:r>
      <w:r>
        <w:rPr>
          <w:rFonts w:ascii="IRNazanin" w:hAnsi="IRNazanin" w:eastAsia="IRNazanin"/>
          <w:color w:val="111111"/>
          <w:sz w:val="28"/>
          <w:sz w:val="28"/>
          <w:szCs w:val="28"/>
          <w:rtl w:val="true"/>
          <w:lang w:bidi="fa-IR"/>
        </w:rPr>
        <w:t>، وموثّق إسحاق</w:t>
      </w:r>
      <w:r>
        <w:rPr>
          <w:rStyle w:val="FootnoteAnchor"/>
          <w:rtl w:val="true"/>
        </w:rPr>
        <w:footnoteReference w:id="1297"/>
      </w:r>
      <w:r>
        <w:rPr>
          <w:rFonts w:ascii="Amiri" w:hAnsi="Amiri" w:eastAsia="Amiri" w:cs="Amiri"/>
          <w:color w:val="111111"/>
          <w:sz w:val="28"/>
          <w:sz w:val="28"/>
          <w:szCs w:val="28"/>
          <w:rtl w:val="true"/>
          <w:lang w:bidi="ar-SA"/>
        </w:rPr>
        <w:t>المتقدّمان،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استثني في النصوص أيّام الحيض، وتدلّ على عدم حبس المَهر بتخلّفها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ذكرها من قبيل التمثيل، ويكون المراد عدم الحبس بالنسبة إلى المدّة التي تخلّفت فيها لعُذرٍ شرعي أوجب عليها عدم المجيء، أم لخصوصيّةٍ في الحيض فلا يستثنى غيره‌؟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أنّه ينقص من المَهر بالنسبة لو كان تخلّفها لعذرٍعقليّ‌، فإنّ المأخوذ موضوعاً في الموثّق هو عدم الوفاء، وهو يشمل الإخلال لمانعٍ عقلي، وإنْ كان لايشمله ما في الصحيح من التخلّف، ولكنّهما مثبتان لا يحمل المطلق منهما على المقيّد، والظاهر اختصاص النصوص بالتخلّف في تمام اليوم واللّيلة، فلو جاءت في اليوم ولم تجيء باللّيل لا يشملها نصوص الباب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وجوب المَهر أجمع بموتها، كما جزم به الشهيد الثاني رحمه الله</w:t>
      </w:r>
      <w:r>
        <w:rPr>
          <w:rStyle w:val="FootnoteAnchor"/>
          <w:rtl w:val="true"/>
        </w:rPr>
        <w:footnoteReference w:id="1298"/>
      </w:r>
      <w:r>
        <w:rPr>
          <w:rFonts w:ascii="IRNazanin" w:hAnsi="IRNazanin" w:eastAsia="IRNazanin"/>
          <w:color w:val="111111"/>
          <w:sz w:val="28"/>
          <w:sz w:val="28"/>
          <w:szCs w:val="28"/>
          <w:rtl w:val="true"/>
          <w:lang w:bidi="fa-IR"/>
        </w:rPr>
        <w:t xml:space="preserve">لعدم </w:t>
      </w:r>
      <w:bookmarkStart w:id="284" w:name="pg11825_116114"/>
    </w:p>
    <w:p>
      <w:pPr>
        <w:pStyle w:val="BookText"/>
        <w:rPr/>
      </w:pPr>
      <w:bookmarkEnd w:id="284"/>
      <w:r>
        <w:rPr>
          <w:rFonts w:ascii="IRNazanin" w:hAnsi="IRNazanin" w:eastAsia="IRNazanin"/>
          <w:color w:val="111111"/>
          <w:sz w:val="28"/>
          <w:sz w:val="28"/>
          <w:szCs w:val="28"/>
          <w:rtl w:val="true"/>
          <w:lang w:bidi="fa-IR"/>
        </w:rPr>
        <w:t>ولو ظهر بطلان العقد، فلا مَهر قبل الدخول،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النصوص لهذا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استحقاق تمام المَهر بالدخول، خرج الإخلال منها بالمدّة لا لحيضٍ‌، ويبقى غيره، فلو منع العُذر من الاستمتاعات الاُخر غير الجماع كلّ المدّة أو بعضها، لا يسقط من المَهر شيءٌ‌، بل لو منع العُذر من الجماع في تمام المدّة لايسقط من المَهر شيء إنْ كانت هي مسلِّمةً نفسها وإنّما عَرض المانع من الخارج</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1056916_73709187"/>
      <w:bookmarkStart w:id="286" w:name="_Toc95"/>
      <w:bookmarkEnd w:id="285"/>
      <w:r>
        <w:rPr>
          <w:rtl w:val="true"/>
        </w:rPr>
        <w:t>حكم ما لو ظهر بطلان العقد</w:t>
      </w:r>
      <w:bookmarkEnd w:id="286"/>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بظهور زوجٍ‌، أو عِدّة، أو كونها محرّمة عليه جمعاً أو عيناً، أو غير تلكم من موجبات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مَهر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استمتّع بها بتقبيلٍ ونحوه، لا المسمّى لبطلان العقد، ولا مَهر المِثل، لأنّه يثبت بالدخول، والمفروض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تبيّن 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الدخول، ففيه أقوال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من أنّ لها ما أخذت، ولا يلزمه أن يعطيها ما بقي، ولم يفصّلا بين كونها عالمة أو جاهلة، بل قد يقال إنّ مرادهم أنّ لها ما أخذت ولو جميع المَهر، وله حبس الجميع لو كان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لها المَهر مع جهلها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عالمة فلا شيء لها، وإنْ كانت جاهلة فلها مجموع المسمّى، وهو مختار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وجماعة</w:t>
      </w:r>
      <w:r>
        <w:rPr>
          <w:rStyle w:val="FootnoteAnchor"/>
          <w:rtl w:val="true"/>
        </w:rPr>
        <w:footnoteReference w:id="1304"/>
      </w:r>
      <w:r>
        <w:rPr>
          <w:rFonts w:ascii="Amiri" w:hAnsi="Amiri" w:eastAsia="Amiri" w:cs="Amiri"/>
          <w:color w:val="111111"/>
          <w:sz w:val="28"/>
          <w:sz w:val="28"/>
          <w:szCs w:val="28"/>
          <w:rtl w:val="true"/>
          <w:lang w:bidi="ar-SA"/>
        </w:rPr>
        <w:t>، وهو ظاهر عبارة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المَهر مع جهلها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شيء لها مع العلم مطلقاً، ومع الجهل لها مَهر المثل، وهو مختار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والشهيد الثاني</w:t>
      </w:r>
      <w:r>
        <w:rPr>
          <w:rStyle w:val="FootnoteAnchor"/>
          <w:rtl w:val="true"/>
        </w:rPr>
        <w:footnoteReference w:id="130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308"/>
      </w:r>
      <w:r>
        <w:rPr>
          <w:rFonts w:ascii="Amiri" w:hAnsi="Amiri" w:eastAsia="Amiri" w:cs="Amiri"/>
          <w:color w:val="111111"/>
          <w:sz w:val="28"/>
          <w:sz w:val="28"/>
          <w:szCs w:val="28"/>
          <w:rtl w:val="true"/>
          <w:lang w:bidi="ar-SA"/>
        </w:rPr>
        <w:t>وغيرهم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شيء لها مع العلم، ومع الجهل يستحقّ أقلّ الأمرين من المسمّى ومَهر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سقوط المَهر مع علمها بالفساد، إذ لا مَهر لبغيّ‌</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الجهل فقد تقدّم في المسألة السابعة من مسائل التزوّج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بالتزويج، فالأظهر ثبوت المسمّى، لدلالة جملةٍ من النصوص عليه، وفي المقام حيث يكون الوطء بالشبهة مع التزويج، فيثبت 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لو قيل بلزوم أقلّ الأمرين تمسّكاً بأصالة البراءة عن الزائد لم يكن بعيداً</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إذ لا مجرى لأصالة البراءة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الثاني بحسب القاعدة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روايتان توهم أنّهما دالّتان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حفص بن البُختري،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بقى عليه شيءٌ من المَهر، وعلم أنّ لها زوجاً، فما أخذته فلها بما استحلّ من فرجها، ويَحبس عليها ما بقي عنده</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بها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الريّان إلى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متعةً بمَهرٍ إلى أجلٍ معلوم، وأعطاها بعض مهرها وأخّرته بالباقي ثم دخل بها، وعلم بعد دخوله بها قبل أنْ يوفيها باقي مهرها أنّها زوّجته نفسها، ولها زوجٌ مقيمٌ معها، أيجوز له حبس باقي مهرها أم لا يجوز؟</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لأنّها عصت اللّه عزّوجلّ‌</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بها على ما اختاره الشيخ رحمه الله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المختصّة بصورة العلم، فهي لا تدلّ على ما استدلّ بها له،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التعليل بأنّها عَصت اللّه، ظاهرٌ في عدم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استحقاقها شيئاً، وأنّ له استرجاع ما أخذته، ولكن لما كان سؤال السائل عن جواز حبس الباقي وعدمه أجابه بذلك، فكأنّه فهم منه الإعراض عمّا دفعه إليها، وعدم إرادته، ولا أقلّ من السكوت عن حكم ما دفع إليها، فيرجع فيه إلى مقتضى القاعدة وهو جواز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الأُولى فهي وإنْ كانت مطلقة من حيث العلم والجهل، إلّاأنّه يقيّد إطلاقها بالثانية، وتختصّ بما إذا كانت جاهلة، بل ويمكن أنْ يُقال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الاختصاص بصورة الجهل، إذ مع فرض كونها عالمة يكون بغيّاً، ولا مَهر لبغيّ‌، فلا يناسب مع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314"/>
      </w:r>
      <w:r>
        <w:rPr>
          <w:rFonts w:ascii="Amiri" w:hAnsi="Amiri" w:eastAsia="Amiri" w:cs="Amiri"/>
          <w:color w:val="111111"/>
          <w:sz w:val="28"/>
          <w:sz w:val="28"/>
          <w:szCs w:val="28"/>
          <w:rtl w:val="true"/>
          <w:lang w:bidi="ar-SA"/>
        </w:rPr>
        <w:t>على كون المدفوع إليها مساوياً لمهر المثل أو رضاها به أو نحو ذلك، وهذا ممّا لا وجه له سوى كونها مخالفة للقاعدة، ولا محذور في ذلك، إذ كم خبرٍ يخالف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يعمل الأصحاب بها، فتُطرح حينئذٍ لذلك، واللّه العالم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7" w:name="pg11825_116118"/>
    </w:p>
    <w:p>
      <w:pPr>
        <w:pStyle w:val="BookText"/>
        <w:rPr/>
      </w:pPr>
      <w:bookmarkEnd w:id="287"/>
      <w:r>
        <w:rPr>
          <w:rFonts w:ascii="Amiri" w:hAnsi="Amiri" w:eastAsia="Amiri" w:cs="Amiri"/>
          <w:color w:val="111111"/>
          <w:sz w:val="28"/>
          <w:sz w:val="28"/>
          <w:szCs w:val="28"/>
          <w:rtl w:val="true"/>
          <w:lang w:bidi="ar-SA"/>
        </w:rPr>
        <w:t>ويَلحقُ به الولد وإنْ عزل، ولو نفاه فلا لعان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1056918_73709187"/>
      <w:bookmarkStart w:id="289" w:name="_Toc96"/>
      <w:bookmarkEnd w:id="288"/>
      <w:r>
        <w:rPr>
          <w:rtl w:val="true"/>
        </w:rPr>
        <w:t>حكم ما لو عزل المتمتِّع عن المتمتَّع بها وحملت</w:t>
      </w:r>
      <w:bookmarkEnd w:id="28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w:t>
      </w:r>
      <w:r>
        <w:rPr>
          <w:rStyle w:val="FootnoteAnchor"/>
          <w:rtl w:val="true"/>
        </w:rPr>
        <w:footnoteReference w:id="13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العزل للمتمتّع، وإنْلم تأذن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الأولى الاشتراط عليها، لتضمّن الأخبار له،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به الولد وإنْ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حتمال سبق المَنيّ من غير تنبّه، والولد للفراش، وللنصوص الآتية، وكذا في كلّ وطءٍ صحيح أو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احتمال الإلحاق به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النصوص تدلّ على لحوق الولد به وإنْ عزل، ومقتضى إطلاقها اللّحوق وإنْ 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في المتعة‌؟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إنْ حَبَلت‌؟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الرّضا عليه السلام عن الرّجل يتزوّج المرأة </w:t>
      </w:r>
    </w:p>
    <w:p>
      <w:pPr>
        <w:pStyle w:val="BookText"/>
        <w:rPr/>
      </w:pPr>
      <w:r>
        <w:rPr>
          <w:rFonts w:ascii="Amiri" w:hAnsi="Amiri" w:eastAsia="Amiri" w:cs="Amiri"/>
          <w:color w:val="111111"/>
          <w:sz w:val="28"/>
          <w:sz w:val="28"/>
          <w:szCs w:val="28"/>
          <w:rtl w:val="true"/>
          <w:lang w:bidi="ar-SA"/>
        </w:rPr>
        <w:t>متعةً‌، ويشترط عليها أن لا يطلب ولدها</w:t>
      </w:r>
      <w:r>
        <w:rPr>
          <w:rStyle w:val="FootnoteAnchor"/>
          <w:rtl w:val="true"/>
        </w:rPr>
        <w:footnoteReference w:id="1318"/>
      </w:r>
      <w:r>
        <w:rPr>
          <w:rFonts w:ascii="Amiri" w:hAnsi="Amiri" w:eastAsia="Amiri" w:cs="Amiri"/>
          <w:color w:val="111111"/>
          <w:sz w:val="28"/>
          <w:sz w:val="28"/>
          <w:szCs w:val="28"/>
          <w:rtl w:val="true"/>
          <w:lang w:bidi="ar-SA"/>
        </w:rPr>
        <w:t>فتأتي بعد ذلك بولدٍ، فينكر الولد؟</w:t>
      </w:r>
    </w:p>
    <w:p>
      <w:pPr>
        <w:pStyle w:val="BookText"/>
        <w:rPr/>
      </w:pPr>
      <w:r>
        <w:rPr>
          <w:rFonts w:ascii="Amiri" w:hAnsi="Amiri" w:eastAsia="Amiri" w:cs="Amiri"/>
          <w:color w:val="111111"/>
          <w:sz w:val="28"/>
          <w:sz w:val="28"/>
          <w:szCs w:val="28"/>
          <w:rtl w:val="true"/>
          <w:lang w:bidi="ar-SA"/>
        </w:rPr>
        <w:t>فشدّد في ذلك،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يجحد؟ إعظاماً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اتّهمها؟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تتزوّج إلّامأمونة</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ويؤكّدها قاعدة الفراش، فإنّ المراد بالفراش ما يعمّ عقد الانقطاع أيضاً، بقرينة مقابلته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تلك المجموعة، أخبارٌ وروايات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صحيح ابن أبي يعفور،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منها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ولا الذّمية، ولا التي يتمتّع بها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بها لانتفاء الولد عنه بلا لعان لو نفاه، وتقريب الاستدلال بها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أنّه لا لعان في المتمتّع بها، فالأمر يدور بين أمرين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انسداد باب نفي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انتفائه بلا 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يلزم منه كونه أقوى من ولد الزّوجة الدائمة، ومن المعلوم كون المتمتّع بها أنقص وأدون فراشاً من الدائمة، كما يؤمى إليه عطف المتمتّع بها بالأمَة،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ناظرة إلى الأدلّة الدالّة على أنّ انتفاء الولد يتوقّف على اللِّعان في الدائمة، فتدلّ على أنّ انتفاء الولد لا يتوقّف في المنقطعة على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نفي اللِّعان كنفي الضرر، نفي آثاره، منها اشتراطه في انتفاء الولد عنه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تنهى عن اللِّعان، ولا تكون بلسان نفي اللِّعان، والفرق بين التعبيرين ظاهرٌ، مع أنّه لو كان بلسان النفي غاية ما يثبت بها عدم ثبوت حكم اللِّعان، وهو انتفاء الولد به لا ثبوت الانتفاء بدونه،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هذه النصوص ناظرة إلى نصوص انتفاء الولد في الدائمة باللعان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عليه الوجه الثاني الذي أوردناه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الأوّل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العلم بمناطات الأحكام الشرعيّة لا مانع من الالتزام بأنّه لا ينتفي الولد في المنقطعة بنفيه مطلقاً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أنّه ليس في مقابل إطلاق تلكم النصوص سوى الإجماع والتسالم، ولعلّه بضميمة الوجه الأوّل كافيان في إثبات الحكم، فتأمّل</w:t>
      </w:r>
      <w:r>
        <w:rPr>
          <w:rFonts w:eastAsia="Amiri" w:cs="Amiri" w:ascii="Amiri" w:hAnsi="Amiri"/>
          <w:color w:val="111111"/>
          <w:sz w:val="28"/>
          <w:szCs w:val="28"/>
          <w:rtl w:val="true"/>
          <w:lang w:bidi="ar-SA"/>
        </w:rPr>
        <w:t xml:space="preserve">. </w:t>
      </w:r>
      <w:bookmarkStart w:id="290" w:name="pg11825_116121"/>
    </w:p>
    <w:p>
      <w:pPr>
        <w:pStyle w:val="BookText"/>
        <w:rPr/>
      </w:pPr>
      <w:bookmarkEnd w:id="290"/>
      <w:r>
        <w:rPr>
          <w:rFonts w:ascii="Amiri" w:hAnsi="Amiri" w:eastAsia="Amiri" w:cs="Amiri"/>
          <w:color w:val="111111"/>
          <w:sz w:val="28"/>
          <w:sz w:val="28"/>
          <w:szCs w:val="28"/>
          <w:rtl w:val="true"/>
          <w:lang w:bidi="ar-SA"/>
        </w:rPr>
        <w:t>ولا يقعُ بها طلاقٌ ولا لعان،</w:t>
      </w:r>
    </w:p>
    <w:p>
      <w:pPr>
        <w:pStyle w:val="Heading3"/>
        <w:numPr>
          <w:ilvl w:val="2"/>
          <w:numId w:val="1"/>
        </w:numPr>
        <w:rPr/>
      </w:pPr>
      <w:bookmarkStart w:id="291" w:name="__RefHeading___Toc11056920_73709187"/>
      <w:bookmarkStart w:id="292" w:name="_Toc97"/>
      <w:bookmarkEnd w:id="291"/>
      <w:r>
        <w:rPr>
          <w:rtl w:val="true"/>
        </w:rPr>
        <w:t>عدم وقوع الطلاق والظهار واللِّعان بالمتعة</w:t>
      </w:r>
      <w:bookmarkEnd w:id="29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فتوى ونصّاً في أنّ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بها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تبين بانقضاء المدّة أو هبتها على وجهٍ ليس له الرجوع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الولد،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للقذف، فالمشهور</w:t>
      </w:r>
      <w:r>
        <w:rPr>
          <w:rStyle w:val="FootnoteAnchor"/>
          <w:rtl w:val="true"/>
        </w:rPr>
        <w:footnoteReference w:id="1324"/>
      </w:r>
      <w:r>
        <w:rPr>
          <w:rFonts w:ascii="Amiri" w:hAnsi="Amiri" w:eastAsia="Amiri" w:cs="Amiri"/>
          <w:color w:val="111111"/>
          <w:sz w:val="28"/>
          <w:sz w:val="28"/>
          <w:szCs w:val="28"/>
          <w:rtl w:val="true"/>
          <w:lang w:bidi="ar-SA"/>
        </w:rPr>
        <w:t>بين الأصحاب أنّه لا يقع بها، للصحيحين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المفيد</w:t>
      </w:r>
      <w:r>
        <w:rPr>
          <w:rStyle w:val="FootnoteAnchor"/>
          <w:rtl w:val="true"/>
        </w:rPr>
        <w:footnoteReference w:id="1325"/>
      </w:r>
      <w:r>
        <w:rPr>
          <w:rFonts w:ascii="Amiri" w:hAnsi="Amiri" w:eastAsia="Amiri" w:cs="Amiri"/>
          <w:color w:val="111111"/>
          <w:sz w:val="28"/>
          <w:sz w:val="28"/>
          <w:szCs w:val="28"/>
          <w:rtl w:val="true"/>
          <w:lang w:bidi="ar-SA"/>
        </w:rPr>
        <w:t>، والسيّد المرتضى</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بها، لعموم الآية، والنصوص الدالّة على وقوع اللِّعان في الزّوجة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عموم مطلق، والكتاب فضلاً عن النصوص يقيّد إطلاقه بالسنة، ويمكن أنْ يوجّه كلامهما بأنّ النسبة بين الآية المتضمّنة للّعان بالقذف، وكذا ما ماثلها من النصوص وبين الصحيحين عمومٌ من وجه، وفي العامين من وجه إنْ كان أحد الطرفين الكتاب يقدّم الكتاب بناءً على ما هو الأظهر من أنّه يرجع فيهما إلى المرجّحات السنديّة، ولا معنى لذلك فيما إذا كان أحدهما الكتاب، وحيث أنّه من المرجّحات موافقة الكتاب، فنفس الكتاب أولى بالتقديم، فما أفاداه قويّ بحسب الدليل، ولكن لعدم إفتاء الأصحاب به يتوقّف في الفتوى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27"/>
      </w:r>
      <w:r>
        <w:rPr>
          <w:rFonts w:ascii="Amiri" w:hAnsi="Amiri" w:eastAsia="Amiri" w:cs="Amiri"/>
          <w:color w:val="111111"/>
          <w:sz w:val="28"/>
          <w:sz w:val="28"/>
          <w:szCs w:val="28"/>
          <w:rtl w:val="true"/>
          <w:lang w:bidi="ar-SA"/>
        </w:rPr>
        <w:t>وقوع الظهار، وعن جماعةٍ منهم الصدوق</w:t>
      </w:r>
      <w:r>
        <w:rPr>
          <w:rStyle w:val="FootnoteAnchor"/>
          <w:rtl w:val="true"/>
        </w:rPr>
        <w:footnoteReference w:id="1328"/>
      </w:r>
      <w:r>
        <w:rPr>
          <w:rFonts w:ascii="Amiri" w:hAnsi="Amiri" w:eastAsia="Amiri" w:cs="Amiri"/>
          <w:color w:val="111111"/>
          <w:sz w:val="28"/>
          <w:sz w:val="28"/>
          <w:szCs w:val="28"/>
          <w:rtl w:val="true"/>
          <w:lang w:bidi="ar-SA"/>
        </w:rPr>
        <w:t>، والحِلّي</w:t>
      </w:r>
      <w:r>
        <w:rPr>
          <w:rStyle w:val="FootnoteAnchor"/>
          <w:rtl w:val="true"/>
        </w:rPr>
        <w:footnoteReference w:id="1329"/>
      </w:r>
      <w:r>
        <w:rPr>
          <w:rFonts w:ascii="Amiri" w:hAnsi="Amiri" w:eastAsia="Amiri" w:cs="Amiri"/>
          <w:color w:val="111111"/>
          <w:sz w:val="28"/>
          <w:sz w:val="28"/>
          <w:szCs w:val="28"/>
          <w:rtl w:val="true"/>
          <w:lang w:bidi="ar-SA"/>
        </w:rPr>
        <w:t xml:space="preserve">، والمصنّف رحمه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الآية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الرويات الآتية</w:t>
      </w:r>
      <w:r>
        <w:rPr>
          <w:rStyle w:val="FootnoteAnchor"/>
          <w:rtl w:val="true"/>
        </w:rPr>
        <w:footnoteReference w:id="1331"/>
      </w:r>
      <w:r>
        <w:rPr>
          <w:rFonts w:ascii="Amiri" w:hAnsi="Amiri" w:eastAsia="Amiri" w:cs="Amiri"/>
          <w:color w:val="111111"/>
          <w:sz w:val="28"/>
          <w:sz w:val="28"/>
          <w:szCs w:val="28"/>
          <w:rtl w:val="true"/>
          <w:lang w:bidi="ar-SA"/>
        </w:rPr>
        <w:t>في محلّها الدالّة على تشريع الظهار، فإنّ الموضوع له في الكتاب والسُّنة نسائهم، ولا ريب في شمولها للمنقطعة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أحكامه عليخلاف الأصل، فيقتصر فيها عليموضع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بقاء الحليّة والإباحة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من أحكامه إلزام المظاهر بالرجوع بالوطء أو الطلاق، وليس للمتمتّع بها حقّ في الوطء، ولا يقع بها طلاقٌ‌، وقيام هبة المدّة مقامه قياسٌ لا 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أمره بأحد الأمرين موقوفٌ على المرافعة المتوقّفة عليوجوب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ابن فضّال، عمّن أخبره، عن أبي عبداللّه عليه السلام،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الظهار إلّاعلى مثل موضع الطلاق</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للاقتصار على المتيقّن، ولا الرجوع إلى الأصل مع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ملازمة هذا الحكم للظهار، إذ من الجائز اختصاصه بمن يمكن معه أحد الأمرين وهو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دليله ثبوته في كلّ ظهارٍ، فمن عدم ثبوته في موردٍ يستشكشف عدم الظهار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الإطلاق يرجع إليها لتعيين الحكم، ولا يرجع إليها بعد معلوميّته لتعيين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فيه ما ذكرناه في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بالإرسال، والأصحاب لم يستندوا إليه كي ينجبر ضعفه بالشهرة، مع أنّه يمكن أنْ يكون المراد به ما في سائر النصوص من اعتبار وقوع الظهار على طهر بغير جماعٍ بشهادة شاهدين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وقوع الظهار بها</w:t>
      </w:r>
      <w:r>
        <w:rPr>
          <w:rFonts w:eastAsia="IRNazanin" w:cs="IRNazanin"/>
          <w:color w:val="111111"/>
          <w:sz w:val="28"/>
          <w:szCs w:val="28"/>
          <w:rtl w:val="true"/>
          <w:lang w:bidi="fa-IR"/>
        </w:rPr>
        <w:t>.</w:t>
      </w:r>
      <w:bookmarkStart w:id="293" w:name="pg11825_116124"/>
    </w:p>
    <w:p>
      <w:pPr>
        <w:pStyle w:val="BookText"/>
        <w:rPr/>
      </w:pPr>
      <w:bookmarkEnd w:id="293"/>
      <w:r>
        <w:rPr>
          <w:rFonts w:ascii="Amiri" w:hAnsi="Amiri" w:eastAsia="Amiri" w:cs="Amiri"/>
          <w:color w:val="111111"/>
          <w:sz w:val="28"/>
          <w:sz w:val="28"/>
          <w:szCs w:val="28"/>
          <w:rtl w:val="true"/>
          <w:lang w:bidi="ar-SA"/>
        </w:rPr>
        <w:t>ولا ميراث لها وإنْ شرط،</w:t>
      </w:r>
    </w:p>
    <w:p>
      <w:pPr>
        <w:pStyle w:val="Heading3"/>
        <w:numPr>
          <w:ilvl w:val="2"/>
          <w:numId w:val="1"/>
        </w:numPr>
        <w:rPr/>
      </w:pPr>
      <w:bookmarkStart w:id="294" w:name="__RefHeading___Toc11056922_73709187"/>
      <w:bookmarkStart w:id="295" w:name="_Toc98"/>
      <w:bookmarkEnd w:id="294"/>
      <w:r>
        <w:rPr>
          <w:rtl w:val="true"/>
        </w:rPr>
        <w:t>عدم ثبوت التوارث في المتعة</w:t>
      </w:r>
      <w:bookmarkEnd w:id="29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ثبوت التوارث بالمتعة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لها وإنْ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توارث فيها من الجانبين، سواءٌ شرطا التوارث أو عدمه، أو لم يشترطا، وهو الذي اختاره أبو الصلاح</w:t>
      </w:r>
      <w:r>
        <w:rPr>
          <w:rStyle w:val="FootnoteAnchor"/>
          <w:rtl w:val="true"/>
        </w:rPr>
        <w:footnoteReference w:id="1333"/>
      </w:r>
      <w:r>
        <w:rPr>
          <w:rFonts w:ascii="Amiri" w:hAnsi="Amiri" w:eastAsia="Amiri" w:cs="Amiri"/>
          <w:color w:val="111111"/>
          <w:sz w:val="28"/>
          <w:sz w:val="28"/>
          <w:szCs w:val="28"/>
          <w:rtl w:val="true"/>
          <w:lang w:bidi="ar-SA"/>
        </w:rPr>
        <w:t>، والحِلّي</w:t>
      </w:r>
      <w:r>
        <w:rPr>
          <w:rStyle w:val="FootnoteAnchor"/>
          <w:rtl w:val="true"/>
        </w:rPr>
        <w:footnoteReference w:id="1334"/>
      </w:r>
      <w:r>
        <w:rPr>
          <w:rFonts w:ascii="Amiri" w:hAnsi="Amiri" w:eastAsia="Amiri" w:cs="Amiri"/>
          <w:color w:val="111111"/>
          <w:sz w:val="28"/>
          <w:sz w:val="28"/>
          <w:szCs w:val="28"/>
          <w:rtl w:val="true"/>
          <w:lang w:bidi="ar-SA"/>
        </w:rPr>
        <w:t>، وابن المصنّف فخر المحقّقين</w:t>
      </w:r>
      <w:r>
        <w:rPr>
          <w:rStyle w:val="FootnoteAnchor"/>
          <w:rtl w:val="true"/>
        </w:rPr>
        <w:footnoteReference w:id="1335"/>
      </w:r>
      <w:r>
        <w:rPr>
          <w:rFonts w:ascii="Amiri" w:hAnsi="Amiri" w:eastAsia="Amiri" w:cs="Amiri"/>
          <w:color w:val="111111"/>
          <w:sz w:val="28"/>
          <w:sz w:val="28"/>
          <w:szCs w:val="28"/>
          <w:rtl w:val="true"/>
          <w:lang w:bidi="ar-SA"/>
        </w:rPr>
        <w:t>، والمحقّق الثاني</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مذهب أكثر المتأخّرين</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 القول، وهو أنّها تقتضي التوارث كالدائم حتّى لو شرطاسقوطه، وبطل الشرط، كما لو شرطا عدمه في الدائم، وهو مختار ابن البرّاج</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العقد لا يقتضي التوارث، ولكن باشتراطه يثبت، وهو مذهب الشيخ</w:t>
      </w:r>
      <w:r>
        <w:rPr>
          <w:rStyle w:val="FootnoteAnchor"/>
          <w:rtl w:val="true"/>
        </w:rPr>
        <w:footnoteReference w:id="1339"/>
      </w:r>
      <w:r>
        <w:rPr>
          <w:rFonts w:ascii="IRNazanin" w:hAnsi="IRNazanin" w:eastAsia="IRNazanin"/>
          <w:color w:val="111111"/>
          <w:sz w:val="28"/>
          <w:sz w:val="28"/>
          <w:szCs w:val="28"/>
          <w:rtl w:val="true"/>
          <w:lang w:bidi="fa-IR"/>
        </w:rPr>
        <w:t>وأتباعه</w:t>
      </w:r>
      <w:r>
        <w:rPr>
          <w:rStyle w:val="FootnoteAnchor"/>
          <w:rtl w:val="true"/>
        </w:rPr>
        <w:footnoteReference w:id="1340"/>
      </w:r>
      <w:r>
        <w:rPr>
          <w:rFonts w:ascii="Amiri" w:hAnsi="Amiri" w:eastAsia="Amiri" w:cs="Amiri"/>
          <w:color w:val="111111"/>
          <w:sz w:val="28"/>
          <w:sz w:val="28"/>
          <w:szCs w:val="28"/>
          <w:rtl w:val="true"/>
          <w:lang w:bidi="ar-SA"/>
        </w:rPr>
        <w:t>إلّاالقاضي، وبه قطع المحقّق</w:t>
      </w:r>
      <w:r>
        <w:rPr>
          <w:rStyle w:val="FootnoteAnchor"/>
          <w:rtl w:val="true"/>
        </w:rPr>
        <w:footnoteReference w:id="1341"/>
      </w:r>
      <w:r>
        <w:rPr>
          <w:rFonts w:ascii="Amiri" w:hAnsi="Amiri" w:eastAsia="Amiri" w:cs="Amiri"/>
          <w:color w:val="111111"/>
          <w:sz w:val="28"/>
          <w:sz w:val="28"/>
          <w:szCs w:val="28"/>
          <w:rtl w:val="true"/>
          <w:lang w:bidi="ar-SA"/>
        </w:rPr>
        <w:t>والشهيد الثاني</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أنْ يكون هذا القول مشهوراً</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يتوارثان ما لم يشترطا سقوطه، ذهب اليه السيّد المرتضى</w:t>
      </w:r>
      <w:r>
        <w:rPr>
          <w:rStyle w:val="FootnoteAnchor"/>
          <w:rtl w:val="true"/>
        </w:rPr>
        <w:footnoteReference w:id="1344"/>
      </w:r>
      <w:r>
        <w:rPr>
          <w:rFonts w:ascii="Amiri" w:hAnsi="Amiri" w:eastAsia="Amiri" w:cs="Amiri"/>
          <w:color w:val="111111"/>
          <w:sz w:val="28"/>
          <w:sz w:val="28"/>
          <w:szCs w:val="28"/>
          <w:rtl w:val="true"/>
          <w:lang w:bidi="ar-SA"/>
        </w:rPr>
        <w:t>وابن أبي عقيل</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الاختلاف اختلاف النصوص، وإلّا فمقتضى عموم الآية الكريمة</w:t>
      </w:r>
      <w:r>
        <w:rPr>
          <w:rStyle w:val="FootnoteAnchor"/>
          <w:rtl w:val="true"/>
        </w:rPr>
        <w:footnoteReference w:id="1346"/>
      </w:r>
      <w:r>
        <w:rPr>
          <w:rFonts w:ascii="Amiri" w:hAnsi="Amiri" w:eastAsia="Amiri" w:cs="Amiri"/>
          <w:color w:val="111111"/>
          <w:sz w:val="28"/>
          <w:sz w:val="28"/>
          <w:szCs w:val="28"/>
          <w:rtl w:val="true"/>
          <w:lang w:bidi="ar-SA"/>
        </w:rPr>
        <w:t>ثبوت التوارث مطلقاً،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ثبوت التوارث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أو حسنه، عن بعض أصحابه، عن أبي عبداللّه عليه السلام في حديثٍ في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حَدَث به حدثٌ لم يكن لها ميراث</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حنظلة، عنه عليه السلام في حديثٍ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بينهما ميراث</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متعةً ولم يشترط الميراث‌؟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ميراث اشترط أو لم يشترط</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الميراث إلّامع 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يتوارثان إذا لم يشترطا، وإنّما الشرط بعد النكاح</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الميراث في صورة اشتراطه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المتعة نكاح بميراث، ونكاح بغير ميراث إنْ اشترطت الميراث كان، وإنْ لم تشترط لم يكن</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محمّد بن مسلم، وغيره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الأُولى بدعوى أنّها تدلّ على أنّه لا ميراث بينهما مطلقاً، وحينئذٍ لو شرط الإرث، يكون الشرط مخالفاً للكتاب والسُّنة، ولا يكون نافذاً و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الآية الكريمة والطائفة الأُولى من النصوص يقيّد بالطائفة الثالثة، فإنّها أخصّ منهما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سعيد نصٌّ في عدم الإرث حتّى مع اشتراطه، فيعارض مع الطائفة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محتملات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سعيد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راجعاً إلى قول السائل مع إرادة اشتراط الإرث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يشترط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عدم الإرث حتّى مع اشتراط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راجعاً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المراد من قول السائل لم يشترط الميراث أنّه لم يشترط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المتعارف اشتراطه في نكاح الانقطاع دونه في الزمان السابق، كما يفصح عنه المستفيضة المتضمّنة لعدم اشتراطه في الشروط المذكورة في العبارة المنعقد بها عقد المتعة</w:t>
      </w:r>
      <w:r>
        <w:rPr>
          <w:rStyle w:val="FootnoteAnchor"/>
          <w:rtl w:val="true"/>
        </w:rPr>
        <w:footnoteReference w:id="1353"/>
      </w:r>
      <w:r>
        <w:rPr>
          <w:rFonts w:ascii="Amiri" w:hAnsi="Amiri" w:eastAsia="Amiri" w:cs="Amiri"/>
          <w:color w:val="111111"/>
          <w:sz w:val="28"/>
          <w:sz w:val="28"/>
          <w:szCs w:val="28"/>
          <w:rtl w:val="true"/>
          <w:lang w:bidi="ar-SA"/>
        </w:rPr>
        <w:t>، فيدلّ على عدم الإرث مع اشتراط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راجعاً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عدم الإرث لا يتوقّف على الاشتراط، بل اشترط عدمه أو لم يشترط لا يكون هناك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الأخيرين لايعارض مع الطائفة الثالثة كما لايخفى‌، وحيث أنّه مجملٌ قابلٌ للحمل على كلٍّ من المعاني، فلا يصلح للمعارضة، بل يبيّن إجماله بالطائفة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 في المعنى الأوّل، حيث يكون قابلاً للحمل على أحد الأخيرين، فيُحمل عليه بقرينة الطائفة الثالثة الصريحة في ثبوت الإرث مع اشتراطه، لأنّ حمل الظاهر على النّص من الجمع العرفي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يتوارثان إذا لم يشترطا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ظاهره ثبوت الإرث إنْ لم يشترط ثبوته، وهذا ممّا لا يمكن الالتزام به، فيدور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حمله على إرادة اشتراط عدمه، فيدلّ عليثبوت الإرث مالم يشترط عدمه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حمله على إرادة اشتراط الأجل، فيدلّ على أنّه إذا لم يشترط الأجلة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ينقلب العقد دائماً فيتوارثان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مرجّح لأحد الاحتمالين، فيكون الخبر مجملاً وساقطاً عن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 في الأوّل، تكون النسبة بينه وبين الطائفة الثالثة عموماً من وجه، وهي تُقدّم للأشهريّة وأصحيّة السند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يقتضي البناء على أنّ النكاح المنقطع بنفسه لايقتضي التوارث، وإنّما يثبت التوارث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حينئذٍ مخالفٌ للكتاب السُّنة، فلا يكون نافذاً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يخصّص ما دلّ على أنّ الشرط المخالف للكتاب والسُّنة غير نافذٍ بالنصوص المتقدّمة، بل تقدّمها عليه إنّما هو بالتخصّص لا بالتخصيص، كما لا يخفى‌</w:t>
      </w:r>
      <w:r>
        <w:rPr>
          <w:rFonts w:eastAsia="Amiri" w:cs="Amiri" w:ascii="Amiri" w:hAnsi="Amiri"/>
          <w:color w:val="111111"/>
          <w:sz w:val="28"/>
          <w:szCs w:val="28"/>
          <w:rtl w:val="true"/>
          <w:lang w:bidi="ar-SA"/>
        </w:rPr>
        <w:t>.</w:t>
      </w:r>
      <w:bookmarkStart w:id="296" w:name="pg11825_116129"/>
    </w:p>
    <w:p>
      <w:pPr>
        <w:pStyle w:val="BookText"/>
        <w:rPr/>
      </w:pPr>
      <w:bookmarkEnd w:id="296"/>
      <w:r>
        <w:rPr>
          <w:rFonts w:ascii="Amiri" w:hAnsi="Amiri" w:eastAsia="Amiri" w:cs="Amiri"/>
          <w:color w:val="111111"/>
          <w:sz w:val="28"/>
          <w:sz w:val="28"/>
          <w:szCs w:val="28"/>
          <w:rtl w:val="true"/>
          <w:lang w:bidi="ar-SA"/>
        </w:rPr>
        <w:t>وتعتدُّ بعد الأجل بحيضتين، أو بخمسة وأربعين يوماً،</w:t>
      </w:r>
    </w:p>
    <w:p>
      <w:pPr>
        <w:pStyle w:val="Heading3"/>
        <w:numPr>
          <w:ilvl w:val="2"/>
          <w:numId w:val="1"/>
        </w:numPr>
        <w:rPr/>
      </w:pPr>
      <w:bookmarkStart w:id="297" w:name="__RefHeading___Toc11056924_73709187"/>
      <w:bookmarkStart w:id="298" w:name="_Toc99"/>
      <w:bookmarkEnd w:id="297"/>
      <w:r>
        <w:rPr>
          <w:rtl w:val="true"/>
        </w:rPr>
        <w:t>عِدّة المُتمتّع بها</w:t>
      </w:r>
      <w:bookmarkEnd w:id="29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مدّة المتمتّع بها بعد الدخول، أو وهبت، ففي مدّة عِدّتها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بعد الأجل بحيضتين أو بخمسة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أنّها حيضتان، وإنْ كانت في سنّ مَن تحيض ولا تحيض فخمسة وأربعون يوماً، وهو مختار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54"/>
      </w:r>
      <w:r>
        <w:rPr>
          <w:rFonts w:ascii="IRNazanin" w:hAnsi="IRNazanin" w:eastAsia="IRNazanin"/>
          <w:color w:val="111111"/>
          <w:sz w:val="28"/>
          <w:sz w:val="28"/>
          <w:szCs w:val="28"/>
          <w:rtl w:val="true"/>
          <w:lang w:bidi="fa-IR"/>
        </w:rPr>
        <w:t>، وابن البرّاج</w:t>
      </w:r>
      <w:r>
        <w:rPr>
          <w:rStyle w:val="FootnoteAnchor"/>
          <w:rtl w:val="true"/>
        </w:rPr>
        <w:footnoteReference w:id="1355"/>
      </w:r>
      <w:r>
        <w:rPr>
          <w:rFonts w:ascii="Amiri" w:hAnsi="Amiri" w:eastAsia="Amiri" w:cs="Amiri"/>
          <w:color w:val="111111"/>
          <w:sz w:val="28"/>
          <w:sz w:val="28"/>
          <w:szCs w:val="28"/>
          <w:rtl w:val="true"/>
          <w:lang w:bidi="ar-SA"/>
        </w:rPr>
        <w:t>، وسلّار</w:t>
      </w:r>
      <w:r>
        <w:rPr>
          <w:rStyle w:val="FootnoteAnchor"/>
          <w:rtl w:val="true"/>
        </w:rPr>
        <w:footnoteReference w:id="135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وغيرهم</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الخلاف بينهم إنّما هو في الشقّ الأوّل، وإلّا فالثاني متّفقٌ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بقسميه عليه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حيضة واحدة، ذهب إليه ابن أبي عقيل</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من أنّها حيضة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المفيد</w:t>
      </w:r>
      <w:r>
        <w:rPr>
          <w:rStyle w:val="FootnoteAnchor"/>
          <w:rtl w:val="true"/>
        </w:rPr>
        <w:footnoteReference w:id="1363"/>
      </w:r>
      <w:r>
        <w:rPr>
          <w:rFonts w:ascii="Amiri" w:hAnsi="Amiri" w:eastAsia="Amiri" w:cs="Amiri"/>
          <w:color w:val="111111"/>
          <w:sz w:val="28"/>
          <w:sz w:val="28"/>
          <w:szCs w:val="28"/>
          <w:rtl w:val="true"/>
          <w:lang w:bidi="ar-SA"/>
        </w:rPr>
        <w:t>، وابن إدريس</w:t>
      </w:r>
      <w:r>
        <w:rPr>
          <w:rStyle w:val="FootnoteAnchor"/>
          <w:rtl w:val="true"/>
        </w:rPr>
        <w:footnoteReference w:id="136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 وظاهر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من أنّها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الفضل أو حسنه،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 عبد الملك بن جُريح فاسأله عنها، فإنّ عنده منها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فأملى عليَّ شيئاً كثيراً في استحلالها، وكان فيما روى ابن جُريح،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فيها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حيضتان، وإنْ كانت لا تحيض فخمسة وأربعون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وأقرّ به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ذلك خبر أبي بصير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 وخبره الآخر</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له 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المتمتّعة ما على الأمَة</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بدعوى أنّه بضميمة ما دلّ على أنّ عِدّة الأمَة حيضتان،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 فإنّ هذا الكلام من الإمام عليه السلام في الصحيح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 المطلّقة ثلاثة أشهر، والأمَة المطلّقة نصف ما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إرادة المماثلة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المتمتّعة إنْ كانت تحيض فحيضة، وإنْ كانت لا تحيض فشهر ونصف</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مع إسقاط عِدّة المتمتّعة، فما في أوّله اجتهادٌ من راويه كذلك كما هي عادته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عند دوران الأمر بين الزيادة والنقصان يُبنى على وجود الزيادة، وأنّه نقص عن النقل الآخر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ذيل خبر إسماعيل المتقدّم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تحيض فحيضة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الإمام الرّضا عليه السلام،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حيضة،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يوماً لبعض أصحابه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يتزوّجها الرّجل متعةً ثمّ يتوفّى عنها، هل عليها العِدّة‌؟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وعشراً وإذا انقضت أيّامها وهو حَيّ فحيضة ونصف، مثل ما يجب على الأمَة</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الرابع، وهو حسن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حُرٌّ تحته أمَة فطلاقه تطليقتان وعِدّته قُرءان</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المراد بالقُرء في العدد الطُهر نصّاً وفتوى، كما سيجيء في محلّه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بعض المحقّقين أنّ خبر الحميري عن صاحب الأمر أرواحنا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المتمتّع بها التي وهب الزّوج مدّتها في أثناء الطمث وأراد غيره أن يزوّجها؟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بها حيضة غيرتلك الحيضة، لأنّ‌أقلّ‌العِدّة حيضة وطهرة تامّة</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يصلح للجمع بين النصوص، بتقريب أنّه يدلّ على اعتبار الحيضة التامّة والطهرة التامّة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بها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الحيضة الناقصة كافية لم يكن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بها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وقوع الهبة في الآن المتّصل بزمان حيضها أو الآن المتّصل بزمان طهرها في غاية الندرة، بل الغالب وقوعها في أثناء الحيض أو الطهر، فالحيضة والطهرة التامّتان لا تنفكّان عن الطهرين أو الحيضة والنصف، فإنْ كان في أثناء الطهر، فتقع الحيضة التامّة من عِدّتها بين الطهرين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مدّتها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التامّ الذي يكون من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في أثناء حيضها، فيقع الطهر التامّ من عِدّتها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الحيضة التي وهب مدّتها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الحيضة التامّة تكون من عِدّتها</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إلى ذلك،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برغم أنّ عبارتها قاصرة عن إفادة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يبقى حينئذٍ نصوص الحيضة على حالها، وهي لإعراض المشهور عنها تُطرح، وما ذكر من الجمع إنْ كان تامّاً وإلّا فلابدّ من الرجوع إلى المرجّحات، وهي تقتضي تقديم نصوص الحيضتين للأشهريّة، سيّما بعد كون الطائفة الرابعة مجملة من جهة أنّ كون المراد بالقُرء في العدد الطُهر، غير ملازمٍ لإرادته منه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بالحيضتين التامّتان، فلا يجزي حينئذٍ انقضاء أجلها في أثناء حيضتها، والدخول في حيضة أُخرى؟</w:t>
      </w:r>
    </w:p>
    <w:p>
      <w:pPr>
        <w:pStyle w:val="BookText"/>
        <w:rPr/>
      </w:pPr>
      <w:r>
        <w:rPr>
          <w:rFonts w:ascii="Amiri" w:hAnsi="Amiri" w:eastAsia="Amiri" w:cs="Amiri"/>
          <w:color w:val="111111"/>
          <w:sz w:val="28"/>
          <w:sz w:val="28"/>
          <w:szCs w:val="28"/>
          <w:rtl w:val="true"/>
          <w:lang w:bidi="ar-SA"/>
        </w:rPr>
        <w:t>أو أنّه يكفي فيها بعض الحيضة الأُولى ولو لحظة، والحيضة الثانية ولو لحظة‌؟</w:t>
      </w:r>
    </w:p>
    <w:p>
      <w:pPr>
        <w:pStyle w:val="BookText"/>
        <w:rPr/>
      </w:pPr>
      <w:r>
        <w:rPr>
          <w:rFonts w:ascii="Amiri" w:hAnsi="Amiri" w:eastAsia="Amiri" w:cs="Amiri"/>
          <w:color w:val="111111"/>
          <w:sz w:val="28"/>
          <w:sz w:val="28"/>
          <w:szCs w:val="28"/>
          <w:rtl w:val="true"/>
          <w:lang w:bidi="ar-SA"/>
        </w:rPr>
        <w:t>أو أنّه لابدّ من تمام الحيضة الثانية خاصّة أو العكس أو لابدّ من حيضةٍ كاملة ولحظةٍ من حيضةٍ أُخرى من غير فرق بين السابقة واللّاحقة‌؟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النصوص هو الأوّل، وصريح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ولكنّه غير نقيّ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جماعة من الأصحاب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والمحدِّث الكاشاني</w:t>
      </w:r>
      <w:r>
        <w:rPr>
          <w:rStyle w:val="FootnoteAnchor"/>
          <w:rtl w:val="true"/>
        </w:rPr>
        <w:footnoteReference w:id="1383"/>
      </w:r>
      <w:r>
        <w:rPr>
          <w:rFonts w:ascii="Amiri" w:hAnsi="Amiri" w:eastAsia="Amiri" w:cs="Amiri"/>
          <w:color w:val="111111"/>
          <w:sz w:val="28"/>
          <w:sz w:val="28"/>
          <w:szCs w:val="28"/>
          <w:rtl w:val="true"/>
          <w:lang w:bidi="ar-SA"/>
        </w:rPr>
        <w:t>، والفاضل الخراساني رحمه الله</w:t>
      </w:r>
      <w:r>
        <w:rPr>
          <w:rStyle w:val="FootnoteAnchor"/>
          <w:rtl w:val="true"/>
        </w:rPr>
        <w:footnoteReference w:id="1384"/>
      </w:r>
      <w:r>
        <w:rPr>
          <w:rFonts w:ascii="Amiri" w:hAnsi="Amiri" w:eastAsia="Amiri" w:cs="Amiri"/>
          <w:color w:val="111111"/>
          <w:sz w:val="28"/>
          <w:sz w:val="28"/>
          <w:szCs w:val="28"/>
          <w:rtl w:val="true"/>
          <w:lang w:bidi="ar-SA"/>
        </w:rPr>
        <w:t>توقّفوا في المسألة، وإن جعل السيّد الجمع الآتي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آخرين منهم المجلسي قدس سره</w:t>
      </w:r>
      <w:r>
        <w:rPr>
          <w:rStyle w:val="FootnoteAnchor"/>
          <w:rtl w:val="true"/>
        </w:rPr>
        <w:footnoteReference w:id="1385"/>
      </w:r>
      <w:r>
        <w:rPr>
          <w:rFonts w:ascii="Amiri" w:hAnsi="Amiri" w:eastAsia="Amiri" w:cs="Amiri"/>
          <w:color w:val="111111"/>
          <w:sz w:val="28"/>
          <w:sz w:val="28"/>
          <w:szCs w:val="28"/>
          <w:rtl w:val="true"/>
          <w:lang w:bidi="ar-SA"/>
        </w:rPr>
        <w:t>جمعوا بين الأخبار بحمل ما زاد على الحيضة على الاستحباب، وجعله السيّد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386"/>
      </w:r>
      <w:r>
        <w:rPr>
          <w:rFonts w:ascii="Amiri" w:hAnsi="Amiri" w:eastAsia="Amiri" w:cs="Amiri"/>
          <w:color w:val="111111"/>
          <w:sz w:val="28"/>
          <w:sz w:val="28"/>
          <w:szCs w:val="28"/>
          <w:rtl w:val="true"/>
          <w:lang w:bidi="ar-SA"/>
        </w:rPr>
        <w:t>قدّم نصوص الحيضتين لموافقتها للاحتياط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 إذ التوقّف لا وجه له؛ لأنّه إنْ أمكن الجمع العرفي فهو المتعيّن، وإلّا فلابدّ من الرجوع إلى أخبار الترجيح، وقد عرفت أنّها تقتضي تقديم نصوص الحيضتين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99" w:name="pg11825_116135"/>
    </w:p>
    <w:p>
      <w:pPr>
        <w:pStyle w:val="BookText"/>
        <w:rPr/>
      </w:pPr>
      <w:bookmarkEnd w:id="299"/>
      <w:r>
        <w:rPr>
          <w:rFonts w:ascii="Amiri" w:hAnsi="Amiri" w:eastAsia="Amiri" w:cs="Amiri"/>
          <w:color w:val="111111"/>
          <w:sz w:val="28"/>
          <w:sz w:val="28"/>
          <w:szCs w:val="28"/>
          <w:rtl w:val="true"/>
          <w:lang w:bidi="ar-SA"/>
        </w:rPr>
        <w:t>وفي الموت بأربعة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ما زاد على الحيضة على الاستحباب جمعٌ تبرّعي لا عرفي، إذ لو عُرض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حيضة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العرف يرونهما متهافتين، ولا يرون أحدهما قرينةً على الآخر، والموافقة للاحتياط ليست من المرجّحات، وعلى فرض كونها منها فالمرجّحات التي قبلها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056926_73709187"/>
      <w:bookmarkStart w:id="301" w:name="_Toc100"/>
      <w:bookmarkEnd w:id="300"/>
      <w:r>
        <w:rPr>
          <w:rtl w:val="true"/>
        </w:rPr>
        <w:t>عِدّة المتمتّع بها من الوفاة</w:t>
      </w:r>
      <w:bookmarkEnd w:id="3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عِدّة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w:t>
      </w:r>
      <w:r>
        <w:rPr>
          <w:rStyle w:val="FootnoteAnchor"/>
          <w:rtl w:val="true"/>
        </w:rPr>
        <w:footnoteReference w:id="1387"/>
      </w:r>
      <w:r>
        <w:rPr>
          <w:rFonts w:ascii="Amiri" w:hAnsi="Amiri" w:eastAsia="Amiri" w:cs="Amiri"/>
          <w:color w:val="111111"/>
          <w:sz w:val="28"/>
          <w:sz w:val="28"/>
          <w:szCs w:val="28"/>
          <w:rtl w:val="true"/>
          <w:lang w:bidi="ar-SA"/>
        </w:rPr>
        <w:t xml:space="preserve">بين الأصحاب أنّها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388"/>
      </w:r>
      <w:r>
        <w:rPr>
          <w:rFonts w:ascii="IRNazanin" w:hAnsi="IRNazanin" w:eastAsia="IRNazanin"/>
          <w:color w:val="111111"/>
          <w:sz w:val="28"/>
          <w:sz w:val="28"/>
          <w:szCs w:val="28"/>
          <w:rtl w:val="true"/>
          <w:lang w:bidi="fa-IR"/>
        </w:rPr>
        <w:t>، والمرتضى</w:t>
      </w:r>
      <w:r>
        <w:rPr>
          <w:rStyle w:val="FootnoteAnchor"/>
          <w:rtl w:val="true"/>
        </w:rPr>
        <w:footnoteReference w:id="1389"/>
      </w:r>
      <w:r>
        <w:rPr>
          <w:rFonts w:ascii="Amiri" w:hAnsi="Amiri" w:eastAsia="Amiri" w:cs="Amiri"/>
          <w:color w:val="111111"/>
          <w:sz w:val="28"/>
          <w:sz w:val="28"/>
          <w:szCs w:val="28"/>
          <w:rtl w:val="true"/>
          <w:lang w:bidi="ar-SA"/>
        </w:rPr>
        <w:t>، والعُمّاني</w:t>
      </w:r>
      <w:r>
        <w:rPr>
          <w:rStyle w:val="FootnoteAnchor"/>
          <w:rtl w:val="true"/>
        </w:rPr>
        <w:footnoteReference w:id="1390"/>
      </w:r>
      <w:r>
        <w:rPr>
          <w:rFonts w:ascii="Amiri" w:hAnsi="Amiri" w:eastAsia="Amiri" w:cs="Amiri"/>
          <w:color w:val="111111"/>
          <w:sz w:val="28"/>
          <w:sz w:val="28"/>
          <w:szCs w:val="28"/>
          <w:rtl w:val="true"/>
          <w:lang w:bidi="ar-SA"/>
        </w:rPr>
        <w:t>، وسلّار</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عِدّتها شهران وخمسة أيّام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الآية الكريمة</w:t>
      </w:r>
      <w:r>
        <w:rPr>
          <w:rStyle w:val="FootnoteAnchor"/>
          <w:rtl w:val="true"/>
        </w:rPr>
        <w:footnoteReference w:id="1392"/>
      </w:r>
      <w:r>
        <w:rPr>
          <w:rFonts w:ascii="Amiri" w:hAnsi="Amiri" w:eastAsia="Amiri" w:cs="Amiri"/>
          <w:color w:val="111111"/>
          <w:sz w:val="28"/>
          <w:sz w:val="28"/>
          <w:szCs w:val="28"/>
          <w:rtl w:val="true"/>
          <w:lang w:bidi="ar-SA"/>
        </w:rPr>
        <w:t>،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صحيح ابن الحجّاج</w:t>
      </w:r>
      <w:r>
        <w:rPr>
          <w:rStyle w:val="FootnoteAnchor"/>
          <w:rtl w:val="true"/>
        </w:rPr>
        <w:footnoteReference w:id="1393"/>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صحيح زرارة</w:t>
      </w:r>
      <w:r>
        <w:rPr>
          <w:rStyle w:val="FootnoteAnchor"/>
          <w:rtl w:val="true"/>
        </w:rPr>
        <w:footnoteReference w:id="1394"/>
      </w:r>
      <w:r>
        <w:rPr>
          <w:rFonts w:ascii="Amiri" w:hAnsi="Amiri" w:eastAsia="Amiri" w:cs="Amiri"/>
          <w:color w:val="111111"/>
          <w:sz w:val="28"/>
          <w:sz w:val="28"/>
          <w:szCs w:val="28"/>
          <w:rtl w:val="true"/>
          <w:lang w:bidi="ar-SA"/>
        </w:rPr>
        <w:t>الذي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وبإزائهما خبران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امراةً متعةً‌، ثمّ مات عنها،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 للقول الثاني، لكنّه ضعيفٌ مرسلٌ‌، وفي طريقه الطاطري الواقفي الذي قيل فيه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العناد في مذهبه، صعب العصبيّة على من خالفه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 مع ما هو أشهر وأصحّ سنداً منه، فيتعيّن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إذا تمتّع بها فمات عنها خمسة وأربعون يوماً</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لعدم عمل أحدٍ من الأصحاب به، حُمل على ما إذا كان الموت بعد انقضاء الأجل، ولعلّه يشعر به عطف الموت بالفاء،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التمتّع بها في تمام المدّة لا إحداث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للقول الثاني مضافاً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كالأمَة في الحياة، فكذلك في الموت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يخرج عن القياس هو أنّ ذلك مقتضى عموم المنزلة، المستفادة من 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المتعة عليها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ما على الأمَة</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في الخبر بلحاظ خصوص عدّة الفراق لا الموت، للتصريح في صدره بكون عِدّة الوفاء في الجميع أربعة أشهر وعشراً، مع أنّه لو سُلّم عموم المنزلة يتعيّن تقييد إطلاقه بالصحيحين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بينهم في أنّ عِدّتها 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الحمل، وعِدّة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الدالّة على أنّ عِدّة الحُبلى المتوفّى عنها زوجها 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الحامل المتوفّى عنها زوجها، تنقضي عِدّتها آخر الأجلين</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الحامل أجلها آخر الأجلين إنْ كانت حُبلى فتمّت لها أربعة أشهر وعشراً، ولم تضع فإنّ عِدّتها إلى أن تضع، وإنْ كانت تضع حملها قبل أنْ يتمّ لها أربعة أشهر وعشراً، تعتدّ بعدما تضع تمام أربعة أشهر وعشر، وذلك أبعد الأجلين</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النصوص لاحاجة إلى التمسّك بالاستصحاب، ولا مورد له كي يعارض بالاستصحاب التعليقي،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02" w:name="pg11825_116138"/>
    </w:p>
    <w:p>
      <w:pPr>
        <w:pStyle w:val="Heading3"/>
        <w:numPr>
          <w:ilvl w:val="2"/>
          <w:numId w:val="1"/>
        </w:numPr>
        <w:rPr/>
      </w:pPr>
      <w:bookmarkStart w:id="303" w:name="__RefHeading___Toc11056928_73709187"/>
      <w:bookmarkStart w:id="304" w:name="_Toc101"/>
      <w:bookmarkEnd w:id="302"/>
      <w:bookmarkEnd w:id="303"/>
      <w:r>
        <w:rPr>
          <w:rtl w:val="true"/>
        </w:rPr>
        <w:t>تجديد العقد على المتمتّع بها قبل انقضاء الأجل</w:t>
      </w:r>
      <w:bookmarkEnd w:id="304"/>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400"/>
      </w:r>
      <w:r>
        <w:rPr>
          <w:rFonts w:ascii="Amiri" w:hAnsi="Amiri" w:eastAsia="Amiri" w:cs="Amiri"/>
          <w:color w:val="111111"/>
          <w:sz w:val="28"/>
          <w:sz w:val="28"/>
          <w:szCs w:val="28"/>
          <w:rtl w:val="true"/>
          <w:lang w:bidi="ar-SA"/>
        </w:rPr>
        <w:t>بين الأصحاب أنّه لا يصحّ له تجديد العقد على المتمتّع بها دائماً أو منقطعاً قبل انقضاء الأجل أو هبته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يلزم من صحّة العقد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تحصيل الحاصل، لو قلنا بتأثير العقد الجديد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تأخّر أثره لو قلنا بتاثيره بعد انقضاء أجل العقد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صحيح أبي بصير، عن أبي جعفر عليه السلام في المتعة،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تزيدك وتزيدها إذا انقطع الأجل فيما بينكما،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بأجلٍ آخر برضاً منها، ولا يحلّ ذلك لغيركَ حتّى تنقضي عِدّتها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المرأة متعةً فيزوّجها على شهر، ثمّ إنّها تقع في قلبه فيحبُّ أنْ يكون شرطه أكثر من شهر، فهل يجوز أن يزيدها في اجرها ويزداد في الأيّام قبل أنْ تنقضي أيّامه التي شرط عليها؟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شرطان في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يصنع‌؟</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عليها بما بقي من الأيّام ثمّ يستانف شرطاً جديداً</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الوجه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لاختصّ بما إذا عقد عليها ثانياً بأجلٍ من حين العقد، وأمّا لو عقد عليها بأجلٍ من حين انقضاء الأجل الأوّل، فلا يلزم ذلك المحذور، وقد مرّ</w:t>
      </w:r>
      <w:r>
        <w:rPr>
          <w:rStyle w:val="FootnoteAnchor"/>
          <w:rtl w:val="true"/>
        </w:rPr>
        <w:footnoteReference w:id="1403"/>
      </w:r>
      <w:r>
        <w:rPr>
          <w:rFonts w:ascii="Amiri" w:hAnsi="Amiri" w:eastAsia="Amiri" w:cs="Amiri"/>
          <w:color w:val="111111"/>
          <w:sz w:val="28"/>
          <w:sz w:val="28"/>
          <w:szCs w:val="28"/>
          <w:rtl w:val="true"/>
          <w:lang w:bidi="ar-SA"/>
        </w:rPr>
        <w:t>عدم لزوم اتّصال المدّة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الزوجيّة من الاُمور الاعتباريّة، والاعتبار خفيف المؤونة، فلامانع من اعتبار زوجيّتها من حين العقد، غاية الأمر قبل انقضاء الأجل الأوّل يلتزم بالتأكّد نظير التأكّد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 لإبراهيم بن المفضل</w:t>
      </w:r>
      <w:r>
        <w:rPr>
          <w:rStyle w:val="FootnoteAnchor"/>
          <w:rtl w:val="true"/>
        </w:rPr>
        <w:footnoteReference w:id="1404"/>
      </w:r>
      <w:r>
        <w:rPr>
          <w:rFonts w:ascii="Amiri" w:hAnsi="Amiri" w:eastAsia="Amiri" w:cs="Amiri"/>
          <w:color w:val="111111"/>
          <w:sz w:val="28"/>
          <w:sz w:val="28"/>
          <w:szCs w:val="28"/>
          <w:rtl w:val="true"/>
          <w:lang w:bidi="ar-SA"/>
        </w:rPr>
        <w:t>، أنّه محتملٌ لأن يراد به زيادة الأجَل والمَهر في أثناء المدّة، تعويلاً على العقد السابق، من غير تجديدٍ، ليكون بمنزلة اشتراط أجَلين ومَهرين في عقدٍ واحد، ويكون هذا هو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شرطان في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أجلان في عقدٍ واحد، ولا نظر له إلى أجلين في عقدين، وإنْ تداخل الأجلان، فإنّه ليس حينئذٍ أجلان في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يمنع كون مفهومه ذلك، باعتبار وروده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ذلك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به حينئذٍ أنّ العقد المستأنف بعد مضيّ الأجل بلا فصل يختصّ بالزوج، وأمّا غيره فلابدّ أن لا يعقد عليها حتّى تنقضي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خبر عبد السلام، عن الإمام الصادق عليه السلام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يزيدها ويزداد قبل انقضاء الأجل الذي أجل‌؟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يكون ذلك برضاً منه ومنها بالأجل والوقت</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فيقوى ما عن العُمّاني</w:t>
      </w:r>
      <w:r>
        <w:rPr>
          <w:rStyle w:val="FootnoteAnchor"/>
          <w:rtl w:val="true"/>
        </w:rPr>
        <w:footnoteReference w:id="1407"/>
      </w:r>
      <w:r>
        <w:rPr>
          <w:rFonts w:ascii="Amiri" w:hAnsi="Amiri" w:eastAsia="Amiri" w:cs="Amiri"/>
          <w:color w:val="111111"/>
          <w:sz w:val="28"/>
          <w:sz w:val="28"/>
          <w:szCs w:val="28"/>
          <w:rtl w:val="true"/>
          <w:lang w:bidi="ar-SA"/>
        </w:rPr>
        <w:t>، وابن حمزة</w:t>
      </w:r>
      <w:r>
        <w:rPr>
          <w:rStyle w:val="FootnoteAnchor"/>
          <w:rtl w:val="true"/>
        </w:rPr>
        <w:footnoteReference w:id="1408"/>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منع ثبوت المفهوم للصحيح في غير محلّه، وبه يقيّد إطلاق خبر عبد السلام، بأن يتصدّق عليها بما بقى من المدّة ثمّ يستأنف العقد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اختصاص الصحيح بالعقد بالأجل من حين العقد، ولا يشمل ما لو عقد عليها بأجلٍ من حين انقضاء الأجل الأوّل، فإنّه من قبيل العقد بعد انقطاع الأجل، فإنّ عقد الزوجيّة إنّما يكون من ذلك الحين، وإنْ كان إبرازه وإنشائه قبل الانقضاء، والخبر ظاهرٌ في المنع عن نفس التزويج قبل الانقضاء لا عن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صريح الخبرين الاختصاص بالمنقطع، ولا يعمّان ما لو كان العقد الثاني عقد دوام، ومقتضى القاعدة كما عرفت صحّته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5" w:name="pg11825_116141"/>
    </w:p>
    <w:p>
      <w:pPr>
        <w:pStyle w:val="Heading3"/>
        <w:numPr>
          <w:ilvl w:val="2"/>
          <w:numId w:val="1"/>
        </w:numPr>
        <w:rPr/>
      </w:pPr>
      <w:bookmarkStart w:id="306" w:name="__RefHeading___Toc11056930_73709187"/>
      <w:bookmarkStart w:id="307" w:name="_Toc102"/>
      <w:bookmarkEnd w:id="305"/>
      <w:bookmarkEnd w:id="306"/>
      <w:r>
        <w:rPr>
          <w:rtl w:val="true"/>
        </w:rPr>
        <w:t>حكم الشرط المذكور قبل العقد</w:t>
      </w:r>
      <w:bookmarkEnd w:id="307"/>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أنّه يعتبر في لزوم الوفاء بما يشترط في عقد الانقطاع من الشروط السائغة، ذكرها في ضمن العقد، بأن تكون مقترنة بالإيجاب والقبول، لما حُقّق في محلّه</w:t>
      </w:r>
      <w:r>
        <w:rPr>
          <w:rStyle w:val="FootnoteAnchor"/>
          <w:rtl w:val="true"/>
        </w:rPr>
        <w:footnoteReference w:id="1410"/>
      </w:r>
      <w:r>
        <w:rPr>
          <w:rFonts w:ascii="Amiri" w:hAnsi="Amiri" w:eastAsia="Amiri" w:cs="Amiri"/>
          <w:color w:val="111111"/>
          <w:sz w:val="28"/>
          <w:sz w:val="28"/>
          <w:szCs w:val="28"/>
          <w:rtl w:val="true"/>
          <w:lang w:bidi="ar-SA"/>
        </w:rPr>
        <w:t>من أنّ الشرط غير المذكور في العقد لا يجبُ الوفاء به، إمّا لعدم صدق الشرط عليه الذي هو بمعنى الربط، أو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المقام في 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411"/>
      </w:r>
      <w:r>
        <w:rPr>
          <w:rFonts w:ascii="Amiri" w:hAnsi="Amiri" w:eastAsia="Amiri" w:cs="Amiri"/>
          <w:color w:val="111111"/>
          <w:sz w:val="28"/>
          <w:sz w:val="28"/>
          <w:szCs w:val="28"/>
          <w:rtl w:val="true"/>
          <w:lang w:bidi="ar-SA"/>
        </w:rPr>
        <w:t xml:space="preserve">أنّه لايجب الوفاء بالشرط المذكور قبل العقد، وإنْ كان من قبيل الشروط المضمرة المبنيّ عليها العقد، ووقع العقد مبنيّاً عليه، الذي هو من قبيل الذكر في العقد في سائر العقود،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Style w:val="FootnoteAnchor"/>
          <w:rtl w:val="true"/>
        </w:rPr>
        <w:footnoteReference w:id="141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له بنصوص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على المرأة شروط المتعة، فرضيت به، وأوجبت التزويج، فاردد عليها شرطك الأوّل بعد النكاح، فإنْ أجازته فقد جاز، وإنْ لم تجزه فلا يجوز عليها ما كان من شرط قبل النكاح</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شرطٍ قبل النكاح هدمه النكاح، وما كان بعد النكاح فهو جائز</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متعة‌؟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يتوارثان إذا لم يشترطا، وإنّما الشرط بعد النكاح</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تُحمل النصوص المزبورة على ما كان من الشروط سابقاً، ولم يكن مضمراً حال العقد، على وجه يكون مبنيّاً عليه، لعدم صدق الشرط قبل النكاح، خاصّة بعد فرض قصده في الأثناء مدلولاً عليه بالقرائن الحاليّة</w:t>
      </w:r>
      <w:r>
        <w:rPr>
          <w:rStyle w:val="FootnoteAnchor"/>
          <w:rtl w:val="true"/>
        </w:rPr>
        <w:footnoteReference w:id="1416"/>
      </w:r>
      <w:r>
        <w:rPr>
          <w:rFonts w:ascii="Amiri" w:hAnsi="Amiri" w:eastAsia="Amiri" w:cs="Amiri"/>
          <w:color w:val="111111"/>
          <w:sz w:val="28"/>
          <w:sz w:val="28"/>
          <w:szCs w:val="28"/>
          <w:rtl w:val="true"/>
          <w:lang w:bidi="ar-SA"/>
        </w:rPr>
        <w:t>، ولاستبعاد اختصاص المقام عن غيره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ينافيه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فاردد عليها شرطك الأوّل بعد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في لزوم أن يذكر ثانياً، ولا يكتفي بالمقدّر، والاستبعاد المذكور بعد عدم العلم بمناطات الأحكام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النصوص بالشروط المعتبرة في المتعة من الأجل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 ولا مانع من الالتزام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لزوم ذكر الشروط في عقد الانقطاع بعد العقد ثانياً، وعن تهذيبه</w:t>
      </w:r>
      <w:r>
        <w:rPr>
          <w:rStyle w:val="FootnoteAnchor"/>
          <w:rtl w:val="true"/>
        </w:rPr>
        <w:footnoteReference w:id="1418"/>
      </w:r>
      <w:r>
        <w:rPr>
          <w:rFonts w:ascii="Amiri" w:hAnsi="Amiri" w:eastAsia="Amiri" w:cs="Amiri"/>
          <w:color w:val="111111"/>
          <w:sz w:val="28"/>
          <w:sz w:val="28"/>
          <w:szCs w:val="28"/>
          <w:rtl w:val="true"/>
          <w:lang w:bidi="ar-SA"/>
        </w:rPr>
        <w:t>الاكتفاء بذكرها بعد العقد، والوجه في اختصاص شروط هذا العقد بذلك ما في النصوص السابقة، من اعتبار كون الشرط بعد النكاح، وأنّه جائزٌ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ذكر الشرط بعد الإيجاب والقبول بلا فصلٍ‌، بحيث يكون من متعلّقاتهما لا بذكره بعد ولو مع فصل طويلٍ‌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على سيّدنا محمّد وعلى آله الطيّبين الطاهرين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08" w:name="pg11825_116143"/>
    </w:p>
    <w:p>
      <w:pPr>
        <w:pStyle w:val="Heading2"/>
        <w:numPr>
          <w:ilvl w:val="1"/>
          <w:numId w:val="1"/>
        </w:numPr>
        <w:rPr/>
      </w:pPr>
      <w:bookmarkStart w:id="309" w:name="__RefHeading___Toc11056932_73709187"/>
      <w:bookmarkStart w:id="310" w:name="_Toc103"/>
      <w:bookmarkEnd w:id="308"/>
      <w:bookmarkEnd w:id="309"/>
      <w:r>
        <w:rPr>
          <w:rtl w:val="true"/>
        </w:rPr>
        <w:t>فهرس الموضوعات</w:t>
      </w:r>
      <w:bookmarkEnd w:id="310"/>
    </w:p>
    <w:p>
      <w:pPr>
        <w:pStyle w:val="BookText"/>
        <w:rPr/>
      </w:pPr>
      <w:r>
        <w:rPr>
          <w:rFonts w:ascii="Amiri" w:hAnsi="Amiri" w:eastAsia="Amiri" w:cs="Amiri"/>
          <w:color w:val="111111"/>
          <w:sz w:val="28"/>
          <w:sz w:val="28"/>
          <w:szCs w:val="28"/>
          <w:rtl w:val="true"/>
          <w:lang w:bidi="ar-SA"/>
        </w:rPr>
        <w:t>حرمة الزيادة على الأربع في العقد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تزويج الخامسة بعد طلاق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تزويج ذات البعل يوجب الحرمة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تزويج المعتدّة توجبُ الحرمة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المدارُ على علم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الدخول بعد العِدّة موجبٌ للحرمة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حكم تزويج من شكّ في أنّها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حكم التزويج في العِدّة بالعقد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حكم العقد على امرأةٍ توفّي زوجها قبل عِلمها بوفاته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حكم ما لو تزوّج المُعتدّة، ودخل بها، ثمّ ولدت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ثبوت المَهر المسمّى في وطء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حكم ما لو اجتمعت العِدّتان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حرمة أُمّ الغلام الموطوء واُخته وبنته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الإيقاب المتأخّر عن العقد لا يوجبُ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إفضاءُ من لم تَبلُغ تسع سنين يوجبُ الحرمة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جواز تزويج الزاني مع مَن زنا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حكم تزويج الزانية لغير الزاني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عدم حرمة الزّوجة على الزّوج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حكم الزِّنا بذات البعل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التزويج في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عدم انحصار المتعة في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نكاح المطلّقة ثلاثاً على الزّوج إلّابعد 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المطلَّقة تسعاً على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حكم ما لو عقد ذو الثلاث على اثنتين دفعة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الرِّضاع من أسباب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عموم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القرابة المنضمّة بالمصاهرة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لو شكّ في دخل شيء في نشر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اعتبار كون اللّبن عن نكاحٍ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اعتبار انفصال الولد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اعتبار بلوغ الرّضاع حَدّاً معيّناً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تقدير فترة الرِّضاع بالزمان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تقدير فترة الرِّضاع بالأثر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التقدير بالعدد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اعتبار كون شرب اللّبن على وجه الامتصاص من الثدي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اعتبار توالي الرَّضعات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اعتبار كون الرّضاع في الحولين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عدم اعتبار كون الرّضاع قبل فطام ولد 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اعتبار اتّحاد الفحل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لا يعتبر اتّحاد الفحل إذا كان أحد الولدين نَسَبيّاً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عدم اعتبار اتّحاد الفحل في غير الإخوة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اعتبار حياة المرضعة في نشر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ما يَحرُمُ من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حُرمة المنسوب إلى الفَحل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حرمة نكاح أبي المرتضع في أولاد صاحب 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جواز تزويج أولاد الفحل مع إخوة المرتضع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عدم حرمة جَدّة المُرتضع وإخوته على الفَحل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نكاح أبي المرتضع في أولاد 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أُمّ المرتضع على أولاد 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الرّضاع اللّاحق موجبٌ للحرمة كالسّابق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حكم الزوجتين المُرتضعة إحداهما من الاُخرى‌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إرضاع الزوجتين الكبيرتين الزوجة 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حكم مَهر الصغيرة إذا فسد نكاحها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اختيار الظئر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ما يثبت به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من أسباب التحريم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نكاح الكتابيّة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نكاح المجوسيّة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نكاح الصابئة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عدم جواز نكاح المسلمة مع غير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حكم ارتداد أحد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حكم ارتداد أحد الزوجين بعد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حكم ما لو أسلم زوج الكتابيّة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حكم ما لو أسلمت زوجة الكتابي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لو أسلم كافر وله أزيد من أربع منكوحات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فيما يتحقّق به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إسلام الزّوج عن أكثر من أربع وثنيّات وأسلمن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إسلام الكافر وإسلام أربع منهنّ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لو أسلم الكافر بعد تزويج الاُمّ وبنتها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حكم تزويج المؤمنة من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يصحّ نكاح المؤمنة الناصب ولا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في اعتبار اليسار في الكفاءة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كراهة تزويج الفاسق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نكاح الشِّغار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تزويج الرّجل بمَن دونه نَسَباً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حكم إجابة خِطبة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التعريض بالخطبة لذات البعل وذات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الرابع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صيغة عقد الانقطاع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بيان محلّ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اعتبار ذكر المَهر في عقد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جعل الحقّ مَهراً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اعتبار كون المَهر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اعتبار الأجل في عقد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عدم اعتبار اتّصال المدّة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حكم الاقتصار على ذكر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حكم ما لو لم يُذكر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بيان حَدّ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وجوب دفع المَهر بالعقد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حكم ما لو وهب الزّوج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حكم إخلال المرأة ببعض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حكم ما لو ظهر بطلان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حكم ما لو عزل المتمتِّع عن المتمتَّع بها وحملت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عدم وقوع الطلاق والظهار واللِّعان بالمتعة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عدم ثبوت التوارث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عِدّة المُتمتّع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عِدّة المتمتّع بها من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تجديد العقد على المتمتّع بها قبل انقضاء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الشرط المذكور قبل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نسوة ويطلّق واحدة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 أربع نسوه فيطلّق واحدة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باستيفاءالعدد ح </w:t>
      </w:r>
      <w:r>
        <w:rPr>
          <w:rFonts w:eastAsia="IRNazanin" w:cs="IRNazanin"/>
          <w:b w:val="false"/>
          <w:bCs w:val="false"/>
          <w:i w:val="false"/>
          <w:iCs w:val="false"/>
          <w:color w:val="333333"/>
          <w:sz w:val="20"/>
          <w:szCs w:val="20"/>
        </w:rPr>
        <w:t>26254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نسوه فيطلّق واحدة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طلّقها بائناً فقد قطع الأكثر بأنّه يجوز له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28567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باختصار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عبد الكريم الحائري في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الشيخ عبد الكريم الحائري في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احتمل أنْ يكون منهما استخرج بالقرعة على التردّد، والأشبه أنّه الثاني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الرابعة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بالقرعة الشيخ الطوسي في المبسوط لإمكانه، والحقّ اختيار المنصف هنا هو أنّه الثاني لأنّها فراش له حقيقة، وفراش الأوّل زال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كتاب القضاء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ربما حمل الأخبار الأخيرة على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وحملها جماعة آخرون على التقيّة، وهو غير ظاهر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تحريم العين، المسألة الثانية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تزوّج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 العِدّة للأوّل وتستأنف أُخرى للثاني، وقيل يجزي عِدّة واحدة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12/318</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تفسير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عن بعض الأصحاب تعلّق التحريم به كالفاعل، وهو ضعيفٌ ولم نعثر على القائل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فجر بغلام فأوقبه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سبق الفعل على النكاح، لأخبار متعدّده دالّة عليه مع اعتضادها بالشهرة البالغة حَدّ الاتّفاق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فجر بغلامٍ فأوقب، حَرم عليه العقد على اُمّه واُخته وبنته على جميع الأحوال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والرّجل إذا جامعَ الصبيّة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فأفضاها كان عليه دية نفسها، والقيام بها حتّى يفرّق الموت بينهما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يفضها ففي التحريم الأبدي إشكالٌ‌، والشيخان رحمهما الله أطلقا القول بالتّحريم على من وطئ امرأته لدون تسع سنين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اعتبار الإفضاء في التحريم، والشيخ في النهاية أطلق التحريم من غير تقييد بالإفضاء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إذا جامع الصبيّة ولها دون تسع سنين فأفضاها كان عليه دية نفسها، والقيام بها حتّى يفرّق الموت بينهما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تتزوّج المراة حتّى تبلغ تسع سنين، فإنْ تزوجتها قبل أنْ تبلغ تسع سنين وأصابها عيبٌ أنتَ ضامن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ذكر اختيار ابن حمزة للبينونة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ابن حمزة ليس ببعيد والتوقّف طريق السلامة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فى الافضاء،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الحكيم قدس سره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تزوّجت بغيره ففي سقوطها وجهان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البعض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عنهما في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غريبة،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الضرب الخامس من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والزانية حتّى تتوب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زنت امرأته لم تحرم عليه إلّاأن تصرّ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أحكام القران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مايحرم بالمصاهرة ح </w:t>
      </w:r>
      <w:r>
        <w:rPr>
          <w:rFonts w:eastAsia="IRNazanin" w:cs="IRNazanin"/>
          <w:b w:val="false"/>
          <w:bCs w:val="false"/>
          <w:i w:val="false"/>
          <w:iCs w:val="false"/>
          <w:color w:val="333333"/>
          <w:sz w:val="20"/>
          <w:szCs w:val="20"/>
        </w:rPr>
        <w:t>26030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26031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26032</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يجوز التمتّع إلّابالعفيفة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يجوز التمتّع إلّابالعفيفة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ونحوها ح </w:t>
      </w:r>
      <w:r>
        <w:rPr>
          <w:rFonts w:eastAsia="IRNazanin" w:cs="IRNazanin"/>
          <w:b w:val="false"/>
          <w:bCs w:val="false"/>
          <w:i w:val="false"/>
          <w:iCs w:val="false"/>
          <w:color w:val="333333"/>
          <w:sz w:val="20"/>
          <w:szCs w:val="20"/>
        </w:rPr>
        <w:t>26439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الأشعري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21/219</w:t>
      </w:r>
      <w:r>
        <w:rPr>
          <w:rFonts w:ascii="IRNazanin" w:hAnsi="IRNazanin" w:eastAsia="IRNazanin"/>
          <w:b w:val="false"/>
          <w:b w:val="false"/>
          <w:bCs w:val="false"/>
          <w:i w:val="false"/>
          <w:i w:val="false"/>
          <w:iCs w:val="false"/>
          <w:color w:val="333333"/>
          <w:sz w:val="20"/>
          <w:sz w:val="20"/>
          <w:szCs w:val="20"/>
          <w:rtl w:val="true"/>
        </w:rPr>
        <w:t>، نهاية الباب السادس من أبواب العيوب والتدليس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إلى بعض متأخّري الأصحاب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15/245</w:t>
      </w:r>
      <w:r>
        <w:rPr>
          <w:rFonts w:ascii="IRNazanin" w:hAnsi="IRNazanin" w:eastAsia="IRNazanin"/>
          <w:b w:val="false"/>
          <w:b w:val="false"/>
          <w:bCs w:val="false"/>
          <w:i w:val="false"/>
          <w:i w:val="false"/>
          <w:iCs w:val="false"/>
          <w:color w:val="333333"/>
          <w:sz w:val="20"/>
          <w:sz w:val="20"/>
          <w:szCs w:val="20"/>
          <w:rtl w:val="true"/>
        </w:rPr>
        <w:t>، في مباحث تروك الإحرام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الجنيد كماحكاه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المدارك في شرح 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حيث نسبه إلى بعض الأعلام من المتأخّرين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التعرّض لذلك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الزوجتين المرتضعة إحداهما من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التعرّض لذلك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الزوجتين المرتضعة إحداهما من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الشبهة فإنّه كالصحيح على أقوى القولين، وهو اختيار الشيخ وأكثر الأصحاب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والتقريب فيها أنّه خصّ عليه السلام لبن الفحل بما يحصل من امراته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ولبن نكاح الشبهة وإنْ لم يكن عن نكاحٍ صحيح أيضاً، إلّاأنّ دخوله قد جاء بدليل آخر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التأثير للبن الولادة من النكاح المشروع فحسب، دون النكاح الحرام والفاسد، ووطء الشبهة، لأنّ نكاح الشبهة عند أصحابنا لا يفصّلون بينه وبين الفاسد إلّافي إلحاق الولد ورفع الحَدّ فحسب، وإن قلنا في وطء الشبهة بالتحريم كان قويّاً، لأنّ نسبه عندنا نسب صحيح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في ذلك نظرٌ وتأمّل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شرط تحريم الرّضاع أنْ يكون لبن ولادة من عقد أو شبهة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إجماعنا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 الذي ينزل على الاحبال لا حرمة 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دَرّ لبنها من غير ولادة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فاحبلها ونزل لها لبنٌ فأرضعت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المرضع ولدهما معاً من الرّضاعة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طلّق الزّوج وهي حامل منه أو مرضع فأرضعت ولداً نشر الحرمة كما لو كانت في حباله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ولدت من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 أهل العلم كما قيل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أحمد رواية ثانية أنّ قليل الرّضاع وكثيره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سعيد بن المسيب والحسن والزُهري وقتادة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16973</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ممّا ينبت اللّحم ويشدّ العظم، بأنْ يكون يوماً وليلة أو عشرة رضعات عند بعض أصحابنا، وعند بعضهم خمس عشرة رضعة، والأوّل أحوط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باب النكاح والمتعة والرّضاع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تحرم المصّة والمصّتان ولا الرضعة والرضعتان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في النشر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يحرم من النكاح عشرة رضعات متوالات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الرسالة الرّضاعيّة في 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دليل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الوحيد البهبهاني في تعليقته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الوجيزة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معتمدٌ عندي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30/474</w:t>
      </w:r>
      <w:r>
        <w:rPr>
          <w:rFonts w:ascii="IRNazanin" w:hAnsi="IRNazanin" w:eastAsia="IRNazanin"/>
          <w:b w:val="false"/>
          <w:b w:val="false"/>
          <w:bCs w:val="false"/>
          <w:i w:val="false"/>
          <w:i w:val="false"/>
          <w:iCs w:val="false"/>
          <w:color w:val="333333"/>
          <w:sz w:val="20"/>
          <w:sz w:val="20"/>
          <w:szCs w:val="20"/>
          <w:rtl w:val="true"/>
        </w:rPr>
        <w:t>، وقد حكاه عنه غير واحد منهم كاشف الغطاء في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المنتهى غير واحد منهم ما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بالمعنى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وغيرهما والكلّ حكاه ب‍ قيل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كانوا يكيلون 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كتاب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25901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إرشاد الأزهان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الثالث</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ادّعى عليه في التذكرة الإجماع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الرّضاع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لبن الفحل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المماليك ح </w:t>
      </w:r>
      <w:r>
        <w:rPr>
          <w:rFonts w:eastAsia="IRNazanin" w:cs="IRNazanin"/>
          <w:b w:val="false"/>
          <w:bCs w:val="false"/>
          <w:i w:val="false"/>
          <w:iCs w:val="false"/>
          <w:color w:val="333333"/>
          <w:sz w:val="20"/>
          <w:szCs w:val="20"/>
        </w:rPr>
        <w:t>4559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بعد عدّة صفحات،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الزوجتين المرتضعة إحداهما من الاُخرى‌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لبن الفحل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الرّضاع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ح </w:t>
      </w:r>
      <w:r>
        <w:rPr>
          <w:rFonts w:eastAsia="IRNazanin" w:cs="IRNazanin"/>
          <w:b w:val="false"/>
          <w:bCs w:val="false"/>
          <w:i w:val="false"/>
          <w:iCs w:val="false"/>
          <w:color w:val="333333"/>
          <w:sz w:val="20"/>
          <w:szCs w:val="20"/>
        </w:rPr>
        <w:t>25847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وفي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التحريم تعلّق به وبنسله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من هو في طبقته من أخواته أو أخوته أو أعلى منه من آبائه وأُمّهاته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يحرم من النكاح من الرّضاع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ادّعى عدم الخلاف، وفي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25930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والصيمري في تلخيص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وجوب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27601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27602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27600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27603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27605</w:t>
      </w:r>
      <w:r>
        <w:rPr>
          <w:rFonts w:ascii="IRNazanin" w:hAnsi="IRNazanin" w:eastAsia="IRNazanin"/>
          <w:b w:val="false"/>
          <w:b w:val="false"/>
          <w:bCs w:val="false"/>
          <w:i w:val="false"/>
          <w:i w:val="false"/>
          <w:iCs w:val="false"/>
          <w:color w:val="333333"/>
          <w:sz w:val="20"/>
          <w:sz w:val="20"/>
          <w:szCs w:val="20"/>
          <w:rtl w:val="true"/>
        </w:rPr>
        <w:t>، 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27607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27593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27594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27597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يحرم من النكاح من الرّضاع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25933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قبول شهادة النساء منفردات في الرّضاع وإن كان الأكثر قد منع من قبولها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كتاب اللِّعان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26175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ح </w:t>
      </w:r>
      <w:r>
        <w:rPr>
          <w:rFonts w:eastAsia="IRNazanin" w:cs="IRNazanin"/>
          <w:b w:val="false"/>
          <w:bCs w:val="false"/>
          <w:i w:val="false"/>
          <w:iCs w:val="false"/>
          <w:color w:val="333333"/>
          <w:sz w:val="20"/>
          <w:szCs w:val="20"/>
        </w:rPr>
        <w:t>28953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ح </w:t>
      </w:r>
      <w:r>
        <w:rPr>
          <w:rFonts w:eastAsia="IRNazanin" w:cs="IRNazanin"/>
          <w:b w:val="false"/>
          <w:bCs w:val="false"/>
          <w:i w:val="false"/>
          <w:iCs w:val="false"/>
          <w:color w:val="333333"/>
          <w:sz w:val="20"/>
          <w:szCs w:val="20"/>
        </w:rPr>
        <w:t>28952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ح </w:t>
      </w:r>
      <w:r>
        <w:rPr>
          <w:rFonts w:eastAsia="IRNazanin" w:cs="IRNazanin"/>
          <w:b w:val="false"/>
          <w:bCs w:val="false"/>
          <w:i w:val="false"/>
          <w:iCs w:val="false"/>
          <w:color w:val="333333"/>
          <w:sz w:val="20"/>
          <w:szCs w:val="20"/>
        </w:rPr>
        <w:t>28955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12/305</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والعبارة منقولة بتصرّف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ح </w:t>
      </w:r>
      <w:r>
        <w:rPr>
          <w:rFonts w:eastAsia="IRNazanin" w:cs="IRNazanin"/>
          <w:b w:val="false"/>
          <w:bCs w:val="false"/>
          <w:i w:val="false"/>
          <w:iCs w:val="false"/>
          <w:color w:val="333333"/>
          <w:sz w:val="20"/>
          <w:szCs w:val="20"/>
        </w:rPr>
        <w:t>28954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فيمن يحرم نكاحهن بالأسباب دون الأنساب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باب من يحرم نكاحهن من النساء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أن يطأ بملك اليمين اليهوديّة والنصرانيّة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العقود على الإماء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المائدة، وصحّحه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وتفسير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17198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17199</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من النكاح ح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30000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26282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يحرم نكاحهن بالأسباب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يتزوّج الأمَة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26465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26466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26286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26343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يحرم نكاحهن بالأسباب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مايحرم بالكفر ح </w:t>
      </w:r>
      <w:r>
        <w:rPr>
          <w:rFonts w:eastAsia="IRNazanin" w:cs="IRNazanin"/>
          <w:b w:val="false"/>
          <w:bCs w:val="false"/>
          <w:i w:val="false"/>
          <w:iCs w:val="false"/>
          <w:color w:val="333333"/>
          <w:sz w:val="20"/>
          <w:szCs w:val="20"/>
        </w:rPr>
        <w:t>26299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أنّه لا فرق في أهل الكتاب بين الحربي منهم والذّمي، لشمول الإسم لهما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26277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20131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صدقة أهل الجزية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20137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والخمسون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20138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20139</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26469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26298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من النكاح 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وج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20138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26465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الكفاءة معتبرة بلا خلافٍ في النكاح</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بعدم وجود خلاف في ذلك</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من كتاب الحدود ح </w:t>
      </w:r>
      <w:r>
        <w:rPr>
          <w:rFonts w:eastAsia="IRNazanin" w:cs="IRNazanin"/>
          <w:b w:val="false"/>
          <w:bCs w:val="false"/>
          <w:i w:val="false"/>
          <w:iCs w:val="false"/>
          <w:color w:val="333333"/>
          <w:sz w:val="20"/>
          <w:szCs w:val="20"/>
        </w:rPr>
        <w:t>34876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المرتدّ والمرتدّة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26936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يروي الخبر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رواية إسماعيل بن أبي زياد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الشيخ إلى إسماعيل بن أبي زياد فيه ابن أبي جيد ولا توثيق في حقّه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من كتاب الفرائض والمواريث ح </w:t>
      </w:r>
      <w:r>
        <w:rPr>
          <w:rFonts w:eastAsia="IRNazanin" w:cs="IRNazanin"/>
          <w:b w:val="false"/>
          <w:bCs w:val="false"/>
          <w:i w:val="false"/>
          <w:iCs w:val="false"/>
          <w:color w:val="333333"/>
          <w:sz w:val="20"/>
          <w:szCs w:val="20"/>
        </w:rPr>
        <w:t>32414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المرتدّ والمرتدّة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34865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المرتدّ والمرتدّة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بعد عدّة صفحات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أسلم كافرٌ وله أزيد من أربع منكوحات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26295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يحرم نكاحهن بالأسباب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والمرأة إذا كانا ذمّيين فتسلم المرأة دون الرّجل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كتاب النكاح 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26308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يحرم نكاحهن بالأسباب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تزويج المشركين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مايحرم باستيفاءالعدد ح </w:t>
      </w:r>
      <w:r>
        <w:rPr>
          <w:rFonts w:eastAsia="IRNazanin" w:cs="IRNazanin"/>
          <w:b w:val="false"/>
          <w:bCs w:val="false"/>
          <w:i w:val="false"/>
          <w:iCs w:val="false"/>
          <w:color w:val="333333"/>
          <w:sz w:val="20"/>
          <w:szCs w:val="20"/>
        </w:rPr>
        <w:t>17185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17184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محمّد بن عبداللّه بن هلال في سنده، وهو مجهول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وكفاية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34487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قذف من ليس على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يكن دخل بواحدة منهما قيل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في إمساك أيّتهما شاء، وفارق الأُخرى‌،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يثبت نكاح البنت ويزول نكاح الأُمّ‌، ويقوى في نفسي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كان قد دخل بكلّ واحدةٍ منهما حرمت البنت على التأبيد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 حرمت عليه مؤبّداً أيضاً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17184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17185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الكفاءة معتبرة في النكاح وهي عندنا شيئان، أحدهما الإيمان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الكفاءة معتبرة عندنا في النكاح وعندنا هي الإيمان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فعندنا أنّ الكفاءة المعتبرة في النكاح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ومنّا أن تكون المرأة مؤمنة أو مستضعفة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ذميّة أو مجوسيّة أو معاندة لم يصحّ نكاحها غبطة، لأنّ الكفاءة في الدِّين مراعاة عندنا في صحّة هذا العقد، وهو كما ترى لا يدلّ على ما نحن بصدد إثباته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والكفاءة تثبت عندنا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الكفاءة في النكاح</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الإيمان يشرك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الإيمان يشرك الإسلام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يحرم نكاحهن بالأسباب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الإيمان يشرك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الإسلام يحقن به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26348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25073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12559</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12548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26344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يحرم نكاحهنّ بالأسباب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 الشكّاك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الكفاءة في النكاح</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في السفر والحضر من كتاب الحجّ ح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الكفاءة في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المصدر مرسلي أبان والصدوق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البيع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24987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التزويج يزيد في الرزق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24988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التزويج يزيد في الرزق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25073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25055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المؤمن كفؤ المؤمنة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27715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27714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25073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25082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ينكح شارب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عقدالنكاح ح </w:t>
      </w:r>
      <w:r>
        <w:rPr>
          <w:rFonts w:eastAsia="IRNazanin" w:cs="IRNazanin"/>
          <w:b w:val="false"/>
          <w:bCs w:val="false"/>
          <w:i w:val="false"/>
          <w:iCs w:val="false"/>
          <w:color w:val="333333"/>
          <w:sz w:val="20"/>
          <w:szCs w:val="20"/>
        </w:rPr>
        <w:t>25680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الشغار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 </w:t>
      </w:r>
      <w:r>
        <w:rPr>
          <w:rFonts w:eastAsia="IRNazanin" w:cs="IRNazanin"/>
          <w:b w:val="false"/>
          <w:bCs w:val="false"/>
          <w:i w:val="false"/>
          <w:iCs w:val="false"/>
          <w:color w:val="333333"/>
          <w:sz w:val="20"/>
          <w:szCs w:val="20"/>
        </w:rPr>
        <w:t>25679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الشغار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عقدالنكاح ح </w:t>
      </w:r>
      <w:r>
        <w:rPr>
          <w:rFonts w:eastAsia="IRNazanin" w:cs="IRNazanin"/>
          <w:b w:val="false"/>
          <w:bCs w:val="false"/>
          <w:i w:val="false"/>
          <w:iCs w:val="false"/>
          <w:color w:val="333333"/>
          <w:sz w:val="20"/>
          <w:szCs w:val="20"/>
        </w:rPr>
        <w:t>25681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الشغار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 </w:t>
      </w:r>
      <w:r>
        <w:rPr>
          <w:rFonts w:eastAsia="IRNazanin" w:cs="IRNazanin"/>
          <w:b w:val="false"/>
          <w:bCs w:val="false"/>
          <w:i w:val="false"/>
          <w:iCs w:val="false"/>
          <w:color w:val="333333"/>
          <w:sz w:val="20"/>
          <w:szCs w:val="20"/>
        </w:rPr>
        <w:t>25682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جملة من مناهي النبيّ صلى الله عليه و آله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30/128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12/487</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شغر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30/130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المؤمن كفؤ المؤمنة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25068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الأكفاء ح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16457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25071</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30/109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الكفاية في النكاح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26190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لا تُواعِدُوهُنَّ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مايحرم بالمصاهرة ح </w:t>
      </w:r>
      <w:r>
        <w:rPr>
          <w:rFonts w:eastAsia="IRNazanin" w:cs="IRNazanin"/>
          <w:b w:val="false"/>
          <w:bCs w:val="false"/>
          <w:i w:val="false"/>
          <w:iCs w:val="false"/>
          <w:color w:val="333333"/>
          <w:sz w:val="20"/>
          <w:szCs w:val="20"/>
        </w:rPr>
        <w:t>26193</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مايحرم بالمصاهرة ح </w:t>
      </w:r>
      <w:r>
        <w:rPr>
          <w:rFonts w:eastAsia="IRNazanin" w:cs="IRNazanin"/>
          <w:b w:val="false"/>
          <w:bCs w:val="false"/>
          <w:i w:val="false"/>
          <w:iCs w:val="false"/>
          <w:color w:val="333333"/>
          <w:sz w:val="20"/>
          <w:szCs w:val="20"/>
        </w:rPr>
        <w:t>26194</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26189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لا تُواعِدُوهُنَّ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26188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لا تُواعِدُوهُنَّ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 عشر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من المعاصرين، وقد ورد حكاية القول بالنسخ في حاشية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التمتّع</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يكره من التبتل والخصاء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30/153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الخونساري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الثالث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30/162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لم يطبع للمؤلّف حتّى الآن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بكّار بن كردم، فقد رويته عن محمّد بن الحسن رحمه الله عن محمّد بن الحسن الصفّار، عن أحمد بن محمّد بن عيسى‌، عن محمّد بن سنان، عن بكّار بن كردم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الثالث</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سعد الحنّاط، ضعيف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الرِّجال لابن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في مذهبه غلوّ</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30/182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يبعد البطلان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ذيله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أصحاب الصادق عليه السلام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مفضّل بن قيس بن رمانة الأشعري، مولاهم، أسند عنه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سهل بن زياد، وقد 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 غير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قال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الكتابيّة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ولاية الأب والجَدّ على البكر الرشيدة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ولاية الأب والجَدّ على البكر الرشيدة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أحكام النساء في النكاح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استدلاله على إباحة نكاح المتعة بالآية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لَكُمْ ما وَراءَ ذلِكُمْ‌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24/159</w:t>
      </w:r>
      <w:r>
        <w:rPr>
          <w:rFonts w:ascii="IRNazanin" w:hAnsi="IRNazanin" w:eastAsia="IRNazanin"/>
          <w:b w:val="false"/>
          <w:b w:val="false"/>
          <w:bCs w:val="false"/>
          <w:i w:val="false"/>
          <w:i w:val="false"/>
          <w:iCs w:val="false"/>
          <w:color w:val="333333"/>
          <w:sz w:val="20"/>
          <w:sz w:val="20"/>
          <w:szCs w:val="20"/>
          <w:rtl w:val="true"/>
        </w:rPr>
        <w:t>، والطباطبائي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تشترط له أن تأته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أيّاماً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30/168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وثالثها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الثالث</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نهى عن مَهر البغي وثمن الكلب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30/171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ما دلّ عليه الخبران المذكوران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صحيحتي ابن أبي يعفور وابن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يلاعن الرّجل المرأة المتمتّع بها لا تصريح فيه بكون اللِّعان لنفي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فلا دليل على الحكم المذكور، إلّاما يدّعونه من الاتّفاق إنْ ثبت، فلو قيل بعد 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في غاية القوّة إلّاأنّ الخروج عمّا ظاهرهم الاتّفاق عليه مشكل، وموافقتهم من غير دليل واضح أشكل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يعزل عنها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الكركي إلى الأكثر كالشيخ وابن الجنيد وأبي الصلاح والمحقّق، 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ذكروه رابعاً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والظهار أيضاً يقع بالتمتّع بها وكذلك اللِّعان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يقع الظاهر إلّاعلى موضع الطلاق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الظهار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نكاح المتعة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30/199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عليهم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تعتدّ المستقيمة الحيض بالإقراء</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30/199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24/189</w:t>
      </w:r>
      <w:r>
        <w:rPr>
          <w:rFonts w:ascii="IRNazanin" w:hAnsi="IRNazanin" w:eastAsia="IRNazanin"/>
          <w:b w:val="false"/>
          <w:b w:val="false"/>
          <w:bCs w:val="false"/>
          <w:i w:val="false"/>
          <w:i w:val="false"/>
          <w:iCs w:val="false"/>
          <w:color w:val="333333"/>
          <w:sz w:val="20"/>
          <w:sz w:val="20"/>
          <w:szCs w:val="20"/>
          <w:rtl w:val="true"/>
        </w:rPr>
        <w:t>، وقال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صرّح شيخنا المجلسي قدس سره في حواشيه على التهذيب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في جوابه علي من استدلّ على أنّها ليست زوجة، بأنّها لو كانت زوجة لوجب أن تعتدّ عِدّة الوفاة بأربعة أشهر وعشرة أيّام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اعتبار اتّصال المدّة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مفضل بن قيس بن رمانة الأشعري، مولاهم، أسند عنه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نكح متعةً إلى أيّام مسمّاة فإن أراد أن ينكحها نكاح الدائم قبل أن تنقضي أيّامه منها لم يجز له ذلك</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 ذكر الشرط في متن العقد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30/184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63706</Words>
  <Characters>290726</Characters>
  <CharactersWithSpaces>351250</CharactersWithSpaces>
  <Paragraphs>3574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2026-08-22T08:20:47Z</dcterms:created>
  <dc:creator>ghaemiyeh.com</dc:creator>
  <dc:description/>
  <dc:language>en-US</dc:language>
  <cp:lastModifiedBy/>
  <dcterms:modified xsi:type="dcterms:W3CDTF">2026-08-22T11:51:03Z</dcterms:modified>
  <cp:revision>1</cp:revision>
  <dc:subject/>
  <dc:title>فقه الصادق علیه السلام جلد 32</dc:title>
</cp:coreProperties>
</file>

<file path=docProps/custom.xml><?xml version="1.0" encoding="utf-8"?>
<Properties xmlns="http://schemas.openxmlformats.org/officeDocument/2006/custom-properties" xmlns:vt="http://schemas.openxmlformats.org/officeDocument/2006/docPropsVTypes"/>
</file>